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03" w:rsidRDefault="00690603">
      <w:pPr>
        <w:jc w:val="center"/>
        <w:rPr>
          <w:b/>
        </w:rPr>
      </w:pPr>
      <w:bookmarkStart w:id="0" w:name="_GoBack"/>
      <w:bookmarkEnd w:id="0"/>
      <w:r>
        <w:rPr>
          <w:b/>
        </w:rPr>
        <w:t>Before the</w:t>
      </w:r>
    </w:p>
    <w:p w:rsidR="00690603" w:rsidRDefault="00690603">
      <w:pPr>
        <w:jc w:val="center"/>
        <w:rPr>
          <w:b/>
        </w:rPr>
      </w:pPr>
      <w:r>
        <w:rPr>
          <w:b/>
        </w:rPr>
        <w:t>Federal Communications Commission</w:t>
      </w:r>
    </w:p>
    <w:p w:rsidR="00690603" w:rsidRDefault="00690603">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90603" w:rsidRDefault="00690603"/>
    <w:p w:rsidR="00690603" w:rsidRDefault="00690603"/>
    <w:tbl>
      <w:tblPr>
        <w:tblW w:w="0" w:type="auto"/>
        <w:tblLayout w:type="fixed"/>
        <w:tblLook w:val="0000" w:firstRow="0" w:lastRow="0" w:firstColumn="0" w:lastColumn="0" w:noHBand="0" w:noVBand="0"/>
      </w:tblPr>
      <w:tblGrid>
        <w:gridCol w:w="4698"/>
        <w:gridCol w:w="720"/>
        <w:gridCol w:w="4230"/>
      </w:tblGrid>
      <w:tr w:rsidR="00690603">
        <w:tc>
          <w:tcPr>
            <w:tcW w:w="4698" w:type="dxa"/>
          </w:tcPr>
          <w:p w:rsidR="00690603" w:rsidRDefault="00690603">
            <w:pPr>
              <w:ind w:right="-18"/>
            </w:pPr>
            <w:r>
              <w:t>In the Matter of</w:t>
            </w:r>
          </w:p>
          <w:p w:rsidR="00690603" w:rsidRDefault="00690603">
            <w:pPr>
              <w:ind w:right="-18"/>
            </w:pPr>
          </w:p>
          <w:p w:rsidR="00690603" w:rsidRDefault="00690603">
            <w:pPr>
              <w:ind w:right="-18"/>
            </w:pPr>
            <w:r>
              <w:t>Amendment of Section 73.202(b)</w:t>
            </w:r>
          </w:p>
          <w:p w:rsidR="00690603" w:rsidRDefault="00690603">
            <w:pPr>
              <w:ind w:right="-18"/>
            </w:pPr>
            <w:r>
              <w:t xml:space="preserve">FM Table of Allotments, </w:t>
            </w:r>
          </w:p>
          <w:p w:rsidR="00690603" w:rsidRDefault="00690603">
            <w:pPr>
              <w:ind w:right="-18"/>
            </w:pPr>
            <w:r>
              <w:t>FM Broadcast Stations.</w:t>
            </w:r>
          </w:p>
          <w:p w:rsidR="00690603" w:rsidRDefault="00367DDF">
            <w:pPr>
              <w:ind w:right="-18"/>
            </w:pPr>
            <w:r>
              <w:t>(Haynesville, Louisiana</w:t>
            </w:r>
            <w:r w:rsidR="00690603">
              <w:t>)</w:t>
            </w:r>
          </w:p>
        </w:tc>
        <w:tc>
          <w:tcPr>
            <w:tcW w:w="720" w:type="dxa"/>
          </w:tcPr>
          <w:p w:rsidR="00690603" w:rsidRDefault="00690603">
            <w:pPr>
              <w:rPr>
                <w:b/>
              </w:rPr>
            </w:pPr>
            <w:r>
              <w:rPr>
                <w:b/>
              </w:rPr>
              <w:t>)</w:t>
            </w:r>
          </w:p>
          <w:p w:rsidR="00690603" w:rsidRDefault="00690603">
            <w:pPr>
              <w:rPr>
                <w:b/>
              </w:rPr>
            </w:pPr>
            <w:r>
              <w:rPr>
                <w:b/>
              </w:rPr>
              <w:t>)</w:t>
            </w:r>
          </w:p>
          <w:p w:rsidR="00690603" w:rsidRDefault="00690603">
            <w:pPr>
              <w:rPr>
                <w:b/>
              </w:rPr>
            </w:pPr>
            <w:r>
              <w:rPr>
                <w:b/>
              </w:rPr>
              <w:t>)</w:t>
            </w:r>
          </w:p>
          <w:p w:rsidR="00690603" w:rsidRDefault="00690603">
            <w:pPr>
              <w:rPr>
                <w:b/>
              </w:rPr>
            </w:pPr>
            <w:r>
              <w:rPr>
                <w:b/>
              </w:rPr>
              <w:t>)</w:t>
            </w:r>
          </w:p>
          <w:p w:rsidR="00690603" w:rsidRDefault="00690603">
            <w:pPr>
              <w:rPr>
                <w:b/>
              </w:rPr>
            </w:pPr>
            <w:r>
              <w:rPr>
                <w:b/>
              </w:rPr>
              <w:t>)</w:t>
            </w:r>
          </w:p>
          <w:p w:rsidR="00690603" w:rsidRDefault="00690603">
            <w:pPr>
              <w:rPr>
                <w:b/>
              </w:rPr>
            </w:pPr>
            <w:r>
              <w:rPr>
                <w:b/>
              </w:rPr>
              <w:t>)</w:t>
            </w:r>
          </w:p>
        </w:tc>
        <w:tc>
          <w:tcPr>
            <w:tcW w:w="4230" w:type="dxa"/>
          </w:tcPr>
          <w:p w:rsidR="00690603" w:rsidRDefault="00690603"/>
          <w:p w:rsidR="00690603" w:rsidRDefault="00690603"/>
          <w:p w:rsidR="000541F2" w:rsidRDefault="001532B6" w:rsidP="000541F2">
            <w:pPr>
              <w:rPr>
                <w:spacing w:val="-2"/>
              </w:rPr>
            </w:pPr>
            <w:r>
              <w:rPr>
                <w:spacing w:val="-2"/>
              </w:rPr>
              <w:t xml:space="preserve">MB Docket No. </w:t>
            </w:r>
            <w:r w:rsidR="007A0A76">
              <w:rPr>
                <w:spacing w:val="-2"/>
              </w:rPr>
              <w:t>14-37</w:t>
            </w:r>
          </w:p>
          <w:p w:rsidR="00690603" w:rsidRDefault="000541F2" w:rsidP="000541F2">
            <w:r>
              <w:rPr>
                <w:spacing w:val="-2"/>
              </w:rPr>
              <w:t>RM-</w:t>
            </w:r>
            <w:r w:rsidR="00F97C9A">
              <w:rPr>
                <w:spacing w:val="-2"/>
              </w:rPr>
              <w:t>11711</w:t>
            </w:r>
          </w:p>
          <w:p w:rsidR="00690603" w:rsidRDefault="00690603"/>
        </w:tc>
      </w:tr>
    </w:tbl>
    <w:p w:rsidR="00690603" w:rsidRDefault="00690603">
      <w:pPr>
        <w:spacing w:before="120"/>
        <w:jc w:val="center"/>
        <w:rPr>
          <w:b/>
        </w:rPr>
      </w:pPr>
      <w:r>
        <w:rPr>
          <w:b/>
          <w:spacing w:val="-2"/>
        </w:rPr>
        <w:t>NOTICE OF PROPOSED RULE</w:t>
      </w:r>
      <w:r w:rsidR="0001001B">
        <w:rPr>
          <w:b/>
          <w:spacing w:val="-2"/>
        </w:rPr>
        <w:t xml:space="preserve"> </w:t>
      </w:r>
      <w:r>
        <w:rPr>
          <w:b/>
          <w:spacing w:val="-2"/>
        </w:rPr>
        <w:t>MAKING</w:t>
      </w:r>
    </w:p>
    <w:p w:rsidR="00690603" w:rsidRDefault="00690603"/>
    <w:p w:rsidR="00690603" w:rsidRDefault="00690603" w:rsidP="007338FE">
      <w:pPr>
        <w:tabs>
          <w:tab w:val="left" w:pos="5760"/>
          <w:tab w:val="left" w:pos="6480"/>
        </w:tabs>
        <w:rPr>
          <w:b/>
          <w:spacing w:val="-2"/>
        </w:rPr>
      </w:pPr>
      <w:r>
        <w:rPr>
          <w:b/>
        </w:rPr>
        <w:t>Adopted:</w:t>
      </w:r>
      <w:r w:rsidR="001334BC">
        <w:rPr>
          <w:b/>
        </w:rPr>
        <w:t xml:space="preserve">  February 27, 2014</w:t>
      </w:r>
      <w:r w:rsidR="00CD6E0E">
        <w:rPr>
          <w:b/>
        </w:rPr>
        <w:tab/>
        <w:t xml:space="preserve">        </w:t>
      </w:r>
      <w:r>
        <w:rPr>
          <w:b/>
        </w:rPr>
        <w:t>Released:</w:t>
      </w:r>
      <w:r w:rsidR="001334BC">
        <w:rPr>
          <w:b/>
        </w:rPr>
        <w:t xml:space="preserve">  February 28, 2014</w:t>
      </w:r>
    </w:p>
    <w:p w:rsidR="00690603" w:rsidRDefault="00690603">
      <w:pPr>
        <w:tabs>
          <w:tab w:val="left" w:pos="7635"/>
        </w:tabs>
        <w:rPr>
          <w:b/>
          <w:spacing w:val="-2"/>
        </w:rPr>
      </w:pPr>
      <w:r>
        <w:rPr>
          <w:b/>
          <w:spacing w:val="-2"/>
        </w:rPr>
        <w:tab/>
      </w:r>
    </w:p>
    <w:p w:rsidR="00690603" w:rsidRDefault="00690603">
      <w:pPr>
        <w:tabs>
          <w:tab w:val="left" w:pos="5760"/>
        </w:tabs>
        <w:rPr>
          <w:b/>
          <w:spacing w:val="-2"/>
        </w:rPr>
      </w:pPr>
      <w:r>
        <w:rPr>
          <w:b/>
          <w:spacing w:val="-2"/>
        </w:rPr>
        <w:t>Comments Date:</w:t>
      </w:r>
      <w:r w:rsidR="00367DDF">
        <w:rPr>
          <w:b/>
          <w:spacing w:val="-2"/>
        </w:rPr>
        <w:t xml:space="preserve">  </w:t>
      </w:r>
      <w:r w:rsidR="0001001B">
        <w:rPr>
          <w:b/>
          <w:spacing w:val="-2"/>
        </w:rPr>
        <w:t xml:space="preserve"> </w:t>
      </w:r>
      <w:r w:rsidR="001334BC">
        <w:rPr>
          <w:b/>
          <w:spacing w:val="-2"/>
        </w:rPr>
        <w:t>April 21, 2014</w:t>
      </w:r>
    </w:p>
    <w:p w:rsidR="00690603" w:rsidRDefault="002C3073">
      <w:pPr>
        <w:tabs>
          <w:tab w:val="left" w:pos="5760"/>
        </w:tabs>
        <w:rPr>
          <w:b/>
        </w:rPr>
      </w:pPr>
      <w:r>
        <w:rPr>
          <w:b/>
        </w:rPr>
        <w:t>Reply Comments Date:</w:t>
      </w:r>
      <w:r w:rsidR="001334BC">
        <w:rPr>
          <w:b/>
        </w:rPr>
        <w:t xml:space="preserve">  May 6, 2014</w:t>
      </w:r>
    </w:p>
    <w:p w:rsidR="00367DDF" w:rsidRDefault="00367DDF">
      <w:pPr>
        <w:tabs>
          <w:tab w:val="left" w:pos="5760"/>
        </w:tabs>
        <w:rPr>
          <w:b/>
        </w:rPr>
      </w:pPr>
    </w:p>
    <w:p w:rsidR="00690603" w:rsidRDefault="00690603">
      <w:pPr>
        <w:tabs>
          <w:tab w:val="left" w:pos="5760"/>
        </w:tabs>
        <w:spacing w:after="240"/>
        <w:rPr>
          <w:spacing w:val="-2"/>
        </w:rPr>
      </w:pPr>
      <w:r>
        <w:t xml:space="preserve">By the </w:t>
      </w:r>
      <w:r>
        <w:rPr>
          <w:spacing w:val="-2"/>
        </w:rPr>
        <w:t>Assistant Chief, Audio Division, Media Bureau:</w:t>
      </w:r>
      <w:r>
        <w:rPr>
          <w:spacing w:val="-2"/>
        </w:rPr>
        <w:tab/>
      </w:r>
    </w:p>
    <w:p w:rsidR="00690603" w:rsidRDefault="00690603" w:rsidP="00D716F8">
      <w:pPr>
        <w:pStyle w:val="ParaNum"/>
        <w:numPr>
          <w:ilvl w:val="0"/>
          <w:numId w:val="0"/>
        </w:numPr>
        <w:tabs>
          <w:tab w:val="left" w:pos="360"/>
          <w:tab w:val="left" w:pos="720"/>
          <w:tab w:val="left" w:pos="1080"/>
        </w:tabs>
        <w:jc w:val="left"/>
        <w:rPr>
          <w:szCs w:val="22"/>
        </w:rPr>
      </w:pPr>
      <w:r>
        <w:tab/>
        <w:t>1.</w:t>
      </w:r>
      <w:r w:rsidR="00163708">
        <w:t xml:space="preserve">  </w:t>
      </w:r>
      <w:r>
        <w:t xml:space="preserve">The </w:t>
      </w:r>
      <w:r w:rsidR="00CD6E0E">
        <w:t>Audio Division has before it a Petition for R</w:t>
      </w:r>
      <w:r>
        <w:t>ul</w:t>
      </w:r>
      <w:r w:rsidR="00CD6E0E">
        <w:t>e M</w:t>
      </w:r>
      <w:r>
        <w:t xml:space="preserve">aking filed by </w:t>
      </w:r>
      <w:r w:rsidR="00367DDF">
        <w:t>SSR Communications, Inc.</w:t>
      </w:r>
      <w:r w:rsidR="00163708">
        <w:t xml:space="preserve"> (“Petitioner”)</w:t>
      </w:r>
      <w:r>
        <w:t xml:space="preserve">, </w:t>
      </w:r>
      <w:r w:rsidR="003D19BB">
        <w:t xml:space="preserve">permittee of FM Station KIMW, Channel 288A, Haynesville, Louisiana, </w:t>
      </w:r>
      <w:r>
        <w:t xml:space="preserve">proposing the </w:t>
      </w:r>
      <w:r w:rsidR="003D19BB">
        <w:t xml:space="preserve">allotment of </w:t>
      </w:r>
      <w:r w:rsidR="00367DDF">
        <w:t xml:space="preserve">Channel 286A </w:t>
      </w:r>
      <w:r w:rsidR="00904AC1">
        <w:t>to</w:t>
      </w:r>
      <w:r w:rsidR="00367DDF">
        <w:t xml:space="preserve"> Haynesville, Louisiana</w:t>
      </w:r>
      <w:r w:rsidR="00904AC1">
        <w:t>.</w:t>
      </w:r>
      <w:r w:rsidR="00683B8A">
        <w:t xml:space="preserve">  </w:t>
      </w:r>
      <w:r w:rsidR="00904AC1">
        <w:t>Petitioner states that th</w:t>
      </w:r>
      <w:r w:rsidR="00B34533">
        <w:t>e</w:t>
      </w:r>
      <w:r w:rsidR="00904AC1">
        <w:t xml:space="preserve"> proposed allotment is being filed as part of </w:t>
      </w:r>
      <w:r w:rsidR="00683B8A">
        <w:t xml:space="preserve">a </w:t>
      </w:r>
      <w:r w:rsidR="00904AC1">
        <w:t>hybrid application and rulemaking proposal involving the Petitioner’s modification application.</w:t>
      </w:r>
      <w:r w:rsidR="00904AC1">
        <w:rPr>
          <w:rStyle w:val="FootnoteReference"/>
        </w:rPr>
        <w:footnoteReference w:id="2"/>
      </w:r>
      <w:r w:rsidR="00683B8A">
        <w:t xml:space="preserve">  </w:t>
      </w:r>
      <w:r w:rsidR="00D716F8">
        <w:t xml:space="preserve">In compliance with </w:t>
      </w:r>
      <w:r w:rsidR="00D716F8">
        <w:rPr>
          <w:szCs w:val="22"/>
        </w:rPr>
        <w:t>Commission procedures,</w:t>
      </w:r>
      <w:r w:rsidR="00D716F8">
        <w:rPr>
          <w:rStyle w:val="FootnoteReference"/>
          <w:szCs w:val="22"/>
        </w:rPr>
        <w:footnoteReference w:id="3"/>
      </w:r>
      <w:r w:rsidR="00D716F8">
        <w:rPr>
          <w:szCs w:val="22"/>
        </w:rPr>
        <w:t xml:space="preserve"> Petitioner has concurrently filed an FCC Form 301 application</w:t>
      </w:r>
      <w:r w:rsidR="00D716F8">
        <w:rPr>
          <w:szCs w:val="22"/>
          <w:vertAlign w:val="superscript"/>
        </w:rPr>
        <w:t xml:space="preserve"> </w:t>
      </w:r>
      <w:r w:rsidR="00D716F8">
        <w:rPr>
          <w:szCs w:val="22"/>
        </w:rPr>
        <w:t>for Channel 286A at Haynesville, and the necessary filing fees.</w:t>
      </w:r>
      <w:r w:rsidR="00D716F8">
        <w:rPr>
          <w:rStyle w:val="FootnoteReference"/>
          <w:szCs w:val="22"/>
        </w:rPr>
        <w:footnoteReference w:id="4"/>
      </w:r>
      <w:r w:rsidR="00E36700">
        <w:t xml:space="preserve"> </w:t>
      </w:r>
    </w:p>
    <w:p w:rsidR="00163708" w:rsidRDefault="00690603" w:rsidP="00163708">
      <w:pPr>
        <w:pStyle w:val="FootnoteText"/>
        <w:tabs>
          <w:tab w:val="left" w:pos="360"/>
          <w:tab w:val="left" w:pos="540"/>
        </w:tabs>
        <w:spacing w:after="0"/>
        <w:jc w:val="left"/>
        <w:rPr>
          <w:snapToGrid w:val="0"/>
          <w:sz w:val="22"/>
          <w:szCs w:val="22"/>
        </w:rPr>
      </w:pPr>
      <w:r>
        <w:tab/>
      </w:r>
      <w:r w:rsidR="007F2BDB">
        <w:tab/>
      </w:r>
      <w:r w:rsidRPr="007F2BDB">
        <w:rPr>
          <w:sz w:val="22"/>
          <w:szCs w:val="22"/>
        </w:rPr>
        <w:t>2.</w:t>
      </w:r>
      <w:r w:rsidR="00163708">
        <w:rPr>
          <w:sz w:val="22"/>
          <w:szCs w:val="22"/>
        </w:rPr>
        <w:t xml:space="preserve">  </w:t>
      </w:r>
      <w:r w:rsidR="00913EFB" w:rsidRPr="007F2BDB">
        <w:rPr>
          <w:b/>
          <w:sz w:val="22"/>
          <w:szCs w:val="22"/>
        </w:rPr>
        <w:t xml:space="preserve">Background.  </w:t>
      </w:r>
      <w:r w:rsidR="007F2BDB" w:rsidRPr="007F2BDB">
        <w:rPr>
          <w:sz w:val="22"/>
          <w:szCs w:val="22"/>
        </w:rPr>
        <w:t xml:space="preserve">  </w:t>
      </w:r>
      <w:r w:rsidR="00913EFB" w:rsidRPr="007F2BDB">
        <w:rPr>
          <w:snapToGrid w:val="0"/>
          <w:sz w:val="22"/>
          <w:szCs w:val="22"/>
        </w:rPr>
        <w:t xml:space="preserve">In its </w:t>
      </w:r>
      <w:r w:rsidR="007F6C2C" w:rsidRPr="007F2BDB">
        <w:rPr>
          <w:snapToGrid w:val="0"/>
          <w:sz w:val="22"/>
          <w:szCs w:val="22"/>
        </w:rPr>
        <w:t>hybrid</w:t>
      </w:r>
      <w:r w:rsidR="00913EFB" w:rsidRPr="007F2BDB">
        <w:rPr>
          <w:snapToGrid w:val="0"/>
          <w:sz w:val="22"/>
          <w:szCs w:val="22"/>
        </w:rPr>
        <w:t xml:space="preserve"> application, Petitioner proposes th</w:t>
      </w:r>
      <w:r w:rsidR="00367DDF" w:rsidRPr="007F2BDB">
        <w:rPr>
          <w:snapToGrid w:val="0"/>
          <w:sz w:val="22"/>
          <w:szCs w:val="22"/>
        </w:rPr>
        <w:t xml:space="preserve">e relocation of </w:t>
      </w:r>
      <w:r w:rsidR="007F2BDB" w:rsidRPr="007F2BDB">
        <w:rPr>
          <w:snapToGrid w:val="0"/>
          <w:sz w:val="22"/>
          <w:szCs w:val="22"/>
        </w:rPr>
        <w:t xml:space="preserve">unbuilt </w:t>
      </w:r>
      <w:r w:rsidR="00B34533">
        <w:rPr>
          <w:snapToGrid w:val="0"/>
          <w:sz w:val="22"/>
          <w:szCs w:val="22"/>
        </w:rPr>
        <w:t xml:space="preserve">FM </w:t>
      </w:r>
      <w:r w:rsidR="00367DDF" w:rsidRPr="007F2BDB">
        <w:rPr>
          <w:snapToGrid w:val="0"/>
          <w:sz w:val="22"/>
          <w:szCs w:val="22"/>
        </w:rPr>
        <w:t xml:space="preserve">Station KIMW, Channel 288A, </w:t>
      </w:r>
      <w:r w:rsidR="00272A5B">
        <w:rPr>
          <w:snapToGrid w:val="0"/>
          <w:sz w:val="22"/>
          <w:szCs w:val="22"/>
        </w:rPr>
        <w:t xml:space="preserve">from </w:t>
      </w:r>
      <w:r w:rsidR="00367DDF" w:rsidRPr="007F2BDB">
        <w:rPr>
          <w:snapToGrid w:val="0"/>
          <w:sz w:val="22"/>
          <w:szCs w:val="22"/>
        </w:rPr>
        <w:t xml:space="preserve">Hayesville, Louisiana, to Helfin, Louisiana, as the community’s first local service.  To prevent removal of Haynesville’s </w:t>
      </w:r>
      <w:r w:rsidR="00272A5B">
        <w:rPr>
          <w:snapToGrid w:val="0"/>
          <w:sz w:val="22"/>
          <w:szCs w:val="22"/>
        </w:rPr>
        <w:t>potential first</w:t>
      </w:r>
      <w:r w:rsidR="00367DDF" w:rsidRPr="007F2BDB">
        <w:rPr>
          <w:snapToGrid w:val="0"/>
          <w:sz w:val="22"/>
          <w:szCs w:val="22"/>
        </w:rPr>
        <w:t xml:space="preserve"> local service, </w:t>
      </w:r>
      <w:r w:rsidR="00913EFB" w:rsidRPr="007F2BDB">
        <w:rPr>
          <w:snapToGrid w:val="0"/>
          <w:sz w:val="22"/>
          <w:szCs w:val="22"/>
        </w:rPr>
        <w:t xml:space="preserve">Petitioner proposes to amend the FM Table of Allotments by </w:t>
      </w:r>
      <w:r w:rsidR="00367DDF" w:rsidRPr="007F2BDB">
        <w:rPr>
          <w:snapToGrid w:val="0"/>
          <w:sz w:val="22"/>
          <w:szCs w:val="22"/>
        </w:rPr>
        <w:t xml:space="preserve">allotting Channel 286A at Haynesville, as a </w:t>
      </w:r>
      <w:r w:rsidR="00B343F2">
        <w:rPr>
          <w:snapToGrid w:val="0"/>
          <w:sz w:val="22"/>
          <w:szCs w:val="22"/>
        </w:rPr>
        <w:t>“</w:t>
      </w:r>
      <w:r w:rsidR="00367DDF" w:rsidRPr="007F2BDB">
        <w:rPr>
          <w:snapToGrid w:val="0"/>
          <w:sz w:val="22"/>
          <w:szCs w:val="22"/>
        </w:rPr>
        <w:t>backfill</w:t>
      </w:r>
      <w:r w:rsidR="00B343F2">
        <w:rPr>
          <w:snapToGrid w:val="0"/>
          <w:sz w:val="22"/>
          <w:szCs w:val="22"/>
        </w:rPr>
        <w:t>”</w:t>
      </w:r>
      <w:r w:rsidR="00367DDF" w:rsidRPr="007F2BDB">
        <w:rPr>
          <w:snapToGrid w:val="0"/>
          <w:sz w:val="22"/>
          <w:szCs w:val="22"/>
        </w:rPr>
        <w:t xml:space="preserve"> allotment.  </w:t>
      </w:r>
      <w:r w:rsidR="00BB1E5F" w:rsidRPr="007F2BDB">
        <w:rPr>
          <w:snapToGrid w:val="0"/>
          <w:sz w:val="22"/>
          <w:szCs w:val="22"/>
        </w:rPr>
        <w:t xml:space="preserve"> </w:t>
      </w:r>
    </w:p>
    <w:p w:rsidR="006022A8" w:rsidRPr="007F2BDB" w:rsidRDefault="006022A8" w:rsidP="00163708">
      <w:pPr>
        <w:pStyle w:val="FootnoteText"/>
        <w:tabs>
          <w:tab w:val="left" w:pos="360"/>
          <w:tab w:val="left" w:pos="540"/>
        </w:tabs>
        <w:spacing w:after="0"/>
        <w:rPr>
          <w:sz w:val="22"/>
          <w:szCs w:val="22"/>
        </w:rPr>
      </w:pPr>
      <w:r w:rsidRPr="007F2BDB">
        <w:rPr>
          <w:sz w:val="22"/>
          <w:szCs w:val="22"/>
        </w:rPr>
        <w:t xml:space="preserve">  </w:t>
      </w:r>
    </w:p>
    <w:p w:rsidR="00690603" w:rsidRDefault="008A3168" w:rsidP="00163708">
      <w:pPr>
        <w:pStyle w:val="ParaNum"/>
        <w:numPr>
          <w:ilvl w:val="0"/>
          <w:numId w:val="0"/>
        </w:numPr>
        <w:tabs>
          <w:tab w:val="left" w:pos="360"/>
          <w:tab w:val="left" w:pos="540"/>
          <w:tab w:val="left" w:pos="720"/>
        </w:tabs>
        <w:spacing w:after="0"/>
        <w:jc w:val="left"/>
        <w:rPr>
          <w:szCs w:val="22"/>
        </w:rPr>
      </w:pPr>
      <w:r w:rsidRPr="007F2BDB">
        <w:rPr>
          <w:szCs w:val="22"/>
        </w:rPr>
        <w:tab/>
      </w:r>
      <w:r w:rsidR="00213E93" w:rsidRPr="007F2BDB">
        <w:rPr>
          <w:szCs w:val="22"/>
        </w:rPr>
        <w:t>3</w:t>
      </w:r>
      <w:r w:rsidR="00690603" w:rsidRPr="007F2BDB">
        <w:rPr>
          <w:szCs w:val="22"/>
        </w:rPr>
        <w:t>.</w:t>
      </w:r>
      <w:r w:rsidR="00163708">
        <w:rPr>
          <w:szCs w:val="22"/>
        </w:rPr>
        <w:t xml:space="preserve">  </w:t>
      </w:r>
      <w:r w:rsidR="00487A11" w:rsidRPr="007F2BDB">
        <w:rPr>
          <w:b/>
          <w:szCs w:val="22"/>
        </w:rPr>
        <w:t>Dis</w:t>
      </w:r>
      <w:r w:rsidR="00731457" w:rsidRPr="007F2BDB">
        <w:rPr>
          <w:b/>
          <w:szCs w:val="22"/>
        </w:rPr>
        <w:t>cussion.</w:t>
      </w:r>
      <w:r w:rsidR="00731457" w:rsidRPr="007F2BDB">
        <w:rPr>
          <w:szCs w:val="22"/>
        </w:rPr>
        <w:t xml:space="preserve">  The proposed change in the FM Table of Allotments warrants consideration because it would comply with our technical requirements and could serve the public interest</w:t>
      </w:r>
      <w:r w:rsidR="00FA4151">
        <w:rPr>
          <w:szCs w:val="22"/>
        </w:rPr>
        <w:t xml:space="preserve"> since</w:t>
      </w:r>
      <w:r w:rsidR="007F2BDB" w:rsidRPr="007F2BDB">
        <w:rPr>
          <w:szCs w:val="22"/>
        </w:rPr>
        <w:t xml:space="preserve"> it would </w:t>
      </w:r>
      <w:r w:rsidR="00272A5B">
        <w:rPr>
          <w:szCs w:val="22"/>
        </w:rPr>
        <w:t xml:space="preserve">maintain a potential </w:t>
      </w:r>
      <w:r w:rsidR="007F2BDB" w:rsidRPr="007F2BDB">
        <w:rPr>
          <w:szCs w:val="22"/>
        </w:rPr>
        <w:t>first local service at Haynesville, Louisiana</w:t>
      </w:r>
      <w:r w:rsidR="00731457" w:rsidRPr="007F2BDB">
        <w:rPr>
          <w:szCs w:val="22"/>
        </w:rPr>
        <w:t>.</w:t>
      </w:r>
      <w:r w:rsidR="007F2BDB" w:rsidRPr="007F2BDB">
        <w:rPr>
          <w:rStyle w:val="FootnoteReference"/>
          <w:szCs w:val="22"/>
        </w:rPr>
        <w:footnoteReference w:id="5"/>
      </w:r>
      <w:r w:rsidR="00731457" w:rsidRPr="007F2BDB">
        <w:rPr>
          <w:szCs w:val="22"/>
        </w:rPr>
        <w:t xml:space="preserve"> </w:t>
      </w:r>
      <w:r w:rsidR="00BB1E5F" w:rsidRPr="007F2BDB">
        <w:rPr>
          <w:szCs w:val="22"/>
        </w:rPr>
        <w:t xml:space="preserve"> </w:t>
      </w:r>
      <w:r w:rsidR="00731457" w:rsidRPr="007F2BDB">
        <w:rPr>
          <w:szCs w:val="22"/>
        </w:rPr>
        <w:t>A staff engineering ana</w:t>
      </w:r>
      <w:r w:rsidR="007F2BDB" w:rsidRPr="007F2BDB">
        <w:rPr>
          <w:szCs w:val="22"/>
        </w:rPr>
        <w:t xml:space="preserve">lysis indicates that Channel 286A can be allotted to Haynesville </w:t>
      </w:r>
      <w:r w:rsidR="00731457" w:rsidRPr="007F2BDB">
        <w:rPr>
          <w:szCs w:val="22"/>
        </w:rPr>
        <w:t>consistent with the minimum distance separation requirements of the</w:t>
      </w:r>
      <w:r w:rsidR="00487A11" w:rsidRPr="007F2BDB">
        <w:rPr>
          <w:szCs w:val="22"/>
        </w:rPr>
        <w:t xml:space="preserve"> Commission’s</w:t>
      </w:r>
      <w:r w:rsidR="00731457" w:rsidRPr="007F2BDB">
        <w:rPr>
          <w:szCs w:val="22"/>
        </w:rPr>
        <w:t xml:space="preserve"> Ru</w:t>
      </w:r>
      <w:r w:rsidR="007F2BDB" w:rsidRPr="007F2BDB">
        <w:rPr>
          <w:szCs w:val="22"/>
        </w:rPr>
        <w:t>les with a site restriction 4.6 kilometers (2.9 miles) south</w:t>
      </w:r>
      <w:r w:rsidR="00731457" w:rsidRPr="007F2BDB">
        <w:rPr>
          <w:szCs w:val="22"/>
        </w:rPr>
        <w:t xml:space="preserve"> of the community.  The re</w:t>
      </w:r>
      <w:r w:rsidR="007F2BDB" w:rsidRPr="007F2BDB">
        <w:rPr>
          <w:szCs w:val="22"/>
        </w:rPr>
        <w:t>ference coordinates are 33-00-12 NL and 93-08-19</w:t>
      </w:r>
      <w:r w:rsidR="00731457" w:rsidRPr="007F2BDB">
        <w:rPr>
          <w:szCs w:val="22"/>
        </w:rPr>
        <w:t xml:space="preserve"> WL.</w:t>
      </w:r>
      <w:r w:rsidR="007F2BDB" w:rsidRPr="007F2BDB">
        <w:rPr>
          <w:szCs w:val="22"/>
        </w:rPr>
        <w:t xml:space="preserve">  </w:t>
      </w:r>
      <w:r w:rsidR="00731457" w:rsidRPr="007F2BDB">
        <w:rPr>
          <w:szCs w:val="22"/>
        </w:rPr>
        <w:t>Accordingly</w:t>
      </w:r>
      <w:r w:rsidR="00690603" w:rsidRPr="007F2BDB">
        <w:rPr>
          <w:szCs w:val="22"/>
        </w:rPr>
        <w:t xml:space="preserve">, we will solicit comments on the proposed amendment to the FM Table of Allotments, Section 73.202(b) of the Rules, with respect to </w:t>
      </w:r>
      <w:r w:rsidR="007F2BDB" w:rsidRPr="007F2BDB">
        <w:rPr>
          <w:szCs w:val="22"/>
        </w:rPr>
        <w:t>Haynesville, Louisiana</w:t>
      </w:r>
      <w:r w:rsidR="00690603" w:rsidRPr="007F2BDB">
        <w:rPr>
          <w:szCs w:val="22"/>
        </w:rPr>
        <w:t xml:space="preserve">:   </w:t>
      </w:r>
    </w:p>
    <w:p w:rsidR="00683B8A" w:rsidRPr="007F2BDB" w:rsidRDefault="00683B8A" w:rsidP="00163708">
      <w:pPr>
        <w:pStyle w:val="ParaNum"/>
        <w:numPr>
          <w:ilvl w:val="0"/>
          <w:numId w:val="0"/>
        </w:numPr>
        <w:tabs>
          <w:tab w:val="left" w:pos="360"/>
          <w:tab w:val="left" w:pos="540"/>
          <w:tab w:val="left" w:pos="720"/>
        </w:tabs>
        <w:spacing w:after="0"/>
        <w:jc w:val="left"/>
        <w:rPr>
          <w:szCs w:val="22"/>
        </w:rPr>
      </w:pPr>
    </w:p>
    <w:p w:rsidR="00690603" w:rsidRDefault="00690603">
      <w:pPr>
        <w:pStyle w:val="ParaNum"/>
        <w:numPr>
          <w:ilvl w:val="0"/>
          <w:numId w:val="0"/>
        </w:numPr>
        <w:tabs>
          <w:tab w:val="left" w:pos="360"/>
          <w:tab w:val="left" w:pos="720"/>
        </w:tabs>
        <w:jc w:val="left"/>
      </w:pPr>
      <w:r>
        <w:lastRenderedPageBreak/>
        <w:tab/>
      </w:r>
      <w:r>
        <w:tab/>
      </w:r>
      <w:r>
        <w:tab/>
      </w:r>
      <w:r>
        <w:tab/>
      </w:r>
      <w:r>
        <w:tab/>
      </w:r>
      <w:r>
        <w:tab/>
      </w:r>
      <w:r>
        <w:tab/>
      </w:r>
      <w:r>
        <w:tab/>
        <w:t>Channel No.</w:t>
      </w:r>
    </w:p>
    <w:p w:rsidR="00690603" w:rsidRDefault="00690603">
      <w:pPr>
        <w:pStyle w:val="ParaNum"/>
        <w:numPr>
          <w:ilvl w:val="0"/>
          <w:numId w:val="0"/>
        </w:numPr>
        <w:tabs>
          <w:tab w:val="left" w:pos="360"/>
          <w:tab w:val="left" w:pos="720"/>
        </w:tabs>
        <w:jc w:val="left"/>
      </w:pPr>
      <w:r>
        <w:tab/>
      </w:r>
      <w:r>
        <w:tab/>
      </w:r>
      <w:r>
        <w:tab/>
        <w:t>Community</w:t>
      </w:r>
      <w:r>
        <w:tab/>
      </w:r>
      <w:r>
        <w:tab/>
      </w:r>
      <w:r>
        <w:tab/>
        <w:t>Present</w:t>
      </w:r>
      <w:r>
        <w:tab/>
      </w:r>
      <w:r>
        <w:tab/>
      </w:r>
      <w:r>
        <w:tab/>
        <w:t>Proposed</w:t>
      </w:r>
    </w:p>
    <w:p w:rsidR="008A3168" w:rsidRDefault="00367DDF">
      <w:pPr>
        <w:pStyle w:val="ParaNum"/>
        <w:numPr>
          <w:ilvl w:val="0"/>
          <w:numId w:val="0"/>
        </w:numPr>
        <w:tabs>
          <w:tab w:val="left" w:pos="360"/>
          <w:tab w:val="left" w:pos="720"/>
        </w:tabs>
        <w:jc w:val="left"/>
      </w:pPr>
      <w:r>
        <w:tab/>
      </w:r>
      <w:r>
        <w:tab/>
      </w:r>
      <w:r>
        <w:tab/>
        <w:t>Haynesville, Louisiana</w:t>
      </w:r>
      <w:r w:rsidR="00690603">
        <w:tab/>
      </w:r>
      <w:r w:rsidR="00690603">
        <w:tab/>
      </w:r>
      <w:r>
        <w:t>288</w:t>
      </w:r>
      <w:r w:rsidR="002C3073">
        <w:t>A</w:t>
      </w:r>
      <w:r w:rsidR="008A3168">
        <w:tab/>
      </w:r>
      <w:r w:rsidR="00690603">
        <w:tab/>
      </w:r>
      <w:r w:rsidR="00EC1920">
        <w:tab/>
      </w:r>
      <w:r>
        <w:t>286</w:t>
      </w:r>
      <w:r w:rsidR="002C3073">
        <w:t>A</w:t>
      </w:r>
    </w:p>
    <w:p w:rsidR="00690603" w:rsidRDefault="00163708" w:rsidP="00163708">
      <w:pPr>
        <w:pStyle w:val="ParaNum"/>
        <w:numPr>
          <w:ilvl w:val="0"/>
          <w:numId w:val="0"/>
        </w:numPr>
        <w:tabs>
          <w:tab w:val="left" w:pos="360"/>
          <w:tab w:val="left" w:pos="720"/>
        </w:tabs>
        <w:jc w:val="left"/>
      </w:pPr>
      <w:r>
        <w:tab/>
      </w:r>
      <w:r w:rsidR="00213E93">
        <w:t>4</w:t>
      </w:r>
      <w:r>
        <w:t xml:space="preserve">.  </w:t>
      </w:r>
      <w:r w:rsidR="00690603">
        <w:t xml:space="preserve">The Commission’s authority to institute rule making proceedings, showings required, cut-off procedures, and filing requirements are contained in the attached </w:t>
      </w:r>
      <w:r w:rsidR="00690603">
        <w:rPr>
          <w:i/>
        </w:rPr>
        <w:t>Appendix</w:t>
      </w:r>
      <w:r w:rsidR="00690603">
        <w:t xml:space="preserve"> and are incorporated by reference herein.  In particular, we note that a showing of continuing interest is required by paragraph 2 of the </w:t>
      </w:r>
      <w:r w:rsidR="00690603">
        <w:rPr>
          <w:i/>
        </w:rPr>
        <w:t>Appendix</w:t>
      </w:r>
      <w:r w:rsidR="00690603">
        <w:t xml:space="preserve"> before a channel will be allotted.</w:t>
      </w:r>
    </w:p>
    <w:p w:rsidR="00690603" w:rsidRDefault="00690603">
      <w:pPr>
        <w:pStyle w:val="ParaNum"/>
        <w:numPr>
          <w:ilvl w:val="0"/>
          <w:numId w:val="0"/>
        </w:numPr>
        <w:tabs>
          <w:tab w:val="left" w:pos="360"/>
          <w:tab w:val="left" w:pos="720"/>
        </w:tabs>
        <w:jc w:val="left"/>
      </w:pPr>
      <w:r>
        <w:tab/>
      </w:r>
      <w:r w:rsidR="00213E93">
        <w:t>5</w:t>
      </w:r>
      <w:r>
        <w:t>.</w:t>
      </w:r>
      <w:r w:rsidR="00163708">
        <w:t xml:space="preserve">  </w:t>
      </w:r>
      <w:r w:rsidR="00797A37">
        <w:t>Pursuant to Section 1.415 and 1.419 of the Commission’s Rules,</w:t>
      </w:r>
      <w:r w:rsidR="00797A37">
        <w:rPr>
          <w:rStyle w:val="FootnoteReference"/>
        </w:rPr>
        <w:footnoteReference w:id="6"/>
      </w:r>
      <w:r w:rsidR="00797A37">
        <w:t xml:space="preserve"> i</w:t>
      </w:r>
      <w:r>
        <w:t>nterested parties may file comment</w:t>
      </w:r>
      <w:r w:rsidR="00213E93">
        <w:t>s on or before</w:t>
      </w:r>
      <w:r w:rsidR="001F44C2">
        <w:t xml:space="preserve"> </w:t>
      </w:r>
      <w:r w:rsidR="001334BC">
        <w:t>April 21, 2014</w:t>
      </w:r>
      <w:r w:rsidR="007570E8">
        <w:t>,</w:t>
      </w:r>
      <w:r>
        <w:t xml:space="preserve"> and reply comment</w:t>
      </w:r>
      <w:r w:rsidR="00955782">
        <w:t>s on or before</w:t>
      </w:r>
      <w:r w:rsidR="006F4B81">
        <w:t xml:space="preserve"> </w:t>
      </w:r>
      <w:r w:rsidR="001334BC">
        <w:t>May 6, 2014</w:t>
      </w:r>
      <w:r w:rsidR="007570E8">
        <w:t>,</w:t>
      </w:r>
      <w:r>
        <w:t xml:space="preserve"> and are advised to read the </w:t>
      </w:r>
      <w:r>
        <w:rPr>
          <w:i/>
        </w:rPr>
        <w:t>Appendix</w:t>
      </w:r>
      <w:r>
        <w:t xml:space="preserve"> for the proper procedures.  Comments should be filed with the Federal Communications Commission, Office of the Secretary, </w:t>
      </w:r>
      <w:smartTag w:uri="urn:schemas-microsoft-com:office:smarttags" w:element="Street">
        <w:smartTag w:uri="urn:schemas-microsoft-com:office:smarttags" w:element="address">
          <w:r>
            <w:t>445 Twelfth Street, SW</w:t>
          </w:r>
        </w:smartTag>
      </w:smartTag>
      <w:r>
        <w:t xml:space="preserve">, TW-A325, </w:t>
      </w:r>
      <w:smartTag w:uri="urn:schemas-microsoft-com:office:smarttags" w:element="place">
        <w:r>
          <w:t xml:space="preserve">Washington, </w:t>
        </w:r>
        <w:smartTag w:uri="urn:schemas-microsoft-com:office:smarttags" w:element="State">
          <w:r>
            <w:t>D.C.</w:t>
          </w:r>
        </w:smartTag>
        <w:r>
          <w:t xml:space="preserve"> </w:t>
        </w:r>
        <w:smartTag w:uri="urn:schemas-microsoft-com:office:smarttags" w:element="PostalCode">
          <w:r>
            <w:t>20554</w:t>
          </w:r>
        </w:smartTag>
      </w:smartTag>
      <w:r>
        <w:t>.  Additionally, a copy of such comments should be served on Petitioner, as follows:</w:t>
      </w:r>
    </w:p>
    <w:p w:rsidR="00163708" w:rsidRDefault="00163708" w:rsidP="006B1F9F">
      <w:pPr>
        <w:pStyle w:val="ParaNum"/>
        <w:numPr>
          <w:ilvl w:val="0"/>
          <w:numId w:val="0"/>
        </w:numPr>
        <w:tabs>
          <w:tab w:val="left" w:pos="360"/>
          <w:tab w:val="left" w:pos="720"/>
        </w:tabs>
        <w:spacing w:after="0"/>
        <w:jc w:val="left"/>
      </w:pPr>
      <w:r>
        <w:tab/>
      </w:r>
      <w:r>
        <w:tab/>
        <w:t>Matthew K. Wesolowski</w:t>
      </w:r>
    </w:p>
    <w:p w:rsidR="00213E93" w:rsidRDefault="00163708" w:rsidP="006B1F9F">
      <w:pPr>
        <w:pStyle w:val="ParaNum"/>
        <w:numPr>
          <w:ilvl w:val="0"/>
          <w:numId w:val="0"/>
        </w:numPr>
        <w:tabs>
          <w:tab w:val="left" w:pos="360"/>
          <w:tab w:val="left" w:pos="720"/>
        </w:tabs>
        <w:spacing w:after="0"/>
        <w:jc w:val="left"/>
      </w:pPr>
      <w:r>
        <w:tab/>
      </w:r>
      <w:r>
        <w:tab/>
        <w:t>SSR Communications, Inc.</w:t>
      </w:r>
    </w:p>
    <w:p w:rsidR="001F44C2" w:rsidRPr="001F44C2" w:rsidRDefault="001F44C2" w:rsidP="006B1F9F">
      <w:pPr>
        <w:pStyle w:val="ParaNum"/>
        <w:numPr>
          <w:ilvl w:val="0"/>
          <w:numId w:val="0"/>
        </w:numPr>
        <w:tabs>
          <w:tab w:val="left" w:pos="360"/>
          <w:tab w:val="left" w:pos="720"/>
        </w:tabs>
        <w:spacing w:after="0"/>
        <w:jc w:val="left"/>
        <w:rPr>
          <w:lang w:val="es-ES"/>
        </w:rPr>
      </w:pPr>
      <w:r>
        <w:tab/>
      </w:r>
      <w:r>
        <w:tab/>
      </w:r>
      <w:r w:rsidR="00163708">
        <w:rPr>
          <w:lang w:val="es-ES"/>
        </w:rPr>
        <w:t>740 Highway 49 North</w:t>
      </w:r>
    </w:p>
    <w:p w:rsidR="00213E93" w:rsidRDefault="006022A8" w:rsidP="006B1F9F">
      <w:pPr>
        <w:pStyle w:val="ParaNum"/>
        <w:numPr>
          <w:ilvl w:val="0"/>
          <w:numId w:val="0"/>
        </w:numPr>
        <w:tabs>
          <w:tab w:val="left" w:pos="360"/>
          <w:tab w:val="left" w:pos="720"/>
        </w:tabs>
        <w:spacing w:after="0"/>
        <w:jc w:val="left"/>
      </w:pPr>
      <w:r w:rsidRPr="001F44C2">
        <w:rPr>
          <w:lang w:val="es-ES"/>
        </w:rPr>
        <w:tab/>
      </w:r>
      <w:r w:rsidRPr="001F44C2">
        <w:rPr>
          <w:lang w:val="es-ES"/>
        </w:rPr>
        <w:tab/>
      </w:r>
      <w:r w:rsidR="00163708">
        <w:t>Suite R</w:t>
      </w:r>
    </w:p>
    <w:p w:rsidR="00213E93" w:rsidRDefault="00213E93" w:rsidP="006B1F9F">
      <w:pPr>
        <w:pStyle w:val="ParaNum"/>
        <w:numPr>
          <w:ilvl w:val="0"/>
          <w:numId w:val="0"/>
        </w:numPr>
        <w:tabs>
          <w:tab w:val="left" w:pos="360"/>
          <w:tab w:val="left" w:pos="720"/>
        </w:tabs>
        <w:spacing w:after="0"/>
        <w:jc w:val="left"/>
      </w:pPr>
      <w:r>
        <w:tab/>
      </w:r>
      <w:r w:rsidR="00163708">
        <w:tab/>
        <w:t>Flora, MS  39071</w:t>
      </w:r>
    </w:p>
    <w:p w:rsidR="0024526C" w:rsidRDefault="002C04D9" w:rsidP="0024526C">
      <w:pPr>
        <w:pStyle w:val="ParaNum"/>
        <w:numPr>
          <w:ilvl w:val="0"/>
          <w:numId w:val="0"/>
        </w:numPr>
        <w:tabs>
          <w:tab w:val="left" w:pos="360"/>
          <w:tab w:val="left" w:pos="720"/>
        </w:tabs>
        <w:spacing w:after="0"/>
        <w:jc w:val="left"/>
      </w:pPr>
      <w:r>
        <w:tab/>
      </w:r>
      <w:r>
        <w:tab/>
      </w:r>
      <w:r w:rsidR="0024526C">
        <w:tab/>
      </w:r>
    </w:p>
    <w:p w:rsidR="00163708" w:rsidRPr="00163708" w:rsidRDefault="00163708" w:rsidP="00163708">
      <w:pPr>
        <w:pStyle w:val="ParaNum"/>
        <w:numPr>
          <w:ilvl w:val="0"/>
          <w:numId w:val="28"/>
        </w:numPr>
        <w:tabs>
          <w:tab w:val="clear" w:pos="720"/>
          <w:tab w:val="left" w:pos="360"/>
          <w:tab w:val="left" w:pos="630"/>
          <w:tab w:val="num" w:pos="990"/>
        </w:tabs>
        <w:spacing w:after="0"/>
        <w:ind w:left="0" w:firstLine="270"/>
        <w:jc w:val="left"/>
      </w:pPr>
      <w:r>
        <w:rPr>
          <w:szCs w:val="22"/>
        </w:rPr>
        <w:t xml:space="preserve"> </w:t>
      </w:r>
      <w:r w:rsidR="0024526C" w:rsidRPr="0024526C">
        <w:rPr>
          <w:szCs w:val="22"/>
        </w:rPr>
        <w:t>Parties must file an original and four paper copies of each filing.  Filings can be sent by hand or messenger delivery, by commercial overnight courier, or by first-class or overnight U.S. Postal Service mail.  The Commission’s contractor, Natek, Inc., will receive hand-delivered or messenger-delivered paper filings for the Commission’s Secretary at the Commission’s headquarters building located at 445 12</w:t>
      </w:r>
      <w:r w:rsidR="0024526C" w:rsidRPr="0024526C">
        <w:rPr>
          <w:szCs w:val="22"/>
          <w:vertAlign w:val="superscript"/>
        </w:rPr>
        <w:t>th</w:t>
      </w:r>
      <w:r w:rsidR="0024526C" w:rsidRPr="0024526C">
        <w:rPr>
          <w:szCs w:val="22"/>
        </w:rPr>
        <w:t xml:space="preserve"> Street, S.W., Room TW-A325, Washington, D.C. 20554. The filing hours at this location are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MD 20743.  U.S. Postal Service first-class mail, Express Mail, and Priority Mail should be addressed to 445 12</w:t>
      </w:r>
      <w:r w:rsidR="0024526C" w:rsidRPr="0024526C">
        <w:rPr>
          <w:szCs w:val="22"/>
          <w:vertAlign w:val="superscript"/>
        </w:rPr>
        <w:t>th</w:t>
      </w:r>
      <w:r w:rsidR="0024526C" w:rsidRPr="0024526C">
        <w:rPr>
          <w:szCs w:val="22"/>
        </w:rPr>
        <w:t xml:space="preserve"> Street, SW, Washington, D.C. 20554.  </w:t>
      </w:r>
      <w:r w:rsidR="0024526C" w:rsidRPr="0024526C">
        <w:rPr>
          <w:b/>
          <w:color w:val="000000"/>
          <w:szCs w:val="22"/>
        </w:rPr>
        <w:t xml:space="preserve">All filings must be addressed to Marlene H. Dortch, Secretary, Federal Communications Commission, Office of the Secretary.  Any filing that is not addressed to the Office of the Secretary will be treated as filed on the day it is received in the Office of the Secretary.  </w:t>
      </w:r>
      <w:r w:rsidR="0024526C" w:rsidRPr="0024526C">
        <w:rPr>
          <w:b/>
          <w:i/>
          <w:color w:val="000000"/>
          <w:szCs w:val="22"/>
        </w:rPr>
        <w:t>See</w:t>
      </w:r>
      <w:r w:rsidR="0024526C" w:rsidRPr="0024526C">
        <w:rPr>
          <w:b/>
          <w:color w:val="000000"/>
          <w:szCs w:val="22"/>
        </w:rPr>
        <w:t xml:space="preserve"> 47 C.F.R. § 1.7.  Accordingly, failure to follow the specified requirements may result in the treatment of a filing as untimely.  </w:t>
      </w:r>
    </w:p>
    <w:p w:rsidR="00163708" w:rsidRDefault="00163708" w:rsidP="00163708">
      <w:pPr>
        <w:pStyle w:val="ParaNum"/>
        <w:numPr>
          <w:ilvl w:val="0"/>
          <w:numId w:val="0"/>
        </w:numPr>
        <w:tabs>
          <w:tab w:val="left" w:pos="360"/>
          <w:tab w:val="left" w:pos="630"/>
        </w:tabs>
        <w:spacing w:after="0"/>
        <w:ind w:left="270"/>
        <w:jc w:val="left"/>
      </w:pPr>
    </w:p>
    <w:p w:rsidR="00163708" w:rsidRDefault="00690603" w:rsidP="00163708">
      <w:pPr>
        <w:pStyle w:val="ParaNum"/>
        <w:numPr>
          <w:ilvl w:val="0"/>
          <w:numId w:val="28"/>
        </w:numPr>
        <w:tabs>
          <w:tab w:val="clear" w:pos="720"/>
          <w:tab w:val="left" w:pos="360"/>
          <w:tab w:val="left" w:pos="630"/>
          <w:tab w:val="num" w:pos="990"/>
        </w:tabs>
        <w:spacing w:after="0"/>
        <w:ind w:left="0" w:firstLine="270"/>
        <w:jc w:val="left"/>
      </w:pPr>
      <w:r>
        <w:t>The Commission has determined that the relevant provisions of the Regulatory Flexibility Act of 1980 do not apply to a rule making proceeding to amend the FM Table of Allotments, Section 73.202(b) of the Commission's Rules.</w:t>
      </w:r>
      <w:r>
        <w:rPr>
          <w:rStyle w:val="FootnoteReference"/>
        </w:rPr>
        <w:footnoteReference w:id="7"/>
      </w:r>
      <w:r>
        <w:t xml:space="preserve">  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163708">
        <w:rPr>
          <w:i/>
        </w:rPr>
        <w:t xml:space="preserve">see </w:t>
      </w:r>
      <w:r>
        <w:t xml:space="preserve">44 U.S.C. </w:t>
      </w:r>
      <w:r w:rsidR="006F4B81">
        <w:t xml:space="preserve">§ </w:t>
      </w:r>
      <w:r>
        <w:t>3506(c)(4).</w:t>
      </w:r>
    </w:p>
    <w:p w:rsidR="00163708" w:rsidRDefault="00163708" w:rsidP="00163708">
      <w:pPr>
        <w:pStyle w:val="ListParagraph"/>
      </w:pPr>
    </w:p>
    <w:p w:rsidR="001F44C2" w:rsidRDefault="00690603" w:rsidP="00163708">
      <w:pPr>
        <w:pStyle w:val="ParaNum"/>
        <w:numPr>
          <w:ilvl w:val="0"/>
          <w:numId w:val="28"/>
        </w:numPr>
        <w:tabs>
          <w:tab w:val="clear" w:pos="720"/>
          <w:tab w:val="left" w:pos="360"/>
          <w:tab w:val="left" w:pos="630"/>
          <w:tab w:val="num" w:pos="990"/>
        </w:tabs>
        <w:spacing w:after="0"/>
        <w:ind w:left="0" w:firstLine="270"/>
        <w:jc w:val="left"/>
      </w:pPr>
      <w:r>
        <w:t>For further information concerning this proceeding, contact Rolanda F. Smith, (202) 41</w:t>
      </w:r>
      <w:r w:rsidR="001F44C2">
        <w:t>8-2700</w:t>
      </w:r>
      <w:r>
        <w:t xml:space="preserve">. For purposes of this restricted notice and comment rule making proceeding, members of the public are </w:t>
      </w:r>
      <w:r>
        <w:lastRenderedPageBreak/>
        <w:t xml:space="preserve">advised that no </w:t>
      </w:r>
      <w:r w:rsidRPr="00163708">
        <w:rPr>
          <w:i/>
        </w:rPr>
        <w:t>ex parte</w:t>
      </w:r>
      <w:r>
        <w:t xml:space="preserve"> presentations are permitted from the time the Commission adopts a </w:t>
      </w:r>
      <w:r w:rsidRPr="00163708">
        <w:rPr>
          <w:i/>
        </w:rPr>
        <w:t>Notice of Proposed Rule Making</w:t>
      </w:r>
      <w:r>
        <w:t xml:space="preserve"> until the proceeding has been decided and such decision is no longer subject to reconsideration by the Commission or review by any court.  An </w:t>
      </w:r>
      <w:r w:rsidRPr="00163708">
        <w:rPr>
          <w:i/>
        </w:rPr>
        <w:t>ex parte</w:t>
      </w:r>
      <w:r>
        <w:t xml:space="preserve"> presentation is not prohibited if specifically requested by the Commission or staff for the clarification or adduction of evidence or resolution of issues in the proceeding.  However, any new written information elicited from such a request or a summary of any new oral information shall be served by the person making the presentation upon the other parties to the proceeding unless the Commission specifically waives this service requirement.  Any comment which has not been served on the petitioners constitutes an </w:t>
      </w:r>
      <w:r w:rsidRPr="00163708">
        <w:rPr>
          <w:i/>
        </w:rPr>
        <w:t>ex parte</w:t>
      </w:r>
      <w:r>
        <w:t xml:space="preserve"> presentation and shall not </w:t>
      </w:r>
    </w:p>
    <w:p w:rsidR="00690603" w:rsidRDefault="00213E93" w:rsidP="00163708">
      <w:pPr>
        <w:pStyle w:val="ParaNum"/>
        <w:numPr>
          <w:ilvl w:val="0"/>
          <w:numId w:val="0"/>
        </w:numPr>
        <w:tabs>
          <w:tab w:val="left" w:pos="0"/>
          <w:tab w:val="left" w:pos="360"/>
          <w:tab w:val="left" w:pos="720"/>
          <w:tab w:val="left" w:pos="810"/>
          <w:tab w:val="left" w:pos="990"/>
          <w:tab w:val="left" w:pos="1260"/>
        </w:tabs>
        <w:jc w:val="left"/>
      </w:pPr>
      <w:r>
        <w:t>b</w:t>
      </w:r>
      <w:r w:rsidR="00690603">
        <w:t xml:space="preserve">e considered in the proceeding.  Any reply comment which has not been served on the person(s) who filed the comment, to which the reply is directed, constitutes an </w:t>
      </w:r>
      <w:r w:rsidR="00690603">
        <w:rPr>
          <w:i/>
        </w:rPr>
        <w:t>ex parte</w:t>
      </w:r>
      <w:r w:rsidR="00690603">
        <w:t xml:space="preserve"> presentation and shall not be considered in the proceeding.</w:t>
      </w:r>
    </w:p>
    <w:p w:rsidR="00690603" w:rsidRDefault="00690603" w:rsidP="00163708">
      <w:pPr>
        <w:pStyle w:val="ParaNum"/>
        <w:numPr>
          <w:ilvl w:val="0"/>
          <w:numId w:val="0"/>
        </w:numPr>
        <w:tabs>
          <w:tab w:val="left" w:pos="360"/>
          <w:tab w:val="left" w:pos="720"/>
        </w:tabs>
        <w:spacing w:after="0"/>
      </w:pPr>
    </w:p>
    <w:p w:rsidR="00690603" w:rsidRDefault="00690603">
      <w:pPr>
        <w:tabs>
          <w:tab w:val="left" w:pos="360"/>
          <w:tab w:val="left" w:pos="720"/>
        </w:tabs>
      </w:pPr>
      <w:r>
        <w:tab/>
      </w:r>
      <w:r>
        <w:tab/>
      </w:r>
      <w:r>
        <w:tab/>
      </w:r>
      <w:r>
        <w:tab/>
      </w:r>
      <w:r>
        <w:tab/>
      </w:r>
      <w:r>
        <w:tab/>
      </w:r>
      <w:r>
        <w:tab/>
        <w:t>FEDERAL COMMUNICATIONS COMMISSION</w:t>
      </w:r>
    </w:p>
    <w:p w:rsidR="00690603" w:rsidRDefault="00690603">
      <w:pPr>
        <w:tabs>
          <w:tab w:val="left" w:pos="360"/>
          <w:tab w:val="left" w:pos="720"/>
        </w:tabs>
      </w:pPr>
    </w:p>
    <w:p w:rsidR="00690603" w:rsidRDefault="00690603">
      <w:pPr>
        <w:tabs>
          <w:tab w:val="left" w:pos="360"/>
          <w:tab w:val="left" w:pos="720"/>
        </w:tabs>
      </w:pPr>
    </w:p>
    <w:p w:rsidR="00690603" w:rsidRDefault="00690603">
      <w:pPr>
        <w:tabs>
          <w:tab w:val="left" w:pos="360"/>
          <w:tab w:val="left" w:pos="720"/>
        </w:tabs>
      </w:pPr>
    </w:p>
    <w:p w:rsidR="00690603" w:rsidRDefault="006022A8">
      <w:pPr>
        <w:tabs>
          <w:tab w:val="left" w:pos="360"/>
          <w:tab w:val="left" w:pos="720"/>
        </w:tabs>
      </w:pPr>
      <w:r>
        <w:tab/>
      </w:r>
      <w:r>
        <w:tab/>
      </w:r>
      <w:r>
        <w:tab/>
      </w:r>
      <w:r>
        <w:tab/>
      </w:r>
      <w:r>
        <w:tab/>
      </w:r>
      <w:r>
        <w:tab/>
      </w:r>
      <w:r>
        <w:tab/>
        <w:t>Nazifa Sawez</w:t>
      </w:r>
    </w:p>
    <w:p w:rsidR="00690603" w:rsidRDefault="00690603">
      <w:pPr>
        <w:tabs>
          <w:tab w:val="left" w:pos="360"/>
          <w:tab w:val="left" w:pos="720"/>
        </w:tabs>
      </w:pPr>
      <w:r>
        <w:tab/>
      </w:r>
      <w:r>
        <w:tab/>
      </w:r>
      <w:r>
        <w:tab/>
      </w:r>
      <w:r>
        <w:tab/>
      </w:r>
      <w:r>
        <w:tab/>
      </w:r>
      <w:r>
        <w:tab/>
      </w:r>
      <w:r>
        <w:tab/>
        <w:t>Assistant Chief</w:t>
      </w:r>
      <w:r w:rsidR="006022A8">
        <w:t>, A</w:t>
      </w:r>
      <w:r>
        <w:t>udio Division</w:t>
      </w:r>
    </w:p>
    <w:p w:rsidR="00690603" w:rsidRDefault="00690603">
      <w:pPr>
        <w:tabs>
          <w:tab w:val="left" w:pos="360"/>
          <w:tab w:val="left" w:pos="720"/>
        </w:tabs>
      </w:pPr>
      <w:r>
        <w:tab/>
      </w:r>
      <w:r>
        <w:tab/>
      </w:r>
      <w:r>
        <w:tab/>
      </w:r>
      <w:r>
        <w:tab/>
      </w:r>
      <w:r>
        <w:tab/>
      </w:r>
      <w:r>
        <w:tab/>
      </w:r>
      <w:r>
        <w:tab/>
        <w:t>Media Bureau</w:t>
      </w:r>
    </w:p>
    <w:p w:rsidR="00690603" w:rsidRDefault="00690603">
      <w:pPr>
        <w:tabs>
          <w:tab w:val="left" w:pos="360"/>
          <w:tab w:val="left" w:pos="720"/>
        </w:tabs>
      </w:pPr>
    </w:p>
    <w:p w:rsidR="00690603" w:rsidRDefault="00690603">
      <w:pPr>
        <w:tabs>
          <w:tab w:val="left" w:pos="360"/>
          <w:tab w:val="left" w:pos="720"/>
        </w:tabs>
      </w:pPr>
      <w:r>
        <w:t>Attachment: Appendix</w:t>
      </w:r>
    </w:p>
    <w:p w:rsidR="00690603" w:rsidRDefault="00690603">
      <w:pPr>
        <w:tabs>
          <w:tab w:val="left" w:pos="360"/>
          <w:tab w:val="left" w:pos="720"/>
        </w:tabs>
      </w:pPr>
    </w:p>
    <w:p w:rsidR="00690603" w:rsidRDefault="00690603">
      <w:pPr>
        <w:tabs>
          <w:tab w:val="left" w:pos="360"/>
          <w:tab w:val="left" w:pos="720"/>
        </w:tabs>
      </w:pPr>
    </w:p>
    <w:p w:rsidR="00EB1D3B" w:rsidRDefault="00EB1D3B">
      <w:pPr>
        <w:tabs>
          <w:tab w:val="left" w:pos="360"/>
          <w:tab w:val="left" w:pos="720"/>
        </w:tabs>
      </w:pPr>
    </w:p>
    <w:p w:rsidR="00EB1D3B" w:rsidRDefault="00EB1D3B">
      <w:pPr>
        <w:tabs>
          <w:tab w:val="left" w:pos="360"/>
          <w:tab w:val="left" w:pos="720"/>
        </w:tabs>
      </w:pPr>
    </w:p>
    <w:p w:rsidR="00186534" w:rsidRDefault="00186534">
      <w:pPr>
        <w:tabs>
          <w:tab w:val="left" w:pos="360"/>
          <w:tab w:val="left" w:pos="720"/>
        </w:tabs>
      </w:pPr>
    </w:p>
    <w:p w:rsidR="00690603" w:rsidRDefault="00690603">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B44" w:rsidRDefault="00A67B44">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A676CB" w:rsidRDefault="00A676CB">
      <w:pPr>
        <w:tabs>
          <w:tab w:val="left" w:pos="360"/>
          <w:tab w:val="left" w:pos="720"/>
        </w:tabs>
      </w:pPr>
    </w:p>
    <w:p w:rsidR="00690603" w:rsidRDefault="00690603" w:rsidP="00487A11">
      <w:pPr>
        <w:tabs>
          <w:tab w:val="left" w:pos="360"/>
          <w:tab w:val="left" w:pos="720"/>
        </w:tabs>
        <w:jc w:val="center"/>
        <w:rPr>
          <w:b/>
        </w:rPr>
      </w:pPr>
      <w:r>
        <w:rPr>
          <w:b/>
        </w:rPr>
        <w:t>APPENDIX</w:t>
      </w:r>
    </w:p>
    <w:p w:rsidR="00690603" w:rsidRDefault="00690603">
      <w:pPr>
        <w:tabs>
          <w:tab w:val="left" w:pos="360"/>
          <w:tab w:val="left" w:pos="720"/>
        </w:tabs>
        <w:jc w:val="center"/>
        <w:rPr>
          <w:b/>
        </w:rPr>
      </w:pPr>
    </w:p>
    <w:p w:rsidR="00690603" w:rsidRDefault="00690603">
      <w:pPr>
        <w:pStyle w:val="BodyText"/>
        <w:tabs>
          <w:tab w:val="left" w:pos="360"/>
          <w:tab w:val="left" w:pos="720"/>
        </w:tabs>
        <w:rPr>
          <w:sz w:val="20"/>
        </w:rPr>
      </w:pPr>
      <w:r>
        <w:t xml:space="preserve">         </w:t>
      </w:r>
      <w:r>
        <w:rPr>
          <w:sz w:val="20"/>
        </w:rPr>
        <w:t xml:space="preserve">1.  Pursuant to authority found in Sections 4(i), 5(c)(1), 303(g) and (r), and 307(b) of the Communications Act of 1934, as amended, and Sections 0.61, 0.204(b) and 0.283 of the Commission's Rules, IT IS PROPOSED TO AMEND the FM Table of Allotments, Section 73.202(b) of the Commission's Rules and Regulations, as set forth in the </w:t>
      </w:r>
      <w:r>
        <w:rPr>
          <w:i/>
          <w:sz w:val="20"/>
        </w:rPr>
        <w:t>Notice of Proposed Rule Making</w:t>
      </w:r>
      <w:r>
        <w:rPr>
          <w:sz w:val="20"/>
        </w:rPr>
        <w:t xml:space="preserve"> to which this </w:t>
      </w:r>
      <w:r>
        <w:rPr>
          <w:i/>
          <w:sz w:val="20"/>
        </w:rPr>
        <w:t>Appendix</w:t>
      </w:r>
      <w:r>
        <w:rPr>
          <w:sz w:val="20"/>
        </w:rPr>
        <w:t xml:space="preserve"> is attached.</w:t>
      </w:r>
    </w:p>
    <w:p w:rsidR="00D0068E" w:rsidRPr="00D0068E" w:rsidRDefault="00690603" w:rsidP="00D0068E">
      <w:pPr>
        <w:tabs>
          <w:tab w:val="left" w:pos="360"/>
          <w:tab w:val="left" w:pos="720"/>
        </w:tabs>
        <w:spacing w:after="240"/>
        <w:jc w:val="both"/>
        <w:rPr>
          <w:sz w:val="20"/>
        </w:rPr>
      </w:pPr>
      <w:r w:rsidRPr="00D0068E">
        <w:rPr>
          <w:sz w:val="20"/>
        </w:rPr>
        <w:t xml:space="preserve">          2.  </w:t>
      </w:r>
      <w:r w:rsidR="00D0068E" w:rsidRPr="00D0068E">
        <w:rPr>
          <w:spacing w:val="-3"/>
          <w:sz w:val="20"/>
          <w:u w:val="single"/>
        </w:rPr>
        <w:t>Showings Required</w:t>
      </w:r>
      <w:r w:rsidR="00D0068E" w:rsidRPr="00D0068E">
        <w:rPr>
          <w:spacing w:val="-3"/>
          <w:sz w:val="20"/>
        </w:rPr>
        <w:t xml:space="preserve">.  </w:t>
      </w:r>
      <w:r w:rsidR="00D0068E" w:rsidRPr="00D0068E">
        <w:rPr>
          <w:sz w:val="20"/>
        </w:rPr>
        <w:t xml:space="preserve">Comments are invited on the proposal(s) discussed in the </w:t>
      </w:r>
      <w:r w:rsidR="00D0068E" w:rsidRPr="00D0068E">
        <w:rPr>
          <w:i/>
          <w:sz w:val="20"/>
        </w:rPr>
        <w:t>Notice of Proposed Rule Making</w:t>
      </w:r>
      <w:r w:rsidR="00D0068E" w:rsidRPr="00D0068E">
        <w:rPr>
          <w:sz w:val="20"/>
        </w:rPr>
        <w:t xml:space="preserve"> to which this </w:t>
      </w:r>
      <w:r w:rsidR="00D0068E" w:rsidRPr="00D0068E">
        <w:rPr>
          <w:i/>
          <w:sz w:val="20"/>
        </w:rPr>
        <w:t>Appendix</w:t>
      </w:r>
      <w:r w:rsidR="00D0068E" w:rsidRPr="00D0068E">
        <w:rPr>
          <w:sz w:val="20"/>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690603" w:rsidRDefault="00690603">
      <w:pPr>
        <w:tabs>
          <w:tab w:val="left" w:pos="360"/>
          <w:tab w:val="left" w:pos="720"/>
        </w:tabs>
        <w:spacing w:after="240"/>
        <w:jc w:val="both"/>
        <w:rPr>
          <w:sz w:val="20"/>
        </w:rPr>
      </w:pPr>
      <w:r>
        <w:rPr>
          <w:sz w:val="20"/>
        </w:rPr>
        <w:t xml:space="preserve">          3.  Cut-off protection.  The following procedures will govern the consideration of filings in this proceeding.</w:t>
      </w:r>
    </w:p>
    <w:p w:rsidR="00690603" w:rsidRDefault="00690603">
      <w:pPr>
        <w:tabs>
          <w:tab w:val="left" w:pos="360"/>
          <w:tab w:val="left" w:pos="720"/>
        </w:tabs>
        <w:spacing w:after="240"/>
        <w:jc w:val="both"/>
        <w:rPr>
          <w:sz w:val="20"/>
        </w:rPr>
      </w:pPr>
      <w:r>
        <w:rPr>
          <w:sz w:val="20"/>
        </w:rPr>
        <w:t xml:space="preserve">          (a) Counterproposals advanced in this proceeding itself will be considered, if advanced in initial comments, so that parties may comment on them in reply comments.  They will not be considered if advanced in reply comments.  (</w:t>
      </w:r>
      <w:r>
        <w:rPr>
          <w:i/>
          <w:sz w:val="20"/>
        </w:rPr>
        <w:t>See</w:t>
      </w:r>
      <w:r>
        <w:rPr>
          <w:sz w:val="20"/>
        </w:rPr>
        <w:t xml:space="preserve"> Section 1.420(d) of the Commission's Rules).</w:t>
      </w:r>
    </w:p>
    <w:p w:rsidR="00690603" w:rsidRDefault="00690603">
      <w:pPr>
        <w:tabs>
          <w:tab w:val="left" w:pos="360"/>
          <w:tab w:val="left" w:pos="720"/>
        </w:tabs>
        <w:spacing w:after="240"/>
        <w:jc w:val="both"/>
        <w:rPr>
          <w:sz w:val="20"/>
        </w:rPr>
      </w:pPr>
      <w:r>
        <w:rPr>
          <w:sz w:val="20"/>
        </w:rPr>
        <w:t xml:space="preserve">          (b) With respect to petitions for rule making which conflict with the proposals in this Notice,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690603" w:rsidRDefault="00690603">
      <w:pPr>
        <w:tabs>
          <w:tab w:val="left" w:pos="360"/>
          <w:tab w:val="left" w:pos="720"/>
        </w:tabs>
        <w:spacing w:after="240"/>
        <w:jc w:val="both"/>
        <w:rPr>
          <w:sz w:val="20"/>
        </w:rPr>
      </w:pPr>
      <w:r>
        <w:rPr>
          <w:sz w:val="20"/>
        </w:rPr>
        <w:t xml:space="preserve">          (c) The filing of a counterproposal may lead the Commission to allot a different channel than was requested for any of the communities involved.</w:t>
      </w:r>
    </w:p>
    <w:p w:rsidR="00690603" w:rsidRDefault="00690603">
      <w:pPr>
        <w:tabs>
          <w:tab w:val="left" w:pos="360"/>
          <w:tab w:val="left" w:pos="720"/>
        </w:tabs>
        <w:spacing w:after="240"/>
        <w:jc w:val="both"/>
        <w:rPr>
          <w:sz w:val="20"/>
        </w:rPr>
      </w:pPr>
      <w:r>
        <w:rPr>
          <w:sz w:val="20"/>
        </w:rPr>
        <w:t xml:space="preserve">          4.  Comments and Reply Comments; Service.  Pursuant to applicable procedures set out in Sections 1.415 and 1.420 of the Commission's Rules and Regulations, interested parties may file comments and reply comments on or before the dates set forth in the </w:t>
      </w:r>
      <w:r>
        <w:rPr>
          <w:i/>
          <w:sz w:val="20"/>
        </w:rPr>
        <w:t>Notice of Proposed Rule Making</w:t>
      </w:r>
      <w:r>
        <w:rPr>
          <w:sz w:val="20"/>
        </w:rPr>
        <w:t xml:space="preserve"> to which this </w:t>
      </w:r>
      <w:r>
        <w:rPr>
          <w:i/>
          <w:sz w:val="20"/>
        </w:rPr>
        <w:t>Appendix</w:t>
      </w:r>
      <w:r>
        <w:rPr>
          <w:sz w:val="20"/>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w:t>
      </w:r>
      <w:r>
        <w:rPr>
          <w:i/>
          <w:sz w:val="20"/>
        </w:rPr>
        <w:t>See</w:t>
      </w:r>
      <w:r>
        <w:rPr>
          <w:sz w:val="20"/>
        </w:rPr>
        <w:t xml:space="preserve"> Section 1.420(a), (b) and (c) of the Commission's Rules.)  Comments should be filed with the Secretary, Federal Communications Commission, </w:t>
      </w:r>
      <w:smartTag w:uri="urn:schemas-microsoft-com:office:smarttags" w:element="place">
        <w:r>
          <w:rPr>
            <w:sz w:val="20"/>
          </w:rPr>
          <w:t xml:space="preserve">Washington, </w:t>
        </w:r>
        <w:smartTag w:uri="urn:schemas-microsoft-com:office:smarttags" w:element="State">
          <w:r>
            <w:rPr>
              <w:sz w:val="20"/>
            </w:rPr>
            <w:t>D.C.</w:t>
          </w:r>
        </w:smartTag>
        <w:r>
          <w:rPr>
            <w:sz w:val="20"/>
          </w:rPr>
          <w:t xml:space="preserve"> </w:t>
        </w:r>
        <w:smartTag w:uri="urn:schemas-microsoft-com:office:smarttags" w:element="PostalCode">
          <w:r>
            <w:rPr>
              <w:sz w:val="20"/>
            </w:rPr>
            <w:t>20554</w:t>
          </w:r>
        </w:smartTag>
      </w:smartTag>
      <w:r>
        <w:rPr>
          <w:sz w:val="20"/>
        </w:rPr>
        <w:t>.</w:t>
      </w:r>
    </w:p>
    <w:p w:rsidR="00690603" w:rsidRDefault="00690603">
      <w:pPr>
        <w:tabs>
          <w:tab w:val="left" w:pos="360"/>
          <w:tab w:val="left" w:pos="720"/>
        </w:tabs>
        <w:spacing w:after="240"/>
        <w:jc w:val="both"/>
        <w:rPr>
          <w:sz w:val="20"/>
        </w:rPr>
      </w:pPr>
      <w:r>
        <w:rPr>
          <w:sz w:val="20"/>
        </w:rPr>
        <w:t xml:space="preserve">          5.  Number of Copies.  In accordance with the provisions of Section 1.420 of the Commission's Rules and Regulations, an original and four copies of all comments, reply comments, pleadings, briefs, or other documents shall be furnished the Commission.</w:t>
      </w:r>
    </w:p>
    <w:p w:rsidR="00690603" w:rsidRDefault="00690603">
      <w:pPr>
        <w:pStyle w:val="ParaNum"/>
        <w:numPr>
          <w:ilvl w:val="0"/>
          <w:numId w:val="0"/>
        </w:numPr>
        <w:tabs>
          <w:tab w:val="left" w:pos="360"/>
          <w:tab w:val="left" w:pos="720"/>
        </w:tabs>
        <w:rPr>
          <w:sz w:val="20"/>
        </w:rPr>
      </w:pPr>
      <w:r>
        <w:rPr>
          <w:sz w:val="20"/>
        </w:rPr>
        <w:t xml:space="preserve">          6.  Public Inspection of Filings.  All filings made in this proceeding will be available for examination by interested parties during regular business hours in the Commission's </w:t>
      </w:r>
      <w:smartTag w:uri="urn:schemas-microsoft-com:office:smarttags" w:element="place">
        <w:smartTag w:uri="urn:schemas-microsoft-com:office:smarttags" w:element="PlaceName">
          <w:r>
            <w:rPr>
              <w:sz w:val="20"/>
            </w:rPr>
            <w:t>Reference</w:t>
          </w:r>
        </w:smartTag>
        <w:r>
          <w:rPr>
            <w:sz w:val="20"/>
          </w:rPr>
          <w:t xml:space="preserve"> </w:t>
        </w:r>
        <w:smartTag w:uri="urn:schemas-microsoft-com:office:smarttags" w:element="PlaceName">
          <w:r>
            <w:rPr>
              <w:sz w:val="20"/>
            </w:rPr>
            <w:t>Information</w:t>
          </w:r>
        </w:smartTag>
        <w:r>
          <w:rPr>
            <w:sz w:val="20"/>
          </w:rPr>
          <w:t xml:space="preserve"> </w:t>
        </w:r>
        <w:smartTag w:uri="urn:schemas-microsoft-com:office:smarttags" w:element="PlaceType">
          <w:r>
            <w:rPr>
              <w:sz w:val="20"/>
            </w:rPr>
            <w:t>Center</w:t>
          </w:r>
        </w:smartTag>
      </w:smartTag>
      <w:r>
        <w:rPr>
          <w:sz w:val="20"/>
        </w:rPr>
        <w:t xml:space="preserve">, at its headquarters, </w:t>
      </w:r>
      <w:smartTag w:uri="urn:schemas-microsoft-com:office:smarttags" w:element="address">
        <w:smartTag w:uri="urn:schemas-microsoft-com:office:smarttags" w:element="Street">
          <w:r>
            <w:rPr>
              <w:sz w:val="20"/>
            </w:rPr>
            <w:t>445 12th Street, S.W.</w:t>
          </w:r>
        </w:smartTag>
        <w:r>
          <w:rPr>
            <w:sz w:val="20"/>
          </w:rPr>
          <w:t xml:space="preserve">, </w:t>
        </w:r>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ab/>
      </w:r>
    </w:p>
    <w:p w:rsidR="00690603" w:rsidRDefault="00690603">
      <w:pPr>
        <w:pStyle w:val="ParaNum"/>
        <w:numPr>
          <w:ilvl w:val="0"/>
          <w:numId w:val="0"/>
        </w:numPr>
        <w:tabs>
          <w:tab w:val="left" w:pos="360"/>
          <w:tab w:val="left" w:pos="720"/>
        </w:tabs>
        <w:rPr>
          <w:sz w:val="20"/>
        </w:rPr>
      </w:pPr>
    </w:p>
    <w:p w:rsidR="00690603" w:rsidRDefault="00690603">
      <w:pPr>
        <w:pStyle w:val="ParaNum"/>
        <w:numPr>
          <w:ilvl w:val="0"/>
          <w:numId w:val="0"/>
        </w:numPr>
        <w:tabs>
          <w:tab w:val="left" w:pos="360"/>
          <w:tab w:val="left" w:pos="720"/>
        </w:tabs>
        <w:rPr>
          <w:sz w:val="20"/>
        </w:rPr>
      </w:pPr>
    </w:p>
    <w:sectPr w:rsidR="00690603" w:rsidSect="00B825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71" w:rsidRDefault="004D1B71">
      <w:r>
        <w:separator/>
      </w:r>
    </w:p>
  </w:endnote>
  <w:endnote w:type="continuationSeparator" w:id="0">
    <w:p w:rsidR="004D1B71" w:rsidRDefault="004D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8D" w:rsidRDefault="00557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03" w:rsidRDefault="00690603">
    <w:pPr>
      <w:pStyle w:val="Footer"/>
      <w:jc w:val="center"/>
    </w:pPr>
    <w:r>
      <w:rPr>
        <w:rStyle w:val="PageNumber"/>
      </w:rPr>
      <w:fldChar w:fldCharType="begin"/>
    </w:r>
    <w:r>
      <w:rPr>
        <w:rStyle w:val="PageNumber"/>
      </w:rPr>
      <w:instrText xml:space="preserve"> PAGE </w:instrText>
    </w:r>
    <w:r>
      <w:rPr>
        <w:rStyle w:val="PageNumber"/>
      </w:rPr>
      <w:fldChar w:fldCharType="separate"/>
    </w:r>
    <w:r w:rsidR="00075B7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8D" w:rsidRDefault="00557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71" w:rsidRDefault="004D1B71">
      <w:pPr>
        <w:rPr>
          <w:sz w:val="20"/>
        </w:rPr>
      </w:pPr>
      <w:r>
        <w:rPr>
          <w:sz w:val="20"/>
        </w:rPr>
        <w:separator/>
      </w:r>
    </w:p>
  </w:footnote>
  <w:footnote w:type="continuationSeparator" w:id="0">
    <w:p w:rsidR="004D1B71" w:rsidRDefault="004D1B71">
      <w:pPr>
        <w:rPr>
          <w:sz w:val="20"/>
        </w:rPr>
      </w:pPr>
      <w:r>
        <w:rPr>
          <w:sz w:val="20"/>
        </w:rPr>
        <w:separator/>
      </w:r>
    </w:p>
    <w:p w:rsidR="004D1B71" w:rsidRDefault="004D1B71">
      <w:pPr>
        <w:rPr>
          <w:sz w:val="20"/>
        </w:rPr>
      </w:pPr>
      <w:r>
        <w:rPr>
          <w:sz w:val="20"/>
        </w:rPr>
        <w:t>(...continued from previous page)</w:t>
      </w:r>
    </w:p>
  </w:footnote>
  <w:footnote w:type="continuationNotice" w:id="1">
    <w:p w:rsidR="004D1B71" w:rsidRDefault="004D1B71">
      <w:pPr>
        <w:jc w:val="right"/>
        <w:rPr>
          <w:sz w:val="20"/>
        </w:rPr>
      </w:pPr>
      <w:r>
        <w:rPr>
          <w:sz w:val="20"/>
        </w:rPr>
        <w:t>(continued....)</w:t>
      </w:r>
    </w:p>
  </w:footnote>
  <w:footnote w:id="2">
    <w:p w:rsidR="00904AC1" w:rsidRDefault="00904AC1">
      <w:pPr>
        <w:pStyle w:val="FootnoteText"/>
      </w:pPr>
      <w:r>
        <w:rPr>
          <w:rStyle w:val="FootnoteReference"/>
        </w:rPr>
        <w:footnoteRef/>
      </w:r>
      <w:r>
        <w:t xml:space="preserve"> </w:t>
      </w:r>
      <w:r w:rsidRPr="007F2BDB">
        <w:rPr>
          <w:i/>
        </w:rPr>
        <w:t xml:space="preserve">See </w:t>
      </w:r>
      <w:r w:rsidRPr="007F2BDB">
        <w:t>File No</w:t>
      </w:r>
      <w:r>
        <w:t xml:space="preserve">. BMPH-20130913ACG.  </w:t>
      </w:r>
    </w:p>
  </w:footnote>
  <w:footnote w:id="3">
    <w:p w:rsidR="00D716F8" w:rsidRDefault="00D716F8" w:rsidP="00D716F8">
      <w:pPr>
        <w:widowControl w:val="0"/>
        <w:autoSpaceDE w:val="0"/>
        <w:autoSpaceDN w:val="0"/>
        <w:adjustRightInd w:val="0"/>
        <w:rPr>
          <w:sz w:val="20"/>
        </w:rPr>
      </w:pPr>
      <w:r>
        <w:rPr>
          <w:rStyle w:val="FootnoteReference"/>
        </w:rPr>
        <w:footnoteRef/>
      </w:r>
      <w:r>
        <w:t xml:space="preserve"> </w:t>
      </w:r>
      <w:hyperlink r:id="rId1" w:history="1">
        <w:r>
          <w:rPr>
            <w:i/>
            <w:iCs/>
            <w:sz w:val="20"/>
          </w:rPr>
          <w:t>Revision</w:t>
        </w:r>
        <w:r>
          <w:rPr>
            <w:sz w:val="20"/>
          </w:rPr>
          <w:t xml:space="preserve"> </w:t>
        </w:r>
        <w:r>
          <w:rPr>
            <w:i/>
            <w:iCs/>
            <w:sz w:val="20"/>
          </w:rPr>
          <w:t>of</w:t>
        </w:r>
        <w:r>
          <w:rPr>
            <w:sz w:val="20"/>
          </w:rPr>
          <w:t xml:space="preserve"> </w:t>
        </w:r>
        <w:r>
          <w:rPr>
            <w:i/>
            <w:iCs/>
            <w:sz w:val="20"/>
          </w:rPr>
          <w:t>Procedures</w:t>
        </w:r>
        <w:r>
          <w:rPr>
            <w:sz w:val="20"/>
          </w:rPr>
          <w:t xml:space="preserve"> </w:t>
        </w:r>
        <w:r>
          <w:rPr>
            <w:i/>
            <w:iCs/>
            <w:sz w:val="20"/>
          </w:rPr>
          <w:t>Governing</w:t>
        </w:r>
        <w:r>
          <w:rPr>
            <w:sz w:val="20"/>
          </w:rPr>
          <w:t xml:space="preserve"> </w:t>
        </w:r>
        <w:r>
          <w:rPr>
            <w:i/>
            <w:iCs/>
            <w:sz w:val="20"/>
          </w:rPr>
          <w:t>Amendments</w:t>
        </w:r>
        <w:r>
          <w:rPr>
            <w:sz w:val="20"/>
          </w:rPr>
          <w:t xml:space="preserve"> </w:t>
        </w:r>
        <w:r>
          <w:rPr>
            <w:i/>
            <w:iCs/>
            <w:sz w:val="20"/>
          </w:rPr>
          <w:t>to</w:t>
        </w:r>
      </w:hyperlink>
      <w:r>
        <w:rPr>
          <w:sz w:val="20"/>
        </w:rPr>
        <w:t xml:space="preserve"> </w:t>
      </w:r>
      <w:hyperlink r:id="rId2" w:history="1">
        <w:r>
          <w:rPr>
            <w:bCs/>
            <w:i/>
            <w:iCs/>
            <w:sz w:val="20"/>
          </w:rPr>
          <w:t>FM</w:t>
        </w:r>
      </w:hyperlink>
      <w:r>
        <w:rPr>
          <w:sz w:val="20"/>
        </w:rPr>
        <w:t xml:space="preserve"> </w:t>
      </w:r>
      <w:hyperlink r:id="rId3" w:history="1">
        <w:r>
          <w:rPr>
            <w:bCs/>
            <w:i/>
            <w:iCs/>
            <w:sz w:val="20"/>
          </w:rPr>
          <w:t>Table</w:t>
        </w:r>
      </w:hyperlink>
      <w:r>
        <w:rPr>
          <w:sz w:val="20"/>
        </w:rPr>
        <w:t xml:space="preserve"> </w:t>
      </w:r>
      <w:hyperlink r:id="rId4" w:history="1">
        <w:r>
          <w:rPr>
            <w:i/>
            <w:iCs/>
            <w:sz w:val="20"/>
          </w:rPr>
          <w:t>of</w:t>
        </w:r>
      </w:hyperlink>
      <w:r>
        <w:rPr>
          <w:sz w:val="20"/>
        </w:rPr>
        <w:t xml:space="preserve"> </w:t>
      </w:r>
      <w:hyperlink r:id="rId5" w:history="1">
        <w:r>
          <w:rPr>
            <w:bCs/>
            <w:i/>
            <w:iCs/>
            <w:sz w:val="20"/>
          </w:rPr>
          <w:t>Allotments</w:t>
        </w:r>
      </w:hyperlink>
      <w:r>
        <w:rPr>
          <w:sz w:val="20"/>
        </w:rPr>
        <w:t xml:space="preserve"> </w:t>
      </w:r>
      <w:hyperlink r:id="rId6" w:history="1">
        <w:r>
          <w:rPr>
            <w:i/>
            <w:iCs/>
            <w:sz w:val="20"/>
          </w:rPr>
          <w:t>and</w:t>
        </w:r>
        <w:r>
          <w:rPr>
            <w:sz w:val="20"/>
          </w:rPr>
          <w:t xml:space="preserve"> </w:t>
        </w:r>
        <w:r>
          <w:rPr>
            <w:i/>
            <w:iCs/>
            <w:sz w:val="20"/>
          </w:rPr>
          <w:t>Changes</w:t>
        </w:r>
        <w:r>
          <w:rPr>
            <w:sz w:val="20"/>
          </w:rPr>
          <w:t xml:space="preserve"> </w:t>
        </w:r>
        <w:r>
          <w:rPr>
            <w:i/>
            <w:iCs/>
            <w:sz w:val="20"/>
          </w:rPr>
          <w:t>of</w:t>
        </w:r>
        <w:r>
          <w:rPr>
            <w:sz w:val="20"/>
          </w:rPr>
          <w:t xml:space="preserve"> </w:t>
        </w:r>
        <w:r>
          <w:rPr>
            <w:i/>
            <w:iCs/>
            <w:sz w:val="20"/>
          </w:rPr>
          <w:t>Community</w:t>
        </w:r>
        <w:r>
          <w:rPr>
            <w:sz w:val="20"/>
          </w:rPr>
          <w:t xml:space="preserve"> </w:t>
        </w:r>
        <w:r>
          <w:rPr>
            <w:i/>
            <w:iCs/>
            <w:sz w:val="20"/>
          </w:rPr>
          <w:t>of</w:t>
        </w:r>
        <w:r>
          <w:rPr>
            <w:sz w:val="20"/>
          </w:rPr>
          <w:t xml:space="preserve"> </w:t>
        </w:r>
      </w:hyperlink>
      <w:hyperlink r:id="rId7" w:history="1">
        <w:r>
          <w:rPr>
            <w:i/>
            <w:iCs/>
            <w:sz w:val="20"/>
          </w:rPr>
          <w:t>License</w:t>
        </w:r>
        <w:r>
          <w:rPr>
            <w:sz w:val="20"/>
          </w:rPr>
          <w:t xml:space="preserve"> </w:t>
        </w:r>
        <w:r>
          <w:rPr>
            <w:i/>
            <w:iCs/>
            <w:sz w:val="20"/>
          </w:rPr>
          <w:t>in</w:t>
        </w:r>
        <w:r>
          <w:rPr>
            <w:sz w:val="20"/>
          </w:rPr>
          <w:t xml:space="preserve"> </w:t>
        </w:r>
        <w:r>
          <w:rPr>
            <w:i/>
            <w:iCs/>
            <w:sz w:val="20"/>
          </w:rPr>
          <w:t>the</w:t>
        </w:r>
        <w:r>
          <w:rPr>
            <w:sz w:val="20"/>
          </w:rPr>
          <w:t xml:space="preserve"> </w:t>
        </w:r>
        <w:r>
          <w:rPr>
            <w:i/>
            <w:iCs/>
            <w:sz w:val="20"/>
          </w:rPr>
          <w:t>Radio</w:t>
        </w:r>
        <w:r>
          <w:rPr>
            <w:sz w:val="20"/>
          </w:rPr>
          <w:t xml:space="preserve"> </w:t>
        </w:r>
        <w:r>
          <w:rPr>
            <w:i/>
            <w:iCs/>
            <w:sz w:val="20"/>
          </w:rPr>
          <w:t>Broadcast</w:t>
        </w:r>
        <w:r>
          <w:rPr>
            <w:sz w:val="20"/>
          </w:rPr>
          <w:t xml:space="preserve"> </w:t>
        </w:r>
        <w:r>
          <w:rPr>
            <w:i/>
            <w:iCs/>
            <w:sz w:val="20"/>
          </w:rPr>
          <w:t>Services</w:t>
        </w:r>
      </w:hyperlink>
      <w:r>
        <w:rPr>
          <w:sz w:val="20"/>
        </w:rPr>
        <w:t xml:space="preserve">, </w:t>
      </w:r>
      <w:hyperlink r:id="rId8" w:history="1">
        <w:r>
          <w:rPr>
            <w:sz w:val="20"/>
          </w:rPr>
          <w:t>Report and Order, 21 FCC Rcd 14212, 14223 ¶ 18 (2006)</w:t>
        </w:r>
      </w:hyperlink>
      <w:r>
        <w:rPr>
          <w:sz w:val="20"/>
        </w:rPr>
        <w:t>.</w:t>
      </w:r>
    </w:p>
    <w:p w:rsidR="00D716F8" w:rsidRDefault="00D716F8" w:rsidP="00D716F8">
      <w:pPr>
        <w:widowControl w:val="0"/>
        <w:autoSpaceDE w:val="0"/>
        <w:autoSpaceDN w:val="0"/>
        <w:adjustRightInd w:val="0"/>
        <w:rPr>
          <w:sz w:val="20"/>
        </w:rPr>
      </w:pPr>
    </w:p>
  </w:footnote>
  <w:footnote w:id="4">
    <w:p w:rsidR="00D716F8" w:rsidRDefault="00D716F8" w:rsidP="00D716F8">
      <w:pPr>
        <w:pStyle w:val="FootnoteText"/>
      </w:pPr>
      <w:r>
        <w:rPr>
          <w:rStyle w:val="FootnoteReference"/>
        </w:rPr>
        <w:footnoteRef/>
      </w:r>
      <w:r>
        <w:t xml:space="preserve"> </w:t>
      </w:r>
      <w:r>
        <w:rPr>
          <w:i/>
        </w:rPr>
        <w:t xml:space="preserve">See </w:t>
      </w:r>
      <w:r>
        <w:t>File No. BNPH-20130624AAP.</w:t>
      </w:r>
    </w:p>
  </w:footnote>
  <w:footnote w:id="5">
    <w:p w:rsidR="007F2BDB" w:rsidRPr="00272A5B" w:rsidRDefault="007F2BDB">
      <w:pPr>
        <w:pStyle w:val="FootnoteText"/>
      </w:pPr>
      <w:r>
        <w:rPr>
          <w:rStyle w:val="FootnoteReference"/>
        </w:rPr>
        <w:footnoteRef/>
      </w:r>
      <w:r>
        <w:t xml:space="preserve"> </w:t>
      </w:r>
      <w:r w:rsidR="00272A5B" w:rsidRPr="00272A5B">
        <w:rPr>
          <w:i/>
        </w:rPr>
        <w:t>See Ten Sleep, Wyoming</w:t>
      </w:r>
      <w:r w:rsidR="00272A5B" w:rsidRPr="00272A5B">
        <w:t xml:space="preserve">, Report and Order, 24 FCC Rcd 10138 (MB 2009)(allotting Channel 267A at Ten Sleep to maintain </w:t>
      </w:r>
      <w:r w:rsidR="00272A5B" w:rsidRPr="00272A5B">
        <w:rPr>
          <w:color w:val="000000"/>
        </w:rPr>
        <w:t>a</w:t>
      </w:r>
      <w:bookmarkStart w:id="1" w:name="SR;703"/>
      <w:bookmarkStart w:id="2" w:name="SearchTerm"/>
      <w:bookmarkEnd w:id="1"/>
      <w:bookmarkEnd w:id="2"/>
      <w:r w:rsidR="00272A5B">
        <w:rPr>
          <w:color w:val="000000"/>
        </w:rPr>
        <w:t xml:space="preserve"> potential</w:t>
      </w:r>
      <w:r w:rsidR="00272A5B" w:rsidRPr="00272A5B">
        <w:rPr>
          <w:color w:val="000000"/>
        </w:rPr>
        <w:t xml:space="preserve"> first local service at Ten Sleep while accommodating </w:t>
      </w:r>
      <w:r w:rsidR="00272A5B">
        <w:rPr>
          <w:color w:val="000000"/>
        </w:rPr>
        <w:t xml:space="preserve">the </w:t>
      </w:r>
      <w:r w:rsidR="00272A5B" w:rsidRPr="00272A5B">
        <w:rPr>
          <w:color w:val="000000"/>
        </w:rPr>
        <w:t>Petitioner's change of community of license</w:t>
      </w:r>
      <w:r w:rsidR="00272A5B">
        <w:rPr>
          <w:color w:val="000000"/>
        </w:rPr>
        <w:t xml:space="preserve"> application</w:t>
      </w:r>
      <w:r w:rsidR="00272A5B" w:rsidRPr="00272A5B">
        <w:rPr>
          <w:color w:val="000000"/>
        </w:rPr>
        <w:t xml:space="preserve"> for Station KYTS(FM), Channel 271C2, from Ten Sleep to Manderson, Wyoming, a</w:t>
      </w:r>
      <w:r w:rsidR="00272A5B">
        <w:rPr>
          <w:color w:val="000000"/>
        </w:rPr>
        <w:t>s the community’s</w:t>
      </w:r>
      <w:r w:rsidR="00272A5B" w:rsidRPr="00272A5B">
        <w:rPr>
          <w:color w:val="000000"/>
        </w:rPr>
        <w:t xml:space="preserve"> first local service</w:t>
      </w:r>
      <w:r w:rsidR="00D716F8">
        <w:rPr>
          <w:color w:val="000000"/>
        </w:rPr>
        <w:t>).</w:t>
      </w:r>
    </w:p>
  </w:footnote>
  <w:footnote w:id="6">
    <w:p w:rsidR="00797A37" w:rsidRDefault="00797A37">
      <w:pPr>
        <w:pStyle w:val="FootnoteText"/>
      </w:pPr>
      <w:r>
        <w:rPr>
          <w:rStyle w:val="FootnoteReference"/>
        </w:rPr>
        <w:footnoteRef/>
      </w:r>
      <w:r>
        <w:t xml:space="preserve"> 47 C.F.R. §§ 1.415 and 1.419.</w:t>
      </w:r>
    </w:p>
  </w:footnote>
  <w:footnote w:id="7">
    <w:p w:rsidR="00690603" w:rsidRDefault="00690603">
      <w:pPr>
        <w:pStyle w:val="FootnoteText"/>
      </w:pPr>
      <w:r>
        <w:rPr>
          <w:rStyle w:val="FootnoteReference"/>
        </w:rPr>
        <w:footnoteRef/>
      </w:r>
      <w:r>
        <w:t xml:space="preserve"> </w:t>
      </w:r>
      <w:r>
        <w:rPr>
          <w:i/>
        </w:rPr>
        <w:t>See Certification that Section 603 and 604 of the Regulatory Flexibility Act Do Not Apply to Rule Makings to Amend Sections 73.202(b), 73.504 and 73.606(b) of the Commission's Rules</w:t>
      </w:r>
      <w:r>
        <w:t>.  46 FR 11549 (February 9,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8D" w:rsidRDefault="00557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03" w:rsidRDefault="00690603">
    <w:pPr>
      <w:pStyle w:val="Header"/>
      <w:tabs>
        <w:tab w:val="clear" w:pos="4320"/>
        <w:tab w:val="clear" w:pos="8640"/>
        <w:tab w:val="center" w:pos="4680"/>
        <w:tab w:val="right" w:pos="9360"/>
      </w:tabs>
      <w:rPr>
        <w:b/>
        <w:u w:val="single"/>
      </w:rPr>
    </w:pPr>
    <w:r>
      <w:rPr>
        <w:b/>
        <w:u w:val="single"/>
      </w:rPr>
      <w:tab/>
      <w:t>Federal</w:t>
    </w:r>
    <w:r w:rsidR="00152E77">
      <w:rPr>
        <w:b/>
        <w:u w:val="single"/>
      </w:rPr>
      <w:t xml:space="preserve"> Communications Commission</w:t>
    </w:r>
    <w:r w:rsidR="00152E77">
      <w:rPr>
        <w:b/>
        <w:u w:val="single"/>
      </w:rPr>
      <w:tab/>
      <w:t>DA</w:t>
    </w:r>
    <w:r w:rsidR="00415F0F">
      <w:rPr>
        <w:b/>
        <w:u w:val="single"/>
      </w:rPr>
      <w:t xml:space="preserve"> 14-276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03" w:rsidRDefault="00690603">
    <w:pPr>
      <w:pStyle w:val="Header"/>
      <w:tabs>
        <w:tab w:val="clear" w:pos="4320"/>
        <w:tab w:val="clear" w:pos="8640"/>
        <w:tab w:val="center" w:pos="4680"/>
        <w:tab w:val="right" w:pos="9360"/>
      </w:tabs>
      <w:rPr>
        <w:b/>
        <w:u w:val="single"/>
      </w:rPr>
    </w:pPr>
    <w:r>
      <w:rPr>
        <w:b/>
        <w:u w:val="single"/>
      </w:rPr>
      <w:tab/>
      <w:t>Federal Com</w:t>
    </w:r>
    <w:r w:rsidR="00152E77">
      <w:rPr>
        <w:b/>
        <w:u w:val="single"/>
      </w:rPr>
      <w:t>munications Commission</w:t>
    </w:r>
    <w:r w:rsidR="00152E77">
      <w:rPr>
        <w:b/>
        <w:u w:val="single"/>
      </w:rPr>
      <w:tab/>
      <w:t xml:space="preserve">    DA </w:t>
    </w:r>
    <w:r w:rsidR="00CD6E0E">
      <w:rPr>
        <w:b/>
        <w:u w:val="single"/>
      </w:rPr>
      <w:t>1</w:t>
    </w:r>
    <w:r w:rsidR="003D19BB">
      <w:rPr>
        <w:b/>
        <w:u w:val="single"/>
      </w:rPr>
      <w:t>4</w:t>
    </w:r>
    <w:r w:rsidR="00CD6E0E">
      <w:rPr>
        <w:b/>
        <w:u w:val="single"/>
      </w:rPr>
      <w:t>-</w:t>
    </w:r>
    <w:r w:rsidR="00415F0F">
      <w:rPr>
        <w:b/>
        <w:u w:val="single"/>
      </w:rPr>
      <w:t>276</w:t>
    </w:r>
  </w:p>
  <w:p w:rsidR="00690603" w:rsidRDefault="00690603">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501"/>
    <w:multiLevelType w:val="hybridMultilevel"/>
    <w:tmpl w:val="AF106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50B011E"/>
    <w:multiLevelType w:val="hybridMultilevel"/>
    <w:tmpl w:val="6C58EC0A"/>
    <w:lvl w:ilvl="0" w:tplc="08DE8A7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8CD2FEB"/>
    <w:multiLevelType w:val="hybridMultilevel"/>
    <w:tmpl w:val="D428AD76"/>
    <w:lvl w:ilvl="0" w:tplc="F336EC90">
      <w:start w:val="6"/>
      <w:numFmt w:val="decimal"/>
      <w:lvlText w:val="%1."/>
      <w:lvlJc w:val="left"/>
      <w:pPr>
        <w:tabs>
          <w:tab w:val="num" w:pos="720"/>
        </w:tabs>
        <w:ind w:left="720" w:hanging="45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155836"/>
    <w:multiLevelType w:val="hybridMultilevel"/>
    <w:tmpl w:val="FAFC18E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83F87"/>
    <w:multiLevelType w:val="hybridMultilevel"/>
    <w:tmpl w:val="83ACD116"/>
    <w:lvl w:ilvl="0" w:tplc="CD56DB10">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DCE4DD5"/>
    <w:multiLevelType w:val="hybridMultilevel"/>
    <w:tmpl w:val="762295B2"/>
    <w:lvl w:ilvl="0" w:tplc="5ED472EE">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CB90EB8"/>
    <w:multiLevelType w:val="hybridMultilevel"/>
    <w:tmpl w:val="86D8A926"/>
    <w:lvl w:ilvl="0" w:tplc="845665C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6"/>
  </w:num>
  <w:num w:numId="4">
    <w:abstractNumId w:val="20"/>
  </w:num>
  <w:num w:numId="5">
    <w:abstractNumId w:val="7"/>
  </w:num>
  <w:num w:numId="6">
    <w:abstractNumId w:val="23"/>
  </w:num>
  <w:num w:numId="7">
    <w:abstractNumId w:val="17"/>
  </w:num>
  <w:num w:numId="8">
    <w:abstractNumId w:val="8"/>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4"/>
  </w:num>
  <w:num w:numId="16">
    <w:abstractNumId w:val="5"/>
  </w:num>
  <w:num w:numId="17">
    <w:abstractNumId w:val="11"/>
  </w:num>
  <w:num w:numId="18">
    <w:abstractNumId w:val="1"/>
  </w:num>
  <w:num w:numId="19">
    <w:abstractNumId w:val="12"/>
  </w:num>
  <w:num w:numId="20">
    <w:abstractNumId w:val="18"/>
  </w:num>
  <w:num w:numId="21">
    <w:abstractNumId w:val="19"/>
  </w:num>
  <w:num w:numId="22">
    <w:abstractNumId w:val="2"/>
  </w:num>
  <w:num w:numId="23">
    <w:abstractNumId w:val="27"/>
  </w:num>
  <w:num w:numId="24">
    <w:abstractNumId w:val="16"/>
  </w:num>
  <w:num w:numId="25">
    <w:abstractNumId w:val="9"/>
  </w:num>
  <w:num w:numId="26">
    <w:abstractNumId w:val="25"/>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46"/>
    <w:rsid w:val="0001001B"/>
    <w:rsid w:val="00050EB6"/>
    <w:rsid w:val="000541F2"/>
    <w:rsid w:val="0006210A"/>
    <w:rsid w:val="00075B7F"/>
    <w:rsid w:val="000B573B"/>
    <w:rsid w:val="000C3CC0"/>
    <w:rsid w:val="000D3409"/>
    <w:rsid w:val="001139D8"/>
    <w:rsid w:val="001334BC"/>
    <w:rsid w:val="00140BBB"/>
    <w:rsid w:val="00141BFE"/>
    <w:rsid w:val="0014380B"/>
    <w:rsid w:val="00147D33"/>
    <w:rsid w:val="00152E77"/>
    <w:rsid w:val="001532B6"/>
    <w:rsid w:val="00163708"/>
    <w:rsid w:val="001672F9"/>
    <w:rsid w:val="00186534"/>
    <w:rsid w:val="001E5369"/>
    <w:rsid w:val="001F44C2"/>
    <w:rsid w:val="00213E93"/>
    <w:rsid w:val="0024526C"/>
    <w:rsid w:val="00272A5B"/>
    <w:rsid w:val="00287872"/>
    <w:rsid w:val="002C04D9"/>
    <w:rsid w:val="002C3073"/>
    <w:rsid w:val="00301962"/>
    <w:rsid w:val="00305111"/>
    <w:rsid w:val="0033745F"/>
    <w:rsid w:val="00367DDF"/>
    <w:rsid w:val="00377895"/>
    <w:rsid w:val="003C7E9D"/>
    <w:rsid w:val="003D19BB"/>
    <w:rsid w:val="003D2C46"/>
    <w:rsid w:val="00415F0F"/>
    <w:rsid w:val="00420C1A"/>
    <w:rsid w:val="004267A5"/>
    <w:rsid w:val="00432DA4"/>
    <w:rsid w:val="00487A11"/>
    <w:rsid w:val="004976C7"/>
    <w:rsid w:val="004C369F"/>
    <w:rsid w:val="004D1B71"/>
    <w:rsid w:val="004E652D"/>
    <w:rsid w:val="004F670D"/>
    <w:rsid w:val="004F7DE0"/>
    <w:rsid w:val="0051240C"/>
    <w:rsid w:val="00516B2A"/>
    <w:rsid w:val="0052755C"/>
    <w:rsid w:val="00550DE6"/>
    <w:rsid w:val="0055718D"/>
    <w:rsid w:val="00566711"/>
    <w:rsid w:val="005709B6"/>
    <w:rsid w:val="005904C0"/>
    <w:rsid w:val="005A30BD"/>
    <w:rsid w:val="005B2F5D"/>
    <w:rsid w:val="005C4E2D"/>
    <w:rsid w:val="005E398A"/>
    <w:rsid w:val="005E4B57"/>
    <w:rsid w:val="005F3AB1"/>
    <w:rsid w:val="006022A8"/>
    <w:rsid w:val="00622CFC"/>
    <w:rsid w:val="006537AF"/>
    <w:rsid w:val="00671B9C"/>
    <w:rsid w:val="00683B8A"/>
    <w:rsid w:val="00690603"/>
    <w:rsid w:val="006B1F9F"/>
    <w:rsid w:val="006F4B81"/>
    <w:rsid w:val="006F6BC6"/>
    <w:rsid w:val="00705F61"/>
    <w:rsid w:val="007115A3"/>
    <w:rsid w:val="0072581E"/>
    <w:rsid w:val="007309F5"/>
    <w:rsid w:val="00731457"/>
    <w:rsid w:val="007338FE"/>
    <w:rsid w:val="007570E8"/>
    <w:rsid w:val="007808BE"/>
    <w:rsid w:val="007855E8"/>
    <w:rsid w:val="00797A37"/>
    <w:rsid w:val="007A0A76"/>
    <w:rsid w:val="007C0A5C"/>
    <w:rsid w:val="007F2BDB"/>
    <w:rsid w:val="007F6C2C"/>
    <w:rsid w:val="008A3168"/>
    <w:rsid w:val="00902519"/>
    <w:rsid w:val="00904AC1"/>
    <w:rsid w:val="00913EFB"/>
    <w:rsid w:val="00955782"/>
    <w:rsid w:val="0096660B"/>
    <w:rsid w:val="009715D3"/>
    <w:rsid w:val="009D34C1"/>
    <w:rsid w:val="009D672F"/>
    <w:rsid w:val="009D767B"/>
    <w:rsid w:val="009F3CE4"/>
    <w:rsid w:val="009F7D3F"/>
    <w:rsid w:val="00A06904"/>
    <w:rsid w:val="00A42A9A"/>
    <w:rsid w:val="00A66207"/>
    <w:rsid w:val="00A66C1F"/>
    <w:rsid w:val="00A676CB"/>
    <w:rsid w:val="00A67B44"/>
    <w:rsid w:val="00A74612"/>
    <w:rsid w:val="00A91CA6"/>
    <w:rsid w:val="00AA0A1C"/>
    <w:rsid w:val="00AB50E4"/>
    <w:rsid w:val="00AC6A34"/>
    <w:rsid w:val="00AE3733"/>
    <w:rsid w:val="00AF6754"/>
    <w:rsid w:val="00B343F2"/>
    <w:rsid w:val="00B34533"/>
    <w:rsid w:val="00B44BD5"/>
    <w:rsid w:val="00B76655"/>
    <w:rsid w:val="00B825D5"/>
    <w:rsid w:val="00BA7AE8"/>
    <w:rsid w:val="00BB1E5F"/>
    <w:rsid w:val="00BD7FEC"/>
    <w:rsid w:val="00BE1CF6"/>
    <w:rsid w:val="00BF4CA3"/>
    <w:rsid w:val="00BF70D1"/>
    <w:rsid w:val="00C27824"/>
    <w:rsid w:val="00C54999"/>
    <w:rsid w:val="00C721F7"/>
    <w:rsid w:val="00C84119"/>
    <w:rsid w:val="00CA284A"/>
    <w:rsid w:val="00CB0CD2"/>
    <w:rsid w:val="00CB2613"/>
    <w:rsid w:val="00CB61B6"/>
    <w:rsid w:val="00CB6DBD"/>
    <w:rsid w:val="00CB7FFC"/>
    <w:rsid w:val="00CD6E0E"/>
    <w:rsid w:val="00CF2F92"/>
    <w:rsid w:val="00D0068E"/>
    <w:rsid w:val="00D03454"/>
    <w:rsid w:val="00D10A7A"/>
    <w:rsid w:val="00D177BB"/>
    <w:rsid w:val="00D20EEA"/>
    <w:rsid w:val="00D2541D"/>
    <w:rsid w:val="00D25E02"/>
    <w:rsid w:val="00D30A3E"/>
    <w:rsid w:val="00D716F8"/>
    <w:rsid w:val="00D813C4"/>
    <w:rsid w:val="00DB25DB"/>
    <w:rsid w:val="00DB3F4E"/>
    <w:rsid w:val="00DD1D56"/>
    <w:rsid w:val="00E02839"/>
    <w:rsid w:val="00E2367E"/>
    <w:rsid w:val="00E24C10"/>
    <w:rsid w:val="00E25279"/>
    <w:rsid w:val="00E26883"/>
    <w:rsid w:val="00E32225"/>
    <w:rsid w:val="00E326B3"/>
    <w:rsid w:val="00E36700"/>
    <w:rsid w:val="00E37782"/>
    <w:rsid w:val="00E857E4"/>
    <w:rsid w:val="00EB1D3B"/>
    <w:rsid w:val="00EB4FE3"/>
    <w:rsid w:val="00EC1920"/>
    <w:rsid w:val="00F1571B"/>
    <w:rsid w:val="00F20E46"/>
    <w:rsid w:val="00F54A6E"/>
    <w:rsid w:val="00F66BCE"/>
    <w:rsid w:val="00F97C9A"/>
    <w:rsid w:val="00FA4151"/>
    <w:rsid w:val="00FA68D2"/>
    <w:rsid w:val="00FE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pPr>
      <w:spacing w:after="240"/>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671B9C"/>
    <w:rPr>
      <w:color w:val="0000FF"/>
      <w:u w:val="single"/>
    </w:rPr>
  </w:style>
  <w:style w:type="paragraph" w:styleId="ListParagraph">
    <w:name w:val="List Paragraph"/>
    <w:basedOn w:val="Normal"/>
    <w:uiPriority w:val="34"/>
    <w:qFormat/>
    <w:rsid w:val="00163708"/>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emiHidden/>
    <w:rsid w:val="00D716F8"/>
  </w:style>
  <w:style w:type="paragraph" w:styleId="EndnoteText">
    <w:name w:val="endnote text"/>
    <w:basedOn w:val="Normal"/>
    <w:link w:val="EndnoteTextChar"/>
    <w:rsid w:val="00904AC1"/>
    <w:rPr>
      <w:sz w:val="20"/>
    </w:rPr>
  </w:style>
  <w:style w:type="character" w:customStyle="1" w:styleId="EndnoteTextChar">
    <w:name w:val="Endnote Text Char"/>
    <w:basedOn w:val="DefaultParagraphFont"/>
    <w:link w:val="EndnoteText"/>
    <w:rsid w:val="00904AC1"/>
  </w:style>
  <w:style w:type="character" w:styleId="EndnoteReference">
    <w:name w:val="endnote reference"/>
    <w:rsid w:val="00904A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pPr>
      <w:spacing w:after="240"/>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671B9C"/>
    <w:rPr>
      <w:color w:val="0000FF"/>
      <w:u w:val="single"/>
    </w:rPr>
  </w:style>
  <w:style w:type="paragraph" w:styleId="ListParagraph">
    <w:name w:val="List Paragraph"/>
    <w:basedOn w:val="Normal"/>
    <w:uiPriority w:val="34"/>
    <w:qFormat/>
    <w:rsid w:val="00163708"/>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emiHidden/>
    <w:rsid w:val="00D716F8"/>
  </w:style>
  <w:style w:type="paragraph" w:styleId="EndnoteText">
    <w:name w:val="endnote text"/>
    <w:basedOn w:val="Normal"/>
    <w:link w:val="EndnoteTextChar"/>
    <w:rsid w:val="00904AC1"/>
    <w:rPr>
      <w:sz w:val="20"/>
    </w:rPr>
  </w:style>
  <w:style w:type="character" w:customStyle="1" w:styleId="EndnoteTextChar">
    <w:name w:val="Endnote Text Char"/>
    <w:basedOn w:val="DefaultParagraphFont"/>
    <w:link w:val="EndnoteText"/>
    <w:rsid w:val="00904AC1"/>
  </w:style>
  <w:style w:type="character" w:styleId="EndnoteReference">
    <w:name w:val="endnote reference"/>
    <w:rsid w:val="00904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4493&amp;FindType=Y&amp;SerialNum=2010750907" TargetMode="External"/><Relationship Id="rId3" Type="http://schemas.openxmlformats.org/officeDocument/2006/relationships/hyperlink" Target="http://www.westlaw.com/Find/Default.wl?rs=dfa1.0&amp;vr=2.0&amp;DB=4493&amp;FindType=Y&amp;SerialNum=2010750907" TargetMode="External"/><Relationship Id="rId7" Type="http://schemas.openxmlformats.org/officeDocument/2006/relationships/hyperlink" Target="http://www.westlaw.com/Find/Default.wl?rs=dfa1.0&amp;vr=2.0&amp;DB=4493&amp;FindType=Y&amp;SerialNum=2010750907" TargetMode="External"/><Relationship Id="rId2" Type="http://schemas.openxmlformats.org/officeDocument/2006/relationships/hyperlink" Target="http://www.westlaw.com/Find/Default.wl?rs=dfa1.0&amp;vr=2.0&amp;DB=4493&amp;FindType=Y&amp;SerialNum=2010750907" TargetMode="External"/><Relationship Id="rId1" Type="http://schemas.openxmlformats.org/officeDocument/2006/relationships/hyperlink" Target="http://www.westlaw.com/Find/Default.wl?rs=dfa1.0&amp;vr=2.0&amp;DB=4493&amp;FindType=Y&amp;SerialNum=2010750907" TargetMode="External"/><Relationship Id="rId6" Type="http://schemas.openxmlformats.org/officeDocument/2006/relationships/hyperlink" Target="http://www.westlaw.com/Find/Default.wl?rs=dfa1.0&amp;vr=2.0&amp;DB=4493&amp;FindType=Y&amp;SerialNum=2010750907" TargetMode="External"/><Relationship Id="rId5" Type="http://schemas.openxmlformats.org/officeDocument/2006/relationships/hyperlink" Target="http://www.westlaw.com/Find/Default.wl?rs=dfa1.0&amp;vr=2.0&amp;DB=4493&amp;FindType=Y&amp;SerialNum=2010750907" TargetMode="External"/><Relationship Id="rId4" Type="http://schemas.openxmlformats.org/officeDocument/2006/relationships/hyperlink" Target="http://www.westlaw.com/Find/Default.wl?rs=dfa1.0&amp;vr=2.0&amp;DB=4493&amp;FindType=Y&amp;SerialNum=20107509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Allocations%20NP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Allocations NPRM</Template>
  <TotalTime>0</TotalTime>
  <Pages>3</Pages>
  <Words>1519</Words>
  <Characters>8307</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10018</CharactersWithSpaces>
  <SharedDoc>false</SharedDoc>
  <HyperlinkBase> </HyperlinkBase>
  <HLinks>
    <vt:vector size="48" baseType="variant">
      <vt:variant>
        <vt:i4>2752619</vt:i4>
      </vt:variant>
      <vt:variant>
        <vt:i4>21</vt:i4>
      </vt:variant>
      <vt:variant>
        <vt:i4>0</vt:i4>
      </vt:variant>
      <vt:variant>
        <vt:i4>5</vt:i4>
      </vt:variant>
      <vt:variant>
        <vt:lpwstr>http://www.westlaw.com/Find/Default.wl?rs=dfa1.0&amp;vr=2.0&amp;DB=4493&amp;FindType=Y&amp;SerialNum=2010750907</vt:lpwstr>
      </vt:variant>
      <vt:variant>
        <vt:lpwstr/>
      </vt:variant>
      <vt:variant>
        <vt:i4>2752619</vt:i4>
      </vt:variant>
      <vt:variant>
        <vt:i4>18</vt:i4>
      </vt:variant>
      <vt:variant>
        <vt:i4>0</vt:i4>
      </vt:variant>
      <vt:variant>
        <vt:i4>5</vt:i4>
      </vt:variant>
      <vt:variant>
        <vt:lpwstr>http://www.westlaw.com/Find/Default.wl?rs=dfa1.0&amp;vr=2.0&amp;DB=4493&amp;FindType=Y&amp;SerialNum=2010750907</vt:lpwstr>
      </vt:variant>
      <vt:variant>
        <vt:lpwstr/>
      </vt:variant>
      <vt:variant>
        <vt:i4>2752619</vt:i4>
      </vt:variant>
      <vt:variant>
        <vt:i4>15</vt:i4>
      </vt:variant>
      <vt:variant>
        <vt:i4>0</vt:i4>
      </vt:variant>
      <vt:variant>
        <vt:i4>5</vt:i4>
      </vt:variant>
      <vt:variant>
        <vt:lpwstr>http://www.westlaw.com/Find/Default.wl?rs=dfa1.0&amp;vr=2.0&amp;DB=4493&amp;FindType=Y&amp;SerialNum=2010750907</vt:lpwstr>
      </vt:variant>
      <vt:variant>
        <vt:lpwstr/>
      </vt:variant>
      <vt:variant>
        <vt:i4>2752619</vt:i4>
      </vt:variant>
      <vt:variant>
        <vt:i4>12</vt:i4>
      </vt:variant>
      <vt:variant>
        <vt:i4>0</vt:i4>
      </vt:variant>
      <vt:variant>
        <vt:i4>5</vt:i4>
      </vt:variant>
      <vt:variant>
        <vt:lpwstr>http://www.westlaw.com/Find/Default.wl?rs=dfa1.0&amp;vr=2.0&amp;DB=4493&amp;FindType=Y&amp;SerialNum=2010750907</vt:lpwstr>
      </vt:variant>
      <vt:variant>
        <vt:lpwstr/>
      </vt:variant>
      <vt:variant>
        <vt:i4>2752619</vt:i4>
      </vt:variant>
      <vt:variant>
        <vt:i4>9</vt:i4>
      </vt:variant>
      <vt:variant>
        <vt:i4>0</vt:i4>
      </vt:variant>
      <vt:variant>
        <vt:i4>5</vt:i4>
      </vt:variant>
      <vt:variant>
        <vt:lpwstr>http://www.westlaw.com/Find/Default.wl?rs=dfa1.0&amp;vr=2.0&amp;DB=4493&amp;FindType=Y&amp;SerialNum=2010750907</vt:lpwstr>
      </vt:variant>
      <vt:variant>
        <vt:lpwstr/>
      </vt:variant>
      <vt:variant>
        <vt:i4>2752619</vt:i4>
      </vt:variant>
      <vt:variant>
        <vt:i4>6</vt:i4>
      </vt:variant>
      <vt:variant>
        <vt:i4>0</vt:i4>
      </vt:variant>
      <vt:variant>
        <vt:i4>5</vt:i4>
      </vt:variant>
      <vt:variant>
        <vt:lpwstr>http://www.westlaw.com/Find/Default.wl?rs=dfa1.0&amp;vr=2.0&amp;DB=4493&amp;FindType=Y&amp;SerialNum=2010750907</vt:lpwstr>
      </vt:variant>
      <vt:variant>
        <vt:lpwstr/>
      </vt:variant>
      <vt:variant>
        <vt:i4>2752619</vt:i4>
      </vt:variant>
      <vt:variant>
        <vt:i4>3</vt:i4>
      </vt:variant>
      <vt:variant>
        <vt:i4>0</vt:i4>
      </vt:variant>
      <vt:variant>
        <vt:i4>5</vt:i4>
      </vt:variant>
      <vt:variant>
        <vt:lpwstr>http://www.westlaw.com/Find/Default.wl?rs=dfa1.0&amp;vr=2.0&amp;DB=4493&amp;FindType=Y&amp;SerialNum=2010750907</vt:lpwstr>
      </vt:variant>
      <vt:variant>
        <vt:lpwstr/>
      </vt:variant>
      <vt:variant>
        <vt:i4>2752619</vt:i4>
      </vt:variant>
      <vt:variant>
        <vt:i4>0</vt:i4>
      </vt:variant>
      <vt:variant>
        <vt:i4>0</vt:i4>
      </vt:variant>
      <vt:variant>
        <vt:i4>5</vt:i4>
      </vt:variant>
      <vt:variant>
        <vt:lpwstr>http://www.westlaw.com/Find/Default.wl?rs=dfa1.0&amp;vr=2.0&amp;DB=4493&amp;FindType=Y&amp;SerialNum=2010750907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2014-01-09T19:44:00Z</cp:lastPrinted>
  <dcterms:created xsi:type="dcterms:W3CDTF">2014-02-28T18:01:00Z</dcterms:created>
  <dcterms:modified xsi:type="dcterms:W3CDTF">2014-02-28T18:01:00Z</dcterms:modified>
  <cp:category> </cp:category>
  <cp:contentStatus> </cp:contentStatus>
</cp:coreProperties>
</file>