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75" w:rsidRDefault="00985975" w:rsidP="00364309">
      <w:pPr>
        <w:jc w:val="center"/>
        <w:rPr>
          <w:b/>
        </w:rPr>
      </w:pPr>
      <w:bookmarkStart w:id="0" w:name="_GoBack"/>
      <w:bookmarkEnd w:id="0"/>
    </w:p>
    <w:p w:rsidR="008217FE" w:rsidRDefault="008217FE" w:rsidP="00364309">
      <w:pPr>
        <w:jc w:val="center"/>
        <w:rPr>
          <w:b/>
        </w:rPr>
      </w:pPr>
      <w:r>
        <w:rPr>
          <w:b/>
        </w:rPr>
        <w:t>Before the</w:t>
      </w:r>
    </w:p>
    <w:p w:rsidR="008217FE" w:rsidRDefault="008217FE" w:rsidP="00364309">
      <w:pPr>
        <w:jc w:val="center"/>
        <w:rPr>
          <w:b/>
        </w:rPr>
      </w:pPr>
      <w:r>
        <w:rPr>
          <w:b/>
        </w:rPr>
        <w:t>Federal Communications Commission</w:t>
      </w:r>
    </w:p>
    <w:p w:rsidR="008217FE" w:rsidRDefault="008217FE" w:rsidP="00364309">
      <w:pPr>
        <w:jc w:val="center"/>
        <w:rPr>
          <w:b/>
        </w:rPr>
      </w:pPr>
      <w:r>
        <w:rPr>
          <w:b/>
        </w:rPr>
        <w:t>Washington, D.C. 20554</w:t>
      </w:r>
    </w:p>
    <w:p w:rsidR="008217FE" w:rsidRDefault="008217FE" w:rsidP="00364309"/>
    <w:tbl>
      <w:tblPr>
        <w:tblW w:w="9648" w:type="dxa"/>
        <w:tblLayout w:type="fixed"/>
        <w:tblLook w:val="0000" w:firstRow="0" w:lastRow="0" w:firstColumn="0" w:lastColumn="0" w:noHBand="0" w:noVBand="0"/>
      </w:tblPr>
      <w:tblGrid>
        <w:gridCol w:w="4698"/>
        <w:gridCol w:w="720"/>
        <w:gridCol w:w="4230"/>
      </w:tblGrid>
      <w:tr w:rsidR="008217FE" w:rsidTr="0093611E">
        <w:tc>
          <w:tcPr>
            <w:tcW w:w="4698" w:type="dxa"/>
          </w:tcPr>
          <w:p w:rsidR="008217FE" w:rsidRDefault="0068278D" w:rsidP="00364309">
            <w:pPr>
              <w:ind w:right="-18"/>
            </w:pPr>
            <w:r>
              <w:t>In the M</w:t>
            </w:r>
            <w:r w:rsidR="008217FE">
              <w:t>atter of</w:t>
            </w:r>
          </w:p>
          <w:p w:rsidR="008217FE" w:rsidRDefault="008217FE" w:rsidP="00364309">
            <w:pPr>
              <w:ind w:right="-18"/>
            </w:pPr>
          </w:p>
          <w:p w:rsidR="000F5CCE" w:rsidRDefault="003169E8" w:rsidP="00364309">
            <w:pPr>
              <w:ind w:right="-18"/>
            </w:pPr>
            <w:r>
              <w:t xml:space="preserve">Central Arkansas Telephone </w:t>
            </w:r>
            <w:r w:rsidR="000F5CCE">
              <w:t>Cooperative, Inc.</w:t>
            </w:r>
          </w:p>
          <w:p w:rsidR="000F5CCE" w:rsidRDefault="000F5CCE" w:rsidP="00364309">
            <w:pPr>
              <w:ind w:right="-18"/>
            </w:pPr>
          </w:p>
          <w:p w:rsidR="000F5CCE" w:rsidRDefault="007F63DF" w:rsidP="00364309">
            <w:pPr>
              <w:ind w:right="-18"/>
            </w:pPr>
            <w:r>
              <w:t>Request</w:t>
            </w:r>
            <w:r w:rsidR="000F5CCE">
              <w:t xml:space="preserve"> </w:t>
            </w:r>
            <w:r w:rsidR="00234A13">
              <w:t xml:space="preserve">for Authority </w:t>
            </w:r>
            <w:r w:rsidR="000F5CCE">
              <w:t xml:space="preserve">to Include </w:t>
            </w:r>
            <w:r w:rsidR="00234A13">
              <w:t xml:space="preserve">in its Rate Base </w:t>
            </w:r>
            <w:r w:rsidR="000F5CCE">
              <w:t xml:space="preserve">the Interstate Portion of </w:t>
            </w:r>
            <w:r w:rsidR="00234A13">
              <w:t xml:space="preserve">the </w:t>
            </w:r>
            <w:r w:rsidR="00A53AC9">
              <w:t xml:space="preserve">Prepaid </w:t>
            </w:r>
            <w:r w:rsidR="007B31FB">
              <w:t xml:space="preserve">Accumulated </w:t>
            </w:r>
            <w:r w:rsidR="00A53AC9">
              <w:t>Post</w:t>
            </w:r>
            <w:r w:rsidR="00726782">
              <w:t>r</w:t>
            </w:r>
            <w:r w:rsidR="00A53AC9">
              <w:t>etirement Benefit</w:t>
            </w:r>
            <w:r w:rsidR="007B31FB">
              <w:t>s</w:t>
            </w:r>
            <w:r w:rsidR="00A53AC9">
              <w:t xml:space="preserve"> Recorded in </w:t>
            </w:r>
            <w:r w:rsidR="000F5CCE">
              <w:t>Account 1410</w:t>
            </w:r>
            <w:r w:rsidR="00A53AC9">
              <w:t>,</w:t>
            </w:r>
            <w:r w:rsidR="000F5CCE">
              <w:t xml:space="preserve"> </w:t>
            </w:r>
            <w:r w:rsidR="007B31FB">
              <w:t>Other Noncurrent Assets</w:t>
            </w:r>
          </w:p>
        </w:tc>
        <w:tc>
          <w:tcPr>
            <w:tcW w:w="720" w:type="dxa"/>
          </w:tcPr>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r w:rsidRPr="00046C70">
              <w:t>)</w:t>
            </w:r>
          </w:p>
          <w:p w:rsidR="008217FE" w:rsidRPr="00046C70" w:rsidRDefault="008217FE" w:rsidP="00364309"/>
          <w:p w:rsidR="00056A60" w:rsidRPr="00046C70" w:rsidRDefault="00056A60" w:rsidP="00364309"/>
        </w:tc>
        <w:tc>
          <w:tcPr>
            <w:tcW w:w="4230" w:type="dxa"/>
          </w:tcPr>
          <w:p w:rsidR="008217FE" w:rsidRDefault="008217FE" w:rsidP="00364309"/>
          <w:p w:rsidR="008217FE" w:rsidRDefault="008217FE" w:rsidP="00364309"/>
          <w:p w:rsidR="008217FE" w:rsidRDefault="008217FE" w:rsidP="00364309"/>
          <w:p w:rsidR="00400090" w:rsidRDefault="00400090" w:rsidP="00364309">
            <w:pPr>
              <w:rPr>
                <w:spacing w:val="-2"/>
              </w:rPr>
            </w:pPr>
            <w:r>
              <w:rPr>
                <w:spacing w:val="-2"/>
              </w:rPr>
              <w:t>WC Docket No. 1</w:t>
            </w:r>
            <w:r w:rsidR="00146892">
              <w:rPr>
                <w:spacing w:val="-2"/>
              </w:rPr>
              <w:t>4</w:t>
            </w:r>
            <w:r>
              <w:rPr>
                <w:spacing w:val="-2"/>
              </w:rPr>
              <w:t>-3</w:t>
            </w:r>
          </w:p>
          <w:p w:rsidR="008217FE" w:rsidRDefault="00D3444A" w:rsidP="00364309">
            <w:r>
              <w:rPr>
                <w:spacing w:val="-2"/>
              </w:rPr>
              <w:t xml:space="preserve">WCB/Pricing </w:t>
            </w:r>
            <w:r w:rsidR="00A644B8">
              <w:rPr>
                <w:spacing w:val="-2"/>
              </w:rPr>
              <w:t>No. 13-2</w:t>
            </w:r>
          </w:p>
        </w:tc>
      </w:tr>
    </w:tbl>
    <w:p w:rsidR="008217FE" w:rsidRDefault="00046C70" w:rsidP="00364309">
      <w:pPr>
        <w:spacing w:before="120"/>
        <w:jc w:val="center"/>
        <w:rPr>
          <w:b/>
        </w:rPr>
      </w:pPr>
      <w:r>
        <w:rPr>
          <w:b/>
          <w:spacing w:val="-2"/>
        </w:rPr>
        <w:t xml:space="preserve">MEMORANDUM OPINION AND </w:t>
      </w:r>
      <w:r w:rsidR="000F5CCE">
        <w:rPr>
          <w:b/>
          <w:spacing w:val="-2"/>
        </w:rPr>
        <w:t>ORDER</w:t>
      </w:r>
    </w:p>
    <w:p w:rsidR="008217FE" w:rsidRDefault="008217FE" w:rsidP="00364309"/>
    <w:p w:rsidR="008217FE" w:rsidRDefault="008217FE" w:rsidP="00364309">
      <w:pPr>
        <w:tabs>
          <w:tab w:val="left" w:pos="5760"/>
        </w:tabs>
        <w:rPr>
          <w:b/>
        </w:rPr>
      </w:pPr>
      <w:r>
        <w:rPr>
          <w:b/>
        </w:rPr>
        <w:t xml:space="preserve">Adopted:  </w:t>
      </w:r>
      <w:r w:rsidR="00EA43FC" w:rsidRPr="0001081B">
        <w:rPr>
          <w:b/>
        </w:rPr>
        <w:t xml:space="preserve">February </w:t>
      </w:r>
      <w:r w:rsidR="0001081B" w:rsidRPr="0001081B">
        <w:rPr>
          <w:b/>
        </w:rPr>
        <w:t>28</w:t>
      </w:r>
      <w:r w:rsidR="0068278D" w:rsidRPr="0001081B">
        <w:rPr>
          <w:b/>
          <w:spacing w:val="-2"/>
        </w:rPr>
        <w:t>, 20</w:t>
      </w:r>
      <w:r w:rsidR="003169E8" w:rsidRPr="0001081B">
        <w:rPr>
          <w:b/>
          <w:spacing w:val="-2"/>
        </w:rPr>
        <w:t>1</w:t>
      </w:r>
      <w:r w:rsidR="00A644B8" w:rsidRPr="0001081B">
        <w:rPr>
          <w:b/>
          <w:spacing w:val="-2"/>
        </w:rPr>
        <w:t>4</w:t>
      </w:r>
      <w:r>
        <w:rPr>
          <w:b/>
        </w:rPr>
        <w:tab/>
      </w:r>
      <w:r w:rsidR="0001081B">
        <w:rPr>
          <w:b/>
        </w:rPr>
        <w:tab/>
      </w:r>
      <w:r>
        <w:rPr>
          <w:b/>
        </w:rPr>
        <w:t xml:space="preserve">Released:  </w:t>
      </w:r>
      <w:r w:rsidR="00EA43FC" w:rsidRPr="0001081B">
        <w:rPr>
          <w:b/>
        </w:rPr>
        <w:t xml:space="preserve">February </w:t>
      </w:r>
      <w:r w:rsidR="0001081B" w:rsidRPr="0001081B">
        <w:rPr>
          <w:b/>
        </w:rPr>
        <w:t>28</w:t>
      </w:r>
      <w:r w:rsidR="003169E8" w:rsidRPr="0001081B">
        <w:rPr>
          <w:b/>
        </w:rPr>
        <w:t xml:space="preserve">, </w:t>
      </w:r>
      <w:r w:rsidR="0068278D" w:rsidRPr="0001081B">
        <w:rPr>
          <w:b/>
          <w:spacing w:val="-2"/>
        </w:rPr>
        <w:t>20</w:t>
      </w:r>
      <w:r w:rsidR="003169E8" w:rsidRPr="0001081B">
        <w:rPr>
          <w:b/>
          <w:spacing w:val="-2"/>
        </w:rPr>
        <w:t>1</w:t>
      </w:r>
      <w:r w:rsidR="00A644B8" w:rsidRPr="0001081B">
        <w:rPr>
          <w:b/>
          <w:spacing w:val="-2"/>
        </w:rPr>
        <w:t>4</w:t>
      </w:r>
    </w:p>
    <w:p w:rsidR="008217FE" w:rsidRDefault="008217FE" w:rsidP="00364309">
      <w:pPr>
        <w:tabs>
          <w:tab w:val="left" w:pos="5760"/>
        </w:tabs>
        <w:rPr>
          <w:b/>
        </w:rPr>
      </w:pPr>
    </w:p>
    <w:p w:rsidR="008217FE" w:rsidRDefault="008217FE" w:rsidP="00364309">
      <w:pPr>
        <w:tabs>
          <w:tab w:val="left" w:pos="5760"/>
        </w:tabs>
      </w:pPr>
      <w:r>
        <w:t>By the</w:t>
      </w:r>
      <w:r w:rsidR="00A644B8">
        <w:t xml:space="preserve"> Chief, Wireline Competition Bureau</w:t>
      </w:r>
    </w:p>
    <w:p w:rsidR="00056A60" w:rsidRDefault="00056A60" w:rsidP="00364309">
      <w:pPr>
        <w:pStyle w:val="Heading1"/>
        <w:widowControl/>
        <w:numPr>
          <w:ilvl w:val="0"/>
          <w:numId w:val="0"/>
        </w:numPr>
        <w:jc w:val="center"/>
      </w:pPr>
    </w:p>
    <w:p w:rsidR="00E55E84" w:rsidRDefault="000F5CCE" w:rsidP="00364309">
      <w:pPr>
        <w:pStyle w:val="Heading1"/>
        <w:widowControl/>
        <w:jc w:val="left"/>
      </w:pPr>
      <w:r>
        <w:t>INTRODUCTION</w:t>
      </w:r>
    </w:p>
    <w:p w:rsidR="007E041A" w:rsidRPr="007E041A" w:rsidRDefault="000F5CCE" w:rsidP="00364309">
      <w:pPr>
        <w:pStyle w:val="ParaNum"/>
        <w:widowControl/>
        <w:jc w:val="left"/>
      </w:pPr>
      <w:r>
        <w:t xml:space="preserve">On </w:t>
      </w:r>
      <w:r w:rsidR="003169E8">
        <w:t>May 9, 2012</w:t>
      </w:r>
      <w:r>
        <w:t xml:space="preserve">, </w:t>
      </w:r>
      <w:r w:rsidR="003169E8">
        <w:t xml:space="preserve">Central Arkansas Telephone </w:t>
      </w:r>
      <w:r w:rsidR="00D3444A">
        <w:t xml:space="preserve">Cooperative </w:t>
      </w:r>
      <w:r>
        <w:t>Inc.</w:t>
      </w:r>
      <w:r w:rsidR="00241CCD">
        <w:t>,</w:t>
      </w:r>
      <w:r w:rsidR="00A53AC9">
        <w:t xml:space="preserve"> (</w:t>
      </w:r>
      <w:r w:rsidR="003169E8">
        <w:t>Central Arkansas</w:t>
      </w:r>
      <w:r w:rsidR="00A53AC9">
        <w:t>) request</w:t>
      </w:r>
      <w:r w:rsidR="00D3444A">
        <w:t>ed</w:t>
      </w:r>
      <w:r w:rsidR="007B2D20">
        <w:t xml:space="preserve"> </w:t>
      </w:r>
      <w:r w:rsidR="0073728C">
        <w:t xml:space="preserve">Commission </w:t>
      </w:r>
      <w:r w:rsidR="007B2D20">
        <w:t xml:space="preserve">approval to include </w:t>
      </w:r>
      <w:r w:rsidR="00E060A4">
        <w:t>in its rate base</w:t>
      </w:r>
      <w:r w:rsidR="007B2D20">
        <w:t xml:space="preserve"> the interstate portion of </w:t>
      </w:r>
      <w:r w:rsidR="00241CCD">
        <w:t>prepaid</w:t>
      </w:r>
      <w:r w:rsidR="007B2D20">
        <w:t xml:space="preserve"> postretirement health </w:t>
      </w:r>
      <w:r w:rsidR="0061166C">
        <w:t xml:space="preserve">care and life insurance </w:t>
      </w:r>
      <w:r w:rsidR="007B2D20">
        <w:t>benefits</w:t>
      </w:r>
      <w:r w:rsidR="00241CCD">
        <w:t xml:space="preserve"> recorded in Account 1410, Other noncurrent assets</w:t>
      </w:r>
      <w:r w:rsidR="00E060A4">
        <w:t>.</w:t>
      </w:r>
      <w:r w:rsidR="00A53AC9">
        <w:rPr>
          <w:rStyle w:val="FootnoteReference"/>
        </w:rPr>
        <w:footnoteReference w:id="2"/>
      </w:r>
      <w:r w:rsidR="00241CCD">
        <w:t xml:space="preserve"> </w:t>
      </w:r>
      <w:r w:rsidR="00E060A4" w:rsidRPr="007E041A">
        <w:rPr>
          <w:rStyle w:val="MessageHeaderLabel"/>
          <w:rFonts w:ascii="Times New Roman" w:hAnsi="Times New Roman"/>
          <w:b w:val="0"/>
          <w:sz w:val="24"/>
        </w:rPr>
        <w:t xml:space="preserve"> </w:t>
      </w:r>
      <w:r w:rsidR="007E041A" w:rsidRPr="007E041A">
        <w:t xml:space="preserve">As discussed below, we grant Central Arkansas’ </w:t>
      </w:r>
      <w:r w:rsidR="00675DD3">
        <w:t xml:space="preserve">unopposed </w:t>
      </w:r>
      <w:r w:rsidR="007E041A" w:rsidRPr="007E041A">
        <w:t>request.</w:t>
      </w:r>
      <w:r w:rsidR="00675DD3">
        <w:rPr>
          <w:rStyle w:val="FootnoteReference"/>
        </w:rPr>
        <w:footnoteReference w:id="3"/>
      </w:r>
      <w:r w:rsidR="007E041A" w:rsidRPr="007E041A">
        <w:t xml:space="preserve">  </w:t>
      </w:r>
    </w:p>
    <w:p w:rsidR="00B92DFA" w:rsidRPr="00B92DFA" w:rsidRDefault="00B92DFA" w:rsidP="00364309">
      <w:pPr>
        <w:pStyle w:val="Heading1"/>
        <w:widowControl/>
        <w:jc w:val="left"/>
      </w:pPr>
      <w:r w:rsidRPr="00B92DFA">
        <w:t>BACKGROUND</w:t>
      </w:r>
    </w:p>
    <w:p w:rsidR="001C36C4" w:rsidRPr="00230E19" w:rsidRDefault="001C36C4" w:rsidP="00364309">
      <w:pPr>
        <w:pStyle w:val="ParaNum"/>
        <w:widowControl/>
        <w:jc w:val="left"/>
        <w:rPr>
          <w:spacing w:val="-4"/>
          <w:szCs w:val="22"/>
        </w:rPr>
      </w:pPr>
      <w:r>
        <w:rPr>
          <w:szCs w:val="22"/>
        </w:rPr>
        <w:t xml:space="preserve">Under the Commission’s rules, noncurrent assets recorded in Account 1410 may be included in </w:t>
      </w:r>
      <w:r w:rsidR="00212D4D">
        <w:rPr>
          <w:szCs w:val="22"/>
        </w:rPr>
        <w:t xml:space="preserve">a carrier’s </w:t>
      </w:r>
      <w:r>
        <w:rPr>
          <w:szCs w:val="22"/>
        </w:rPr>
        <w:t xml:space="preserve">rate base when </w:t>
      </w:r>
      <w:r w:rsidR="00212D4D">
        <w:rPr>
          <w:szCs w:val="22"/>
        </w:rPr>
        <w:t>the</w:t>
      </w:r>
      <w:r>
        <w:rPr>
          <w:szCs w:val="22"/>
        </w:rPr>
        <w:t xml:space="preserve"> carrier makes a showing that th</w:t>
      </w:r>
      <w:r w:rsidR="00106874">
        <w:rPr>
          <w:szCs w:val="22"/>
        </w:rPr>
        <w:t>o</w:t>
      </w:r>
      <w:r>
        <w:rPr>
          <w:szCs w:val="22"/>
        </w:rPr>
        <w:t>se assets are used</w:t>
      </w:r>
      <w:r w:rsidR="00E44B2B">
        <w:rPr>
          <w:szCs w:val="22"/>
        </w:rPr>
        <w:t>-</w:t>
      </w:r>
      <w:r>
        <w:rPr>
          <w:szCs w:val="22"/>
        </w:rPr>
        <w:t>and</w:t>
      </w:r>
      <w:r w:rsidR="00E44B2B">
        <w:rPr>
          <w:szCs w:val="22"/>
        </w:rPr>
        <w:t>-</w:t>
      </w:r>
      <w:r>
        <w:rPr>
          <w:szCs w:val="22"/>
        </w:rPr>
        <w:t>useful in the provision of telecommunications services</w:t>
      </w:r>
      <w:r w:rsidR="002F6118">
        <w:rPr>
          <w:szCs w:val="22"/>
        </w:rPr>
        <w:t xml:space="preserve"> and specifically obtains Commission approval for inclusion</w:t>
      </w:r>
      <w:r>
        <w:rPr>
          <w:szCs w:val="22"/>
        </w:rPr>
        <w:t>.</w:t>
      </w:r>
      <w:r w:rsidR="002F6118">
        <w:rPr>
          <w:rStyle w:val="FootnoteReference"/>
          <w:szCs w:val="22"/>
        </w:rPr>
        <w:footnoteReference w:id="4"/>
      </w:r>
      <w:r>
        <w:rPr>
          <w:szCs w:val="22"/>
        </w:rPr>
        <w:t xml:space="preserve">  The treatment sought for </w:t>
      </w:r>
      <w:r w:rsidR="00726782">
        <w:rPr>
          <w:szCs w:val="22"/>
        </w:rPr>
        <w:t xml:space="preserve">other (non-pension) </w:t>
      </w:r>
      <w:r>
        <w:rPr>
          <w:szCs w:val="22"/>
        </w:rPr>
        <w:t xml:space="preserve">prepaid </w:t>
      </w:r>
      <w:r w:rsidR="002F6118">
        <w:rPr>
          <w:szCs w:val="22"/>
        </w:rPr>
        <w:t>postretirement benefit (</w:t>
      </w:r>
      <w:r>
        <w:rPr>
          <w:szCs w:val="22"/>
        </w:rPr>
        <w:t>OPEB</w:t>
      </w:r>
      <w:r w:rsidR="002F6118">
        <w:rPr>
          <w:szCs w:val="22"/>
        </w:rPr>
        <w:t>)</w:t>
      </w:r>
      <w:r>
        <w:rPr>
          <w:szCs w:val="22"/>
        </w:rPr>
        <w:t xml:space="preserve"> costs recorded in Account 1410 is similar to that for prepaid pension costs.  A certain amount of prepaid pension costs is allowed in the rate base because pension fund prepayments in excess of the cost calculation earn a return which benefits the ratepayer by reducing later expenses.</w:t>
      </w:r>
      <w:r>
        <w:rPr>
          <w:rStyle w:val="FootnoteReference"/>
          <w:szCs w:val="22"/>
        </w:rPr>
        <w:footnoteReference w:id="5"/>
      </w:r>
      <w:r>
        <w:rPr>
          <w:szCs w:val="22"/>
        </w:rPr>
        <w:t xml:space="preserve">  That rationale applies equally to prepaid OPEB costs.  Thus, prepaid OPEB costs that meet the used</w:t>
      </w:r>
      <w:r w:rsidR="00E44B2B">
        <w:rPr>
          <w:szCs w:val="22"/>
        </w:rPr>
        <w:t>-</w:t>
      </w:r>
      <w:r>
        <w:rPr>
          <w:szCs w:val="22"/>
        </w:rPr>
        <w:t>and</w:t>
      </w:r>
      <w:r w:rsidR="00E44B2B">
        <w:rPr>
          <w:szCs w:val="22"/>
        </w:rPr>
        <w:t>-</w:t>
      </w:r>
      <w:r>
        <w:rPr>
          <w:szCs w:val="22"/>
        </w:rPr>
        <w:t>useful standard will be allowed, similar to prepaid pension costs.</w:t>
      </w:r>
    </w:p>
    <w:p w:rsidR="007F63DF" w:rsidRPr="0073728C" w:rsidRDefault="000648B9" w:rsidP="00364309">
      <w:pPr>
        <w:pStyle w:val="ParaNum"/>
        <w:widowControl/>
        <w:jc w:val="left"/>
        <w:rPr>
          <w:szCs w:val="22"/>
        </w:rPr>
      </w:pPr>
      <w:r>
        <w:rPr>
          <w:szCs w:val="22"/>
        </w:rPr>
        <w:lastRenderedPageBreak/>
        <w:t xml:space="preserve">The Commission has favorably considered requests from several carriers for authority to include in their rate bases the interstate portion of OPEBs recorded in Account 1410.  </w:t>
      </w:r>
      <w:r w:rsidR="0018575D">
        <w:rPr>
          <w:szCs w:val="22"/>
        </w:rPr>
        <w:t>On March 4, 2006, the Commission approved a request by Roosevelt County Rural Telephone Cooperative Inc. (Roosevelt) to include in its rate base the interstate portion of prepaid postretirement health benefits recorded in Account 1410, Other noncurrent assets.</w:t>
      </w:r>
      <w:r w:rsidR="0018575D">
        <w:rPr>
          <w:rStyle w:val="FootnoteReference"/>
          <w:szCs w:val="22"/>
        </w:rPr>
        <w:footnoteReference w:id="6"/>
      </w:r>
      <w:r w:rsidR="0018575D">
        <w:rPr>
          <w:szCs w:val="22"/>
        </w:rPr>
        <w:t xml:space="preserve">  The Commission concluded that Roosevelt had demonstrated that the prepaid OPEB costs recorded in Account 1410 met the used-and-useful standard</w:t>
      </w:r>
      <w:r w:rsidR="00DB36E1">
        <w:rPr>
          <w:szCs w:val="22"/>
        </w:rPr>
        <w:t>.</w:t>
      </w:r>
      <w:r w:rsidR="00DB36E1">
        <w:rPr>
          <w:rStyle w:val="FootnoteReference"/>
          <w:szCs w:val="22"/>
        </w:rPr>
        <w:footnoteReference w:id="7"/>
      </w:r>
      <w:r w:rsidR="002470D7">
        <w:rPr>
          <w:szCs w:val="22"/>
        </w:rPr>
        <w:t xml:space="preserve">  </w:t>
      </w:r>
      <w:r w:rsidR="00CF18EB">
        <w:rPr>
          <w:szCs w:val="22"/>
        </w:rPr>
        <w:t>Similarly, on February 1, 2008, the Bureau approved requests by ten carriers to include in their rate base</w:t>
      </w:r>
      <w:r w:rsidR="00D71E9C">
        <w:rPr>
          <w:szCs w:val="22"/>
        </w:rPr>
        <w:t>s</w:t>
      </w:r>
      <w:r w:rsidR="00CF18EB">
        <w:rPr>
          <w:szCs w:val="22"/>
        </w:rPr>
        <w:t xml:space="preserve"> the interstate portion of prepaid OPEBs in Account 1410.</w:t>
      </w:r>
      <w:r w:rsidR="00CF18EB">
        <w:rPr>
          <w:rStyle w:val="FootnoteReference"/>
          <w:szCs w:val="22"/>
        </w:rPr>
        <w:footnoteReference w:id="8"/>
      </w:r>
    </w:p>
    <w:p w:rsidR="00DB554F" w:rsidRPr="00DB554F" w:rsidRDefault="00DB554F" w:rsidP="00364309">
      <w:pPr>
        <w:pStyle w:val="Heading1"/>
        <w:widowControl/>
        <w:jc w:val="left"/>
      </w:pPr>
      <w:r w:rsidRPr="00DB554F">
        <w:t>DISCUSSION</w:t>
      </w:r>
    </w:p>
    <w:p w:rsidR="00937731" w:rsidRDefault="005A58F0" w:rsidP="00364309">
      <w:pPr>
        <w:pStyle w:val="ParaNum"/>
        <w:widowControl/>
        <w:jc w:val="left"/>
        <w:rPr>
          <w:szCs w:val="22"/>
        </w:rPr>
      </w:pPr>
      <w:r>
        <w:rPr>
          <w:szCs w:val="22"/>
        </w:rPr>
        <w:t>Central Arkansas</w:t>
      </w:r>
      <w:r w:rsidR="00D07556">
        <w:rPr>
          <w:szCs w:val="22"/>
        </w:rPr>
        <w:t xml:space="preserve"> offers postretirement health</w:t>
      </w:r>
      <w:r w:rsidR="00EE6089">
        <w:rPr>
          <w:szCs w:val="22"/>
        </w:rPr>
        <w:t xml:space="preserve"> care and life </w:t>
      </w:r>
      <w:r w:rsidR="00D07556">
        <w:rPr>
          <w:szCs w:val="22"/>
        </w:rPr>
        <w:t>insurance</w:t>
      </w:r>
      <w:r w:rsidR="0024557B" w:rsidRPr="0024557B">
        <w:rPr>
          <w:szCs w:val="22"/>
        </w:rPr>
        <w:t xml:space="preserve"> </w:t>
      </w:r>
      <w:r w:rsidR="0024557B">
        <w:rPr>
          <w:szCs w:val="22"/>
        </w:rPr>
        <w:t>benefits to its employees</w:t>
      </w:r>
      <w:r w:rsidR="00D07556">
        <w:rPr>
          <w:szCs w:val="22"/>
        </w:rPr>
        <w:t>.  Th</w:t>
      </w:r>
      <w:r w:rsidR="0024557B">
        <w:rPr>
          <w:szCs w:val="22"/>
        </w:rPr>
        <w:t>e</w:t>
      </w:r>
      <w:r w:rsidR="00D07556">
        <w:rPr>
          <w:szCs w:val="22"/>
        </w:rPr>
        <w:t>s</w:t>
      </w:r>
      <w:r w:rsidR="0024557B">
        <w:rPr>
          <w:szCs w:val="22"/>
        </w:rPr>
        <w:t>e</w:t>
      </w:r>
      <w:r w:rsidR="00D07556">
        <w:rPr>
          <w:szCs w:val="22"/>
        </w:rPr>
        <w:t xml:space="preserve"> benefit</w:t>
      </w:r>
      <w:r w:rsidR="0024557B">
        <w:rPr>
          <w:szCs w:val="22"/>
        </w:rPr>
        <w:t>s</w:t>
      </w:r>
      <w:r w:rsidR="00D07556">
        <w:rPr>
          <w:szCs w:val="22"/>
        </w:rPr>
        <w:t xml:space="preserve"> </w:t>
      </w:r>
      <w:r w:rsidR="0024557B">
        <w:rPr>
          <w:szCs w:val="22"/>
        </w:rPr>
        <w:t>are</w:t>
      </w:r>
      <w:r w:rsidR="00D07556">
        <w:rPr>
          <w:szCs w:val="22"/>
        </w:rPr>
        <w:t xml:space="preserve"> funded through a prefunding trust sponsored by the National Tele</w:t>
      </w:r>
      <w:r w:rsidR="00212D4D">
        <w:rPr>
          <w:szCs w:val="22"/>
        </w:rPr>
        <w:t>communications</w:t>
      </w:r>
      <w:r w:rsidR="00D07556">
        <w:rPr>
          <w:szCs w:val="22"/>
        </w:rPr>
        <w:t xml:space="preserve"> Cooperative Association (NTCA).</w:t>
      </w:r>
      <w:r w:rsidR="00402002">
        <w:rPr>
          <w:rStyle w:val="FootnoteReference"/>
          <w:szCs w:val="22"/>
        </w:rPr>
        <w:footnoteReference w:id="9"/>
      </w:r>
      <w:r w:rsidR="00D07556">
        <w:rPr>
          <w:szCs w:val="22"/>
        </w:rPr>
        <w:t xml:space="preserve">  As of December 31, 20</w:t>
      </w:r>
      <w:r w:rsidR="00EE6089">
        <w:rPr>
          <w:szCs w:val="22"/>
        </w:rPr>
        <w:t>11</w:t>
      </w:r>
      <w:r w:rsidR="00D07556">
        <w:rPr>
          <w:szCs w:val="22"/>
        </w:rPr>
        <w:t xml:space="preserve">, </w:t>
      </w:r>
      <w:r w:rsidR="00EE6089">
        <w:rPr>
          <w:szCs w:val="22"/>
        </w:rPr>
        <w:t xml:space="preserve">Central Arkansas’ </w:t>
      </w:r>
      <w:r w:rsidR="00D07556">
        <w:rPr>
          <w:szCs w:val="22"/>
        </w:rPr>
        <w:t>fi</w:t>
      </w:r>
      <w:r w:rsidR="00632DAA">
        <w:rPr>
          <w:szCs w:val="22"/>
        </w:rPr>
        <w:t>nancial statements reflected an</w:t>
      </w:r>
      <w:r w:rsidR="00D07556">
        <w:rPr>
          <w:szCs w:val="22"/>
        </w:rPr>
        <w:t xml:space="preserve"> OPEB-related balance in Account 1410 of $</w:t>
      </w:r>
      <w:r w:rsidR="00EE6089">
        <w:rPr>
          <w:szCs w:val="22"/>
        </w:rPr>
        <w:t>1,518,069</w:t>
      </w:r>
      <w:r w:rsidR="00D07556">
        <w:rPr>
          <w:szCs w:val="22"/>
        </w:rPr>
        <w:t>.</w:t>
      </w:r>
      <w:r w:rsidR="00402002">
        <w:rPr>
          <w:rStyle w:val="FootnoteReference"/>
          <w:szCs w:val="22"/>
        </w:rPr>
        <w:footnoteReference w:id="10"/>
      </w:r>
      <w:r w:rsidR="00D07556">
        <w:rPr>
          <w:szCs w:val="22"/>
        </w:rPr>
        <w:t xml:space="preserve">  In accordance with section 65.820(c) </w:t>
      </w:r>
      <w:r w:rsidR="007303A3">
        <w:rPr>
          <w:szCs w:val="22"/>
        </w:rPr>
        <w:t xml:space="preserve">of </w:t>
      </w:r>
      <w:r w:rsidR="0024557B">
        <w:rPr>
          <w:szCs w:val="22"/>
        </w:rPr>
        <w:t>the Commission’s</w:t>
      </w:r>
      <w:r w:rsidR="007303A3">
        <w:rPr>
          <w:szCs w:val="22"/>
        </w:rPr>
        <w:t xml:space="preserve"> rules, </w:t>
      </w:r>
      <w:r w:rsidR="00EE6089">
        <w:rPr>
          <w:szCs w:val="22"/>
        </w:rPr>
        <w:t>Central Arkansas</w:t>
      </w:r>
      <w:r w:rsidR="007303A3">
        <w:rPr>
          <w:szCs w:val="22"/>
        </w:rPr>
        <w:t xml:space="preserve"> seeks approval to include the interstate portion of the prepaid OPEB amounts in </w:t>
      </w:r>
      <w:r w:rsidR="0024557B">
        <w:rPr>
          <w:szCs w:val="22"/>
        </w:rPr>
        <w:t>i</w:t>
      </w:r>
      <w:r w:rsidR="007303A3">
        <w:rPr>
          <w:szCs w:val="22"/>
        </w:rPr>
        <w:t>t</w:t>
      </w:r>
      <w:r w:rsidR="0024557B">
        <w:rPr>
          <w:szCs w:val="22"/>
        </w:rPr>
        <w:t>s</w:t>
      </w:r>
      <w:r w:rsidR="007303A3">
        <w:rPr>
          <w:szCs w:val="22"/>
        </w:rPr>
        <w:t xml:space="preserve"> rate base, beginning with the date the prepayments were made.  </w:t>
      </w:r>
      <w:r w:rsidR="00EE6089">
        <w:rPr>
          <w:szCs w:val="22"/>
        </w:rPr>
        <w:t>Central Arkansas</w:t>
      </w:r>
      <w:r w:rsidR="007303A3">
        <w:rPr>
          <w:szCs w:val="22"/>
        </w:rPr>
        <w:t xml:space="preserve"> states that the prepayments associated with the OPEB</w:t>
      </w:r>
      <w:r w:rsidR="00402002">
        <w:rPr>
          <w:szCs w:val="22"/>
        </w:rPr>
        <w:t xml:space="preserve"> costs</w:t>
      </w:r>
      <w:r w:rsidR="007303A3">
        <w:rPr>
          <w:szCs w:val="22"/>
        </w:rPr>
        <w:t xml:space="preserve"> will reduce future expenses, and </w:t>
      </w:r>
      <w:r w:rsidR="00402002">
        <w:rPr>
          <w:szCs w:val="22"/>
        </w:rPr>
        <w:t xml:space="preserve">it </w:t>
      </w:r>
      <w:r w:rsidR="007303A3">
        <w:rPr>
          <w:szCs w:val="22"/>
        </w:rPr>
        <w:t>include</w:t>
      </w:r>
      <w:r w:rsidR="00246EB7">
        <w:rPr>
          <w:szCs w:val="22"/>
        </w:rPr>
        <w:t>s</w:t>
      </w:r>
      <w:r w:rsidR="007303A3">
        <w:rPr>
          <w:szCs w:val="22"/>
        </w:rPr>
        <w:t xml:space="preserve"> a memorandum from the NTCA Benefits Administrator confirming the reduction in expenses.</w:t>
      </w:r>
      <w:r w:rsidR="00246EB7">
        <w:rPr>
          <w:rStyle w:val="FootnoteReference"/>
          <w:szCs w:val="22"/>
        </w:rPr>
        <w:footnoteReference w:id="11"/>
      </w:r>
      <w:r w:rsidR="007303A3">
        <w:rPr>
          <w:szCs w:val="22"/>
        </w:rPr>
        <w:t xml:space="preserve">  </w:t>
      </w:r>
    </w:p>
    <w:p w:rsidR="00DB554F" w:rsidRDefault="00381075" w:rsidP="00364309">
      <w:pPr>
        <w:pStyle w:val="ParaNum"/>
        <w:widowControl/>
        <w:jc w:val="left"/>
        <w:rPr>
          <w:szCs w:val="22"/>
        </w:rPr>
      </w:pPr>
      <w:r>
        <w:rPr>
          <w:szCs w:val="22"/>
        </w:rPr>
        <w:t xml:space="preserve"> </w:t>
      </w:r>
      <w:r w:rsidR="00DB554F">
        <w:rPr>
          <w:szCs w:val="22"/>
        </w:rPr>
        <w:t xml:space="preserve">We </w:t>
      </w:r>
      <w:r>
        <w:rPr>
          <w:szCs w:val="22"/>
        </w:rPr>
        <w:t>conclude</w:t>
      </w:r>
      <w:r w:rsidR="00DB554F">
        <w:rPr>
          <w:szCs w:val="22"/>
        </w:rPr>
        <w:t xml:space="preserve"> that </w:t>
      </w:r>
      <w:r w:rsidR="00EE6089">
        <w:rPr>
          <w:szCs w:val="22"/>
        </w:rPr>
        <w:t>Central Arkansas</w:t>
      </w:r>
      <w:r w:rsidR="00DB554F">
        <w:rPr>
          <w:szCs w:val="22"/>
        </w:rPr>
        <w:t xml:space="preserve"> has demonstrated that the prepaid OPEB</w:t>
      </w:r>
      <w:r w:rsidR="00402002">
        <w:rPr>
          <w:szCs w:val="22"/>
        </w:rPr>
        <w:t xml:space="preserve"> costs</w:t>
      </w:r>
      <w:r w:rsidR="00DB554F">
        <w:rPr>
          <w:szCs w:val="22"/>
        </w:rPr>
        <w:t xml:space="preserve"> recorded in Account 1410 meet the used-and-useful standard.  </w:t>
      </w:r>
      <w:r w:rsidR="00DB36E1">
        <w:rPr>
          <w:szCs w:val="22"/>
        </w:rPr>
        <w:t>As set forth in the memorandum from NTCA’s Benefits Administrator, th</w:t>
      </w:r>
      <w:r w:rsidR="0048677A">
        <w:rPr>
          <w:szCs w:val="22"/>
        </w:rPr>
        <w:t>o</w:t>
      </w:r>
      <w:r w:rsidR="00DB36E1">
        <w:rPr>
          <w:szCs w:val="22"/>
        </w:rPr>
        <w:t>se prepaid costs will reduce future expenses, thus benefiting ratepayers.</w:t>
      </w:r>
      <w:r w:rsidR="00DB36E1">
        <w:rPr>
          <w:rStyle w:val="FootnoteReference"/>
          <w:szCs w:val="22"/>
        </w:rPr>
        <w:footnoteReference w:id="12"/>
      </w:r>
      <w:r w:rsidR="00DB36E1">
        <w:rPr>
          <w:szCs w:val="22"/>
        </w:rPr>
        <w:t xml:space="preserve">  </w:t>
      </w:r>
      <w:r w:rsidR="008435FF">
        <w:rPr>
          <w:szCs w:val="22"/>
        </w:rPr>
        <w:t>Accordingly, w</w:t>
      </w:r>
      <w:r w:rsidR="00DB554F">
        <w:rPr>
          <w:szCs w:val="22"/>
        </w:rPr>
        <w:t xml:space="preserve">e grant </w:t>
      </w:r>
      <w:r w:rsidR="008435FF">
        <w:rPr>
          <w:szCs w:val="22"/>
        </w:rPr>
        <w:t xml:space="preserve">the unopposed request of </w:t>
      </w:r>
      <w:r w:rsidR="00EE6089">
        <w:rPr>
          <w:szCs w:val="22"/>
        </w:rPr>
        <w:t>Central Arkansas</w:t>
      </w:r>
      <w:r w:rsidR="00DB554F">
        <w:rPr>
          <w:szCs w:val="22"/>
        </w:rPr>
        <w:t xml:space="preserve"> to include the interstate portion of the </w:t>
      </w:r>
      <w:r w:rsidR="008435FF">
        <w:rPr>
          <w:szCs w:val="22"/>
        </w:rPr>
        <w:t xml:space="preserve">specified health and life insurance OPEB </w:t>
      </w:r>
      <w:r w:rsidR="00402002">
        <w:rPr>
          <w:szCs w:val="22"/>
        </w:rPr>
        <w:t xml:space="preserve">costs </w:t>
      </w:r>
      <w:r w:rsidR="00DB554F">
        <w:rPr>
          <w:szCs w:val="22"/>
        </w:rPr>
        <w:t xml:space="preserve">recorded in </w:t>
      </w:r>
      <w:r w:rsidR="009E1CEA">
        <w:rPr>
          <w:szCs w:val="22"/>
        </w:rPr>
        <w:t>Account 1410 in its rate base beginning with the date the prepayments were made.</w:t>
      </w:r>
    </w:p>
    <w:p w:rsidR="00605604" w:rsidRPr="00605604" w:rsidRDefault="00763981" w:rsidP="00364309">
      <w:pPr>
        <w:pStyle w:val="Heading1"/>
        <w:widowControl/>
      </w:pPr>
      <w:r>
        <w:t>ORDERING CLAUSE</w:t>
      </w:r>
      <w:r w:rsidR="00A644B8">
        <w:t>S</w:t>
      </w:r>
    </w:p>
    <w:p w:rsidR="00763981" w:rsidRPr="000D7A83" w:rsidRDefault="00026155" w:rsidP="00364309">
      <w:pPr>
        <w:pStyle w:val="ParaNum"/>
        <w:widowControl/>
        <w:jc w:val="left"/>
        <w:rPr>
          <w:rStyle w:val="MessageHeaderLabel"/>
          <w:rFonts w:ascii="Times New Roman" w:hAnsi="Times New Roman"/>
          <w:b w:val="0"/>
          <w:spacing w:val="0"/>
          <w:sz w:val="22"/>
          <w:szCs w:val="22"/>
        </w:rPr>
      </w:pPr>
      <w:r>
        <w:rPr>
          <w:szCs w:val="22"/>
        </w:rPr>
        <w:t>A</w:t>
      </w:r>
      <w:r w:rsidR="00985975">
        <w:rPr>
          <w:szCs w:val="22"/>
        </w:rPr>
        <w:t>CCORDINGLY</w:t>
      </w:r>
      <w:r>
        <w:rPr>
          <w:szCs w:val="22"/>
        </w:rPr>
        <w:t xml:space="preserve">, IT IS ORDERED, pursuant to </w:t>
      </w:r>
      <w:r w:rsidR="00E65128">
        <w:rPr>
          <w:szCs w:val="22"/>
        </w:rPr>
        <w:t>s</w:t>
      </w:r>
      <w:r w:rsidR="00912842" w:rsidRPr="00912842">
        <w:rPr>
          <w:szCs w:val="22"/>
        </w:rPr>
        <w:t xml:space="preserve">ections 1, 4(i), 4(j), 201-205, 218, 220, and 403 of the Communications Act of 1934, as amended, 47 U.S.C. </w:t>
      </w:r>
      <w:r w:rsidR="00E65128">
        <w:rPr>
          <w:szCs w:val="22"/>
        </w:rPr>
        <w:t>§§ 1</w:t>
      </w:r>
      <w:r w:rsidR="00912842" w:rsidRPr="00912842">
        <w:rPr>
          <w:szCs w:val="22"/>
        </w:rPr>
        <w:t>51, 1</w:t>
      </w:r>
      <w:r w:rsidR="00E65128">
        <w:rPr>
          <w:szCs w:val="22"/>
        </w:rPr>
        <w:t>5</w:t>
      </w:r>
      <w:r w:rsidR="00912842" w:rsidRPr="00912842">
        <w:rPr>
          <w:szCs w:val="22"/>
        </w:rPr>
        <w:t>4(i)-(j), 201-205, 218, 220,</w:t>
      </w:r>
      <w:r w:rsidR="00530AFB">
        <w:rPr>
          <w:szCs w:val="22"/>
        </w:rPr>
        <w:t xml:space="preserve"> and</w:t>
      </w:r>
      <w:r w:rsidR="00912842" w:rsidRPr="00912842">
        <w:rPr>
          <w:szCs w:val="22"/>
        </w:rPr>
        <w:t xml:space="preserve"> 403</w:t>
      </w:r>
      <w:r w:rsidR="00912842">
        <w:rPr>
          <w:szCs w:val="22"/>
        </w:rPr>
        <w:t>,</w:t>
      </w:r>
      <w:r w:rsidR="00912842" w:rsidRPr="00912842">
        <w:rPr>
          <w:szCs w:val="22"/>
        </w:rPr>
        <w:t xml:space="preserve"> Part 65 of the Commi</w:t>
      </w:r>
      <w:r w:rsidR="00912842">
        <w:rPr>
          <w:szCs w:val="22"/>
        </w:rPr>
        <w:t xml:space="preserve">ssion's </w:t>
      </w:r>
      <w:r w:rsidR="00FD3B61">
        <w:rPr>
          <w:szCs w:val="22"/>
        </w:rPr>
        <w:t>r</w:t>
      </w:r>
      <w:r w:rsidR="00912842">
        <w:rPr>
          <w:szCs w:val="22"/>
        </w:rPr>
        <w:t>ules</w:t>
      </w:r>
      <w:r w:rsidR="00E65128">
        <w:rPr>
          <w:szCs w:val="22"/>
        </w:rPr>
        <w:t>,</w:t>
      </w:r>
      <w:r w:rsidR="00912842">
        <w:rPr>
          <w:szCs w:val="22"/>
        </w:rPr>
        <w:t xml:space="preserve"> 47 C.F.R. Part 65</w:t>
      </w:r>
      <w:r>
        <w:rPr>
          <w:szCs w:val="22"/>
        </w:rPr>
        <w:t xml:space="preserve">, </w:t>
      </w:r>
      <w:r w:rsidR="00FD3B61">
        <w:rPr>
          <w:szCs w:val="22"/>
        </w:rPr>
        <w:t xml:space="preserve">and sections 0.91 and 0.291 of the Commission’s rules, 47 C.F.R. §§ </w:t>
      </w:r>
      <w:r w:rsidR="00F503DA">
        <w:rPr>
          <w:szCs w:val="22"/>
        </w:rPr>
        <w:t xml:space="preserve">0.91 and 0.291, </w:t>
      </w:r>
      <w:r>
        <w:rPr>
          <w:szCs w:val="22"/>
        </w:rPr>
        <w:t xml:space="preserve">that </w:t>
      </w:r>
      <w:r w:rsidR="00125F56">
        <w:rPr>
          <w:szCs w:val="22"/>
        </w:rPr>
        <w:t xml:space="preserve">the request by </w:t>
      </w:r>
      <w:r w:rsidR="00EE6089">
        <w:rPr>
          <w:szCs w:val="22"/>
        </w:rPr>
        <w:t>Central Arkansas Telephone Cooperative, Inc</w:t>
      </w:r>
      <w:r w:rsidR="00125F56">
        <w:t>.</w:t>
      </w:r>
      <w:r w:rsidR="00734053">
        <w:t>,</w:t>
      </w:r>
      <w:r w:rsidR="00125F56">
        <w:t xml:space="preserve"> to include the interstate portion of its prepaid </w:t>
      </w:r>
      <w:r w:rsidR="00125F56" w:rsidRPr="00E060A4">
        <w:rPr>
          <w:rStyle w:val="MessageHeaderLabel"/>
          <w:rFonts w:ascii="Times New Roman" w:hAnsi="Times New Roman"/>
          <w:b w:val="0"/>
          <w:sz w:val="22"/>
          <w:szCs w:val="22"/>
        </w:rPr>
        <w:t>postretirement benefits other than pensions</w:t>
      </w:r>
      <w:r w:rsidR="00125F56">
        <w:rPr>
          <w:rStyle w:val="MessageHeaderLabel"/>
          <w:rFonts w:ascii="Times New Roman" w:hAnsi="Times New Roman"/>
          <w:b w:val="0"/>
          <w:sz w:val="22"/>
          <w:szCs w:val="22"/>
        </w:rPr>
        <w:t xml:space="preserve"> recorded in Account 1410 in its rate base IS GRANTED</w:t>
      </w:r>
      <w:r w:rsidR="00E65128">
        <w:rPr>
          <w:rStyle w:val="MessageHeaderLabel"/>
          <w:rFonts w:ascii="Times New Roman" w:hAnsi="Times New Roman"/>
          <w:b w:val="0"/>
          <w:sz w:val="22"/>
          <w:szCs w:val="22"/>
        </w:rPr>
        <w:t xml:space="preserve"> as set forth herein</w:t>
      </w:r>
      <w:r w:rsidR="0054480F">
        <w:rPr>
          <w:rStyle w:val="MessageHeaderLabel"/>
          <w:rFonts w:ascii="Times New Roman" w:hAnsi="Times New Roman"/>
          <w:b w:val="0"/>
          <w:sz w:val="22"/>
          <w:szCs w:val="22"/>
        </w:rPr>
        <w:t>.</w:t>
      </w:r>
    </w:p>
    <w:p w:rsidR="000D7A83" w:rsidRPr="0034237F" w:rsidRDefault="00212D4D" w:rsidP="00364309">
      <w:pPr>
        <w:pStyle w:val="ParaNum"/>
        <w:widowControl/>
        <w:jc w:val="left"/>
        <w:rPr>
          <w:rStyle w:val="MessageHeaderLabel"/>
          <w:rFonts w:ascii="Times New Roman" w:hAnsi="Times New Roman"/>
          <w:b w:val="0"/>
          <w:spacing w:val="0"/>
          <w:sz w:val="22"/>
          <w:szCs w:val="22"/>
        </w:rPr>
      </w:pPr>
      <w:r>
        <w:rPr>
          <w:rStyle w:val="MessageHeaderLabel"/>
          <w:rFonts w:ascii="Times New Roman" w:hAnsi="Times New Roman"/>
          <w:b w:val="0"/>
          <w:sz w:val="22"/>
          <w:szCs w:val="22"/>
        </w:rPr>
        <w:br w:type="page"/>
      </w:r>
      <w:r w:rsidR="000D7A83">
        <w:rPr>
          <w:rStyle w:val="MessageHeaderLabel"/>
          <w:rFonts w:ascii="Times New Roman" w:hAnsi="Times New Roman"/>
          <w:b w:val="0"/>
          <w:sz w:val="22"/>
          <w:szCs w:val="22"/>
        </w:rPr>
        <w:t>IT IS FURTHER ORDERED, pursuant to section 1.103(a) of the Commission’s rules, 47 C.F.R. § 1.103(a), that this Order SHALL BE EFFECTIVE upon release.</w:t>
      </w:r>
    </w:p>
    <w:p w:rsidR="006F6C6B" w:rsidRDefault="0093611E" w:rsidP="00364309">
      <w:pPr>
        <w:pStyle w:val="ParaNum"/>
        <w:widowControl/>
        <w:numPr>
          <w:ilvl w:val="0"/>
          <w:numId w:val="0"/>
        </w:numPr>
        <w:jc w:val="left"/>
        <w:rPr>
          <w:szCs w:val="22"/>
        </w:rPr>
      </w:pPr>
      <w:r>
        <w:rPr>
          <w:szCs w:val="22"/>
        </w:rPr>
        <w:tab/>
      </w:r>
      <w:r>
        <w:rPr>
          <w:szCs w:val="22"/>
        </w:rPr>
        <w:tab/>
      </w:r>
      <w:r w:rsidR="00893BBB">
        <w:rPr>
          <w:szCs w:val="22"/>
        </w:rPr>
        <w:tab/>
      </w:r>
      <w:r w:rsidR="00893BBB">
        <w:rPr>
          <w:szCs w:val="22"/>
        </w:rPr>
        <w:tab/>
      </w:r>
      <w:r w:rsidR="00893BBB">
        <w:rPr>
          <w:szCs w:val="22"/>
        </w:rPr>
        <w:tab/>
      </w:r>
    </w:p>
    <w:p w:rsidR="007F63DF" w:rsidRDefault="006F6C6B" w:rsidP="00364309">
      <w:pPr>
        <w:pStyle w:val="ParaNum"/>
        <w:widowControl/>
        <w:numPr>
          <w:ilvl w:val="0"/>
          <w:numId w:val="0"/>
        </w:numPr>
        <w:jc w:val="left"/>
        <w:rPr>
          <w:szCs w:val="22"/>
        </w:rPr>
      </w:pPr>
      <w:r>
        <w:rPr>
          <w:szCs w:val="22"/>
        </w:rPr>
        <w:tab/>
      </w:r>
      <w:r>
        <w:rPr>
          <w:szCs w:val="22"/>
        </w:rPr>
        <w:tab/>
      </w:r>
      <w:r>
        <w:rPr>
          <w:szCs w:val="22"/>
        </w:rPr>
        <w:tab/>
      </w:r>
      <w:r>
        <w:rPr>
          <w:szCs w:val="22"/>
        </w:rPr>
        <w:tab/>
      </w:r>
      <w:r>
        <w:rPr>
          <w:szCs w:val="22"/>
        </w:rPr>
        <w:tab/>
      </w:r>
      <w:r w:rsidR="00893BBB">
        <w:rPr>
          <w:szCs w:val="22"/>
        </w:rPr>
        <w:t>FEDERAL COMMUNICATIONS COMMISSION</w:t>
      </w:r>
    </w:p>
    <w:p w:rsidR="007F63DF" w:rsidRDefault="007F63DF" w:rsidP="00364309">
      <w:pPr>
        <w:pStyle w:val="ParaNum"/>
        <w:widowControl/>
        <w:numPr>
          <w:ilvl w:val="0"/>
          <w:numId w:val="0"/>
        </w:numPr>
        <w:jc w:val="left"/>
        <w:rPr>
          <w:szCs w:val="22"/>
        </w:rPr>
      </w:pPr>
    </w:p>
    <w:p w:rsidR="00D71E9C" w:rsidRDefault="007F63DF" w:rsidP="00364309">
      <w:pPr>
        <w:pStyle w:val="ParaNum"/>
        <w:widowControl/>
        <w:numPr>
          <w:ilvl w:val="0"/>
          <w:numId w:val="0"/>
        </w:numPr>
        <w:spacing w:after="0"/>
        <w:ind w:left="4320"/>
        <w:jc w:val="left"/>
        <w:rPr>
          <w:szCs w:val="22"/>
        </w:rPr>
      </w:pPr>
      <w:r>
        <w:rPr>
          <w:szCs w:val="22"/>
        </w:rPr>
        <w:t>Julie A. Veach</w:t>
      </w:r>
    </w:p>
    <w:p w:rsidR="00364309" w:rsidRDefault="007F63DF" w:rsidP="00364309">
      <w:pPr>
        <w:pStyle w:val="ParaNum"/>
        <w:widowControl/>
        <w:numPr>
          <w:ilvl w:val="0"/>
          <w:numId w:val="0"/>
        </w:numPr>
        <w:spacing w:after="0"/>
        <w:ind w:left="4320"/>
        <w:jc w:val="left"/>
        <w:rPr>
          <w:szCs w:val="22"/>
        </w:rPr>
      </w:pPr>
      <w:r>
        <w:rPr>
          <w:szCs w:val="22"/>
        </w:rPr>
        <w:t>Chi</w:t>
      </w:r>
      <w:r w:rsidR="00364309">
        <w:rPr>
          <w:szCs w:val="22"/>
        </w:rPr>
        <w:t>ef</w:t>
      </w:r>
    </w:p>
    <w:p w:rsidR="00893BBB" w:rsidRPr="00E060A4" w:rsidRDefault="007F63DF" w:rsidP="00364309">
      <w:pPr>
        <w:pStyle w:val="ParaNum"/>
        <w:widowControl/>
        <w:numPr>
          <w:ilvl w:val="0"/>
          <w:numId w:val="0"/>
        </w:numPr>
        <w:spacing w:after="0"/>
        <w:ind w:left="4320"/>
        <w:jc w:val="left"/>
        <w:rPr>
          <w:szCs w:val="22"/>
        </w:rPr>
      </w:pPr>
      <w:r>
        <w:rPr>
          <w:szCs w:val="22"/>
        </w:rPr>
        <w:t>Wireline Competition Bureau</w:t>
      </w:r>
      <w:r w:rsidR="00763981">
        <w:rPr>
          <w:szCs w:val="22"/>
        </w:rPr>
        <w:tab/>
      </w:r>
      <w:r w:rsidR="00763981">
        <w:rPr>
          <w:szCs w:val="22"/>
        </w:rPr>
        <w:tab/>
      </w:r>
      <w:r w:rsidR="0093611E">
        <w:rPr>
          <w:szCs w:val="22"/>
        </w:rPr>
        <w:t xml:space="preserve"> </w:t>
      </w:r>
      <w:r w:rsidR="0093611E">
        <w:rPr>
          <w:szCs w:val="22"/>
        </w:rPr>
        <w:tab/>
      </w:r>
      <w:r w:rsidR="0093611E">
        <w:rPr>
          <w:szCs w:val="22"/>
        </w:rPr>
        <w:tab/>
      </w:r>
      <w:r w:rsidR="0093611E">
        <w:rPr>
          <w:szCs w:val="22"/>
        </w:rPr>
        <w:tab/>
      </w:r>
    </w:p>
    <w:sectPr w:rsidR="00893BBB" w:rsidRPr="00E060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F3" w:rsidRDefault="009823F3">
      <w:r>
        <w:separator/>
      </w:r>
    </w:p>
  </w:endnote>
  <w:endnote w:type="continuationSeparator" w:id="0">
    <w:p w:rsidR="009823F3" w:rsidRDefault="0098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14" w:rsidRDefault="00A60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CD" w:rsidRDefault="00FC16CD">
    <w:pPr>
      <w:pStyle w:val="Footer"/>
      <w:jc w:val="center"/>
    </w:pPr>
    <w:r>
      <w:rPr>
        <w:rStyle w:val="PageNumber"/>
      </w:rPr>
      <w:fldChar w:fldCharType="begin"/>
    </w:r>
    <w:r>
      <w:rPr>
        <w:rStyle w:val="PageNumber"/>
      </w:rPr>
      <w:instrText xml:space="preserve"> PAGE </w:instrText>
    </w:r>
    <w:r>
      <w:rPr>
        <w:rStyle w:val="PageNumber"/>
      </w:rPr>
      <w:fldChar w:fldCharType="separate"/>
    </w:r>
    <w:r w:rsidR="0086085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14" w:rsidRDefault="00A6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F3" w:rsidRDefault="009823F3">
      <w:pPr>
        <w:rPr>
          <w:sz w:val="20"/>
        </w:rPr>
      </w:pPr>
      <w:r>
        <w:rPr>
          <w:sz w:val="20"/>
        </w:rPr>
        <w:separator/>
      </w:r>
    </w:p>
  </w:footnote>
  <w:footnote w:type="continuationSeparator" w:id="0">
    <w:p w:rsidR="009823F3" w:rsidRDefault="009823F3">
      <w:pPr>
        <w:rPr>
          <w:sz w:val="20"/>
        </w:rPr>
      </w:pPr>
      <w:r>
        <w:rPr>
          <w:sz w:val="20"/>
        </w:rPr>
        <w:separator/>
      </w:r>
    </w:p>
    <w:p w:rsidR="009823F3" w:rsidRDefault="009823F3">
      <w:pPr>
        <w:rPr>
          <w:sz w:val="20"/>
        </w:rPr>
      </w:pPr>
      <w:r>
        <w:rPr>
          <w:sz w:val="20"/>
        </w:rPr>
        <w:t>(...continued from previous page)</w:t>
      </w:r>
    </w:p>
  </w:footnote>
  <w:footnote w:type="continuationNotice" w:id="1">
    <w:p w:rsidR="009823F3" w:rsidRDefault="009823F3">
      <w:pPr>
        <w:jc w:val="right"/>
        <w:rPr>
          <w:sz w:val="20"/>
        </w:rPr>
      </w:pPr>
      <w:r>
        <w:rPr>
          <w:sz w:val="20"/>
        </w:rPr>
        <w:t>(continued....)</w:t>
      </w:r>
    </w:p>
  </w:footnote>
  <w:footnote w:id="2">
    <w:p w:rsidR="00FC16CD" w:rsidRDefault="00FC16CD" w:rsidP="00E43B29">
      <w:pPr>
        <w:pStyle w:val="FootnoteText"/>
        <w:jc w:val="left"/>
      </w:pPr>
      <w:r>
        <w:rPr>
          <w:rStyle w:val="FootnoteReference"/>
        </w:rPr>
        <w:footnoteRef/>
      </w:r>
      <w:r>
        <w:t xml:space="preserve"> Letter from </w:t>
      </w:r>
      <w:r w:rsidR="00234A13">
        <w:t xml:space="preserve">Steve Faris, General </w:t>
      </w:r>
      <w:r w:rsidR="00234A13" w:rsidRPr="00C7718E">
        <w:t>M</w:t>
      </w:r>
      <w:r w:rsidR="00234A13">
        <w:t xml:space="preserve">anager, Central Arkansas Telephone Cooperative, Inc., to Trent Harkrader, </w:t>
      </w:r>
      <w:r w:rsidR="00234A13" w:rsidRPr="00C7718E">
        <w:t xml:space="preserve">Chief, </w:t>
      </w:r>
      <w:r w:rsidR="00234A13">
        <w:t xml:space="preserve">Telecommunications Access Policy Division, </w:t>
      </w:r>
      <w:r w:rsidR="00234A13" w:rsidRPr="00C7718E">
        <w:t>Wireline Competition Bureau, F</w:t>
      </w:r>
      <w:r w:rsidR="0048677A">
        <w:t xml:space="preserve">ederal </w:t>
      </w:r>
      <w:r w:rsidR="00234A13">
        <w:t>C</w:t>
      </w:r>
      <w:r w:rsidR="0048677A">
        <w:t xml:space="preserve">ommunications </w:t>
      </w:r>
      <w:r w:rsidR="00234A13">
        <w:t>C</w:t>
      </w:r>
      <w:r w:rsidR="0048677A">
        <w:t>ommission</w:t>
      </w:r>
      <w:r w:rsidR="00234A13">
        <w:t xml:space="preserve"> </w:t>
      </w:r>
      <w:r>
        <w:t>(</w:t>
      </w:r>
      <w:r w:rsidR="003169E8">
        <w:t>May 9, 2012</w:t>
      </w:r>
      <w:r>
        <w:t>)</w:t>
      </w:r>
      <w:r w:rsidR="00421C98">
        <w:t xml:space="preserve"> </w:t>
      </w:r>
      <w:r>
        <w:t>(</w:t>
      </w:r>
      <w:r w:rsidR="003169E8">
        <w:t>Central Arkansas</w:t>
      </w:r>
      <w:r>
        <w:t xml:space="preserve"> Request).</w:t>
      </w:r>
    </w:p>
  </w:footnote>
  <w:footnote w:id="3">
    <w:p w:rsidR="00675DD3" w:rsidRDefault="00675DD3" w:rsidP="001D50AF">
      <w:pPr>
        <w:pStyle w:val="FootnoteText"/>
        <w:jc w:val="left"/>
      </w:pPr>
      <w:r>
        <w:rPr>
          <w:rStyle w:val="FootnoteReference"/>
        </w:rPr>
        <w:footnoteRef/>
      </w:r>
      <w:r>
        <w:t xml:space="preserve"> On January 6, 2014, the Commission released a Public Notice, DA 14-1, seeking comment on the Central Arkansas request.  No comments were filed.</w:t>
      </w:r>
    </w:p>
  </w:footnote>
  <w:footnote w:id="4">
    <w:p w:rsidR="002F6118" w:rsidRDefault="002F6118" w:rsidP="002F6118">
      <w:pPr>
        <w:pStyle w:val="FootnoteText"/>
        <w:jc w:val="left"/>
      </w:pPr>
      <w:r>
        <w:rPr>
          <w:rStyle w:val="FootnoteReference"/>
        </w:rPr>
        <w:footnoteRef/>
      </w:r>
      <w:r>
        <w:t xml:space="preserve"> 47 C.F.R. § 65.820(c).</w:t>
      </w:r>
    </w:p>
  </w:footnote>
  <w:footnote w:id="5">
    <w:p w:rsidR="001C36C4" w:rsidRPr="00381075" w:rsidRDefault="001C36C4" w:rsidP="002F6118">
      <w:pPr>
        <w:pStyle w:val="FootnoteText"/>
        <w:jc w:val="left"/>
      </w:pPr>
      <w:r>
        <w:rPr>
          <w:rStyle w:val="FootnoteReference"/>
        </w:rPr>
        <w:footnoteRef/>
      </w:r>
      <w:r>
        <w:t xml:space="preserve"> </w:t>
      </w:r>
      <w:r w:rsidR="002F6118">
        <w:rPr>
          <w:i/>
        </w:rPr>
        <w:t>Responsible Accounting Officer Letter 20, Uniform Accounting for Postretirement Benefits Other Than Pensions in Part 32, Amendments to Part 65, Interstate Rate of Return Prescription Procedures and Methodologies, Subpart G, Rate Base</w:t>
      </w:r>
      <w:r w:rsidR="002F6118">
        <w:t>, CC Docket No. 96-22, AAD 92-65, Report and Order, 12 FCC Rcd 2321</w:t>
      </w:r>
      <w:r w:rsidR="0018575D">
        <w:t xml:space="preserve">, 2325, para. </w:t>
      </w:r>
      <w:r w:rsidR="00212D4D">
        <w:t>1</w:t>
      </w:r>
      <w:r w:rsidR="0018575D">
        <w:t>2</w:t>
      </w:r>
      <w:r w:rsidR="002F6118">
        <w:t xml:space="preserve"> (1997)</w:t>
      </w:r>
      <w:r>
        <w:t>.</w:t>
      </w:r>
    </w:p>
  </w:footnote>
  <w:footnote w:id="6">
    <w:p w:rsidR="0018575D" w:rsidRPr="0018575D" w:rsidRDefault="0018575D" w:rsidP="0018575D">
      <w:pPr>
        <w:pStyle w:val="FootnoteText"/>
        <w:jc w:val="left"/>
      </w:pPr>
      <w:r>
        <w:rPr>
          <w:rStyle w:val="FootnoteReference"/>
        </w:rPr>
        <w:footnoteRef/>
      </w:r>
      <w:r>
        <w:t xml:space="preserve"> </w:t>
      </w:r>
      <w:r>
        <w:rPr>
          <w:i/>
        </w:rPr>
        <w:t>Roosevelt County Rural Telephone Cooperative, Inc., Petition to Include the Interstate Portion of a Prepaid Accumulated Post-Retirement Benefit Obligation, Recorded in Account 1410, in the Rate Base</w:t>
      </w:r>
      <w:r>
        <w:t>, WCB/Pricing 05-31, Order 21 FCC Rcd 2880 (2006).</w:t>
      </w:r>
    </w:p>
  </w:footnote>
  <w:footnote w:id="7">
    <w:p w:rsidR="00DB36E1" w:rsidRPr="00DB36E1" w:rsidRDefault="00DB36E1" w:rsidP="00DB36E1">
      <w:pPr>
        <w:pStyle w:val="FootnoteText"/>
        <w:jc w:val="left"/>
      </w:pPr>
      <w:r>
        <w:rPr>
          <w:rStyle w:val="FootnoteReference"/>
        </w:rPr>
        <w:footnoteRef/>
      </w:r>
      <w:r>
        <w:t xml:space="preserve"> </w:t>
      </w:r>
      <w:r>
        <w:rPr>
          <w:i/>
        </w:rPr>
        <w:t>Id</w:t>
      </w:r>
      <w:r w:rsidR="006B78EA">
        <w:t>.</w:t>
      </w:r>
      <w:r>
        <w:t xml:space="preserve"> at 2882, para.7.</w:t>
      </w:r>
    </w:p>
  </w:footnote>
  <w:footnote w:id="8">
    <w:p w:rsidR="00CF18EB" w:rsidRDefault="00CF18EB">
      <w:pPr>
        <w:pStyle w:val="FootnoteText"/>
      </w:pPr>
      <w:r>
        <w:rPr>
          <w:rStyle w:val="FootnoteReference"/>
        </w:rPr>
        <w:footnoteRef/>
      </w:r>
      <w:r>
        <w:t xml:space="preserve"> </w:t>
      </w:r>
      <w:r w:rsidRPr="00CF18EB">
        <w:rPr>
          <w:i/>
        </w:rPr>
        <w:t>Duo County Telephone</w:t>
      </w:r>
      <w:r>
        <w:rPr>
          <w:i/>
        </w:rPr>
        <w:t xml:space="preserve"> Cooperative, Inc., Request to Include in its Rate Base the Interstate Portion of the Prepaid Post-Employment</w:t>
      </w:r>
      <w:r w:rsidR="00474F3C">
        <w:rPr>
          <w:i/>
        </w:rPr>
        <w:t xml:space="preserve"> </w:t>
      </w:r>
      <w:r>
        <w:rPr>
          <w:i/>
        </w:rPr>
        <w:t>Health Benefits Recorded in Account 1410, Other Noncurrent Assets, et al.</w:t>
      </w:r>
      <w:r>
        <w:t xml:space="preserve">, WC Docket No. 06-183 </w:t>
      </w:r>
      <w:r>
        <w:rPr>
          <w:i/>
        </w:rPr>
        <w:t>et al.</w:t>
      </w:r>
      <w:r w:rsidR="00474F3C">
        <w:t>, Memorandum Opinion and Order, 23 FCC Rcd 1267 (2008).</w:t>
      </w:r>
      <w:r>
        <w:rPr>
          <w:i/>
        </w:rPr>
        <w:t xml:space="preserve"> </w:t>
      </w:r>
    </w:p>
  </w:footnote>
  <w:footnote w:id="9">
    <w:p w:rsidR="00FC16CD" w:rsidRDefault="00FC16CD" w:rsidP="0018575D">
      <w:pPr>
        <w:pStyle w:val="FootnoteText"/>
        <w:jc w:val="left"/>
      </w:pPr>
      <w:r>
        <w:rPr>
          <w:rStyle w:val="FootnoteReference"/>
        </w:rPr>
        <w:footnoteRef/>
      </w:r>
      <w:r>
        <w:t xml:space="preserve"> </w:t>
      </w:r>
      <w:r w:rsidR="00D76B20">
        <w:t xml:space="preserve">Central Arkansas </w:t>
      </w:r>
      <w:r>
        <w:t>Request at 1.</w:t>
      </w:r>
    </w:p>
  </w:footnote>
  <w:footnote w:id="10">
    <w:p w:rsidR="00FC16CD" w:rsidRPr="00402002" w:rsidRDefault="00FC16CD" w:rsidP="0018575D">
      <w:pPr>
        <w:pStyle w:val="FootnoteText"/>
        <w:jc w:val="lef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11">
    <w:p w:rsidR="00246EB7" w:rsidRPr="00246EB7" w:rsidRDefault="00246EB7" w:rsidP="0018575D">
      <w:pPr>
        <w:pStyle w:val="FootnoteText"/>
        <w:jc w:val="left"/>
      </w:pPr>
      <w:r>
        <w:rPr>
          <w:rStyle w:val="FootnoteReference"/>
        </w:rPr>
        <w:footnoteRef/>
      </w:r>
      <w:r>
        <w:t xml:space="preserve"> </w:t>
      </w:r>
      <w:r>
        <w:rPr>
          <w:i/>
        </w:rPr>
        <w:t>Id.</w:t>
      </w:r>
      <w:r>
        <w:t xml:space="preserve"> at 2</w:t>
      </w:r>
      <w:r w:rsidR="00212D4D">
        <w:t xml:space="preserve"> and</w:t>
      </w:r>
      <w:r>
        <w:t xml:space="preserve"> Attachment.</w:t>
      </w:r>
    </w:p>
  </w:footnote>
  <w:footnote w:id="12">
    <w:p w:rsidR="00DB36E1" w:rsidRPr="00DB36E1" w:rsidRDefault="00DB36E1" w:rsidP="00DB36E1">
      <w:pPr>
        <w:pStyle w:val="FootnoteText"/>
        <w:jc w:val="left"/>
      </w:pPr>
      <w:r>
        <w:rPr>
          <w:rStyle w:val="FootnoteReference"/>
        </w:rPr>
        <w:footnoteRef/>
      </w:r>
      <w:r>
        <w:t xml:space="preserve"> </w:t>
      </w:r>
      <w:r>
        <w:rPr>
          <w:i/>
        </w:rPr>
        <w:t>Id</w:t>
      </w:r>
      <w:r w:rsidR="006B78EA">
        <w:t>.</w:t>
      </w:r>
      <w:r>
        <w:t xml:space="preserve"> at Attachment.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14" w:rsidRDefault="00A60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CD" w:rsidRDefault="00FC16CD">
    <w:pPr>
      <w:pStyle w:val="Header"/>
      <w:tabs>
        <w:tab w:val="clear" w:pos="4320"/>
        <w:tab w:val="clear" w:pos="8640"/>
        <w:tab w:val="center" w:pos="4680"/>
        <w:tab w:val="right" w:pos="9360"/>
      </w:tabs>
      <w:rPr>
        <w:b/>
      </w:rPr>
    </w:pPr>
    <w:r>
      <w:rPr>
        <w:b/>
      </w:rPr>
      <w:tab/>
      <w:t>Federal Communications Commission</w:t>
    </w:r>
    <w:r>
      <w:rPr>
        <w:b/>
      </w:rPr>
      <w:tab/>
    </w:r>
    <w:r w:rsidR="00212D4D">
      <w:rPr>
        <w:b/>
      </w:rPr>
      <w:t>DA</w:t>
    </w:r>
    <w:r>
      <w:rPr>
        <w:b/>
      </w:rPr>
      <w:t xml:space="preserve"> </w:t>
    </w:r>
    <w:r w:rsidR="00212D4D">
      <w:rPr>
        <w:b/>
      </w:rPr>
      <w:t>14-</w:t>
    </w:r>
    <w:r w:rsidR="00364309">
      <w:rPr>
        <w:b/>
      </w:rPr>
      <w:t>280</w:t>
    </w:r>
  </w:p>
  <w:p w:rsidR="00FC16CD" w:rsidRDefault="00B460CD" w:rsidP="00364309">
    <w:pPr>
      <w:pStyle w:val="Header"/>
      <w:tabs>
        <w:tab w:val="clear" w:pos="8640"/>
        <w:tab w:val="right" w:pos="9360"/>
      </w:tabs>
    </w:pPr>
    <w:r>
      <w:rPr>
        <w:noProof/>
      </w:rPr>
      <w:pict>
        <v:line id="_x0000_s2050" style="position:absolute;z-index:251658240"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CD" w:rsidRDefault="00FC16CD">
    <w:pPr>
      <w:pStyle w:val="Header"/>
      <w:tabs>
        <w:tab w:val="clear" w:pos="4320"/>
        <w:tab w:val="clear" w:pos="8640"/>
        <w:tab w:val="center" w:pos="4680"/>
        <w:tab w:val="right" w:pos="9360"/>
      </w:tabs>
      <w:rPr>
        <w:b/>
        <w:i/>
      </w:rPr>
    </w:pPr>
  </w:p>
  <w:p w:rsidR="00212D4D" w:rsidRDefault="00212D4D" w:rsidP="00212D4D">
    <w:pPr>
      <w:pStyle w:val="Header"/>
      <w:tabs>
        <w:tab w:val="clear" w:pos="4320"/>
        <w:tab w:val="clear" w:pos="8640"/>
        <w:tab w:val="center" w:pos="4680"/>
        <w:tab w:val="right" w:pos="9360"/>
      </w:tabs>
      <w:rPr>
        <w:b/>
      </w:rPr>
    </w:pPr>
    <w:r>
      <w:rPr>
        <w:b/>
      </w:rPr>
      <w:tab/>
      <w:t>Federal Communications Commission</w:t>
    </w:r>
    <w:r>
      <w:rPr>
        <w:b/>
      </w:rPr>
      <w:tab/>
      <w:t>DA 14-</w:t>
    </w:r>
    <w:r w:rsidR="00364309">
      <w:rPr>
        <w:b/>
      </w:rPr>
      <w:t>280</w:t>
    </w:r>
  </w:p>
  <w:p w:rsidR="00FC16CD" w:rsidRDefault="00B460CD">
    <w:pPr>
      <w:pStyle w:val="Header"/>
      <w:tabs>
        <w:tab w:val="clear" w:pos="8640"/>
        <w:tab w:val="right" w:pos="9360"/>
      </w:tabs>
    </w:pPr>
    <w:r>
      <w:rPr>
        <w:noProof/>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3F141C49"/>
    <w:multiLevelType w:val="hybridMultilevel"/>
    <w:tmpl w:val="BE4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F34"/>
    <w:rsid w:val="00002AE9"/>
    <w:rsid w:val="0001081B"/>
    <w:rsid w:val="00026155"/>
    <w:rsid w:val="000302C7"/>
    <w:rsid w:val="00046C70"/>
    <w:rsid w:val="00051A7F"/>
    <w:rsid w:val="00056A60"/>
    <w:rsid w:val="000648B9"/>
    <w:rsid w:val="00093046"/>
    <w:rsid w:val="000B115C"/>
    <w:rsid w:val="000C6F6C"/>
    <w:rsid w:val="000C7673"/>
    <w:rsid w:val="000D4D01"/>
    <w:rsid w:val="000D7A83"/>
    <w:rsid w:val="000F5CCE"/>
    <w:rsid w:val="00106874"/>
    <w:rsid w:val="001106B1"/>
    <w:rsid w:val="00125F56"/>
    <w:rsid w:val="00143CFE"/>
    <w:rsid w:val="00146892"/>
    <w:rsid w:val="001840C6"/>
    <w:rsid w:val="0018575D"/>
    <w:rsid w:val="0019621C"/>
    <w:rsid w:val="001C36C4"/>
    <w:rsid w:val="001C779C"/>
    <w:rsid w:val="001D50AF"/>
    <w:rsid w:val="001F3E40"/>
    <w:rsid w:val="00212D4D"/>
    <w:rsid w:val="00217DA9"/>
    <w:rsid w:val="00230E19"/>
    <w:rsid w:val="00234A13"/>
    <w:rsid w:val="00235AD0"/>
    <w:rsid w:val="00236047"/>
    <w:rsid w:val="00241CCD"/>
    <w:rsid w:val="0024557B"/>
    <w:rsid w:val="00246EB7"/>
    <w:rsid w:val="002470D7"/>
    <w:rsid w:val="002754CF"/>
    <w:rsid w:val="00282BE5"/>
    <w:rsid w:val="002F6118"/>
    <w:rsid w:val="00314420"/>
    <w:rsid w:val="003169E8"/>
    <w:rsid w:val="0034237F"/>
    <w:rsid w:val="00364309"/>
    <w:rsid w:val="003749B0"/>
    <w:rsid w:val="003762FA"/>
    <w:rsid w:val="00381075"/>
    <w:rsid w:val="003B32B8"/>
    <w:rsid w:val="003C7B27"/>
    <w:rsid w:val="003E7576"/>
    <w:rsid w:val="00400090"/>
    <w:rsid w:val="00402002"/>
    <w:rsid w:val="00402BA0"/>
    <w:rsid w:val="00412C1F"/>
    <w:rsid w:val="00421C98"/>
    <w:rsid w:val="004564D4"/>
    <w:rsid w:val="004730E9"/>
    <w:rsid w:val="00474F3C"/>
    <w:rsid w:val="0048677A"/>
    <w:rsid w:val="004D2BDA"/>
    <w:rsid w:val="004D4382"/>
    <w:rsid w:val="004E586D"/>
    <w:rsid w:val="00510C9B"/>
    <w:rsid w:val="0052117C"/>
    <w:rsid w:val="00530AFB"/>
    <w:rsid w:val="00532151"/>
    <w:rsid w:val="0054480F"/>
    <w:rsid w:val="00544FB3"/>
    <w:rsid w:val="00571109"/>
    <w:rsid w:val="00581229"/>
    <w:rsid w:val="00583194"/>
    <w:rsid w:val="005A58F0"/>
    <w:rsid w:val="005B5C47"/>
    <w:rsid w:val="005E0F34"/>
    <w:rsid w:val="005E1B9A"/>
    <w:rsid w:val="005E281F"/>
    <w:rsid w:val="00605604"/>
    <w:rsid w:val="0061166C"/>
    <w:rsid w:val="006214EC"/>
    <w:rsid w:val="00627A23"/>
    <w:rsid w:val="00632DAA"/>
    <w:rsid w:val="006368B6"/>
    <w:rsid w:val="00647B50"/>
    <w:rsid w:val="00675DD3"/>
    <w:rsid w:val="0068278D"/>
    <w:rsid w:val="0069048A"/>
    <w:rsid w:val="006943C3"/>
    <w:rsid w:val="00695351"/>
    <w:rsid w:val="006B78EA"/>
    <w:rsid w:val="006D1A51"/>
    <w:rsid w:val="006D7F77"/>
    <w:rsid w:val="006E077B"/>
    <w:rsid w:val="006E4B13"/>
    <w:rsid w:val="006F1D61"/>
    <w:rsid w:val="006F6C6B"/>
    <w:rsid w:val="006F6D9F"/>
    <w:rsid w:val="0070170B"/>
    <w:rsid w:val="00713380"/>
    <w:rsid w:val="00726361"/>
    <w:rsid w:val="00726782"/>
    <w:rsid w:val="007303A3"/>
    <w:rsid w:val="00734053"/>
    <w:rsid w:val="0073728C"/>
    <w:rsid w:val="00762642"/>
    <w:rsid w:val="00763981"/>
    <w:rsid w:val="00776FA8"/>
    <w:rsid w:val="00796041"/>
    <w:rsid w:val="007A3CFE"/>
    <w:rsid w:val="007B2D20"/>
    <w:rsid w:val="007B31FB"/>
    <w:rsid w:val="007C0F34"/>
    <w:rsid w:val="007C7521"/>
    <w:rsid w:val="007E041A"/>
    <w:rsid w:val="007F63DF"/>
    <w:rsid w:val="008131C7"/>
    <w:rsid w:val="008217FE"/>
    <w:rsid w:val="008435FF"/>
    <w:rsid w:val="008502A8"/>
    <w:rsid w:val="0086085C"/>
    <w:rsid w:val="00880428"/>
    <w:rsid w:val="00885D35"/>
    <w:rsid w:val="00893BBB"/>
    <w:rsid w:val="008C18CD"/>
    <w:rsid w:val="008F67D3"/>
    <w:rsid w:val="008F7B5C"/>
    <w:rsid w:val="00912842"/>
    <w:rsid w:val="0093611E"/>
    <w:rsid w:val="00937731"/>
    <w:rsid w:val="009515B3"/>
    <w:rsid w:val="00953863"/>
    <w:rsid w:val="00955D2D"/>
    <w:rsid w:val="00967407"/>
    <w:rsid w:val="009723AA"/>
    <w:rsid w:val="009823F3"/>
    <w:rsid w:val="00985975"/>
    <w:rsid w:val="009D08FF"/>
    <w:rsid w:val="009D6E45"/>
    <w:rsid w:val="009E1CEA"/>
    <w:rsid w:val="009F626F"/>
    <w:rsid w:val="00A0434D"/>
    <w:rsid w:val="00A505DB"/>
    <w:rsid w:val="00A53AC9"/>
    <w:rsid w:val="00A60214"/>
    <w:rsid w:val="00A644B8"/>
    <w:rsid w:val="00A83186"/>
    <w:rsid w:val="00B460CD"/>
    <w:rsid w:val="00B67C5D"/>
    <w:rsid w:val="00B90814"/>
    <w:rsid w:val="00B92DFA"/>
    <w:rsid w:val="00BD5F72"/>
    <w:rsid w:val="00BE41DA"/>
    <w:rsid w:val="00C33020"/>
    <w:rsid w:val="00C45443"/>
    <w:rsid w:val="00C8101A"/>
    <w:rsid w:val="00C81486"/>
    <w:rsid w:val="00CD1D70"/>
    <w:rsid w:val="00CD227B"/>
    <w:rsid w:val="00CF18EB"/>
    <w:rsid w:val="00CF64B1"/>
    <w:rsid w:val="00CF79BD"/>
    <w:rsid w:val="00D07556"/>
    <w:rsid w:val="00D3444A"/>
    <w:rsid w:val="00D6686E"/>
    <w:rsid w:val="00D66E7E"/>
    <w:rsid w:val="00D71E9C"/>
    <w:rsid w:val="00D7649B"/>
    <w:rsid w:val="00D76B20"/>
    <w:rsid w:val="00DB36E1"/>
    <w:rsid w:val="00DB554F"/>
    <w:rsid w:val="00DD7804"/>
    <w:rsid w:val="00DE7D16"/>
    <w:rsid w:val="00E060A4"/>
    <w:rsid w:val="00E1218D"/>
    <w:rsid w:val="00E43B29"/>
    <w:rsid w:val="00E44B2B"/>
    <w:rsid w:val="00E4608D"/>
    <w:rsid w:val="00E55E84"/>
    <w:rsid w:val="00E65128"/>
    <w:rsid w:val="00E847EC"/>
    <w:rsid w:val="00EA43FC"/>
    <w:rsid w:val="00EA5BB8"/>
    <w:rsid w:val="00ED3C9F"/>
    <w:rsid w:val="00EE6089"/>
    <w:rsid w:val="00EF4AB2"/>
    <w:rsid w:val="00F15EE6"/>
    <w:rsid w:val="00F503DA"/>
    <w:rsid w:val="00F51648"/>
    <w:rsid w:val="00F55E14"/>
    <w:rsid w:val="00F81DCD"/>
    <w:rsid w:val="00F92016"/>
    <w:rsid w:val="00F9672E"/>
    <w:rsid w:val="00FA3351"/>
    <w:rsid w:val="00FC16CD"/>
    <w:rsid w:val="00FD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MessageHeaderLabel">
    <w:name w:val="Message Header Label"/>
    <w:rsid w:val="007B2D20"/>
    <w:rPr>
      <w:rFonts w:ascii="Arial" w:hAnsi="Arial"/>
      <w:b/>
      <w:spacing w:val="-4"/>
      <w:sz w:val="18"/>
      <w:vertAlign w:val="baseline"/>
    </w:rPr>
  </w:style>
  <w:style w:type="paragraph" w:styleId="BalloonText">
    <w:name w:val="Balloon Text"/>
    <w:basedOn w:val="Normal"/>
    <w:link w:val="BalloonTextChar"/>
    <w:uiPriority w:val="99"/>
    <w:semiHidden/>
    <w:unhideWhenUsed/>
    <w:rsid w:val="00532151"/>
    <w:rPr>
      <w:rFonts w:ascii="Tahoma" w:hAnsi="Tahoma" w:cs="Tahoma"/>
      <w:sz w:val="16"/>
      <w:szCs w:val="16"/>
    </w:rPr>
  </w:style>
  <w:style w:type="character" w:customStyle="1" w:styleId="BalloonTextChar">
    <w:name w:val="Balloon Text Char"/>
    <w:link w:val="BalloonText"/>
    <w:uiPriority w:val="99"/>
    <w:semiHidden/>
    <w:rsid w:val="0053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3932</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2005-08-10T22:28:00Z</cp:lastPrinted>
  <dcterms:created xsi:type="dcterms:W3CDTF">2014-02-28T17:20:00Z</dcterms:created>
  <dcterms:modified xsi:type="dcterms:W3CDTF">2014-02-28T17:20:00Z</dcterms:modified>
  <cp:category> </cp:category>
  <cp:contentStatus> </cp:contentStatus>
</cp:coreProperties>
</file>