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27" w:rsidRDefault="00CC2F27">
      <w:pPr>
        <w:jc w:val="center"/>
        <w:rPr>
          <w:b/>
          <w:szCs w:val="22"/>
        </w:rPr>
      </w:pPr>
      <w:bookmarkStart w:id="0" w:name="_GoBack"/>
      <w:bookmarkEnd w:id="0"/>
      <w:r>
        <w:rPr>
          <w:b/>
          <w:szCs w:val="22"/>
        </w:rPr>
        <w:t>Before the</w:t>
      </w:r>
    </w:p>
    <w:p w:rsidR="00CC2F27" w:rsidRDefault="00CC2F27">
      <w:pPr>
        <w:jc w:val="center"/>
        <w:rPr>
          <w:b/>
          <w:szCs w:val="22"/>
        </w:rPr>
      </w:pPr>
      <w:r>
        <w:rPr>
          <w:b/>
          <w:szCs w:val="22"/>
        </w:rPr>
        <w:t>Federal Communications Commission</w:t>
      </w:r>
    </w:p>
    <w:p w:rsidR="00CC2F27" w:rsidRDefault="00CC2F27">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p w:rsidR="00CC2F27" w:rsidRDefault="00CC2F27">
      <w:pPr>
        <w:rPr>
          <w:szCs w:val="22"/>
        </w:rPr>
      </w:pPr>
    </w:p>
    <w:tbl>
      <w:tblPr>
        <w:tblW w:w="9648" w:type="dxa"/>
        <w:tblLayout w:type="fixed"/>
        <w:tblLook w:val="0000" w:firstRow="0" w:lastRow="0" w:firstColumn="0" w:lastColumn="0" w:noHBand="0" w:noVBand="0"/>
      </w:tblPr>
      <w:tblGrid>
        <w:gridCol w:w="4698"/>
        <w:gridCol w:w="720"/>
        <w:gridCol w:w="4230"/>
      </w:tblGrid>
      <w:tr w:rsidR="00CC2F27">
        <w:tc>
          <w:tcPr>
            <w:tcW w:w="4698" w:type="dxa"/>
          </w:tcPr>
          <w:p w:rsidR="00CC2F27" w:rsidRDefault="00CC2F27">
            <w:pPr>
              <w:ind w:right="-18"/>
              <w:rPr>
                <w:szCs w:val="22"/>
              </w:rPr>
            </w:pPr>
            <w:r>
              <w:rPr>
                <w:szCs w:val="22"/>
              </w:rPr>
              <w:t xml:space="preserve">In re Application of  </w:t>
            </w:r>
          </w:p>
          <w:p w:rsidR="00CC2F27" w:rsidRDefault="00CC2F27">
            <w:pPr>
              <w:ind w:right="-18"/>
              <w:rPr>
                <w:szCs w:val="22"/>
              </w:rPr>
            </w:pPr>
          </w:p>
          <w:p w:rsidR="00CC2F27" w:rsidRDefault="00DB49D2" w:rsidP="00DB49D2">
            <w:pPr>
              <w:tabs>
                <w:tab w:val="left" w:pos="0"/>
              </w:tabs>
              <w:suppressAutoHyphens/>
              <w:rPr>
                <w:b/>
                <w:szCs w:val="22"/>
              </w:rPr>
            </w:pPr>
            <w:r>
              <w:rPr>
                <w:b/>
                <w:szCs w:val="22"/>
              </w:rPr>
              <w:t>ICICLE BROADCASTING, INC.</w:t>
            </w:r>
          </w:p>
          <w:p w:rsidR="00CC2F27" w:rsidRDefault="00CC2F27">
            <w:pPr>
              <w:tabs>
                <w:tab w:val="left" w:pos="0"/>
              </w:tabs>
              <w:suppressAutoHyphens/>
              <w:ind w:left="5040" w:hanging="5040"/>
              <w:rPr>
                <w:b/>
                <w:szCs w:val="22"/>
              </w:rPr>
            </w:pPr>
          </w:p>
          <w:p w:rsidR="00CC2F27" w:rsidRDefault="00CC2F27">
            <w:pPr>
              <w:ind w:right="-18"/>
              <w:rPr>
                <w:szCs w:val="22"/>
              </w:rPr>
            </w:pPr>
            <w:r>
              <w:rPr>
                <w:szCs w:val="22"/>
              </w:rPr>
              <w:t>For Renewal of License for</w:t>
            </w:r>
          </w:p>
          <w:p w:rsidR="00CC2F27" w:rsidRDefault="00CC2F27">
            <w:pPr>
              <w:ind w:right="-18"/>
              <w:rPr>
                <w:b/>
                <w:szCs w:val="22"/>
              </w:rPr>
            </w:pPr>
            <w:r>
              <w:rPr>
                <w:szCs w:val="22"/>
              </w:rPr>
              <w:t>Station K</w:t>
            </w:r>
            <w:r w:rsidR="00DB49D2">
              <w:rPr>
                <w:szCs w:val="22"/>
              </w:rPr>
              <w:t>OZI</w:t>
            </w:r>
            <w:r w:rsidR="00D575CC">
              <w:rPr>
                <w:szCs w:val="22"/>
              </w:rPr>
              <w:t>-FM</w:t>
            </w:r>
          </w:p>
          <w:p w:rsidR="00CC2F27" w:rsidRDefault="00DB49D2" w:rsidP="00DB49D2">
            <w:pPr>
              <w:ind w:right="-18"/>
              <w:rPr>
                <w:szCs w:val="22"/>
              </w:rPr>
            </w:pPr>
            <w:r>
              <w:rPr>
                <w:szCs w:val="22"/>
              </w:rPr>
              <w:t>Chelan</w:t>
            </w:r>
            <w:r w:rsidR="00CC2F27">
              <w:rPr>
                <w:szCs w:val="22"/>
              </w:rPr>
              <w:t xml:space="preserve">, </w:t>
            </w:r>
            <w:smartTag w:uri="urn:schemas-microsoft-com:office:smarttags" w:element="State">
              <w:smartTag w:uri="urn:schemas-microsoft-com:office:smarttags" w:element="place">
                <w:r>
                  <w:rPr>
                    <w:szCs w:val="22"/>
                  </w:rPr>
                  <w:t>Washington</w:t>
                </w:r>
              </w:smartTag>
            </w:smartTag>
          </w:p>
        </w:tc>
        <w:tc>
          <w:tcPr>
            <w:tcW w:w="720" w:type="dxa"/>
          </w:tcPr>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tc>
        <w:tc>
          <w:tcPr>
            <w:tcW w:w="4230" w:type="dxa"/>
          </w:tcPr>
          <w:p w:rsidR="00CC2F27" w:rsidRDefault="00CC2F27">
            <w:pPr>
              <w:rPr>
                <w:szCs w:val="22"/>
              </w:rPr>
            </w:pPr>
          </w:p>
          <w:p w:rsidR="00CC2F27" w:rsidRDefault="00CC2F27">
            <w:pPr>
              <w:rPr>
                <w:szCs w:val="22"/>
              </w:rPr>
            </w:pPr>
          </w:p>
          <w:p w:rsidR="00CC2F27" w:rsidRDefault="00CC2F27">
            <w:pPr>
              <w:rPr>
                <w:szCs w:val="22"/>
              </w:rPr>
            </w:pPr>
            <w:r>
              <w:rPr>
                <w:szCs w:val="22"/>
              </w:rPr>
              <w:t xml:space="preserve">Facility I.D. No. </w:t>
            </w:r>
            <w:r w:rsidR="00DB49D2">
              <w:rPr>
                <w:szCs w:val="22"/>
              </w:rPr>
              <w:t>493</w:t>
            </w:r>
            <w:r w:rsidR="00D575CC">
              <w:rPr>
                <w:szCs w:val="22"/>
              </w:rPr>
              <w:t>66</w:t>
            </w:r>
          </w:p>
          <w:p w:rsidR="00CC2F27" w:rsidRDefault="00DB49D2">
            <w:pPr>
              <w:tabs>
                <w:tab w:val="left" w:pos="4680"/>
              </w:tabs>
              <w:rPr>
                <w:b/>
                <w:szCs w:val="22"/>
              </w:rPr>
            </w:pPr>
            <w:r>
              <w:rPr>
                <w:szCs w:val="22"/>
              </w:rPr>
              <w:t>NAL/Acct. No. MB201</w:t>
            </w:r>
            <w:r w:rsidR="000044B2">
              <w:rPr>
                <w:szCs w:val="22"/>
              </w:rPr>
              <w:t>4</w:t>
            </w:r>
            <w:r>
              <w:rPr>
                <w:szCs w:val="22"/>
              </w:rPr>
              <w:t>4141</w:t>
            </w:r>
            <w:r w:rsidR="00635A81">
              <w:rPr>
                <w:szCs w:val="22"/>
              </w:rPr>
              <w:t>0013</w:t>
            </w:r>
          </w:p>
          <w:p w:rsidR="00CC2F27" w:rsidRDefault="00CC2F27">
            <w:pPr>
              <w:rPr>
                <w:szCs w:val="22"/>
              </w:rPr>
            </w:pPr>
          </w:p>
          <w:p w:rsidR="00CC2F27" w:rsidRDefault="00CC2F27">
            <w:pPr>
              <w:tabs>
                <w:tab w:val="left" w:pos="4680"/>
              </w:tabs>
              <w:rPr>
                <w:szCs w:val="22"/>
              </w:rPr>
            </w:pPr>
            <w:r>
              <w:rPr>
                <w:szCs w:val="22"/>
              </w:rPr>
              <w:t>FRN:  0</w:t>
            </w:r>
            <w:r w:rsidR="00DB49D2">
              <w:rPr>
                <w:szCs w:val="22"/>
              </w:rPr>
              <w:t>000011254</w:t>
            </w:r>
          </w:p>
          <w:p w:rsidR="00CC2F27" w:rsidRDefault="00CC2F27">
            <w:pPr>
              <w:rPr>
                <w:szCs w:val="22"/>
              </w:rPr>
            </w:pPr>
            <w:r>
              <w:rPr>
                <w:szCs w:val="22"/>
              </w:rPr>
              <w:t>File No. BR</w:t>
            </w:r>
            <w:r w:rsidR="00D575CC">
              <w:rPr>
                <w:szCs w:val="22"/>
              </w:rPr>
              <w:t>H</w:t>
            </w:r>
            <w:r>
              <w:rPr>
                <w:szCs w:val="22"/>
              </w:rPr>
              <w:t>-20130</w:t>
            </w:r>
            <w:r w:rsidR="00DB49D2">
              <w:rPr>
                <w:szCs w:val="22"/>
              </w:rPr>
              <w:t>930BK</w:t>
            </w:r>
            <w:r w:rsidR="00D575CC">
              <w:rPr>
                <w:szCs w:val="22"/>
              </w:rPr>
              <w:t>Q</w:t>
            </w:r>
          </w:p>
          <w:p w:rsidR="00CC2F27" w:rsidRDefault="00CC2F27">
            <w:pPr>
              <w:rPr>
                <w:szCs w:val="22"/>
              </w:rPr>
            </w:pPr>
          </w:p>
        </w:tc>
      </w:tr>
    </w:tbl>
    <w:p w:rsidR="00CC2F27" w:rsidRDefault="00CC2F27">
      <w:pPr>
        <w:rPr>
          <w:szCs w:val="22"/>
        </w:rPr>
      </w:pPr>
    </w:p>
    <w:p w:rsidR="00CC2F27" w:rsidRDefault="00CC2F27">
      <w:pPr>
        <w:jc w:val="center"/>
        <w:rPr>
          <w:b/>
          <w:spacing w:val="-2"/>
          <w:szCs w:val="22"/>
        </w:rPr>
      </w:pPr>
      <w:r>
        <w:rPr>
          <w:b/>
          <w:spacing w:val="-2"/>
          <w:szCs w:val="22"/>
        </w:rPr>
        <w:t xml:space="preserve">MEMORANDUM OPINION AND ORDER </w:t>
      </w:r>
    </w:p>
    <w:p w:rsidR="00CC2F27" w:rsidRDefault="00CC2F27">
      <w:pPr>
        <w:jc w:val="center"/>
        <w:rPr>
          <w:b/>
          <w:spacing w:val="-2"/>
          <w:szCs w:val="22"/>
        </w:rPr>
      </w:pPr>
      <w:r>
        <w:rPr>
          <w:b/>
          <w:spacing w:val="-2"/>
          <w:szCs w:val="22"/>
        </w:rPr>
        <w:t>AND</w:t>
      </w:r>
    </w:p>
    <w:p w:rsidR="00CC2F27" w:rsidRDefault="00CC2F27">
      <w:pPr>
        <w:jc w:val="center"/>
        <w:rPr>
          <w:b/>
          <w:szCs w:val="22"/>
        </w:rPr>
      </w:pPr>
      <w:r>
        <w:rPr>
          <w:b/>
          <w:spacing w:val="-2"/>
          <w:szCs w:val="22"/>
        </w:rPr>
        <w:t>NOTICE OF APPARENT LIABILITY FOR FORFEITURE</w:t>
      </w:r>
    </w:p>
    <w:p w:rsidR="00CC2F27" w:rsidRDefault="00CC2F27">
      <w:pPr>
        <w:tabs>
          <w:tab w:val="left" w:pos="5760"/>
        </w:tabs>
        <w:rPr>
          <w:szCs w:val="22"/>
        </w:rPr>
      </w:pPr>
    </w:p>
    <w:p w:rsidR="00CC2F27" w:rsidRDefault="00CC2F27">
      <w:pPr>
        <w:tabs>
          <w:tab w:val="left" w:pos="5760"/>
        </w:tabs>
        <w:rPr>
          <w:b/>
          <w:szCs w:val="22"/>
        </w:rPr>
      </w:pPr>
      <w:r>
        <w:rPr>
          <w:b/>
          <w:szCs w:val="22"/>
        </w:rPr>
        <w:t xml:space="preserve">Adopted:  </w:t>
      </w:r>
      <w:r w:rsidR="0027175F">
        <w:rPr>
          <w:b/>
          <w:szCs w:val="22"/>
        </w:rPr>
        <w:t>March</w:t>
      </w:r>
      <w:r w:rsidR="00861F08">
        <w:rPr>
          <w:b/>
          <w:szCs w:val="22"/>
        </w:rPr>
        <w:t xml:space="preserve"> 4</w:t>
      </w:r>
      <w:r>
        <w:rPr>
          <w:b/>
          <w:szCs w:val="22"/>
        </w:rPr>
        <w:t>, 201</w:t>
      </w:r>
      <w:r w:rsidR="00DB49D2">
        <w:rPr>
          <w:b/>
          <w:szCs w:val="22"/>
        </w:rPr>
        <w:t>4</w:t>
      </w:r>
      <w:r>
        <w:rPr>
          <w:b/>
          <w:szCs w:val="22"/>
        </w:rPr>
        <w:tab/>
        <w:t xml:space="preserve">Released: </w:t>
      </w:r>
      <w:r w:rsidR="0027175F">
        <w:rPr>
          <w:b/>
          <w:szCs w:val="22"/>
        </w:rPr>
        <w:t>March 5</w:t>
      </w:r>
      <w:r>
        <w:rPr>
          <w:b/>
          <w:szCs w:val="22"/>
        </w:rPr>
        <w:t>, 201</w:t>
      </w:r>
      <w:r w:rsidR="00DB49D2">
        <w:rPr>
          <w:b/>
          <w:szCs w:val="22"/>
        </w:rPr>
        <w:t>4</w:t>
      </w:r>
    </w:p>
    <w:p w:rsidR="00CC2F27" w:rsidRDefault="00CC2F27">
      <w:pPr>
        <w:tabs>
          <w:tab w:val="left" w:pos="5760"/>
        </w:tabs>
        <w:rPr>
          <w:b/>
          <w:szCs w:val="22"/>
        </w:rPr>
      </w:pPr>
    </w:p>
    <w:p w:rsidR="00CC2F27" w:rsidRDefault="00CC2F27">
      <w:pPr>
        <w:tabs>
          <w:tab w:val="left" w:pos="5760"/>
        </w:tabs>
        <w:rPr>
          <w:spacing w:val="-2"/>
          <w:szCs w:val="22"/>
        </w:rPr>
      </w:pPr>
      <w:r>
        <w:rPr>
          <w:szCs w:val="22"/>
        </w:rPr>
        <w:t>By the Chief, Audio Division, Media Bureau</w:t>
      </w:r>
      <w:r>
        <w:rPr>
          <w:spacing w:val="-2"/>
          <w:szCs w:val="22"/>
        </w:rPr>
        <w:t>:</w:t>
      </w:r>
    </w:p>
    <w:p w:rsidR="00CC2F27" w:rsidRDefault="00CC2F27">
      <w:pPr>
        <w:tabs>
          <w:tab w:val="left" w:pos="5760"/>
        </w:tabs>
        <w:rPr>
          <w:szCs w:val="22"/>
        </w:rPr>
      </w:pPr>
    </w:p>
    <w:p w:rsidR="00CC2F27" w:rsidRDefault="00CC2F27">
      <w:pPr>
        <w:tabs>
          <w:tab w:val="left" w:pos="5760"/>
        </w:tabs>
        <w:jc w:val="both"/>
        <w:rPr>
          <w:b/>
          <w:szCs w:val="22"/>
        </w:rPr>
      </w:pPr>
      <w:r>
        <w:rPr>
          <w:b/>
          <w:szCs w:val="22"/>
        </w:rPr>
        <w:t>I.          INTRODUCTION</w:t>
      </w:r>
    </w:p>
    <w:p w:rsidR="00CC2F27" w:rsidRDefault="00CC2F27">
      <w:pPr>
        <w:tabs>
          <w:tab w:val="left" w:pos="5760"/>
        </w:tabs>
        <w:jc w:val="both"/>
        <w:rPr>
          <w:b/>
          <w:szCs w:val="22"/>
        </w:rPr>
      </w:pPr>
    </w:p>
    <w:p w:rsidR="00CC2F27" w:rsidRDefault="00CC2F27">
      <w:pPr>
        <w:pStyle w:val="ParaNum"/>
        <w:numPr>
          <w:ilvl w:val="0"/>
          <w:numId w:val="0"/>
        </w:numPr>
        <w:tabs>
          <w:tab w:val="clear" w:pos="1440"/>
          <w:tab w:val="left" w:pos="720"/>
        </w:tabs>
        <w:jc w:val="left"/>
        <w:rPr>
          <w:szCs w:val="22"/>
        </w:rPr>
      </w:pPr>
      <w:r>
        <w:rPr>
          <w:szCs w:val="22"/>
        </w:rPr>
        <w:tab/>
        <w:t>1.</w:t>
      </w:r>
      <w:r>
        <w:rPr>
          <w:szCs w:val="22"/>
        </w:rPr>
        <w:tab/>
        <w:t>The Media Bureau (“Bureau”) has before it the application</w:t>
      </w:r>
      <w:r w:rsidR="00DB49D2">
        <w:rPr>
          <w:szCs w:val="22"/>
        </w:rPr>
        <w:t xml:space="preserve"> </w:t>
      </w:r>
      <w:r>
        <w:rPr>
          <w:szCs w:val="22"/>
        </w:rPr>
        <w:t xml:space="preserve">of </w:t>
      </w:r>
      <w:r w:rsidR="00DB49D2">
        <w:t>Icicle Broadcasting, Inc.,</w:t>
      </w:r>
      <w:r>
        <w:rPr>
          <w:szCs w:val="22"/>
        </w:rPr>
        <w:t xml:space="preserve"> (“Licensee”), for renewal of its license for Station K</w:t>
      </w:r>
      <w:r w:rsidR="00DB49D2">
        <w:rPr>
          <w:szCs w:val="22"/>
        </w:rPr>
        <w:t>OZI</w:t>
      </w:r>
      <w:r w:rsidR="00D575CC">
        <w:rPr>
          <w:szCs w:val="22"/>
        </w:rPr>
        <w:t>-FM</w:t>
      </w:r>
      <w:r>
        <w:rPr>
          <w:szCs w:val="22"/>
        </w:rPr>
        <w:t xml:space="preserve">, </w:t>
      </w:r>
      <w:r w:rsidR="00152ACE">
        <w:rPr>
          <w:szCs w:val="22"/>
        </w:rPr>
        <w:t>Chelan</w:t>
      </w:r>
      <w:r>
        <w:rPr>
          <w:szCs w:val="22"/>
        </w:rPr>
        <w:t xml:space="preserve">, </w:t>
      </w:r>
      <w:smartTag w:uri="urn:schemas-microsoft-com:office:smarttags" w:element="State">
        <w:smartTag w:uri="urn:schemas-microsoft-com:office:smarttags" w:element="place">
          <w:r w:rsidR="00152ACE">
            <w:rPr>
              <w:szCs w:val="22"/>
            </w:rPr>
            <w:t>Washington</w:t>
          </w:r>
        </w:smartTag>
      </w:smartTag>
      <w:r w:rsidR="00152ACE">
        <w:rPr>
          <w:szCs w:val="22"/>
        </w:rPr>
        <w:t xml:space="preserve"> </w:t>
      </w:r>
      <w:r>
        <w:rPr>
          <w:szCs w:val="22"/>
        </w:rPr>
        <w:t xml:space="preserve">(“Station”).  In this </w:t>
      </w:r>
      <w:r>
        <w:rPr>
          <w:i/>
          <w:szCs w:val="22"/>
        </w:rPr>
        <w:t xml:space="preserve">Memorandum Opinion and Order and Notice of Apparent Liability for Forfeiture </w:t>
      </w:r>
      <w:r>
        <w:rPr>
          <w:szCs w:val="22"/>
        </w:rPr>
        <w:t>(</w:t>
      </w:r>
      <w:r>
        <w:rPr>
          <w:i/>
          <w:szCs w:val="22"/>
        </w:rPr>
        <w:t>“NAL”</w:t>
      </w:r>
      <w:r>
        <w:rPr>
          <w:szCs w:val="22"/>
        </w:rPr>
        <w:t>),</w:t>
      </w:r>
      <w:r>
        <w:rPr>
          <w:rStyle w:val="FootnoteReference"/>
          <w:szCs w:val="22"/>
        </w:rPr>
        <w:footnoteReference w:id="2"/>
      </w:r>
      <w:r>
        <w:rPr>
          <w:szCs w:val="22"/>
        </w:rPr>
        <w:t xml:space="preserve"> we find that Licensee apparently willfully and repeatedly violated Section 73.352</w:t>
      </w:r>
      <w:r w:rsidR="00152ACE">
        <w:rPr>
          <w:szCs w:val="22"/>
        </w:rPr>
        <w:t>6</w:t>
      </w:r>
      <w:r>
        <w:rPr>
          <w:szCs w:val="22"/>
        </w:rPr>
        <w:t xml:space="preserve"> of the Rules by failing to retain all required documentation in the </w:t>
      </w:r>
      <w:r w:rsidR="00F9311C">
        <w:rPr>
          <w:szCs w:val="22"/>
        </w:rPr>
        <w:t>Station’s</w:t>
      </w:r>
      <w:r>
        <w:rPr>
          <w:szCs w:val="22"/>
        </w:rPr>
        <w:t xml:space="preserve"> public inspection file.</w:t>
      </w:r>
      <w:r>
        <w:rPr>
          <w:rStyle w:val="FootnoteReference"/>
          <w:szCs w:val="22"/>
        </w:rPr>
        <w:footnoteReference w:id="3"/>
      </w:r>
      <w:r>
        <w:rPr>
          <w:szCs w:val="22"/>
        </w:rPr>
        <w:t xml:space="preserve">  Based upon our review of the record before us, we conclude that Licensee is apparently liable for a monetary forfeiture in the amount of twelve thousand dollars ($12,000) and that the captioned license renewal application should be granted for a period of four (4) years instead of a full term of eight years.   </w:t>
      </w:r>
    </w:p>
    <w:p w:rsidR="00CC2F27" w:rsidRDefault="00CC2F27">
      <w:pPr>
        <w:rPr>
          <w:b/>
        </w:rPr>
      </w:pPr>
      <w:r>
        <w:rPr>
          <w:b/>
        </w:rPr>
        <w:t>II.         BACKGROUND</w:t>
      </w:r>
    </w:p>
    <w:p w:rsidR="00CC2F27" w:rsidRDefault="00CC2F27">
      <w:pPr>
        <w:rPr>
          <w:b/>
        </w:rPr>
      </w:pPr>
    </w:p>
    <w:p w:rsidR="00CC2F27" w:rsidRDefault="00CC2F27">
      <w:pPr>
        <w:numPr>
          <w:ilvl w:val="0"/>
          <w:numId w:val="2"/>
        </w:numPr>
        <w:tabs>
          <w:tab w:val="clear" w:pos="1440"/>
          <w:tab w:val="num" w:pos="0"/>
        </w:tabs>
        <w:ind w:left="0" w:firstLine="720"/>
        <w:rPr>
          <w:szCs w:val="22"/>
        </w:rPr>
      </w:pPr>
      <w:r>
        <w:t>Section 73.352</w:t>
      </w:r>
      <w:r w:rsidR="00152ACE">
        <w:t>6</w:t>
      </w:r>
      <w:r>
        <w:t xml:space="preserve"> of the Rules requires </w:t>
      </w:r>
      <w:r w:rsidR="00152ACE">
        <w:t xml:space="preserve">commercial </w:t>
      </w:r>
      <w:r>
        <w:t>broadcast licensees to maintain a public inspection file containing specific types of information related to station operations.  The purpose of this requirement is to provide the public with timely information about the station at regular intervals throughout the license period.</w:t>
      </w:r>
      <w:r>
        <w:rPr>
          <w:rStyle w:val="FootnoteReference"/>
          <w:szCs w:val="22"/>
        </w:rPr>
        <w:footnoteReference w:id="4"/>
      </w:r>
      <w:r>
        <w:t xml:space="preserve">  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5"/>
      </w:r>
      <w:r>
        <w:t xml:space="preserve"> </w:t>
      </w:r>
    </w:p>
    <w:p w:rsidR="00152ACE" w:rsidRPr="00152ACE" w:rsidRDefault="00CC2F27">
      <w:pPr>
        <w:numPr>
          <w:ilvl w:val="0"/>
          <w:numId w:val="2"/>
        </w:numPr>
        <w:tabs>
          <w:tab w:val="clear" w:pos="1440"/>
          <w:tab w:val="num" w:pos="0"/>
        </w:tabs>
        <w:ind w:left="0" w:firstLine="720"/>
      </w:pPr>
      <w:r>
        <w:rPr>
          <w:szCs w:val="22"/>
        </w:rPr>
        <w:lastRenderedPageBreak/>
        <w:t>Section III, Item 3 of the license renewal application form, FCC Form 303-S, requests that the licensee certify that the documentation required by Section 73.352</w:t>
      </w:r>
      <w:r w:rsidR="00152ACE">
        <w:rPr>
          <w:szCs w:val="22"/>
        </w:rPr>
        <w:t>6</w:t>
      </w:r>
      <w:r>
        <w:rPr>
          <w:szCs w:val="22"/>
        </w:rPr>
        <w:t xml:space="preserve"> has been placed in the station’s public inspection file at the appropriate times.  Licensee answered “</w:t>
      </w:r>
      <w:r w:rsidR="00152ACE">
        <w:rPr>
          <w:szCs w:val="22"/>
        </w:rPr>
        <w:t>No</w:t>
      </w:r>
      <w:r>
        <w:rPr>
          <w:szCs w:val="22"/>
        </w:rPr>
        <w:t xml:space="preserve">” </w:t>
      </w:r>
      <w:r w:rsidR="00152ACE">
        <w:rPr>
          <w:szCs w:val="22"/>
        </w:rPr>
        <w:t>and attached an Exhibit explaining that:</w:t>
      </w:r>
    </w:p>
    <w:p w:rsidR="00152ACE" w:rsidRDefault="00152ACE" w:rsidP="00152ACE">
      <w:pPr>
        <w:ind w:left="720"/>
        <w:rPr>
          <w:szCs w:val="22"/>
        </w:rPr>
      </w:pPr>
    </w:p>
    <w:p w:rsidR="00593CA1" w:rsidRPr="00593CA1" w:rsidRDefault="00152ACE" w:rsidP="00593CA1">
      <w:pPr>
        <w:ind w:left="720"/>
        <w:rPr>
          <w:szCs w:val="22"/>
        </w:rPr>
      </w:pPr>
      <w:r>
        <w:t>[L]</w:t>
      </w:r>
      <w:r w:rsidRPr="001B127A">
        <w:t xml:space="preserve">icensee </w:t>
      </w:r>
      <w:r>
        <w:t xml:space="preserve">[has] </w:t>
      </w:r>
      <w:r w:rsidRPr="001B127A">
        <w:t xml:space="preserve">reviewed the public inspection file and determined </w:t>
      </w:r>
      <w:r>
        <w:t xml:space="preserve">[as missing] . . . </w:t>
      </w:r>
      <w:r w:rsidRPr="00152ACE">
        <w:rPr>
          <w:szCs w:val="22"/>
        </w:rPr>
        <w:t xml:space="preserve">quarterly </w:t>
      </w:r>
      <w:r w:rsidR="00593CA1" w:rsidRPr="00593CA1">
        <w:rPr>
          <w:szCs w:val="22"/>
        </w:rPr>
        <w:t xml:space="preserve">issues/programs reports for the 2006-2009 time period, the first two quarters of 2010, the </w:t>
      </w:r>
      <w:r w:rsidR="00A74A4E">
        <w:rPr>
          <w:szCs w:val="22"/>
        </w:rPr>
        <w:t xml:space="preserve">third and four quarters of 2011 </w:t>
      </w:r>
      <w:r w:rsidR="00593CA1" w:rsidRPr="00593CA1">
        <w:rPr>
          <w:szCs w:val="22"/>
        </w:rPr>
        <w:t xml:space="preserve">and 2012. </w:t>
      </w:r>
    </w:p>
    <w:p w:rsidR="00593CA1" w:rsidRPr="00593CA1" w:rsidRDefault="00593CA1" w:rsidP="00593CA1">
      <w:pPr>
        <w:ind w:left="720"/>
        <w:rPr>
          <w:szCs w:val="22"/>
        </w:rPr>
      </w:pPr>
      <w:r w:rsidRPr="00593CA1">
        <w:rPr>
          <w:szCs w:val="22"/>
        </w:rPr>
        <w:t xml:space="preserve"> </w:t>
      </w:r>
    </w:p>
    <w:p w:rsidR="00593CA1" w:rsidRPr="00593CA1" w:rsidRDefault="00593CA1" w:rsidP="00593CA1">
      <w:pPr>
        <w:ind w:left="720"/>
        <w:rPr>
          <w:szCs w:val="22"/>
        </w:rPr>
      </w:pPr>
      <w:r w:rsidRPr="00593CA1">
        <w:rPr>
          <w:szCs w:val="22"/>
        </w:rPr>
        <w:t xml:space="preserve">The 26 missing reports are in the process of being re-created based on available station records and documentation and will be placed in the station’s public inspection file shortly. </w:t>
      </w:r>
    </w:p>
    <w:p w:rsidR="00593CA1" w:rsidRPr="00593CA1" w:rsidRDefault="00593CA1" w:rsidP="00593CA1">
      <w:pPr>
        <w:ind w:left="720"/>
        <w:rPr>
          <w:szCs w:val="22"/>
        </w:rPr>
      </w:pPr>
      <w:r w:rsidRPr="00593CA1">
        <w:rPr>
          <w:szCs w:val="22"/>
        </w:rPr>
        <w:t xml:space="preserve"> </w:t>
      </w:r>
    </w:p>
    <w:p w:rsidR="00593CA1" w:rsidRPr="00593CA1" w:rsidRDefault="00593CA1" w:rsidP="00593CA1">
      <w:pPr>
        <w:ind w:left="720"/>
        <w:rPr>
          <w:szCs w:val="22"/>
        </w:rPr>
      </w:pPr>
      <w:r w:rsidRPr="00593CA1">
        <w:rPr>
          <w:szCs w:val="22"/>
        </w:rPr>
        <w:t xml:space="preserve">The licensee takes seriously its obligations as a broadcast station licensee and sincerely regrets the laps with respect to these issues/programs lists. KOZI-FM had some significant changes in management beginning in 2006. The General Managers during this period of time are no longer with the station. The licensee has been unable to locate the missing quarterly reports that were not in the public file during this period of turnover. An extensive schedule of Issue-responsive programming was broadcast during the above time periods -- KOZI-FM, a true community radio station, regularly broadcasts news and public affairs programs and public service announcements that serve community needs and interests. </w:t>
      </w:r>
    </w:p>
    <w:p w:rsidR="00593CA1" w:rsidRPr="00593CA1" w:rsidRDefault="00593CA1" w:rsidP="00593CA1">
      <w:pPr>
        <w:ind w:left="720"/>
        <w:rPr>
          <w:szCs w:val="22"/>
        </w:rPr>
      </w:pPr>
      <w:r w:rsidRPr="00593CA1">
        <w:rPr>
          <w:szCs w:val="22"/>
        </w:rPr>
        <w:t xml:space="preserve"> </w:t>
      </w:r>
    </w:p>
    <w:p w:rsidR="000B3DEF" w:rsidRDefault="00593CA1" w:rsidP="00E42026">
      <w:pPr>
        <w:ind w:left="720"/>
        <w:rPr>
          <w:szCs w:val="22"/>
        </w:rPr>
      </w:pPr>
      <w:r w:rsidRPr="00593CA1">
        <w:rPr>
          <w:szCs w:val="22"/>
        </w:rPr>
        <w:t>The licensee has adopted procedures to address this gap in record-keeping (e.g., electronic calendar reminders). In addition to internal communications, it has asked its FCC counsel to send it reminders when quarterly reports are due.</w:t>
      </w:r>
      <w:r w:rsidR="00CC2F27">
        <w:rPr>
          <w:rStyle w:val="FootnoteReference"/>
          <w:szCs w:val="22"/>
        </w:rPr>
        <w:footnoteReference w:id="6"/>
      </w:r>
      <w:r w:rsidR="00CC2F27" w:rsidRPr="00152ACE">
        <w:rPr>
          <w:szCs w:val="22"/>
        </w:rPr>
        <w:t xml:space="preserve"> </w:t>
      </w:r>
    </w:p>
    <w:p w:rsidR="000B3DEF" w:rsidRDefault="000B3DEF" w:rsidP="000B3DEF">
      <w:pPr>
        <w:rPr>
          <w:szCs w:val="22"/>
        </w:rPr>
      </w:pPr>
    </w:p>
    <w:p w:rsidR="000B3DEF" w:rsidRDefault="000B3DEF" w:rsidP="000B3DEF">
      <w:pPr>
        <w:rPr>
          <w:szCs w:val="22"/>
        </w:rPr>
      </w:pPr>
      <w:r>
        <w:rPr>
          <w:szCs w:val="22"/>
        </w:rPr>
        <w:t xml:space="preserve">On February 19, 2014, Licensee notified Commission staff via electronic correspondence that despite an “exhaustive search” it was ultimately unable to recreate the missing </w:t>
      </w:r>
      <w:r w:rsidR="00654A59">
        <w:rPr>
          <w:szCs w:val="22"/>
        </w:rPr>
        <w:t>reports</w:t>
      </w:r>
      <w:r>
        <w:rPr>
          <w:szCs w:val="22"/>
        </w:rPr>
        <w:t xml:space="preserve"> because the Station “lacked the ability to retrieve reliable records concerning the dates, times and duration of issue-responsive programs.”</w:t>
      </w:r>
      <w:r w:rsidR="00654A59">
        <w:rPr>
          <w:rStyle w:val="FootnoteReference"/>
          <w:szCs w:val="22"/>
        </w:rPr>
        <w:footnoteReference w:id="7"/>
      </w:r>
      <w:r w:rsidR="00654A59">
        <w:rPr>
          <w:szCs w:val="22"/>
        </w:rPr>
        <w:t xml:space="preserve">  </w:t>
      </w:r>
      <w:r>
        <w:rPr>
          <w:szCs w:val="22"/>
        </w:rPr>
        <w:t xml:space="preserve">Additionally, it reaffirmed that it had “adopted </w:t>
      </w:r>
      <w:r w:rsidRPr="000B3DEF">
        <w:rPr>
          <w:szCs w:val="22"/>
        </w:rPr>
        <w:t xml:space="preserve">a variety of procedures to make sure that there will be no gap in </w:t>
      </w:r>
      <w:r>
        <w:rPr>
          <w:szCs w:val="22"/>
        </w:rPr>
        <w:t xml:space="preserve">[future] </w:t>
      </w:r>
      <w:r w:rsidRPr="000B3DEF">
        <w:rPr>
          <w:szCs w:val="22"/>
        </w:rPr>
        <w:t>recording-keeping</w:t>
      </w:r>
      <w:r>
        <w:rPr>
          <w:szCs w:val="22"/>
        </w:rPr>
        <w:t xml:space="preserve"> . . . .”</w:t>
      </w:r>
      <w:r>
        <w:rPr>
          <w:rStyle w:val="FootnoteReference"/>
          <w:szCs w:val="22"/>
        </w:rPr>
        <w:footnoteReference w:id="8"/>
      </w:r>
    </w:p>
    <w:p w:rsidR="00152ACE" w:rsidRDefault="00152ACE" w:rsidP="004A59A3"/>
    <w:p w:rsidR="00CC2F27" w:rsidRDefault="00CC2F27">
      <w:pPr>
        <w:rPr>
          <w:b/>
        </w:rPr>
      </w:pPr>
      <w:r>
        <w:rPr>
          <w:b/>
        </w:rPr>
        <w:t>III.       DISCUSSION</w:t>
      </w:r>
    </w:p>
    <w:p w:rsidR="00CC2F27" w:rsidRDefault="00CC2F27">
      <w:pPr>
        <w:ind w:left="720"/>
      </w:pPr>
    </w:p>
    <w:p w:rsidR="00CC2F27" w:rsidRDefault="00CC2F27">
      <w:pPr>
        <w:numPr>
          <w:ilvl w:val="0"/>
          <w:numId w:val="2"/>
        </w:numPr>
        <w:tabs>
          <w:tab w:val="clear" w:pos="1440"/>
          <w:tab w:val="num" w:pos="0"/>
        </w:tabs>
        <w:ind w:left="0" w:firstLine="720"/>
        <w:rPr>
          <w:szCs w:val="22"/>
        </w:rPr>
      </w:pPr>
      <w:r>
        <w:rPr>
          <w:i/>
        </w:rPr>
        <w:t>Proposed Forfeiture.</w:t>
      </w:r>
      <w:r>
        <w:t xml:space="preserve">  As Licensee has acknowledged, for nearly s</w:t>
      </w:r>
      <w:r w:rsidR="004C6180">
        <w:t xml:space="preserve">even </w:t>
      </w:r>
      <w:r>
        <w:t>years of the license term, the Station’s public inspection file did not contain the issues/programs lists required to be retained in the file by Section 73.352</w:t>
      </w:r>
      <w:r w:rsidR="00F9311C">
        <w:t>6</w:t>
      </w:r>
      <w:r>
        <w:t xml:space="preserve"> of the Rules.  In this regard, where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9"/>
      </w:r>
    </w:p>
    <w:p w:rsidR="00CC2F27" w:rsidRDefault="00CC2F27">
      <w:pPr>
        <w:ind w:left="720"/>
        <w:rPr>
          <w:szCs w:val="22"/>
        </w:rPr>
      </w:pPr>
    </w:p>
    <w:p w:rsidR="00CC2F27" w:rsidRDefault="00CC2F27">
      <w:pPr>
        <w:numPr>
          <w:ilvl w:val="0"/>
          <w:numId w:val="2"/>
        </w:numPr>
        <w:tabs>
          <w:tab w:val="clear" w:pos="1440"/>
          <w:tab w:val="num" w:pos="0"/>
        </w:tabs>
        <w:ind w:left="0" w:firstLine="720"/>
        <w:rPr>
          <w:szCs w:val="22"/>
        </w:rPr>
      </w:pPr>
      <w:r>
        <w:rPr>
          <w:szCs w:val="22"/>
        </w:rPr>
        <w:t xml:space="preserve">Under Section 503(b)(1)(B) of the Act, a person who is found to have willfully or repeatedly failed to comply with any provision of the Act or any rule, regulation, or order issued by the </w:t>
      </w:r>
      <w:r>
        <w:rPr>
          <w:szCs w:val="22"/>
        </w:rPr>
        <w:lastRenderedPageBreak/>
        <w:t xml:space="preserve">Commission shall be liable to the </w:t>
      </w:r>
      <w:smartTag w:uri="urn:schemas-microsoft-com:office:smarttags" w:element="country-region">
        <w:smartTag w:uri="urn:schemas-microsoft-com:office:smarttags" w:element="place">
          <w:r>
            <w:rPr>
              <w:szCs w:val="22"/>
            </w:rPr>
            <w:t>United States</w:t>
          </w:r>
        </w:smartTag>
      </w:smartTag>
      <w:r>
        <w:rPr>
          <w:szCs w:val="22"/>
        </w:rPr>
        <w:t xml:space="preserve"> for a forfeiture penalty.</w:t>
      </w:r>
      <w:r>
        <w:rPr>
          <w:rStyle w:val="FootnoteReference"/>
          <w:szCs w:val="22"/>
        </w:rPr>
        <w:footnoteReference w:id="10"/>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11"/>
      </w:r>
      <w:r>
        <w:rPr>
          <w:szCs w:val="22"/>
        </w:rPr>
        <w:t xml:space="preserve">  The legislative history to Section 312(f)(1) of the Act clarifies that this definition of willful applies to both Sections 312 and 503(b) of the Act,</w:t>
      </w:r>
      <w:r>
        <w:rPr>
          <w:rStyle w:val="FootnoteReference"/>
          <w:szCs w:val="22"/>
        </w:rPr>
        <w:footnoteReference w:id="12"/>
      </w:r>
      <w:r>
        <w:rPr>
          <w:szCs w:val="22"/>
        </w:rPr>
        <w:t xml:space="preserve"> and the Commission has so interpreted the term in the Section 503(b) context.</w:t>
      </w:r>
      <w:r>
        <w:rPr>
          <w:rStyle w:val="FootnoteReference"/>
          <w:szCs w:val="22"/>
        </w:rPr>
        <w:footnoteReference w:id="13"/>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4"/>
      </w:r>
      <w:r>
        <w:rPr>
          <w:szCs w:val="22"/>
        </w:rPr>
        <w:t xml:space="preserve">  </w:t>
      </w:r>
    </w:p>
    <w:p w:rsidR="00152ACE" w:rsidRDefault="00152ACE" w:rsidP="00152ACE">
      <w:pPr>
        <w:rPr>
          <w:szCs w:val="22"/>
        </w:rPr>
      </w:pPr>
    </w:p>
    <w:p w:rsidR="00CC2F27" w:rsidRDefault="00CC2F27">
      <w:pPr>
        <w:pStyle w:val="ParaNum"/>
        <w:widowControl/>
        <w:numPr>
          <w:ilvl w:val="0"/>
          <w:numId w:val="2"/>
        </w:numPr>
        <w:tabs>
          <w:tab w:val="clear" w:pos="1440"/>
          <w:tab w:val="num" w:pos="0"/>
        </w:tabs>
        <w:ind w:left="0" w:firstLine="720"/>
        <w:jc w:val="left"/>
      </w:pPr>
      <w:r>
        <w:t>The</w:t>
      </w:r>
      <w:r>
        <w:rPr>
          <w:i/>
        </w:rPr>
        <w:t xml:space="preserve"> </w:t>
      </w:r>
      <w:r>
        <w:t>Commission’s</w:t>
      </w:r>
      <w:r>
        <w:rPr>
          <w:i/>
        </w:rPr>
        <w:t xml:space="preserve"> Forfeiture Policy Statement</w:t>
      </w:r>
      <w:r>
        <w:t xml:space="preserve"> and Section 1.80(b)(4) of the Rules establish a base forfeiture amount of $10,000 for violation of Section 73.352</w:t>
      </w:r>
      <w:r w:rsidR="00152ACE">
        <w:t>6</w:t>
      </w:r>
      <w:r>
        <w:t>.</w:t>
      </w:r>
      <w:r>
        <w:rPr>
          <w:rStyle w:val="FootnoteReference"/>
          <w:szCs w:val="22"/>
        </w:rPr>
        <w:footnoteReference w:id="15"/>
      </w:r>
      <w:r>
        <w:t xml:space="preserve">  In determining the appropriate forfeiture amount, we may adjust the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6"/>
      </w:r>
    </w:p>
    <w:p w:rsidR="00CC2F27" w:rsidRDefault="00CC2F27">
      <w:pPr>
        <w:pStyle w:val="ParaNum"/>
        <w:widowControl/>
        <w:numPr>
          <w:ilvl w:val="0"/>
          <w:numId w:val="0"/>
        </w:numPr>
        <w:jc w:val="left"/>
        <w:rPr>
          <w:szCs w:val="22"/>
        </w:rPr>
      </w:pPr>
      <w:r>
        <w:rPr>
          <w:szCs w:val="22"/>
        </w:rPr>
        <w:t xml:space="preserve">             7.</w:t>
      </w:r>
      <w:r>
        <w:rPr>
          <w:szCs w:val="22"/>
        </w:rPr>
        <w:tab/>
        <w:t>In this case, although Licensee admitted to violating Section 73.352</w:t>
      </w:r>
      <w:r w:rsidR="00152ACE">
        <w:rPr>
          <w:szCs w:val="22"/>
        </w:rPr>
        <w:t>6</w:t>
      </w:r>
      <w:r>
        <w:rPr>
          <w:szCs w:val="22"/>
        </w:rPr>
        <w:t xml:space="preserve">, it did so only in the context of the question contained in its license renewal application that compelled such disclosure.  Moreover, the violations were extensive, occurring </w:t>
      </w:r>
      <w:r w:rsidR="000B1CA5">
        <w:rPr>
          <w:szCs w:val="22"/>
        </w:rPr>
        <w:t>over a seven</w:t>
      </w:r>
      <w:r w:rsidR="00635A81">
        <w:rPr>
          <w:szCs w:val="22"/>
        </w:rPr>
        <w:t>-</w:t>
      </w:r>
      <w:r w:rsidR="000B1CA5">
        <w:rPr>
          <w:szCs w:val="22"/>
        </w:rPr>
        <w:t xml:space="preserve">year period </w:t>
      </w:r>
      <w:r>
        <w:rPr>
          <w:szCs w:val="22"/>
        </w:rPr>
        <w:t>and involving 2</w:t>
      </w:r>
      <w:r w:rsidR="00593CA1">
        <w:rPr>
          <w:szCs w:val="22"/>
        </w:rPr>
        <w:t>6</w:t>
      </w:r>
      <w:r>
        <w:rPr>
          <w:szCs w:val="22"/>
        </w:rPr>
        <w:t xml:space="preserve"> issues/programs lists.  Accordingly, we find that an upward adjustment is appropriate here.</w:t>
      </w:r>
      <w:r>
        <w:rPr>
          <w:rStyle w:val="FootnoteReference"/>
          <w:szCs w:val="22"/>
        </w:rPr>
        <w:footnoteReference w:id="17"/>
      </w:r>
      <w:r>
        <w:rPr>
          <w:szCs w:val="22"/>
        </w:rPr>
        <w:t xml:space="preserve">  Considering the record as a whole, we believe that a $12,000 forfeiture is appropriate for the Section 73.352</w:t>
      </w:r>
      <w:r w:rsidR="000B1CA5">
        <w:rPr>
          <w:szCs w:val="22"/>
        </w:rPr>
        <w:t>6</w:t>
      </w:r>
      <w:r>
        <w:rPr>
          <w:szCs w:val="22"/>
        </w:rPr>
        <w:t xml:space="preserve"> violations in this case.  </w:t>
      </w:r>
    </w:p>
    <w:p w:rsidR="004A59A3" w:rsidRDefault="00CC2F27">
      <w:pPr>
        <w:pStyle w:val="ParaNum"/>
        <w:widowControl/>
        <w:numPr>
          <w:ilvl w:val="0"/>
          <w:numId w:val="0"/>
        </w:numPr>
        <w:tabs>
          <w:tab w:val="clear" w:pos="1440"/>
          <w:tab w:val="left" w:pos="720"/>
        </w:tabs>
        <w:jc w:val="left"/>
        <w:rPr>
          <w:szCs w:val="22"/>
        </w:rPr>
      </w:pPr>
      <w:r>
        <w:rPr>
          <w:szCs w:val="22"/>
        </w:rPr>
        <w:tab/>
        <w:t xml:space="preserve">8. </w:t>
      </w:r>
      <w:r>
        <w:rPr>
          <w:szCs w:val="22"/>
        </w:rPr>
        <w:tab/>
      </w:r>
      <w:r>
        <w:rPr>
          <w:i/>
          <w:iCs/>
          <w:szCs w:val="22"/>
        </w:rPr>
        <w:t>License Renewal Application</w:t>
      </w:r>
      <w:r>
        <w:rPr>
          <w:szCs w:val="22"/>
        </w:rPr>
        <w:t>. In evaluating an application for license renewal, the Commission's decision is governed by Section 309(k) of the Act.</w:t>
      </w:r>
      <w:bookmarkStart w:id="4" w:name="FN[FN15]"/>
      <w:bookmarkEnd w:id="4"/>
      <w:r>
        <w:rPr>
          <w:rStyle w:val="FootnoteReference"/>
          <w:szCs w:val="22"/>
        </w:rPr>
        <w:footnoteReference w:id="18"/>
      </w:r>
      <w:r>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bookmarkStart w:id="5" w:name="FN[FN16]"/>
      <w:bookmarkEnd w:id="5"/>
      <w:r>
        <w:rPr>
          <w:rStyle w:val="FootnoteReference"/>
          <w:szCs w:val="22"/>
        </w:rPr>
        <w:footnoteReference w:id="19"/>
      </w:r>
      <w:r>
        <w:rPr>
          <w:szCs w:val="22"/>
        </w:rPr>
        <w:t xml:space="preserve">  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bookmarkStart w:id="6" w:name="FN[FN17]"/>
      <w:bookmarkEnd w:id="6"/>
      <w:r>
        <w:rPr>
          <w:rStyle w:val="FootnoteReference"/>
          <w:szCs w:val="22"/>
        </w:rPr>
        <w:footnoteReference w:id="20"/>
      </w:r>
    </w:p>
    <w:p w:rsidR="00CC2F27" w:rsidRDefault="00CC2F27">
      <w:pPr>
        <w:pStyle w:val="ParaNum"/>
        <w:widowControl/>
        <w:numPr>
          <w:ilvl w:val="0"/>
          <w:numId w:val="0"/>
        </w:numPr>
        <w:tabs>
          <w:tab w:val="clear" w:pos="1440"/>
          <w:tab w:val="left" w:pos="720"/>
        </w:tabs>
        <w:jc w:val="left"/>
        <w:rPr>
          <w:szCs w:val="22"/>
        </w:rPr>
      </w:pPr>
      <w:r>
        <w:rPr>
          <w:szCs w:val="22"/>
        </w:rPr>
        <w:br/>
      </w:r>
      <w:bookmarkStart w:id="7" w:name="sp_999_2"/>
      <w:bookmarkStart w:id="8" w:name="SDU_2"/>
      <w:bookmarkEnd w:id="7"/>
      <w:bookmarkEnd w:id="8"/>
      <w:r>
        <w:rPr>
          <w:szCs w:val="22"/>
        </w:rPr>
        <w:tab/>
        <w:t xml:space="preserve">9. </w:t>
      </w:r>
      <w:r>
        <w:rPr>
          <w:szCs w:val="22"/>
        </w:rPr>
        <w:tab/>
        <w:t xml:space="preserve">It is clear to us that Licensee’s conduct has fallen far short of the standard of compliance with the Act and the Rules that would warrant a routine license renewal.  Licensee apparently failed to timely prepare and file </w:t>
      </w:r>
      <w:r w:rsidR="00635A81">
        <w:rPr>
          <w:szCs w:val="22"/>
        </w:rPr>
        <w:t xml:space="preserve">26 </w:t>
      </w:r>
      <w:r>
        <w:rPr>
          <w:szCs w:val="22"/>
        </w:rPr>
        <w:t>issues/programs list for nearly s</w:t>
      </w:r>
      <w:r w:rsidR="000B1CA5">
        <w:rPr>
          <w:szCs w:val="22"/>
        </w:rPr>
        <w:t xml:space="preserve">even </w:t>
      </w:r>
      <w:r>
        <w:rPr>
          <w:szCs w:val="22"/>
        </w:rPr>
        <w:t>years of the eight-year license period. The issues/programs lists are a significant and representative indication that a licensee is providing substantial service to meet the needs and interests of its community.</w:t>
      </w:r>
      <w:r>
        <w:rPr>
          <w:szCs w:val="22"/>
          <w:vertAlign w:val="superscript"/>
        </w:rPr>
        <w:footnoteReference w:id="21"/>
      </w:r>
      <w:r>
        <w:rPr>
          <w:szCs w:val="22"/>
        </w:rPr>
        <w:t xml:space="preserve">  The Commission's public information file rule also safeguards the public's ability to assess the station's service and to meaningfully participate in the station's renewal process, and ensure the station's accessibility to and nexus with its community, to serve and respond to community programming needs.</w:t>
      </w:r>
      <w:r>
        <w:rPr>
          <w:szCs w:val="22"/>
          <w:vertAlign w:val="superscript"/>
        </w:rPr>
        <w:footnoteReference w:id="22"/>
      </w:r>
      <w:r>
        <w:rPr>
          <w:szCs w:val="22"/>
        </w:rPr>
        <w:t xml:space="preserve">  As such, the public information requirements are integral components of a licensee's obligation to serve the public interest and meet its community service obligations.</w:t>
      </w:r>
    </w:p>
    <w:p w:rsidR="00CC2F27" w:rsidRDefault="00CC2F27">
      <w:pPr>
        <w:pStyle w:val="ParaNum"/>
        <w:numPr>
          <w:ilvl w:val="0"/>
          <w:numId w:val="0"/>
        </w:numPr>
        <w:tabs>
          <w:tab w:val="clear" w:pos="1440"/>
          <w:tab w:val="left" w:pos="720"/>
        </w:tabs>
        <w:jc w:val="left"/>
        <w:rPr>
          <w:szCs w:val="22"/>
        </w:rPr>
      </w:pPr>
      <w:r>
        <w:rPr>
          <w:szCs w:val="22"/>
        </w:rPr>
        <w:tab/>
        <w:t>10.</w:t>
      </w:r>
      <w:r>
        <w:rPr>
          <w:szCs w:val="22"/>
        </w:rPr>
        <w:tab/>
        <w:t>We believe that Licensee’s violation of Section 73.352</w:t>
      </w:r>
      <w:r w:rsidR="000B1CA5">
        <w:rPr>
          <w:szCs w:val="22"/>
        </w:rPr>
        <w:t>6</w:t>
      </w:r>
      <w:r>
        <w:rPr>
          <w:szCs w:val="22"/>
        </w:rPr>
        <w:t xml:space="preserve"> at the Station was a “serious” violation,</w:t>
      </w:r>
      <w:r>
        <w:rPr>
          <w:szCs w:val="22"/>
          <w:vertAlign w:val="superscript"/>
        </w:rPr>
        <w:footnoteReference w:id="23"/>
      </w:r>
      <w:r>
        <w:rPr>
          <w:szCs w:val="22"/>
        </w:rPr>
        <w:t xml:space="preserve"> as it denied both the public and the Commission any opportunity to review and comment on the Station’s programming during the much of the past license term.  The record here further indicates that Licensee’s willful and repeated violations of Section 73.352</w:t>
      </w:r>
      <w:r w:rsidR="000B1CA5">
        <w:rPr>
          <w:szCs w:val="22"/>
        </w:rPr>
        <w:t>6</w:t>
      </w:r>
      <w:r>
        <w:rPr>
          <w:szCs w:val="22"/>
        </w:rPr>
        <w:t xml:space="preserve"> at the Station, when considered together, constitutes a pattern of abuse over a period of years by Licensee at the Station.</w:t>
      </w:r>
      <w:r>
        <w:rPr>
          <w:szCs w:val="22"/>
          <w:vertAlign w:val="superscript"/>
        </w:rPr>
        <w:footnoteReference w:id="24"/>
      </w:r>
      <w:r>
        <w:rPr>
          <w:szCs w:val="22"/>
        </w:rPr>
        <w:t xml:space="preserve">  However, although we are concerned with Licensee’s cavalier attitude toward creating and retaining the quarterly issues/programs lists, we find that Licensee’s violations of the Rules do not rise to such a level that designation for evidentiary hearing on the issue of whether to deny renewal for the Station is warranted.  Importantly, the record establishes that Licensee has established procedures to ensure that issues/programs lists are </w:t>
      </w:r>
      <w:r w:rsidR="00F9311C">
        <w:rPr>
          <w:szCs w:val="22"/>
        </w:rPr>
        <w:t xml:space="preserve">timely </w:t>
      </w:r>
      <w:r>
        <w:rPr>
          <w:szCs w:val="22"/>
        </w:rPr>
        <w:t>prepared and</w:t>
      </w:r>
      <w:r w:rsidR="00F9311C">
        <w:rPr>
          <w:szCs w:val="22"/>
        </w:rPr>
        <w:t xml:space="preserve"> filed </w:t>
      </w:r>
      <w:r>
        <w:rPr>
          <w:szCs w:val="22"/>
        </w:rPr>
        <w:t>each quarter going forward.</w:t>
      </w:r>
      <w:r>
        <w:rPr>
          <w:szCs w:val="22"/>
          <w:vertAlign w:val="superscript"/>
        </w:rPr>
        <w:footnoteReference w:id="25"/>
      </w:r>
      <w:r>
        <w:rPr>
          <w:szCs w:val="22"/>
        </w:rPr>
        <w:t xml:space="preserve">  </w:t>
      </w:r>
    </w:p>
    <w:p w:rsidR="00CC2F27" w:rsidRDefault="00CC2F27">
      <w:pPr>
        <w:pStyle w:val="ParaNum"/>
        <w:widowControl/>
        <w:numPr>
          <w:ilvl w:val="0"/>
          <w:numId w:val="0"/>
        </w:numPr>
        <w:tabs>
          <w:tab w:val="clear" w:pos="1440"/>
          <w:tab w:val="left" w:pos="720"/>
        </w:tabs>
        <w:jc w:val="left"/>
        <w:rPr>
          <w:szCs w:val="22"/>
        </w:rPr>
      </w:pPr>
      <w:r>
        <w:rPr>
          <w:szCs w:val="22"/>
        </w:rPr>
        <w:tab/>
        <w:t>11.</w:t>
      </w:r>
      <w:r>
        <w:rPr>
          <w:szCs w:val="22"/>
        </w:rPr>
        <w:tab/>
        <w:t>Nevertheless, we believe that additional measures are necessary in order to ensure that the Station is operated in compliance with the Act and the Rules in the future and that Licensee provides accurate responses to items in application forms.  Accordingly, pursuant to Section 309(k)(2) of the Act, we will grant the renewal application by separate action upon the conclusion of this forfeiture proceeding, if there are no issues other than the apparent violation</w:t>
      </w:r>
      <w:r w:rsidR="00882A15">
        <w:rPr>
          <w:szCs w:val="22"/>
        </w:rPr>
        <w:t>s</w:t>
      </w:r>
      <w:r>
        <w:rPr>
          <w:szCs w:val="22"/>
        </w:rPr>
        <w:t xml:space="preserve"> that would preclude grant of the application.  The new license term will be limited to a period of four years.</w:t>
      </w:r>
      <w:r>
        <w:rPr>
          <w:szCs w:val="22"/>
          <w:vertAlign w:val="superscript"/>
        </w:rPr>
        <w:footnoteReference w:id="26"/>
      </w:r>
      <w:r w:rsidR="00790376">
        <w:rPr>
          <w:szCs w:val="22"/>
        </w:rPr>
        <w:t xml:space="preserve">  </w:t>
      </w:r>
      <w:r>
        <w:rPr>
          <w:szCs w:val="22"/>
        </w:rPr>
        <w:t xml:space="preserve">This limited renewal period will afford the Commission an opportunity to review the Station’s compliance with the Act and the Rules and to take whatever corrective actions, if any, that may be warranted at that time.  </w:t>
      </w:r>
    </w:p>
    <w:p w:rsidR="004A59A3" w:rsidRDefault="004A59A3">
      <w:pPr>
        <w:pStyle w:val="ParaNum"/>
        <w:widowControl/>
        <w:numPr>
          <w:ilvl w:val="0"/>
          <w:numId w:val="0"/>
        </w:numPr>
        <w:tabs>
          <w:tab w:val="clear" w:pos="1440"/>
          <w:tab w:val="left" w:pos="720"/>
        </w:tabs>
        <w:jc w:val="left"/>
        <w:rPr>
          <w:szCs w:val="22"/>
        </w:rPr>
      </w:pPr>
    </w:p>
    <w:p w:rsidR="00CC2F27" w:rsidRDefault="00CC2F27">
      <w:pPr>
        <w:rPr>
          <w:b/>
        </w:rPr>
      </w:pPr>
      <w:r>
        <w:rPr>
          <w:b/>
        </w:rPr>
        <w:t>IV.        ORDERING CLAUSES</w:t>
      </w:r>
    </w:p>
    <w:p w:rsidR="00CC2F27" w:rsidRDefault="00CC2F27">
      <w:pPr>
        <w:rPr>
          <w:b/>
        </w:rPr>
      </w:pPr>
    </w:p>
    <w:p w:rsidR="00CC2F27" w:rsidRDefault="00CC2F27">
      <w:r>
        <w:rPr>
          <w:b/>
        </w:rPr>
        <w:t xml:space="preserve">             </w:t>
      </w:r>
      <w:r>
        <w:t>12.</w:t>
      </w:r>
      <w:r>
        <w:tab/>
        <w:t xml:space="preserve">Accordingly, IT IS ORDERED, pursuant to Section 503(b) of the Communications Act of 1934, as amended, and Section 1.80 of the Commission’s Rules, that </w:t>
      </w:r>
      <w:r w:rsidR="003644B1">
        <w:t xml:space="preserve">Icicle Broadcasting, Inc., </w:t>
      </w:r>
      <w:r>
        <w:t>is hereby NOTIFIED of its APPARENT LIABILITY FOR FORFEITURE in the amount of twelve thousand dollars ($12,000) for its apparent willful and repeated violations of Section 73.352</w:t>
      </w:r>
      <w:r w:rsidR="000B1CA5">
        <w:t>6</w:t>
      </w:r>
      <w:r>
        <w:t xml:space="preserve"> of the Commission’s Rules.</w:t>
      </w:r>
    </w:p>
    <w:p w:rsidR="00CC2F27" w:rsidRDefault="00CC2F27">
      <w:r>
        <w:t xml:space="preserve">                                                    </w:t>
      </w:r>
    </w:p>
    <w:p w:rsidR="00CC2F27" w:rsidRDefault="00CC2F27">
      <w:r>
        <w:t xml:space="preserve">             13.</w:t>
      </w:r>
      <w:r>
        <w:tab/>
        <w:t xml:space="preserve">IT IS FURTHER ORDERED, pursuant to Section 1.80 of the Commission’s Rules, that, within thirty (30) days of the release date of this </w:t>
      </w:r>
      <w:r>
        <w:rPr>
          <w:i/>
        </w:rPr>
        <w:t>NAL,</w:t>
      </w:r>
      <w:r>
        <w:t xml:space="preserve"> </w:t>
      </w:r>
      <w:r w:rsidR="003644B1">
        <w:t xml:space="preserve">Icicle Broadcasting, Inc.,  </w:t>
      </w:r>
      <w:r>
        <w:t xml:space="preserve">SHALL PAY the full amount of the proposed forfeiture or SHALL FILE a written statement seeking reduction or cancellation of the proposed forfeiture.  </w:t>
      </w:r>
    </w:p>
    <w:p w:rsidR="00CC2F27" w:rsidRDefault="00CC2F27">
      <w:pPr>
        <w:rPr>
          <w:b/>
          <w:szCs w:val="22"/>
        </w:rPr>
      </w:pPr>
    </w:p>
    <w:p w:rsidR="00CC2F27" w:rsidRDefault="00CC2F27">
      <w:pPr>
        <w:pStyle w:val="ParaNum"/>
        <w:numPr>
          <w:ilvl w:val="0"/>
          <w:numId w:val="0"/>
        </w:numPr>
        <w:tabs>
          <w:tab w:val="clear" w:pos="1440"/>
          <w:tab w:val="left" w:pos="720"/>
        </w:tabs>
        <w:jc w:val="left"/>
        <w:rPr>
          <w:szCs w:val="22"/>
        </w:rPr>
      </w:pPr>
      <w:r>
        <w:rPr>
          <w:spacing w:val="-2"/>
          <w:szCs w:val="22"/>
        </w:rPr>
        <w:tab/>
        <w:t>14.</w:t>
      </w:r>
      <w:r>
        <w:rPr>
          <w:spacing w:val="-2"/>
          <w:szCs w:val="22"/>
        </w:rPr>
        <w:tab/>
      </w:r>
      <w:r>
        <w:rPr>
          <w:szCs w:val="22"/>
        </w:rPr>
        <w:t>Payment of the proposed forfeiture must be made by check or similar instrument, payable</w:t>
      </w:r>
      <w:r>
        <w:rPr>
          <w:rFonts w:ascii="Arial" w:hAnsi="Arial" w:cs="Arial"/>
          <w:szCs w:val="22"/>
        </w:rPr>
        <w:t xml:space="preserve"> </w:t>
      </w:r>
      <w:r>
        <w:rPr>
          <w:szCs w:val="22"/>
        </w:rPr>
        <w:t xml:space="preserve">to the order of the Federal Communications Commission.  The payment must include the NAL/Acct. No. and FRN No. referenced in the caption above.  Payment by check or money order may be mailed to Federal Communications Commission, at </w:t>
      </w:r>
      <w:smartTag w:uri="urn:schemas-microsoft-com:office:smarttags" w:element="address">
        <w:smartTag w:uri="urn:schemas-microsoft-com:office:smarttags" w:element="Street">
          <w:r>
            <w:rPr>
              <w:szCs w:val="22"/>
            </w:rPr>
            <w:t>P.O. Box 979088</w:t>
          </w:r>
        </w:smartTag>
        <w:r>
          <w:rPr>
            <w:szCs w:val="22"/>
          </w:rPr>
          <w:t xml:space="preserve">, </w:t>
        </w:r>
        <w:smartTag w:uri="urn:schemas-microsoft-com:office:smarttags" w:element="City">
          <w:r>
            <w:rPr>
              <w:szCs w:val="22"/>
            </w:rPr>
            <w:t>St. Louis</w:t>
          </w:r>
        </w:smartTag>
        <w:r>
          <w:rPr>
            <w:szCs w:val="22"/>
          </w:rPr>
          <w:t xml:space="preserve">, </w:t>
        </w:r>
        <w:smartTag w:uri="urn:schemas-microsoft-com:office:smarttags" w:element="State">
          <w:r>
            <w:rPr>
              <w:szCs w:val="22"/>
            </w:rPr>
            <w:t>MO</w:t>
          </w:r>
        </w:smartTag>
        <w:r>
          <w:rPr>
            <w:szCs w:val="22"/>
          </w:rPr>
          <w:t xml:space="preserve">  </w:t>
        </w:r>
        <w:smartTag w:uri="urn:schemas-microsoft-com:office:smarttags" w:element="PostalCode">
          <w:r>
            <w:rPr>
              <w:szCs w:val="22"/>
            </w:rPr>
            <w:t>63197-9000</w:t>
          </w:r>
        </w:smartTag>
      </w:smartTag>
      <w:r>
        <w:rPr>
          <w:szCs w:val="22"/>
        </w:rPr>
        <w:t xml:space="preserve">.  Payment by overnight mail may be sent to U.S. Bank—Government Lockbox #979088, SL-MO-C2-GL, 1005 </w:t>
      </w:r>
      <w:smartTag w:uri="urn:schemas-microsoft-com:office:smarttags" w:element="PlaceName">
        <w:r>
          <w:rPr>
            <w:szCs w:val="22"/>
          </w:rPr>
          <w:t>Convention</w:t>
        </w:r>
      </w:smartTag>
      <w:r>
        <w:rPr>
          <w:szCs w:val="22"/>
        </w:rPr>
        <w:t xml:space="preserve"> </w:t>
      </w:r>
      <w:smartTag w:uri="urn:schemas-microsoft-com:office:smarttags" w:element="PlaceType">
        <w:r>
          <w:rPr>
            <w:szCs w:val="22"/>
          </w:rPr>
          <w:t>Plaza</w:t>
        </w:r>
      </w:smartTag>
      <w:r>
        <w:rPr>
          <w:szCs w:val="22"/>
        </w:rPr>
        <w:t xml:space="preserve">, </w:t>
      </w:r>
      <w:smartTag w:uri="urn:schemas-microsoft-com:office:smarttags" w:element="place">
        <w:smartTag w:uri="urn:schemas-microsoft-com:office:smarttags" w:element="City">
          <w:r>
            <w:rPr>
              <w:szCs w:val="22"/>
            </w:rPr>
            <w:t>St. Louis</w:t>
          </w:r>
        </w:smartTag>
        <w:r>
          <w:rPr>
            <w:szCs w:val="22"/>
          </w:rPr>
          <w:t xml:space="preserve">, </w:t>
        </w:r>
        <w:smartTag w:uri="urn:schemas-microsoft-com:office:smarttags" w:element="State">
          <w:r>
            <w:rPr>
              <w:szCs w:val="22"/>
            </w:rPr>
            <w:t>MO</w:t>
          </w:r>
        </w:smartTag>
        <w:r>
          <w:rPr>
            <w:szCs w:val="22"/>
          </w:rPr>
          <w:t xml:space="preserve">  </w:t>
        </w:r>
        <w:smartTag w:uri="urn:schemas-microsoft-com:office:smarttags" w:element="PostalCode">
          <w:r>
            <w:rPr>
              <w:szCs w:val="22"/>
            </w:rPr>
            <w:t>63101</w:t>
          </w:r>
        </w:smartTag>
      </w:smartTag>
      <w:r>
        <w:rPr>
          <w:szCs w:val="22"/>
        </w:rPr>
        <w:t xml:space="preserve">.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t xml:space="preserve">Licensee will also send electronic notification on the date said payment is made to Penelope. Dade@fcc.gov and </w:t>
      </w:r>
      <w:r w:rsidR="00884875">
        <w:t>Kim</w:t>
      </w:r>
      <w:r>
        <w:t>.</w:t>
      </w:r>
      <w:r w:rsidR="003644B1">
        <w:t>V</w:t>
      </w:r>
      <w:r w:rsidR="00884875">
        <w:t>arner</w:t>
      </w:r>
      <w:r>
        <w:t xml:space="preserve">@fcc.gov. </w:t>
      </w:r>
    </w:p>
    <w:p w:rsidR="00CC2F27" w:rsidRDefault="00CC2F27">
      <w:pPr>
        <w:pStyle w:val="ParaNum"/>
        <w:numPr>
          <w:ilvl w:val="0"/>
          <w:numId w:val="0"/>
        </w:numPr>
        <w:jc w:val="left"/>
        <w:rPr>
          <w:szCs w:val="22"/>
        </w:rPr>
      </w:pPr>
      <w:r>
        <w:rPr>
          <w:szCs w:val="22"/>
        </w:rPr>
        <w:t xml:space="preserve">              15.</w:t>
      </w:r>
      <w:r>
        <w:rPr>
          <w:szCs w:val="22"/>
        </w:rPr>
        <w:tab/>
        <w:t xml:space="preserve">The response, if any, must be mailed to Office of the Secretary, Federal Communications Commission,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ATTN:  Peter H. Doyle, Chief, Audio Division, Media Bureau, and MUST INCLUDE the NAL/Acct. No. referenced above.</w:t>
      </w:r>
    </w:p>
    <w:p w:rsidR="00CC2F27" w:rsidRDefault="00CC2F27">
      <w:pPr>
        <w:pStyle w:val="ParaNum"/>
        <w:numPr>
          <w:ilvl w:val="0"/>
          <w:numId w:val="0"/>
        </w:numPr>
        <w:jc w:val="left"/>
        <w:rPr>
          <w:szCs w:val="22"/>
        </w:rPr>
      </w:pPr>
      <w:r>
        <w:rPr>
          <w:szCs w:val="22"/>
        </w:rPr>
        <w:t xml:space="preserve">              16.</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CC2F27" w:rsidRDefault="00CC2F27">
      <w:pPr>
        <w:pStyle w:val="ParaNum"/>
        <w:widowControl/>
        <w:numPr>
          <w:ilvl w:val="0"/>
          <w:numId w:val="0"/>
        </w:numPr>
        <w:jc w:val="left"/>
        <w:rPr>
          <w:szCs w:val="22"/>
        </w:rPr>
      </w:pPr>
      <w:r>
        <w:rPr>
          <w:szCs w:val="22"/>
        </w:rPr>
        <w:t xml:space="preserve">              17.</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Director-Financial Operations, </w:t>
      </w:r>
      <w:smartTag w:uri="urn:schemas-microsoft-com:office:smarttags" w:element="Street">
        <w:smartTag w:uri="urn:schemas-microsoft-com:office:smarttags" w:element="address">
          <w:r>
            <w:rPr>
              <w:szCs w:val="22"/>
            </w:rPr>
            <w:t>445 12th Street, S.W.</w:t>
          </w:r>
        </w:smartTag>
      </w:smartTag>
      <w:r>
        <w:rPr>
          <w:szCs w:val="22"/>
        </w:rPr>
        <w:t xml:space="preserve">, Room 1-A625,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r>
        <w:rPr>
          <w:rStyle w:val="FootnoteReference"/>
          <w:szCs w:val="22"/>
        </w:rPr>
        <w:footnoteReference w:id="27"/>
      </w:r>
      <w:r>
        <w:rPr>
          <w:szCs w:val="22"/>
        </w:rPr>
        <w:tab/>
      </w:r>
    </w:p>
    <w:p w:rsidR="00A6425B" w:rsidRDefault="00A6425B">
      <w:pPr>
        <w:pStyle w:val="ParaNum"/>
        <w:widowControl/>
        <w:numPr>
          <w:ilvl w:val="0"/>
          <w:numId w:val="0"/>
        </w:numPr>
        <w:jc w:val="left"/>
        <w:rPr>
          <w:szCs w:val="22"/>
        </w:rPr>
      </w:pPr>
    </w:p>
    <w:p w:rsidR="00A6425B" w:rsidRDefault="00A6425B">
      <w:pPr>
        <w:pStyle w:val="ParaNum"/>
        <w:widowControl/>
        <w:numPr>
          <w:ilvl w:val="0"/>
          <w:numId w:val="0"/>
        </w:numPr>
        <w:jc w:val="left"/>
        <w:rPr>
          <w:szCs w:val="22"/>
        </w:rPr>
      </w:pPr>
    </w:p>
    <w:p w:rsidR="00A6425B" w:rsidRDefault="00A6425B">
      <w:pPr>
        <w:pStyle w:val="ParaNum"/>
        <w:widowControl/>
        <w:numPr>
          <w:ilvl w:val="0"/>
          <w:numId w:val="0"/>
        </w:numPr>
        <w:jc w:val="left"/>
        <w:rPr>
          <w:szCs w:val="22"/>
        </w:rPr>
      </w:pPr>
    </w:p>
    <w:p w:rsidR="00A6425B" w:rsidRDefault="00A6425B">
      <w:pPr>
        <w:pStyle w:val="ParaNum"/>
        <w:widowControl/>
        <w:numPr>
          <w:ilvl w:val="0"/>
          <w:numId w:val="0"/>
        </w:numPr>
        <w:jc w:val="left"/>
        <w:rPr>
          <w:szCs w:val="22"/>
        </w:rPr>
      </w:pPr>
    </w:p>
    <w:p w:rsidR="00A6425B" w:rsidRDefault="00A6425B">
      <w:pPr>
        <w:pStyle w:val="ParaNum"/>
        <w:widowControl/>
        <w:numPr>
          <w:ilvl w:val="0"/>
          <w:numId w:val="0"/>
        </w:numPr>
        <w:jc w:val="left"/>
        <w:rPr>
          <w:szCs w:val="22"/>
        </w:rPr>
      </w:pPr>
    </w:p>
    <w:p w:rsidR="00CC2F27" w:rsidRDefault="00CC2F27">
      <w:pPr>
        <w:pStyle w:val="ParaNum"/>
        <w:widowControl/>
        <w:numPr>
          <w:ilvl w:val="0"/>
          <w:numId w:val="0"/>
        </w:numPr>
        <w:tabs>
          <w:tab w:val="clear" w:pos="1440"/>
          <w:tab w:val="left" w:pos="720"/>
        </w:tabs>
        <w:jc w:val="left"/>
        <w:rPr>
          <w:szCs w:val="22"/>
        </w:rPr>
      </w:pPr>
      <w:r>
        <w:rPr>
          <w:szCs w:val="22"/>
        </w:rPr>
        <w:tab/>
        <w:t xml:space="preserve"> 18.</w:t>
      </w:r>
      <w:r>
        <w:rPr>
          <w:szCs w:val="22"/>
        </w:rPr>
        <w:tab/>
        <w:t>I</w:t>
      </w:r>
      <w:r>
        <w:t xml:space="preserve">T IS FURTHER ORDERED that copies of this Order shall be sent, by First Class and Certified Mail, Return Receipt Requested, to </w:t>
      </w:r>
      <w:r w:rsidR="00884875">
        <w:rPr>
          <w:szCs w:val="22"/>
        </w:rPr>
        <w:t>Icicle Broadcasting, Inc., P.O. Box 2675, Wenatchee, WA 98807, and to its counsel, Erwin G. Krasnow, Esq., Garvey Schubert Barer, 1000 Potomac Street N.W., Washington, DC 20007-3501.</w:t>
      </w:r>
      <w:r>
        <w:rPr>
          <w:szCs w:val="22"/>
        </w:rPr>
        <w:tab/>
      </w:r>
      <w:r>
        <w:rPr>
          <w:szCs w:val="22"/>
        </w:rPr>
        <w:tab/>
      </w:r>
    </w:p>
    <w:p w:rsidR="00CC2F27" w:rsidRDefault="00CC2F27">
      <w:pPr>
        <w:tabs>
          <w:tab w:val="left" w:pos="0"/>
        </w:tabs>
        <w:suppressAutoHyphens/>
        <w:rPr>
          <w:szCs w:val="22"/>
        </w:rPr>
      </w:pPr>
      <w:r>
        <w:rPr>
          <w:szCs w:val="22"/>
        </w:rPr>
        <w:tab/>
      </w:r>
      <w:r>
        <w:rPr>
          <w:szCs w:val="22"/>
        </w:rPr>
        <w:tab/>
      </w:r>
      <w:r>
        <w:rPr>
          <w:szCs w:val="22"/>
        </w:rPr>
        <w:tab/>
      </w:r>
      <w:r>
        <w:rPr>
          <w:szCs w:val="22"/>
        </w:rPr>
        <w:tab/>
      </w:r>
      <w:r>
        <w:rPr>
          <w:szCs w:val="22"/>
        </w:rPr>
        <w:tab/>
      </w:r>
    </w:p>
    <w:p w:rsidR="00CC2F27" w:rsidRDefault="00CC2F27">
      <w:pPr>
        <w:tabs>
          <w:tab w:val="left" w:pos="0"/>
        </w:tabs>
        <w:suppressAutoHyphens/>
        <w:rPr>
          <w:szCs w:val="22"/>
        </w:rPr>
      </w:pPr>
      <w:r>
        <w:rPr>
          <w:szCs w:val="22"/>
        </w:rPr>
        <w:tab/>
      </w:r>
      <w:r>
        <w:rPr>
          <w:szCs w:val="22"/>
        </w:rPr>
        <w:tab/>
      </w:r>
      <w:r>
        <w:rPr>
          <w:szCs w:val="22"/>
        </w:rPr>
        <w:tab/>
      </w:r>
      <w:r>
        <w:rPr>
          <w:szCs w:val="22"/>
        </w:rPr>
        <w:tab/>
      </w:r>
      <w:r>
        <w:rPr>
          <w:szCs w:val="22"/>
        </w:rPr>
        <w:tab/>
        <w:t>FEDERAL COMMUNICATIONS COMMISSION</w:t>
      </w:r>
    </w:p>
    <w:p w:rsidR="00CC2F27" w:rsidRDefault="00CC2F27">
      <w:pPr>
        <w:tabs>
          <w:tab w:val="left" w:pos="0"/>
        </w:tabs>
        <w:suppressAutoHyphens/>
        <w:rPr>
          <w:szCs w:val="22"/>
        </w:rPr>
      </w:pPr>
      <w:r>
        <w:rPr>
          <w:szCs w:val="22"/>
        </w:rPr>
        <w:tab/>
      </w:r>
      <w:r>
        <w:rPr>
          <w:szCs w:val="22"/>
        </w:rPr>
        <w:tab/>
      </w:r>
    </w:p>
    <w:p w:rsidR="00CC2F27" w:rsidRDefault="00CC2F27">
      <w:pPr>
        <w:tabs>
          <w:tab w:val="left" w:pos="0"/>
        </w:tabs>
        <w:suppressAutoHyphens/>
        <w:rPr>
          <w:szCs w:val="22"/>
        </w:rPr>
      </w:pPr>
    </w:p>
    <w:p w:rsidR="004A59A3" w:rsidRDefault="004A59A3">
      <w:pPr>
        <w:tabs>
          <w:tab w:val="left" w:pos="0"/>
        </w:tabs>
        <w:suppressAutoHyphens/>
        <w:rPr>
          <w:szCs w:val="22"/>
        </w:rPr>
      </w:pPr>
    </w:p>
    <w:p w:rsidR="00CC2F27" w:rsidRDefault="00CC2F27">
      <w:pPr>
        <w:tabs>
          <w:tab w:val="left" w:pos="0"/>
        </w:tabs>
        <w:suppressAutoHyphens/>
        <w:rPr>
          <w:szCs w:val="22"/>
        </w:rPr>
      </w:pPr>
      <w:r>
        <w:rPr>
          <w:szCs w:val="22"/>
        </w:rPr>
        <w:tab/>
      </w:r>
      <w:r>
        <w:rPr>
          <w:szCs w:val="22"/>
        </w:rPr>
        <w:tab/>
      </w:r>
      <w:r>
        <w:rPr>
          <w:szCs w:val="22"/>
        </w:rPr>
        <w:tab/>
      </w:r>
      <w:r>
        <w:rPr>
          <w:szCs w:val="22"/>
        </w:rPr>
        <w:tab/>
      </w:r>
      <w:r>
        <w:rPr>
          <w:szCs w:val="22"/>
        </w:rPr>
        <w:tab/>
        <w:t>Peter H. Doyle</w:t>
      </w:r>
    </w:p>
    <w:p w:rsidR="00CC2F27" w:rsidRDefault="00CC2F27">
      <w:pPr>
        <w:rPr>
          <w:szCs w:val="22"/>
        </w:rPr>
      </w:pPr>
      <w:r>
        <w:rPr>
          <w:szCs w:val="22"/>
        </w:rPr>
        <w:tab/>
      </w:r>
      <w:r>
        <w:rPr>
          <w:szCs w:val="22"/>
        </w:rPr>
        <w:tab/>
      </w:r>
      <w:r>
        <w:rPr>
          <w:szCs w:val="22"/>
        </w:rPr>
        <w:tab/>
      </w:r>
      <w:r>
        <w:rPr>
          <w:szCs w:val="22"/>
        </w:rPr>
        <w:tab/>
        <w:t xml:space="preserve">             Chief, Audio Division</w:t>
      </w:r>
    </w:p>
    <w:p w:rsidR="00CC2F27" w:rsidRDefault="00CC2F27">
      <w:r>
        <w:rPr>
          <w:szCs w:val="22"/>
        </w:rPr>
        <w:tab/>
      </w:r>
      <w:r>
        <w:rPr>
          <w:szCs w:val="22"/>
        </w:rPr>
        <w:tab/>
      </w:r>
      <w:r>
        <w:rPr>
          <w:szCs w:val="22"/>
        </w:rPr>
        <w:tab/>
      </w:r>
      <w:r>
        <w:rPr>
          <w:szCs w:val="22"/>
        </w:rPr>
        <w:tab/>
      </w:r>
      <w:r>
        <w:rPr>
          <w:szCs w:val="22"/>
        </w:rPr>
        <w:tab/>
        <w:t>Media Bureau</w:t>
      </w:r>
    </w:p>
    <w:sectPr w:rsidR="00CC2F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CC" w:rsidRDefault="00626BCC">
      <w:r>
        <w:separator/>
      </w:r>
    </w:p>
  </w:endnote>
  <w:endnote w:type="continuationSeparator" w:id="0">
    <w:p w:rsidR="00626BCC" w:rsidRDefault="0062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F27" w:rsidRDefault="00CC2F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C17">
      <w:rPr>
        <w:rStyle w:val="PageNumber"/>
        <w:noProof/>
      </w:rPr>
      <w:t>2</w:t>
    </w:r>
    <w:r>
      <w:rPr>
        <w:rStyle w:val="PageNumber"/>
      </w:rPr>
      <w:fldChar w:fldCharType="end"/>
    </w:r>
  </w:p>
  <w:p w:rsidR="00CC2F27" w:rsidRDefault="00CC2F27">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CC" w:rsidRDefault="00626BCC">
      <w:r>
        <w:separator/>
      </w:r>
    </w:p>
  </w:footnote>
  <w:footnote w:type="continuationSeparator" w:id="0">
    <w:p w:rsidR="00626BCC" w:rsidRDefault="00626BCC">
      <w:r>
        <w:continuationSeparator/>
      </w:r>
    </w:p>
    <w:p w:rsidR="00626BCC" w:rsidRDefault="00626BCC">
      <w:pPr>
        <w:rPr>
          <w:sz w:val="20"/>
        </w:rPr>
      </w:pPr>
      <w:r>
        <w:rPr>
          <w:sz w:val="20"/>
        </w:rPr>
        <w:t>(Continued from previous page)</w:t>
      </w:r>
    </w:p>
  </w:footnote>
  <w:footnote w:type="continuationNotice" w:id="1">
    <w:p w:rsidR="00626BCC" w:rsidRDefault="00626BCC">
      <w:pPr>
        <w:rPr>
          <w:sz w:val="20"/>
        </w:rPr>
      </w:pPr>
      <w:r>
        <w:rPr>
          <w:sz w:val="20"/>
        </w:rPr>
        <w:t>(continued . . .)</w:t>
      </w:r>
    </w:p>
  </w:footnote>
  <w:footnote w:id="2">
    <w:p w:rsidR="00CC2F27" w:rsidRDefault="00CC2F27">
      <w:pPr>
        <w:pStyle w:val="Footer"/>
        <w:spacing w:after="120"/>
        <w:rPr>
          <w:sz w:val="20"/>
        </w:rPr>
      </w:pPr>
      <w:r>
        <w:rPr>
          <w:rStyle w:val="FootnoteReference"/>
          <w:sz w:val="20"/>
        </w:rPr>
        <w:footnoteRef/>
      </w:r>
      <w:r>
        <w:rPr>
          <w:sz w:val="20"/>
        </w:rPr>
        <w:t xml:space="preserve"> This </w:t>
      </w:r>
      <w:r>
        <w:rPr>
          <w:i/>
          <w:sz w:val="20"/>
        </w:rPr>
        <w:t>NAL</w:t>
      </w:r>
      <w:r>
        <w:rPr>
          <w:sz w:val="20"/>
        </w:rPr>
        <w:t xml:space="preserve"> is issued pursuant to Sections 309(k) and 503(b) of the Communications Act of 1934, as amended (“Act”), and Section 1.80 of the Commission’s Rules (“Rules”).  </w:t>
      </w:r>
      <w:r>
        <w:rPr>
          <w:i/>
          <w:sz w:val="20"/>
        </w:rPr>
        <w:t xml:space="preserve">See </w:t>
      </w:r>
      <w:r>
        <w:rPr>
          <w:sz w:val="20"/>
        </w:rPr>
        <w:t xml:space="preserve">47 U.S.C. §§ 309(k), 503(b); 47 C.F.R. § 1.80.  The Bureau has delegated authority to issue the </w:t>
      </w:r>
      <w:r>
        <w:rPr>
          <w:i/>
          <w:sz w:val="20"/>
        </w:rPr>
        <w:t>NAL</w:t>
      </w:r>
      <w:r>
        <w:rPr>
          <w:sz w:val="20"/>
        </w:rPr>
        <w:t xml:space="preserve"> under Section 0.283 of the Rules.  </w:t>
      </w:r>
      <w:r>
        <w:rPr>
          <w:i/>
          <w:sz w:val="20"/>
        </w:rPr>
        <w:t>See</w:t>
      </w:r>
      <w:r>
        <w:rPr>
          <w:sz w:val="20"/>
        </w:rPr>
        <w:t xml:space="preserve"> 47 C.F.R. § 0.283.  </w:t>
      </w:r>
    </w:p>
  </w:footnote>
  <w:footnote w:id="3">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w:t>
      </w:r>
      <w:r>
        <w:rPr>
          <w:sz w:val="20"/>
        </w:rPr>
        <w:t>47 C.F.R. § 73.352</w:t>
      </w:r>
      <w:r w:rsidR="00152ACE">
        <w:rPr>
          <w:sz w:val="20"/>
        </w:rPr>
        <w:t>6</w:t>
      </w:r>
      <w:r>
        <w:rPr>
          <w:sz w:val="20"/>
        </w:rPr>
        <w:t>.</w:t>
      </w:r>
    </w:p>
  </w:footnote>
  <w:footnote w:id="4">
    <w:p w:rsidR="00CC2F27" w:rsidRDefault="00CC2F27">
      <w:pPr>
        <w:pStyle w:val="Footer"/>
        <w:spacing w:after="120"/>
        <w:rPr>
          <w:sz w:val="20"/>
        </w:rPr>
      </w:pPr>
      <w:r>
        <w:rPr>
          <w:rStyle w:val="FootnoteReference"/>
          <w:sz w:val="20"/>
        </w:rPr>
        <w:footnoteRef/>
      </w:r>
      <w:r>
        <w:rPr>
          <w:sz w:val="20"/>
        </w:rPr>
        <w:t xml:space="preserve"> </w:t>
      </w:r>
      <w:r>
        <w:rPr>
          <w:i/>
          <w:sz w:val="20"/>
        </w:rPr>
        <w:t>Cf</w:t>
      </w:r>
      <w:r>
        <w:rPr>
          <w:sz w:val="20"/>
        </w:rPr>
        <w:t xml:space="preserve">. </w:t>
      </w:r>
      <w:r>
        <w:rPr>
          <w:i/>
          <w:sz w:val="20"/>
        </w:rPr>
        <w:t>Letter to Kathleen N. Benfield</w:t>
      </w:r>
      <w:r>
        <w:rPr>
          <w:sz w:val="20"/>
        </w:rPr>
        <w:t>, 13 FCC Rcd 4102 (MMB 1997) (citing</w:t>
      </w:r>
      <w:r>
        <w:rPr>
          <w:i/>
          <w:sz w:val="20"/>
        </w:rPr>
        <w:t xml:space="preserve"> License Renewal Applications of Certain Commercial Radio Stations,</w:t>
      </w:r>
      <w:r>
        <w:rPr>
          <w:sz w:val="20"/>
        </w:rPr>
        <w:t xml:space="preserve"> 8 FCC Rcd 6400 (MMB 1993)).  </w:t>
      </w:r>
    </w:p>
  </w:footnote>
  <w:footnote w:id="5">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w:t>
      </w:r>
      <w:r>
        <w:rPr>
          <w:sz w:val="20"/>
        </w:rPr>
        <w:t>47 C.F.R. 73.352</w:t>
      </w:r>
      <w:r w:rsidR="00152ACE">
        <w:rPr>
          <w:sz w:val="20"/>
        </w:rPr>
        <w:t>6</w:t>
      </w:r>
      <w:r>
        <w:rPr>
          <w:sz w:val="20"/>
        </w:rPr>
        <w:t>(e)(</w:t>
      </w:r>
      <w:r w:rsidR="00152ACE">
        <w:rPr>
          <w:sz w:val="20"/>
        </w:rPr>
        <w:t>12</w:t>
      </w:r>
      <w:r>
        <w:rPr>
          <w:sz w:val="20"/>
        </w:rPr>
        <w:t>).</w:t>
      </w:r>
    </w:p>
    <w:p w:rsidR="00CC2F27" w:rsidRDefault="00CC2F27">
      <w:pPr>
        <w:pStyle w:val="Footer"/>
        <w:spacing w:after="120"/>
        <w:rPr>
          <w:sz w:val="20"/>
        </w:rPr>
      </w:pPr>
    </w:p>
  </w:footnote>
  <w:footnote w:id="6">
    <w:p w:rsidR="00CC2F27" w:rsidRDefault="00CC2F27">
      <w:pPr>
        <w:pStyle w:val="FootnoteText"/>
        <w:jc w:val="left"/>
        <w:rPr>
          <w:b/>
          <w:sz w:val="20"/>
        </w:rPr>
      </w:pPr>
      <w:r>
        <w:rPr>
          <w:rStyle w:val="FootnoteReference"/>
          <w:sz w:val="20"/>
        </w:rPr>
        <w:footnoteRef/>
      </w:r>
      <w:r>
        <w:rPr>
          <w:sz w:val="20"/>
        </w:rPr>
        <w:t xml:space="preserve"> Application</w:t>
      </w:r>
      <w:r w:rsidR="00152ACE">
        <w:rPr>
          <w:sz w:val="20"/>
        </w:rPr>
        <w:t xml:space="preserve">, </w:t>
      </w:r>
      <w:r>
        <w:rPr>
          <w:sz w:val="20"/>
        </w:rPr>
        <w:t xml:space="preserve">Exhibit </w:t>
      </w:r>
      <w:r w:rsidR="00152ACE">
        <w:rPr>
          <w:sz w:val="20"/>
        </w:rPr>
        <w:t>12</w:t>
      </w:r>
      <w:r>
        <w:rPr>
          <w:i/>
          <w:sz w:val="20"/>
        </w:rPr>
        <w:t>.</w:t>
      </w:r>
      <w:bookmarkStart w:id="1" w:name="SR;1282"/>
      <w:bookmarkStart w:id="2" w:name="SR;1289"/>
      <w:bookmarkStart w:id="3" w:name="SR;1310"/>
      <w:bookmarkEnd w:id="1"/>
      <w:bookmarkEnd w:id="2"/>
      <w:bookmarkEnd w:id="3"/>
      <w:r>
        <w:rPr>
          <w:sz w:val="20"/>
        </w:rPr>
        <w:t xml:space="preserve">  </w:t>
      </w:r>
    </w:p>
  </w:footnote>
  <w:footnote w:id="7">
    <w:p w:rsidR="00654A59" w:rsidRPr="004A59A3" w:rsidRDefault="00654A59" w:rsidP="00654A59">
      <w:pPr>
        <w:pStyle w:val="FootnoteText"/>
        <w:jc w:val="left"/>
        <w:rPr>
          <w:sz w:val="20"/>
        </w:rPr>
      </w:pPr>
      <w:r w:rsidRPr="004A59A3">
        <w:rPr>
          <w:rStyle w:val="FootnoteReference"/>
          <w:sz w:val="20"/>
        </w:rPr>
        <w:footnoteRef/>
      </w:r>
      <w:r w:rsidRPr="004A59A3">
        <w:rPr>
          <w:sz w:val="20"/>
        </w:rPr>
        <w:t xml:space="preserve"> E-mail from Elliott </w:t>
      </w:r>
      <w:r w:rsidR="00882A15">
        <w:rPr>
          <w:sz w:val="20"/>
        </w:rPr>
        <w:t>Salmon, Station General Manager</w:t>
      </w:r>
      <w:r w:rsidRPr="004A59A3">
        <w:rPr>
          <w:sz w:val="20"/>
        </w:rPr>
        <w:t xml:space="preserve"> (dated Feb. 17, 2014)</w:t>
      </w:r>
      <w:r w:rsidR="00882A15">
        <w:rPr>
          <w:sz w:val="20"/>
        </w:rPr>
        <w:t>,</w:t>
      </w:r>
      <w:r w:rsidRPr="004A59A3">
        <w:rPr>
          <w:sz w:val="20"/>
        </w:rPr>
        <w:t xml:space="preserve"> </w:t>
      </w:r>
      <w:r>
        <w:rPr>
          <w:sz w:val="20"/>
        </w:rPr>
        <w:t xml:space="preserve">to Erwin Krasnow (Licensee’s counsel) </w:t>
      </w:r>
      <w:r w:rsidRPr="004A59A3">
        <w:rPr>
          <w:sz w:val="20"/>
        </w:rPr>
        <w:t>forwarded to Commission staff on February 19, 2014.</w:t>
      </w:r>
    </w:p>
  </w:footnote>
  <w:footnote w:id="8">
    <w:p w:rsidR="000B3DEF" w:rsidRPr="004A59A3" w:rsidRDefault="000B3DEF" w:rsidP="00654A59">
      <w:pPr>
        <w:pStyle w:val="FootnoteText"/>
        <w:jc w:val="left"/>
        <w:rPr>
          <w:sz w:val="20"/>
        </w:rPr>
      </w:pPr>
      <w:r w:rsidRPr="004A59A3">
        <w:rPr>
          <w:rStyle w:val="FootnoteReference"/>
          <w:sz w:val="20"/>
        </w:rPr>
        <w:footnoteRef/>
      </w:r>
      <w:r w:rsidRPr="004A59A3">
        <w:rPr>
          <w:sz w:val="20"/>
        </w:rPr>
        <w:t xml:space="preserve"> </w:t>
      </w:r>
      <w:smartTag w:uri="urn:schemas-microsoft-com:office:smarttags" w:element="State">
        <w:smartTag w:uri="urn:schemas-microsoft-com:office:smarttags" w:element="place">
          <w:r w:rsidR="00654A59">
            <w:rPr>
              <w:i/>
              <w:sz w:val="20"/>
            </w:rPr>
            <w:t>Id.</w:t>
          </w:r>
        </w:smartTag>
      </w:smartTag>
    </w:p>
  </w:footnote>
  <w:footnote w:id="9">
    <w:p w:rsidR="00CC2F27" w:rsidRDefault="00CC2F27">
      <w:pPr>
        <w:pStyle w:val="Footer"/>
        <w:spacing w:after="120"/>
        <w:rPr>
          <w:sz w:val="20"/>
        </w:rPr>
      </w:pPr>
      <w:r>
        <w:rPr>
          <w:rStyle w:val="FootnoteReference"/>
          <w:sz w:val="20"/>
        </w:rPr>
        <w:footnoteRef/>
      </w:r>
      <w:r>
        <w:rPr>
          <w:sz w:val="20"/>
        </w:rPr>
        <w:t xml:space="preserve"> </w:t>
      </w:r>
      <w:r>
        <w:rPr>
          <w:i/>
          <w:sz w:val="20"/>
        </w:rPr>
        <w:t>See Padre Serra Communications, Inc.</w:t>
      </w:r>
      <w:r>
        <w:rPr>
          <w:sz w:val="20"/>
        </w:rPr>
        <w:t>, Letter, 14 FCC Rcd 9709 (MMB 1999) (citing</w:t>
      </w:r>
      <w:r>
        <w:rPr>
          <w:i/>
          <w:sz w:val="20"/>
        </w:rPr>
        <w:t xml:space="preserve"> Gaffney Broadcasting, Inc</w:t>
      </w:r>
      <w:r>
        <w:rPr>
          <w:sz w:val="20"/>
        </w:rPr>
        <w:t>., Memorandum Opinion and Order, 23 FCC 2d 912, 913 (1970) and</w:t>
      </w:r>
      <w:r>
        <w:rPr>
          <w:i/>
          <w:sz w:val="20"/>
        </w:rPr>
        <w:t xml:space="preserve"> Eleven Ten Broadcasting Corp</w:t>
      </w:r>
      <w:r>
        <w:rPr>
          <w:sz w:val="20"/>
        </w:rPr>
        <w:t>., Notice of Apparent Liability, 33 FCC</w:t>
      </w:r>
      <w:r>
        <w:rPr>
          <w:b/>
          <w:sz w:val="20"/>
        </w:rPr>
        <w:t xml:space="preserve"> </w:t>
      </w:r>
      <w:r>
        <w:rPr>
          <w:sz w:val="20"/>
        </w:rPr>
        <w:t xml:space="preserve">706 (1962)); </w:t>
      </w:r>
      <w:r>
        <w:rPr>
          <w:i/>
          <w:sz w:val="20"/>
        </w:rPr>
        <w:t>Surrey Front Range Limited Partnership</w:t>
      </w:r>
      <w:r>
        <w:rPr>
          <w:sz w:val="20"/>
        </w:rPr>
        <w:t>, Notice of Apparent Liability, 7 FCC Rcd 6361 (FOB 1992).</w:t>
      </w:r>
    </w:p>
  </w:footnote>
  <w:footnote w:id="10">
    <w:p w:rsidR="00CC2F27" w:rsidRDefault="00CC2F27">
      <w:pPr>
        <w:pStyle w:val="Footer"/>
        <w:spacing w:after="120"/>
        <w:rPr>
          <w:sz w:val="20"/>
        </w:rPr>
      </w:pPr>
      <w:r>
        <w:rPr>
          <w:rStyle w:val="FootnoteReference"/>
          <w:sz w:val="20"/>
        </w:rPr>
        <w:footnoteRef/>
      </w:r>
      <w:r>
        <w:rPr>
          <w:sz w:val="20"/>
        </w:rPr>
        <w:t xml:space="preserve"> 47 U.S.C. § 503(b)(1)(B).  </w:t>
      </w:r>
      <w:r>
        <w:rPr>
          <w:i/>
          <w:sz w:val="20"/>
        </w:rPr>
        <w:t>S</w:t>
      </w:r>
      <w:r>
        <w:rPr>
          <w:i/>
          <w:iCs/>
          <w:sz w:val="20"/>
        </w:rPr>
        <w:t>ee also</w:t>
      </w:r>
      <w:r>
        <w:rPr>
          <w:sz w:val="20"/>
        </w:rPr>
        <w:t xml:space="preserve"> 47 C.F.R. 1.80(a)(1).</w:t>
      </w:r>
    </w:p>
  </w:footnote>
  <w:footnote w:id="11">
    <w:p w:rsidR="00CC2F27" w:rsidRDefault="00CC2F27">
      <w:pPr>
        <w:pStyle w:val="Footer"/>
        <w:spacing w:after="120"/>
        <w:rPr>
          <w:sz w:val="20"/>
        </w:rPr>
      </w:pPr>
      <w:r>
        <w:rPr>
          <w:rStyle w:val="FootnoteReference"/>
          <w:sz w:val="20"/>
        </w:rPr>
        <w:footnoteRef/>
      </w:r>
      <w:r>
        <w:rPr>
          <w:sz w:val="20"/>
        </w:rPr>
        <w:t xml:space="preserve"> 47 U.S.C. § 312(f)(1).</w:t>
      </w:r>
    </w:p>
  </w:footnote>
  <w:footnote w:id="12">
    <w:p w:rsidR="00CC2F27" w:rsidRDefault="00CC2F27">
      <w:pPr>
        <w:pStyle w:val="Footer"/>
        <w:spacing w:after="120"/>
        <w:rPr>
          <w:sz w:val="20"/>
        </w:rPr>
      </w:pPr>
      <w:r>
        <w:rPr>
          <w:rStyle w:val="FootnoteReference"/>
          <w:sz w:val="20"/>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13">
    <w:p w:rsidR="00CC2F27" w:rsidRDefault="00CC2F27">
      <w:pPr>
        <w:pStyle w:val="Footer"/>
        <w:spacing w:after="120"/>
        <w:rPr>
          <w:sz w:val="20"/>
        </w:rPr>
      </w:pPr>
      <w:r>
        <w:rPr>
          <w:rStyle w:val="FootnoteReference"/>
          <w:sz w:val="20"/>
        </w:rPr>
        <w:footnoteRef/>
      </w:r>
      <w:r>
        <w:rPr>
          <w:i/>
          <w:iCs/>
          <w:sz w:val="20"/>
        </w:rPr>
        <w:t xml:space="preserve"> See Southern California Broadcasting Co.</w:t>
      </w:r>
      <w:r>
        <w:rPr>
          <w:sz w:val="20"/>
        </w:rPr>
        <w:t>, Memorandum Opinion and Order, 6 FCC Rcd 4387, 4388 (1991).</w:t>
      </w:r>
    </w:p>
  </w:footnote>
  <w:footnote w:id="14">
    <w:p w:rsidR="00CC2F27" w:rsidRDefault="00CC2F27">
      <w:pPr>
        <w:pStyle w:val="Footer"/>
        <w:spacing w:after="120"/>
        <w:rPr>
          <w:sz w:val="20"/>
        </w:rPr>
      </w:pPr>
      <w:r>
        <w:rPr>
          <w:rStyle w:val="FootnoteReference"/>
          <w:sz w:val="20"/>
        </w:rPr>
        <w:footnoteRef/>
      </w:r>
      <w:r>
        <w:rPr>
          <w:sz w:val="20"/>
        </w:rPr>
        <w:t xml:space="preserve"> 47 U.S.C. § 312(f)(2). </w:t>
      </w:r>
    </w:p>
  </w:footnote>
  <w:footnote w:id="15">
    <w:p w:rsidR="00CC2F27" w:rsidRDefault="00CC2F27">
      <w:pPr>
        <w:pStyle w:val="Footer"/>
        <w:spacing w:after="120"/>
        <w:rPr>
          <w:sz w:val="20"/>
        </w:rPr>
      </w:pPr>
      <w:r>
        <w:rPr>
          <w:rStyle w:val="FootnoteReference"/>
          <w:sz w:val="20"/>
        </w:rPr>
        <w:footnoteRef/>
      </w:r>
      <w:r>
        <w:rPr>
          <w:sz w:val="20"/>
        </w:rPr>
        <w:t xml:space="preserve"> </w:t>
      </w:r>
      <w:r>
        <w:rPr>
          <w:i/>
          <w:sz w:val="20"/>
        </w:rPr>
        <w:t>See Forfeiture Policy Statement and Amendment of Section 1.80(b) of the Rules to Incorporate the Forfeiture Guidelines</w:t>
      </w:r>
      <w:r>
        <w:rPr>
          <w:sz w:val="20"/>
        </w:rPr>
        <w:t>, Report and Order, 12 FCC Rcd 17087, 17113-15 (1997) (</w:t>
      </w:r>
      <w:r>
        <w:rPr>
          <w:i/>
          <w:sz w:val="20"/>
        </w:rPr>
        <w:t>“Forfeiture Policy Statement”</w:t>
      </w:r>
      <w:r>
        <w:rPr>
          <w:sz w:val="20"/>
        </w:rPr>
        <w:t>)</w:t>
      </w:r>
      <w:r>
        <w:rPr>
          <w:i/>
          <w:sz w:val="20"/>
        </w:rPr>
        <w:t>,</w:t>
      </w:r>
      <w:r>
        <w:rPr>
          <w:sz w:val="20"/>
        </w:rPr>
        <w:t xml:space="preserve"> </w:t>
      </w:r>
      <w:r>
        <w:rPr>
          <w:i/>
          <w:sz w:val="20"/>
        </w:rPr>
        <w:t>recon. denied</w:t>
      </w:r>
      <w:r>
        <w:rPr>
          <w:sz w:val="20"/>
        </w:rPr>
        <w:t>, 15 FCC Rcd 303 (1999); 47 C.F.R. § 1.80(b)(4), note to paragraph (b)(4), Section I.</w:t>
      </w:r>
    </w:p>
  </w:footnote>
  <w:footnote w:id="16">
    <w:p w:rsidR="00CC2F27" w:rsidRDefault="00CC2F27">
      <w:pPr>
        <w:pStyle w:val="Footer"/>
        <w:spacing w:after="120"/>
        <w:rPr>
          <w:sz w:val="20"/>
        </w:rPr>
      </w:pPr>
      <w:r>
        <w:rPr>
          <w:rStyle w:val="FootnoteReference"/>
          <w:sz w:val="20"/>
        </w:rPr>
        <w:footnoteRef/>
      </w:r>
      <w:r>
        <w:rPr>
          <w:sz w:val="20"/>
        </w:rPr>
        <w:t xml:space="preserve"> 47 U.S.C. § 503(b)(2)(D); </w:t>
      </w:r>
      <w:r>
        <w:rPr>
          <w:i/>
          <w:sz w:val="20"/>
        </w:rPr>
        <w:t xml:space="preserve">see also Forfeiture Policy Statement, </w:t>
      </w:r>
      <w:r>
        <w:rPr>
          <w:sz w:val="20"/>
        </w:rPr>
        <w:t>12 FCC Rcd at 17100; 47 C.F.R. § 1.80(b)(4).</w:t>
      </w:r>
    </w:p>
  </w:footnote>
  <w:footnote w:id="17">
    <w:p w:rsidR="00CC2F27" w:rsidRDefault="00CC2F27">
      <w:pPr>
        <w:pStyle w:val="Footer"/>
        <w:spacing w:after="120"/>
        <w:rPr>
          <w:i/>
          <w:sz w:val="20"/>
        </w:rPr>
      </w:pPr>
      <w:r>
        <w:rPr>
          <w:rStyle w:val="FootnoteReference"/>
          <w:sz w:val="20"/>
        </w:rPr>
        <w:footnoteRef/>
      </w:r>
      <w:r>
        <w:rPr>
          <w:sz w:val="20"/>
        </w:rPr>
        <w:t xml:space="preserve"> </w:t>
      </w:r>
      <w:r>
        <w:rPr>
          <w:i/>
          <w:sz w:val="20"/>
        </w:rPr>
        <w:t xml:space="preserve">See </w:t>
      </w:r>
      <w:r>
        <w:rPr>
          <w:sz w:val="20"/>
        </w:rPr>
        <w:t xml:space="preserve">47 C.F.R. § 1.80, Note, Section II, Upward Adjustment Criteria (repeated or continuous violation); </w:t>
      </w:r>
      <w:r>
        <w:rPr>
          <w:i/>
          <w:sz w:val="20"/>
        </w:rPr>
        <w:t>WFTV, Inc.</w:t>
      </w:r>
      <w:r>
        <w:rPr>
          <w:sz w:val="20"/>
        </w:rPr>
        <w:t xml:space="preserve">, Notice of Apparent Liability for Forfeiture, 25 FCC Rcd 6140, 6143 (2010) (upward adjustment warranted due to substantial number of violations). </w:t>
      </w:r>
    </w:p>
  </w:footnote>
  <w:footnote w:id="18">
    <w:p w:rsidR="00CC2F27" w:rsidRDefault="00CC2F27">
      <w:pPr>
        <w:pStyle w:val="FootnoteText"/>
        <w:jc w:val="left"/>
        <w:rPr>
          <w:sz w:val="20"/>
        </w:rPr>
      </w:pPr>
      <w:r>
        <w:rPr>
          <w:rStyle w:val="FootnoteReference"/>
          <w:sz w:val="20"/>
        </w:rPr>
        <w:footnoteRef/>
      </w:r>
      <w:r>
        <w:rPr>
          <w:sz w:val="20"/>
        </w:rPr>
        <w:t xml:space="preserve"> </w:t>
      </w:r>
      <w:hyperlink r:id="rId1" w:tgtFrame="_top" w:history="1">
        <w:r>
          <w:rPr>
            <w:rStyle w:val="Hyperlink"/>
            <w:color w:val="auto"/>
            <w:sz w:val="20"/>
            <w:u w:val="none"/>
          </w:rPr>
          <w:t>47 U.S.C. § 309(k)</w:t>
        </w:r>
      </w:hyperlink>
      <w:r>
        <w:rPr>
          <w:sz w:val="20"/>
        </w:rPr>
        <w:t xml:space="preserve">. </w:t>
      </w:r>
    </w:p>
  </w:footnote>
  <w:footnote w:id="19">
    <w:p w:rsidR="00CC2F27" w:rsidRDefault="00CC2F27">
      <w:pPr>
        <w:pStyle w:val="FootnoteText"/>
        <w:jc w:val="left"/>
        <w:rPr>
          <w:sz w:val="20"/>
        </w:rPr>
      </w:pPr>
      <w:r>
        <w:rPr>
          <w:rStyle w:val="FootnoteReference"/>
          <w:sz w:val="20"/>
        </w:rPr>
        <w:footnoteRef/>
      </w:r>
      <w:r>
        <w:rPr>
          <w:sz w:val="20"/>
        </w:rPr>
        <w:t xml:space="preserve"> </w:t>
      </w:r>
      <w:hyperlink r:id="rId2" w:tgtFrame="_top" w:history="1">
        <w:r>
          <w:rPr>
            <w:rStyle w:val="Hyperlink"/>
            <w:color w:val="auto"/>
            <w:sz w:val="20"/>
            <w:u w:val="none"/>
          </w:rPr>
          <w:t>47 U.S.C. § 309(k)(1)</w:t>
        </w:r>
      </w:hyperlink>
      <w:r>
        <w:rPr>
          <w:sz w:val="20"/>
        </w:rPr>
        <w:t>.</w:t>
      </w:r>
    </w:p>
  </w:footnote>
  <w:footnote w:id="20">
    <w:p w:rsidR="00CC2F27" w:rsidRDefault="00CC2F27">
      <w:pPr>
        <w:pStyle w:val="FootnoteText"/>
        <w:jc w:val="left"/>
        <w:rPr>
          <w:sz w:val="20"/>
        </w:rPr>
      </w:pPr>
      <w:r>
        <w:rPr>
          <w:rStyle w:val="FootnoteReference"/>
          <w:sz w:val="20"/>
        </w:rPr>
        <w:footnoteRef/>
      </w:r>
      <w:r>
        <w:rPr>
          <w:sz w:val="20"/>
        </w:rPr>
        <w:t xml:space="preserve"> </w:t>
      </w:r>
      <w:hyperlink r:id="rId3" w:tgtFrame="_top" w:history="1">
        <w:r>
          <w:rPr>
            <w:rStyle w:val="Hyperlink"/>
            <w:color w:val="auto"/>
            <w:sz w:val="20"/>
            <w:u w:val="none"/>
          </w:rPr>
          <w:t>47 U.S.C. §§ 309(k)(2)</w:t>
        </w:r>
      </w:hyperlink>
      <w:r>
        <w:rPr>
          <w:sz w:val="20"/>
        </w:rPr>
        <w:t xml:space="preserve">, </w:t>
      </w:r>
      <w:hyperlink r:id="rId4" w:tgtFrame="_top" w:history="1">
        <w:r>
          <w:rPr>
            <w:rStyle w:val="Hyperlink"/>
            <w:color w:val="auto"/>
            <w:sz w:val="20"/>
            <w:u w:val="none"/>
          </w:rPr>
          <w:t>309(k)(3)</w:t>
        </w:r>
      </w:hyperlink>
      <w:r>
        <w:rPr>
          <w:sz w:val="20"/>
        </w:rPr>
        <w:t xml:space="preserve">. </w:t>
      </w:r>
    </w:p>
  </w:footnote>
  <w:footnote w:id="21">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Formulation of Policies and Rules to Broadcast Renewal Applicants, </w:t>
      </w:r>
      <w:r>
        <w:rPr>
          <w:sz w:val="20"/>
        </w:rPr>
        <w:t xml:space="preserve">Third Further Notice of Inquiry and Notice of Proposed Rule Making, </w:t>
      </w:r>
      <w:hyperlink r:id="rId5" w:history="1">
        <w:r>
          <w:rPr>
            <w:sz w:val="20"/>
          </w:rPr>
          <w:t>4 FCC Rcd 6363, 6365 (1989)</w:t>
        </w:r>
      </w:hyperlink>
      <w:r>
        <w:rPr>
          <w:sz w:val="20"/>
        </w:rPr>
        <w:t>.</w:t>
      </w:r>
    </w:p>
  </w:footnote>
  <w:footnote w:id="22">
    <w:p w:rsidR="00CC2F27" w:rsidRDefault="00CC2F27">
      <w:pPr>
        <w:pStyle w:val="Footer"/>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Forfeiture Policy Statement</w:t>
      </w:r>
      <w:r>
        <w:rPr>
          <w:sz w:val="20"/>
        </w:rPr>
        <w:t>, 12 FCC Rcd at 17104-05 ¶ 39.</w:t>
      </w:r>
    </w:p>
  </w:footnote>
  <w:footnote w:id="23">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w:t>
      </w:r>
      <w:r>
        <w:rPr>
          <w:sz w:val="20"/>
        </w:rPr>
        <w:t>47 U.S.C. § 309(k)(1)(b).</w:t>
      </w:r>
    </w:p>
  </w:footnote>
  <w:footnote w:id="24">
    <w:p w:rsidR="00CC2F27" w:rsidRDefault="00CC2F27">
      <w:pPr>
        <w:pStyle w:val="Footer"/>
        <w:spacing w:after="120"/>
        <w:rPr>
          <w:sz w:val="20"/>
        </w:rPr>
      </w:pPr>
      <w:r>
        <w:rPr>
          <w:rStyle w:val="FootnoteReference"/>
          <w:sz w:val="20"/>
        </w:rPr>
        <w:footnoteRef/>
      </w:r>
      <w:r>
        <w:rPr>
          <w:sz w:val="20"/>
        </w:rPr>
        <w:t xml:space="preserve"> </w:t>
      </w:r>
      <w:r>
        <w:rPr>
          <w:i/>
          <w:sz w:val="20"/>
        </w:rPr>
        <w:t>See</w:t>
      </w:r>
      <w:r>
        <w:rPr>
          <w:sz w:val="20"/>
        </w:rPr>
        <w:t xml:space="preserve"> 47 U.S.C. § 309(k)(1)(c).</w:t>
      </w:r>
    </w:p>
  </w:footnote>
  <w:footnote w:id="25">
    <w:p w:rsidR="00CC2F27" w:rsidRDefault="00CC2F27" w:rsidP="00635A81">
      <w:pPr>
        <w:pStyle w:val="FootnoteText"/>
        <w:jc w:val="left"/>
        <w:rPr>
          <w:sz w:val="20"/>
        </w:rPr>
      </w:pPr>
      <w:r>
        <w:rPr>
          <w:rStyle w:val="FootnoteReference"/>
          <w:sz w:val="20"/>
        </w:rPr>
        <w:footnoteRef/>
      </w:r>
      <w:r>
        <w:rPr>
          <w:sz w:val="20"/>
        </w:rPr>
        <w:t xml:space="preserve"> Application</w:t>
      </w:r>
      <w:r w:rsidR="00F9311C">
        <w:rPr>
          <w:sz w:val="20"/>
        </w:rPr>
        <w:t>,</w:t>
      </w:r>
      <w:r w:rsidR="003644B1">
        <w:rPr>
          <w:sz w:val="20"/>
        </w:rPr>
        <w:t xml:space="preserve"> </w:t>
      </w:r>
      <w:r>
        <w:rPr>
          <w:sz w:val="20"/>
        </w:rPr>
        <w:t xml:space="preserve">Exhibit 12.  Based on these recent efforts, we do not find that Licensee’s operation of the Station “was conducted in an exceedingly careless, inept and negligent manner and that Licensee is either incapable of correcting or unwilling to correct the operating deficiencies.”  </w:t>
      </w:r>
      <w:r>
        <w:rPr>
          <w:i/>
          <w:sz w:val="20"/>
        </w:rPr>
        <w:t xml:space="preserve">Heart of the </w:t>
      </w:r>
      <w:smartTag w:uri="urn:schemas-microsoft-com:office:smarttags" w:element="place">
        <w:r>
          <w:rPr>
            <w:i/>
            <w:sz w:val="20"/>
          </w:rPr>
          <w:t>Black Hills</w:t>
        </w:r>
      </w:smartTag>
      <w:r>
        <w:rPr>
          <w:i/>
          <w:sz w:val="20"/>
        </w:rPr>
        <w:t xml:space="preserve"> Stations, </w:t>
      </w:r>
      <w:r>
        <w:rPr>
          <w:sz w:val="20"/>
        </w:rPr>
        <w:t xml:space="preserve">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smartTag w:uri="urn:schemas-microsoft-com:office:smarttags" w:element="State">
        <w:smartTag w:uri="urn:schemas-microsoft-com:office:smarttags" w:element="place">
          <w:r>
            <w:rPr>
              <w:i/>
              <w:sz w:val="20"/>
            </w:rPr>
            <w:t>Id.</w:t>
          </w:r>
        </w:smartTag>
      </w:smartTag>
      <w:r>
        <w:rPr>
          <w:i/>
          <w:sz w:val="20"/>
        </w:rPr>
        <w:t xml:space="preserve"> </w:t>
      </w:r>
      <w:r>
        <w:rPr>
          <w:sz w:val="20"/>
        </w:rPr>
        <w:t>at 200.</w:t>
      </w:r>
      <w:r w:rsidR="00635A81">
        <w:rPr>
          <w:sz w:val="20"/>
        </w:rPr>
        <w:t xml:space="preserve">  </w:t>
      </w:r>
      <w:r w:rsidR="00635A81" w:rsidRPr="00E7504D">
        <w:rPr>
          <w:i/>
          <w:sz w:val="20"/>
        </w:rPr>
        <w:t>See also Center for Study and Application of Black Economic Development</w:t>
      </w:r>
      <w:r w:rsidR="00635A81" w:rsidRPr="00E7504D">
        <w:rPr>
          <w:sz w:val="20"/>
        </w:rPr>
        <w:t xml:space="preserve">, Hearing Designation Order, 6 FCC Rcd 4622 (1991); </w:t>
      </w:r>
      <w:r w:rsidR="00635A81" w:rsidRPr="00E7504D">
        <w:rPr>
          <w:i/>
          <w:sz w:val="20"/>
        </w:rPr>
        <w:t>Calvary Educational Broadcasting Network, Inc</w:t>
      </w:r>
      <w:r w:rsidR="00635A81" w:rsidRPr="00E7504D">
        <w:rPr>
          <w:sz w:val="20"/>
        </w:rPr>
        <w:t>., Hearing Designation Order, 7 FCC Rcd 4037 (1992).</w:t>
      </w:r>
    </w:p>
  </w:footnote>
  <w:footnote w:id="26">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e.g., </w:t>
      </w:r>
      <w:bookmarkStart w:id="9" w:name="SR;4323"/>
      <w:bookmarkStart w:id="10" w:name="SearchTerm"/>
      <w:bookmarkEnd w:id="9"/>
      <w:bookmarkEnd w:id="10"/>
      <w:r w:rsidR="000B1CA5">
        <w:rPr>
          <w:i/>
          <w:sz w:val="20"/>
        </w:rPr>
        <w:t xml:space="preserve">Gallup Public Radio, </w:t>
      </w:r>
      <w:hyperlink r:id="rId6" w:tgtFrame="_top" w:history="1">
        <w:r>
          <w:rPr>
            <w:rStyle w:val="Hyperlink"/>
            <w:color w:val="auto"/>
            <w:sz w:val="20"/>
            <w:u w:val="none"/>
          </w:rPr>
          <w:t>Memorandum Opinion and Order and Notice of Apparent Liability, 2</w:t>
        </w:r>
        <w:r w:rsidR="000B1CA5">
          <w:rPr>
            <w:rStyle w:val="Hyperlink"/>
            <w:color w:val="auto"/>
            <w:sz w:val="20"/>
            <w:u w:val="none"/>
          </w:rPr>
          <w:t>8</w:t>
        </w:r>
        <w:r>
          <w:rPr>
            <w:rStyle w:val="Hyperlink"/>
            <w:color w:val="auto"/>
            <w:sz w:val="20"/>
            <w:u w:val="none"/>
          </w:rPr>
          <w:t xml:space="preserve"> FCC Rcd </w:t>
        </w:r>
        <w:r w:rsidR="000B1CA5">
          <w:rPr>
            <w:rStyle w:val="Hyperlink"/>
            <w:color w:val="auto"/>
            <w:sz w:val="20"/>
            <w:u w:val="none"/>
          </w:rPr>
          <w:t>13847</w:t>
        </w:r>
        <w:r>
          <w:rPr>
            <w:rStyle w:val="Hyperlink"/>
            <w:color w:val="auto"/>
            <w:sz w:val="20"/>
            <w:u w:val="none"/>
          </w:rPr>
          <w:t xml:space="preserve"> (MB 201</w:t>
        </w:r>
        <w:r w:rsidR="000B1CA5">
          <w:rPr>
            <w:rStyle w:val="Hyperlink"/>
            <w:color w:val="auto"/>
            <w:sz w:val="20"/>
            <w:u w:val="none"/>
          </w:rPr>
          <w:t>3</w:t>
        </w:r>
        <w:r>
          <w:rPr>
            <w:rStyle w:val="Hyperlink"/>
            <w:color w:val="auto"/>
            <w:sz w:val="20"/>
            <w:u w:val="none"/>
          </w:rPr>
          <w:t>)</w:t>
        </w:r>
      </w:hyperlink>
      <w:r>
        <w:rPr>
          <w:i/>
          <w:sz w:val="20"/>
        </w:rPr>
        <w:t xml:space="preserve"> </w:t>
      </w:r>
      <w:r>
        <w:rPr>
          <w:sz w:val="20"/>
        </w:rPr>
        <w:t>(</w:t>
      </w:r>
      <w:r>
        <w:rPr>
          <w:i/>
          <w:sz w:val="20"/>
        </w:rPr>
        <w:t>NAL</w:t>
      </w:r>
      <w:r>
        <w:rPr>
          <w:sz w:val="20"/>
        </w:rPr>
        <w:t xml:space="preserve"> </w:t>
      </w:r>
      <w:r w:rsidR="000B1CA5">
        <w:rPr>
          <w:sz w:val="20"/>
        </w:rPr>
        <w:t xml:space="preserve">proposed a </w:t>
      </w:r>
      <w:r>
        <w:rPr>
          <w:sz w:val="20"/>
        </w:rPr>
        <w:t xml:space="preserve">four-year renewal </w:t>
      </w:r>
      <w:r w:rsidR="000B1CA5">
        <w:rPr>
          <w:sz w:val="20"/>
        </w:rPr>
        <w:t xml:space="preserve">term </w:t>
      </w:r>
      <w:r w:rsidR="00F9311C">
        <w:rPr>
          <w:sz w:val="20"/>
        </w:rPr>
        <w:t xml:space="preserve">and a $12,000 forfeiture </w:t>
      </w:r>
      <w:r>
        <w:rPr>
          <w:sz w:val="20"/>
        </w:rPr>
        <w:t xml:space="preserve">where licensee </w:t>
      </w:r>
      <w:r w:rsidR="000B1CA5">
        <w:rPr>
          <w:sz w:val="20"/>
        </w:rPr>
        <w:t xml:space="preserve">failed to prepare 21 </w:t>
      </w:r>
      <w:r>
        <w:rPr>
          <w:sz w:val="20"/>
        </w:rPr>
        <w:t xml:space="preserve">issues/programs lists </w:t>
      </w:r>
      <w:r w:rsidR="000B1CA5">
        <w:rPr>
          <w:sz w:val="20"/>
        </w:rPr>
        <w:t xml:space="preserve">during the </w:t>
      </w:r>
      <w:r>
        <w:rPr>
          <w:sz w:val="20"/>
        </w:rPr>
        <w:t>license term)</w:t>
      </w:r>
      <w:r w:rsidR="000B1CA5">
        <w:rPr>
          <w:sz w:val="20"/>
        </w:rPr>
        <w:t>.</w:t>
      </w:r>
    </w:p>
  </w:footnote>
  <w:footnote w:id="27">
    <w:p w:rsidR="00CC2F27" w:rsidRDefault="00CC2F27">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18" w:rsidRDefault="00BA7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1</w:t>
    </w:r>
    <w:r w:rsidR="00884875">
      <w:rPr>
        <w:b/>
        <w:szCs w:val="22"/>
      </w:rPr>
      <w:t>4</w:t>
    </w:r>
    <w:r>
      <w:rPr>
        <w:b/>
        <w:szCs w:val="22"/>
      </w:rPr>
      <w:t>-</w:t>
    </w:r>
    <w:r w:rsidR="00861F08">
      <w:rPr>
        <w:b/>
        <w:szCs w:val="22"/>
      </w:rPr>
      <w:t>294</w:t>
    </w:r>
  </w:p>
  <w:p w:rsidR="00CC2F27" w:rsidRDefault="00861F08">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C2F27" w:rsidRDefault="00CC2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1</w:t>
    </w:r>
    <w:r w:rsidR="00884875">
      <w:rPr>
        <w:b/>
        <w:szCs w:val="22"/>
      </w:rPr>
      <w:t>4</w:t>
    </w:r>
    <w:r>
      <w:rPr>
        <w:b/>
        <w:szCs w:val="22"/>
      </w:rPr>
      <w:t>-</w:t>
    </w:r>
    <w:r w:rsidR="00861F08">
      <w:rPr>
        <w:b/>
        <w:szCs w:val="22"/>
      </w:rPr>
      <w:t>294</w:t>
    </w:r>
  </w:p>
  <w:p w:rsidR="00CC2F27" w:rsidRDefault="00861F08">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CC2F27" w:rsidRDefault="00CC2F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11"/>
    <w:multiLevelType w:val="hybridMultilevel"/>
    <w:tmpl w:val="205E0BCE"/>
    <w:lvl w:ilvl="0" w:tplc="8ACE80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D13C4A"/>
    <w:multiLevelType w:val="hybridMultilevel"/>
    <w:tmpl w:val="D49AA188"/>
    <w:lvl w:ilvl="0" w:tplc="E054715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F1B3D"/>
    <w:multiLevelType w:val="singleLevel"/>
    <w:tmpl w:val="054C89A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609764D"/>
    <w:multiLevelType w:val="hybridMultilevel"/>
    <w:tmpl w:val="4FC4973A"/>
    <w:lvl w:ilvl="0" w:tplc="8FA2BBF4">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75"/>
    <w:rsid w:val="000044B2"/>
    <w:rsid w:val="00040A11"/>
    <w:rsid w:val="000B1CA5"/>
    <w:rsid w:val="000B3DEF"/>
    <w:rsid w:val="000E65B2"/>
    <w:rsid w:val="00152ACE"/>
    <w:rsid w:val="001D7F6D"/>
    <w:rsid w:val="0027175F"/>
    <w:rsid w:val="00274CA0"/>
    <w:rsid w:val="002828F5"/>
    <w:rsid w:val="002F5600"/>
    <w:rsid w:val="00323C02"/>
    <w:rsid w:val="003644B1"/>
    <w:rsid w:val="003C5D45"/>
    <w:rsid w:val="00492A07"/>
    <w:rsid w:val="004A59A3"/>
    <w:rsid w:val="004C6180"/>
    <w:rsid w:val="0054410A"/>
    <w:rsid w:val="00593CA1"/>
    <w:rsid w:val="005C597C"/>
    <w:rsid w:val="00626BCC"/>
    <w:rsid w:val="00635A81"/>
    <w:rsid w:val="00654A59"/>
    <w:rsid w:val="0066731C"/>
    <w:rsid w:val="00790376"/>
    <w:rsid w:val="008428E2"/>
    <w:rsid w:val="00861F08"/>
    <w:rsid w:val="00882A15"/>
    <w:rsid w:val="00884875"/>
    <w:rsid w:val="009347C9"/>
    <w:rsid w:val="00961C17"/>
    <w:rsid w:val="00A51C19"/>
    <w:rsid w:val="00A6425B"/>
    <w:rsid w:val="00A74A4E"/>
    <w:rsid w:val="00BA7D18"/>
    <w:rsid w:val="00C32989"/>
    <w:rsid w:val="00CC2F27"/>
    <w:rsid w:val="00D575CC"/>
    <w:rsid w:val="00DB49D2"/>
    <w:rsid w:val="00E42026"/>
    <w:rsid w:val="00F2260D"/>
    <w:rsid w:val="00F252DC"/>
    <w:rsid w:val="00F36019"/>
    <w:rsid w:val="00F9311C"/>
    <w:rsid w:val="00FA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rPr>
      <w:sz w:val="22"/>
      <w:lang w:val="en-US" w:eastAsia="en-US" w:bidi="ar-SA"/>
    </w:rPr>
  </w:style>
  <w:style w:type="character" w:customStyle="1" w:styleId="FootnoteTextCharChar">
    <w:name w:val="Footnote Text Char Char"/>
    <w:aliases w:val="Footnote Text Char1 Char Char,Footnote Text Char7 Char Char Char,Footnote Text Char4 Char1 Char Char Char,Footnote Text Char Char Char4 Char Char Char,Footnote Text Char7 Char Char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ListParagraph">
    <w:name w:val="List Paragraph"/>
    <w:basedOn w:val="Normal"/>
    <w:uiPriority w:val="34"/>
    <w:qFormat/>
    <w:rsid w:val="00152A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rPr>
      <w:sz w:val="22"/>
      <w:lang w:val="en-US" w:eastAsia="en-US" w:bidi="ar-SA"/>
    </w:rPr>
  </w:style>
  <w:style w:type="character" w:customStyle="1" w:styleId="FootnoteTextCharChar">
    <w:name w:val="Footnote Text Char Char"/>
    <w:aliases w:val="Footnote Text Char1 Char Char,Footnote Text Char7 Char Char Char,Footnote Text Char4 Char1 Char Char Char,Footnote Text Char Char Char4 Char Char Char,Footnote Text Char7 Char Char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ListParagraph">
    <w:name w:val="List Paragraph"/>
    <w:basedOn w:val="Normal"/>
    <w:uiPriority w:val="34"/>
    <w:qFormat/>
    <w:rsid w:val="00152A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58821">
      <w:bodyDiv w:val="1"/>
      <w:marLeft w:val="0"/>
      <w:marRight w:val="0"/>
      <w:marTop w:val="0"/>
      <w:marBottom w:val="0"/>
      <w:divBdr>
        <w:top w:val="none" w:sz="0" w:space="0" w:color="auto"/>
        <w:left w:val="none" w:sz="0" w:space="0" w:color="auto"/>
        <w:bottom w:val="none" w:sz="0" w:space="0" w:color="auto"/>
        <w:right w:val="none" w:sz="0" w:space="0" w:color="auto"/>
      </w:divBdr>
    </w:div>
    <w:div w:id="618495315">
      <w:bodyDiv w:val="1"/>
      <w:marLeft w:val="30"/>
      <w:marRight w:val="30"/>
      <w:marTop w:val="30"/>
      <w:marBottom w:val="30"/>
      <w:divBdr>
        <w:top w:val="none" w:sz="0" w:space="0" w:color="auto"/>
        <w:left w:val="none" w:sz="0" w:space="0" w:color="auto"/>
        <w:bottom w:val="none" w:sz="0" w:space="0" w:color="auto"/>
        <w:right w:val="none" w:sz="0" w:space="0" w:color="auto"/>
      </w:divBdr>
      <w:divsChild>
        <w:div w:id="1400442778">
          <w:marLeft w:val="0"/>
          <w:marRight w:val="0"/>
          <w:marTop w:val="0"/>
          <w:marBottom w:val="0"/>
          <w:divBdr>
            <w:top w:val="none" w:sz="0" w:space="0" w:color="auto"/>
            <w:left w:val="none" w:sz="0" w:space="0" w:color="auto"/>
            <w:bottom w:val="none" w:sz="0" w:space="0" w:color="auto"/>
            <w:right w:val="none" w:sz="0" w:space="0" w:color="auto"/>
          </w:divBdr>
          <w:divsChild>
            <w:div w:id="655106716">
              <w:marLeft w:val="45"/>
              <w:marRight w:val="45"/>
              <w:marTop w:val="45"/>
              <w:marBottom w:val="45"/>
              <w:divBdr>
                <w:top w:val="none" w:sz="0" w:space="0" w:color="auto"/>
                <w:left w:val="none" w:sz="0" w:space="0" w:color="auto"/>
                <w:bottom w:val="none" w:sz="0" w:space="0" w:color="auto"/>
                <w:right w:val="none" w:sz="0" w:space="0" w:color="auto"/>
              </w:divBdr>
              <w:divsChild>
                <w:div w:id="1578437160">
                  <w:marLeft w:val="0"/>
                  <w:marRight w:val="0"/>
                  <w:marTop w:val="0"/>
                  <w:marBottom w:val="0"/>
                  <w:divBdr>
                    <w:top w:val="none" w:sz="0" w:space="0" w:color="auto"/>
                    <w:left w:val="none" w:sz="0" w:space="0" w:color="auto"/>
                    <w:bottom w:val="none" w:sz="0" w:space="0" w:color="auto"/>
                    <w:right w:val="none" w:sz="0" w:space="0" w:color="auto"/>
                  </w:divBdr>
                  <w:divsChild>
                    <w:div w:id="212526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510387">
      <w:bodyDiv w:val="1"/>
      <w:marLeft w:val="30"/>
      <w:marRight w:val="30"/>
      <w:marTop w:val="30"/>
      <w:marBottom w:val="30"/>
      <w:divBdr>
        <w:top w:val="none" w:sz="0" w:space="0" w:color="auto"/>
        <w:left w:val="none" w:sz="0" w:space="0" w:color="auto"/>
        <w:bottom w:val="none" w:sz="0" w:space="0" w:color="auto"/>
        <w:right w:val="none" w:sz="0" w:space="0" w:color="auto"/>
      </w:divBdr>
      <w:divsChild>
        <w:div w:id="422647490">
          <w:marLeft w:val="0"/>
          <w:marRight w:val="0"/>
          <w:marTop w:val="0"/>
          <w:marBottom w:val="0"/>
          <w:divBdr>
            <w:top w:val="none" w:sz="0" w:space="0" w:color="auto"/>
            <w:left w:val="none" w:sz="0" w:space="0" w:color="auto"/>
            <w:bottom w:val="none" w:sz="0" w:space="0" w:color="auto"/>
            <w:right w:val="none" w:sz="0" w:space="0" w:color="auto"/>
          </w:divBdr>
          <w:divsChild>
            <w:div w:id="743338283">
              <w:marLeft w:val="45"/>
              <w:marRight w:val="45"/>
              <w:marTop w:val="45"/>
              <w:marBottom w:val="45"/>
              <w:divBdr>
                <w:top w:val="none" w:sz="0" w:space="0" w:color="auto"/>
                <w:left w:val="none" w:sz="0" w:space="0" w:color="auto"/>
                <w:bottom w:val="none" w:sz="0" w:space="0" w:color="auto"/>
                <w:right w:val="none" w:sz="0" w:space="0" w:color="auto"/>
              </w:divBdr>
              <w:divsChild>
                <w:div w:id="12667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9397">
      <w:bodyDiv w:val="1"/>
      <w:marLeft w:val="30"/>
      <w:marRight w:val="30"/>
      <w:marTop w:val="30"/>
      <w:marBottom w:val="30"/>
      <w:divBdr>
        <w:top w:val="none" w:sz="0" w:space="0" w:color="auto"/>
        <w:left w:val="none" w:sz="0" w:space="0" w:color="auto"/>
        <w:bottom w:val="none" w:sz="0" w:space="0" w:color="auto"/>
        <w:right w:val="none" w:sz="0" w:space="0" w:color="auto"/>
      </w:divBdr>
      <w:divsChild>
        <w:div w:id="178200533">
          <w:marLeft w:val="0"/>
          <w:marRight w:val="0"/>
          <w:marTop w:val="0"/>
          <w:marBottom w:val="0"/>
          <w:divBdr>
            <w:top w:val="none" w:sz="0" w:space="0" w:color="auto"/>
            <w:left w:val="none" w:sz="0" w:space="0" w:color="auto"/>
            <w:bottom w:val="none" w:sz="0" w:space="0" w:color="auto"/>
            <w:right w:val="none" w:sz="0" w:space="0" w:color="auto"/>
          </w:divBdr>
          <w:divsChild>
            <w:div w:id="1390106403">
              <w:marLeft w:val="45"/>
              <w:marRight w:val="45"/>
              <w:marTop w:val="45"/>
              <w:marBottom w:val="45"/>
              <w:divBdr>
                <w:top w:val="none" w:sz="0" w:space="0" w:color="auto"/>
                <w:left w:val="none" w:sz="0" w:space="0" w:color="auto"/>
                <w:bottom w:val="none" w:sz="0" w:space="0" w:color="auto"/>
                <w:right w:val="none" w:sz="0" w:space="0" w:color="auto"/>
              </w:divBdr>
              <w:divsChild>
                <w:div w:id="1436903206">
                  <w:marLeft w:val="0"/>
                  <w:marRight w:val="0"/>
                  <w:marTop w:val="0"/>
                  <w:marBottom w:val="0"/>
                  <w:divBdr>
                    <w:top w:val="none" w:sz="0" w:space="0" w:color="auto"/>
                    <w:left w:val="none" w:sz="0" w:space="0" w:color="auto"/>
                    <w:bottom w:val="none" w:sz="0" w:space="0" w:color="auto"/>
                    <w:right w:val="none" w:sz="0" w:space="0" w:color="auto"/>
                  </w:divBdr>
                  <w:divsChild>
                    <w:div w:id="77983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0133724">
      <w:bodyDiv w:val="1"/>
      <w:marLeft w:val="30"/>
      <w:marRight w:val="30"/>
      <w:marTop w:val="30"/>
      <w:marBottom w:val="30"/>
      <w:divBdr>
        <w:top w:val="none" w:sz="0" w:space="0" w:color="auto"/>
        <w:left w:val="none" w:sz="0" w:space="0" w:color="auto"/>
        <w:bottom w:val="none" w:sz="0" w:space="0" w:color="auto"/>
        <w:right w:val="none" w:sz="0" w:space="0" w:color="auto"/>
      </w:divBdr>
      <w:divsChild>
        <w:div w:id="1903130064">
          <w:marLeft w:val="0"/>
          <w:marRight w:val="0"/>
          <w:marTop w:val="0"/>
          <w:marBottom w:val="0"/>
          <w:divBdr>
            <w:top w:val="none" w:sz="0" w:space="0" w:color="auto"/>
            <w:left w:val="none" w:sz="0" w:space="0" w:color="auto"/>
            <w:bottom w:val="none" w:sz="0" w:space="0" w:color="auto"/>
            <w:right w:val="none" w:sz="0" w:space="0" w:color="auto"/>
          </w:divBdr>
          <w:divsChild>
            <w:div w:id="976571974">
              <w:marLeft w:val="45"/>
              <w:marRight w:val="45"/>
              <w:marTop w:val="45"/>
              <w:marBottom w:val="45"/>
              <w:divBdr>
                <w:top w:val="none" w:sz="0" w:space="0" w:color="auto"/>
                <w:left w:val="none" w:sz="0" w:space="0" w:color="auto"/>
                <w:bottom w:val="none" w:sz="0" w:space="0" w:color="auto"/>
                <w:right w:val="none" w:sz="0" w:space="0" w:color="auto"/>
              </w:divBdr>
              <w:divsChild>
                <w:div w:id="1888494175">
                  <w:marLeft w:val="0"/>
                  <w:marRight w:val="0"/>
                  <w:marTop w:val="0"/>
                  <w:marBottom w:val="0"/>
                  <w:divBdr>
                    <w:top w:val="none" w:sz="0" w:space="0" w:color="auto"/>
                    <w:left w:val="none" w:sz="0" w:space="0" w:color="auto"/>
                    <w:bottom w:val="none" w:sz="0" w:space="0" w:color="auto"/>
                    <w:right w:val="none" w:sz="0" w:space="0" w:color="auto"/>
                  </w:divBdr>
                  <w:divsChild>
                    <w:div w:id="128865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5d640000e1eb7&amp;rs=WLW13.07" TargetMode="External"/><Relationship Id="rId2"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24c8000086311&amp;rs=WLW13.07" TargetMode="External"/><Relationship Id="rId1"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340a00009b6f3&amp;rs=WLW13.07" TargetMode="External"/><Relationship Id="rId6" Type="http://schemas.openxmlformats.org/officeDocument/2006/relationships/hyperlink" Target="http://web2.westlaw.com/find/default.wl?mt=Westlaw&amp;db=0004493&amp;tc=-1&amp;rp=%2ffind%2fdefault.wl&amp;findtype=Y&amp;ordoc=2030530576&amp;serialnum=2027688057&amp;vr=2.0&amp;fn=_top&amp;sv=Split&amp;tf=-1&amp;pbc=14DDB7EF&amp;rs=WLW13.07" TargetMode="External"/><Relationship Id="rId5" Type="http://schemas.openxmlformats.org/officeDocument/2006/relationships/hyperlink" Target="http://www.westlaw.com/Find/Default.wl?rs=dfa1.0&amp;vr=2.0&amp;DB=4493&amp;FindType=Y&amp;ReferencePositionType=S&amp;SerialNum=1989192022&amp;ReferencePosition=6365" TargetMode="External"/><Relationship Id="rId4"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014300009b763&amp;rs=WLW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2040</Words>
  <Characters>11174</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13442</CharactersWithSpaces>
  <SharedDoc>false</SharedDoc>
  <HyperlinkBase> </HyperlinkBase>
  <HLinks>
    <vt:vector size="36" baseType="variant">
      <vt:variant>
        <vt:i4>1769581</vt:i4>
      </vt:variant>
      <vt:variant>
        <vt:i4>15</vt:i4>
      </vt:variant>
      <vt:variant>
        <vt:i4>0</vt:i4>
      </vt:variant>
      <vt:variant>
        <vt:i4>5</vt:i4>
      </vt:variant>
      <vt:variant>
        <vt:lpwstr>http://web2.westlaw.com/find/default.wl?mt=Westlaw&amp;db=0004493&amp;tc=-1&amp;rp=%2ffind%2fdefault.wl&amp;findtype=Y&amp;ordoc=2030530576&amp;serialnum=2027688057&amp;vr=2.0&amp;fn=_top&amp;sv=Split&amp;tf=-1&amp;pbc=14DDB7EF&amp;rs=WLW13.07</vt:lpwstr>
      </vt:variant>
      <vt:variant>
        <vt:lpwstr/>
      </vt:variant>
      <vt:variant>
        <vt:i4>2490417</vt:i4>
      </vt:variant>
      <vt:variant>
        <vt:i4>12</vt:i4>
      </vt:variant>
      <vt:variant>
        <vt:i4>0</vt:i4>
      </vt:variant>
      <vt:variant>
        <vt:i4>5</vt:i4>
      </vt:variant>
      <vt:variant>
        <vt:lpwstr>http://www.westlaw.com/Find/Default.wl?rs=dfa1.0&amp;vr=2.0&amp;DB=4493&amp;FindType=Y&amp;ReferencePositionType=S&amp;SerialNum=1989192022&amp;ReferencePosition=6365</vt:lpwstr>
      </vt:variant>
      <vt:variant>
        <vt:lpwstr/>
      </vt:variant>
      <vt:variant>
        <vt:i4>1900646</vt:i4>
      </vt:variant>
      <vt:variant>
        <vt:i4>9</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014300009b763&amp;rs=WLW13.07</vt:lpwstr>
      </vt:variant>
      <vt:variant>
        <vt:lpwstr/>
      </vt:variant>
      <vt:variant>
        <vt:i4>1048627</vt:i4>
      </vt:variant>
      <vt:variant>
        <vt:i4>6</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5d640000e1eb7&amp;rs=WLW13.07</vt:lpwstr>
      </vt:variant>
      <vt:variant>
        <vt:lpwstr/>
      </vt:variant>
      <vt:variant>
        <vt:i4>5177403</vt:i4>
      </vt:variant>
      <vt:variant>
        <vt:i4>3</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24c8000086311&amp;rs=WLW13.07</vt:lpwstr>
      </vt:variant>
      <vt:variant>
        <vt:lpwstr/>
      </vt:variant>
      <vt:variant>
        <vt:i4>1769569</vt:i4>
      </vt:variant>
      <vt:variant>
        <vt:i4>0</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340a00009b6f3&amp;rs=WLW13.07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2012-05-14T14:09:00Z</cp:lastPrinted>
  <dcterms:created xsi:type="dcterms:W3CDTF">2014-03-04T16:46:00Z</dcterms:created>
  <dcterms:modified xsi:type="dcterms:W3CDTF">2014-03-04T16:46:00Z</dcterms:modified>
  <cp:category> </cp:category>
  <cp:contentStatus> </cp:contentStatus>
</cp:coreProperties>
</file>