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CD" w:rsidRPr="00802BE9" w:rsidRDefault="00695BCD">
      <w:pPr>
        <w:jc w:val="center"/>
        <w:rPr>
          <w:b/>
          <w:sz w:val="22"/>
          <w:szCs w:val="22"/>
        </w:rPr>
      </w:pPr>
      <w:bookmarkStart w:id="0" w:name="_GoBack"/>
      <w:bookmarkEnd w:id="0"/>
      <w:r w:rsidRPr="00802BE9">
        <w:rPr>
          <w:b/>
          <w:sz w:val="22"/>
          <w:szCs w:val="22"/>
        </w:rPr>
        <w:t>Before the</w:t>
      </w:r>
    </w:p>
    <w:p w:rsidR="00695BCD" w:rsidRPr="00802BE9" w:rsidRDefault="00695BCD">
      <w:pPr>
        <w:jc w:val="center"/>
        <w:rPr>
          <w:b/>
          <w:sz w:val="22"/>
          <w:szCs w:val="22"/>
        </w:rPr>
      </w:pPr>
      <w:r w:rsidRPr="00802BE9">
        <w:rPr>
          <w:b/>
          <w:sz w:val="22"/>
          <w:szCs w:val="22"/>
        </w:rPr>
        <w:t>Federal Communications Commission</w:t>
      </w:r>
    </w:p>
    <w:p w:rsidR="00695BCD" w:rsidRPr="00802BE9" w:rsidRDefault="00695BCD">
      <w:pPr>
        <w:jc w:val="center"/>
        <w:rPr>
          <w:b/>
          <w:sz w:val="22"/>
          <w:szCs w:val="22"/>
        </w:rPr>
      </w:pPr>
      <w:r w:rsidRPr="00802BE9">
        <w:rPr>
          <w:b/>
          <w:sz w:val="22"/>
          <w:szCs w:val="22"/>
        </w:rPr>
        <w:t>Washington, D.C. 20554</w:t>
      </w:r>
    </w:p>
    <w:p w:rsidR="00695BCD" w:rsidRPr="00802BE9" w:rsidRDefault="00695BCD">
      <w:pPr>
        <w:tabs>
          <w:tab w:val="left" w:pos="-720"/>
        </w:tabs>
        <w:suppressAutoHyphens/>
        <w:spacing w:line="227" w:lineRule="auto"/>
        <w:rPr>
          <w:spacing w:val="-2"/>
          <w:sz w:val="22"/>
          <w:szCs w:val="22"/>
        </w:rPr>
      </w:pPr>
    </w:p>
    <w:p w:rsidR="00695BCD" w:rsidRPr="00802BE9" w:rsidRDefault="00695BCD">
      <w:pPr>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695BCD" w:rsidRPr="00802BE9">
        <w:tc>
          <w:tcPr>
            <w:tcW w:w="4698" w:type="dxa"/>
          </w:tcPr>
          <w:p w:rsidR="00695BCD" w:rsidRPr="00802BE9" w:rsidRDefault="00695BCD">
            <w:pPr>
              <w:tabs>
                <w:tab w:val="center" w:pos="4680"/>
              </w:tabs>
              <w:suppressAutoHyphens/>
              <w:rPr>
                <w:spacing w:val="-2"/>
                <w:sz w:val="22"/>
                <w:szCs w:val="22"/>
              </w:rPr>
            </w:pPr>
            <w:r w:rsidRPr="00802BE9">
              <w:rPr>
                <w:spacing w:val="-2"/>
                <w:sz w:val="22"/>
                <w:szCs w:val="22"/>
              </w:rPr>
              <w:t>In the Matter of</w:t>
            </w:r>
          </w:p>
          <w:p w:rsidR="00695BCD" w:rsidRPr="00802BE9" w:rsidRDefault="00695BCD">
            <w:pPr>
              <w:tabs>
                <w:tab w:val="center" w:pos="4680"/>
              </w:tabs>
              <w:suppressAutoHyphens/>
              <w:rPr>
                <w:spacing w:val="-2"/>
                <w:sz w:val="22"/>
                <w:szCs w:val="22"/>
              </w:rPr>
            </w:pPr>
          </w:p>
          <w:p w:rsidR="00695BCD" w:rsidRPr="00802BE9" w:rsidRDefault="00695BCD" w:rsidP="00727E21">
            <w:pPr>
              <w:rPr>
                <w:sz w:val="22"/>
                <w:szCs w:val="22"/>
              </w:rPr>
            </w:pPr>
            <w:r w:rsidRPr="00802BE9">
              <w:rPr>
                <w:sz w:val="22"/>
                <w:szCs w:val="22"/>
              </w:rPr>
              <w:t xml:space="preserve">Improving Public Safety Communications  </w:t>
            </w:r>
          </w:p>
          <w:p w:rsidR="00695BCD" w:rsidRPr="00802BE9" w:rsidRDefault="00695BCD" w:rsidP="00215D44">
            <w:pPr>
              <w:rPr>
                <w:sz w:val="22"/>
                <w:szCs w:val="22"/>
              </w:rPr>
            </w:pPr>
            <w:r w:rsidRPr="00802BE9">
              <w:rPr>
                <w:sz w:val="22"/>
                <w:szCs w:val="22"/>
              </w:rPr>
              <w:t xml:space="preserve">in the 800 MHz Band </w:t>
            </w:r>
          </w:p>
        </w:tc>
        <w:tc>
          <w:tcPr>
            <w:tcW w:w="630" w:type="dxa"/>
          </w:tcPr>
          <w:p w:rsidR="00695BCD" w:rsidRPr="00802BE9" w:rsidRDefault="00695BCD">
            <w:pPr>
              <w:tabs>
                <w:tab w:val="center" w:pos="4680"/>
              </w:tabs>
              <w:suppressAutoHyphens/>
              <w:rPr>
                <w:b/>
                <w:spacing w:val="-2"/>
                <w:sz w:val="22"/>
                <w:szCs w:val="22"/>
              </w:rPr>
            </w:pPr>
            <w:r w:rsidRPr="00802BE9">
              <w:rPr>
                <w:b/>
                <w:spacing w:val="-2"/>
                <w:sz w:val="22"/>
                <w:szCs w:val="22"/>
              </w:rPr>
              <w:t>)</w:t>
            </w:r>
          </w:p>
          <w:p w:rsidR="00695BCD" w:rsidRPr="00802BE9" w:rsidRDefault="00695BCD">
            <w:pPr>
              <w:tabs>
                <w:tab w:val="center" w:pos="4680"/>
              </w:tabs>
              <w:suppressAutoHyphens/>
              <w:rPr>
                <w:b/>
                <w:spacing w:val="-2"/>
                <w:sz w:val="22"/>
                <w:szCs w:val="22"/>
              </w:rPr>
            </w:pPr>
            <w:r w:rsidRPr="00802BE9">
              <w:rPr>
                <w:b/>
                <w:spacing w:val="-2"/>
                <w:sz w:val="22"/>
                <w:szCs w:val="22"/>
              </w:rPr>
              <w:t>)</w:t>
            </w:r>
          </w:p>
          <w:p w:rsidR="00695BCD" w:rsidRPr="00802BE9" w:rsidRDefault="00695BCD">
            <w:pPr>
              <w:tabs>
                <w:tab w:val="center" w:pos="4680"/>
              </w:tabs>
              <w:suppressAutoHyphens/>
              <w:rPr>
                <w:b/>
                <w:spacing w:val="-2"/>
                <w:sz w:val="22"/>
                <w:szCs w:val="22"/>
              </w:rPr>
            </w:pPr>
            <w:r w:rsidRPr="00802BE9">
              <w:rPr>
                <w:b/>
                <w:spacing w:val="-2"/>
                <w:sz w:val="22"/>
                <w:szCs w:val="22"/>
              </w:rPr>
              <w:t>)</w:t>
            </w:r>
          </w:p>
          <w:p w:rsidR="00695BCD" w:rsidRPr="00802BE9" w:rsidRDefault="00695BCD">
            <w:pPr>
              <w:tabs>
                <w:tab w:val="center" w:pos="4680"/>
              </w:tabs>
              <w:suppressAutoHyphens/>
              <w:rPr>
                <w:b/>
                <w:spacing w:val="-2"/>
                <w:sz w:val="22"/>
                <w:szCs w:val="22"/>
              </w:rPr>
            </w:pPr>
            <w:r w:rsidRPr="00802BE9">
              <w:rPr>
                <w:b/>
                <w:spacing w:val="-2"/>
                <w:sz w:val="22"/>
                <w:szCs w:val="22"/>
              </w:rPr>
              <w:t>)</w:t>
            </w:r>
          </w:p>
        </w:tc>
        <w:tc>
          <w:tcPr>
            <w:tcW w:w="4248" w:type="dxa"/>
          </w:tcPr>
          <w:p w:rsidR="00695BCD" w:rsidRPr="00802BE9" w:rsidRDefault="00695BCD">
            <w:pPr>
              <w:tabs>
                <w:tab w:val="center" w:pos="4680"/>
              </w:tabs>
              <w:suppressAutoHyphens/>
              <w:rPr>
                <w:spacing w:val="-2"/>
                <w:sz w:val="22"/>
                <w:szCs w:val="22"/>
              </w:rPr>
            </w:pPr>
          </w:p>
          <w:p w:rsidR="00695BCD" w:rsidRPr="00802BE9" w:rsidRDefault="00695BCD">
            <w:pPr>
              <w:tabs>
                <w:tab w:val="center" w:pos="4680"/>
              </w:tabs>
              <w:suppressAutoHyphens/>
              <w:rPr>
                <w:spacing w:val="-2"/>
                <w:sz w:val="22"/>
                <w:szCs w:val="22"/>
              </w:rPr>
            </w:pPr>
          </w:p>
          <w:p w:rsidR="00695BCD" w:rsidRPr="00802BE9" w:rsidRDefault="00695BCD">
            <w:pPr>
              <w:tabs>
                <w:tab w:val="center" w:pos="4680"/>
              </w:tabs>
              <w:suppressAutoHyphens/>
              <w:rPr>
                <w:spacing w:val="-2"/>
                <w:sz w:val="22"/>
                <w:szCs w:val="22"/>
              </w:rPr>
            </w:pPr>
            <w:r w:rsidRPr="00802BE9">
              <w:rPr>
                <w:spacing w:val="-2"/>
                <w:sz w:val="22"/>
                <w:szCs w:val="22"/>
              </w:rPr>
              <w:t>WT Docket No. 02-55</w:t>
            </w:r>
          </w:p>
        </w:tc>
      </w:tr>
    </w:tbl>
    <w:p w:rsidR="00695BCD" w:rsidRPr="00802BE9" w:rsidRDefault="00695BCD">
      <w:pPr>
        <w:jc w:val="center"/>
        <w:rPr>
          <w:b/>
          <w:sz w:val="22"/>
          <w:szCs w:val="22"/>
        </w:rPr>
      </w:pPr>
    </w:p>
    <w:p w:rsidR="00695BCD" w:rsidRPr="00802BE9" w:rsidRDefault="00695BCD">
      <w:pPr>
        <w:jc w:val="center"/>
        <w:rPr>
          <w:b/>
          <w:sz w:val="22"/>
          <w:szCs w:val="22"/>
        </w:rPr>
      </w:pPr>
      <w:r w:rsidRPr="00802BE9">
        <w:rPr>
          <w:b/>
          <w:sz w:val="22"/>
          <w:szCs w:val="22"/>
        </w:rPr>
        <w:fldChar w:fldCharType="begin"/>
      </w:r>
      <w:r w:rsidRPr="00802BE9">
        <w:rPr>
          <w:b/>
          <w:sz w:val="22"/>
          <w:szCs w:val="22"/>
        </w:rPr>
        <w:instrText xml:space="preserve"> AUTOTEXTLIST  \* MERGEFORMAT </w:instrText>
      </w:r>
      <w:r w:rsidRPr="00802BE9">
        <w:rPr>
          <w:b/>
          <w:sz w:val="22"/>
          <w:szCs w:val="22"/>
        </w:rPr>
        <w:fldChar w:fldCharType="separate"/>
      </w:r>
      <w:r w:rsidRPr="00802BE9">
        <w:rPr>
          <w:b/>
          <w:sz w:val="22"/>
          <w:szCs w:val="22"/>
        </w:rPr>
        <w:t>ORDER</w:t>
      </w:r>
      <w:r w:rsidRPr="00802BE9">
        <w:rPr>
          <w:b/>
          <w:sz w:val="22"/>
          <w:szCs w:val="22"/>
        </w:rPr>
        <w:fldChar w:fldCharType="end"/>
      </w:r>
    </w:p>
    <w:p w:rsidR="00695BCD" w:rsidRPr="00802BE9" w:rsidRDefault="00695BCD">
      <w:pPr>
        <w:tabs>
          <w:tab w:val="left" w:pos="-720"/>
        </w:tabs>
        <w:suppressAutoHyphens/>
        <w:spacing w:line="227" w:lineRule="auto"/>
        <w:rPr>
          <w:spacing w:val="-2"/>
          <w:sz w:val="22"/>
          <w:szCs w:val="22"/>
        </w:rPr>
      </w:pPr>
    </w:p>
    <w:p w:rsidR="00695BCD" w:rsidRPr="00802BE9" w:rsidRDefault="00695BCD">
      <w:pPr>
        <w:tabs>
          <w:tab w:val="left" w:pos="720"/>
          <w:tab w:val="left" w:pos="5760"/>
        </w:tabs>
        <w:suppressAutoHyphens/>
        <w:spacing w:line="227" w:lineRule="auto"/>
        <w:rPr>
          <w:spacing w:val="-2"/>
          <w:sz w:val="22"/>
          <w:szCs w:val="22"/>
        </w:rPr>
      </w:pPr>
      <w:r w:rsidRPr="00802BE9">
        <w:rPr>
          <w:b/>
          <w:spacing w:val="-2"/>
          <w:sz w:val="22"/>
          <w:szCs w:val="22"/>
        </w:rPr>
        <w:t xml:space="preserve">Adopted:  </w:t>
      </w:r>
      <w:r w:rsidRPr="00802BE9">
        <w:rPr>
          <w:spacing w:val="-2"/>
          <w:sz w:val="22"/>
          <w:szCs w:val="22"/>
        </w:rPr>
        <w:t>M</w:t>
      </w:r>
      <w:r w:rsidR="006E734A" w:rsidRPr="00802BE9">
        <w:rPr>
          <w:spacing w:val="-2"/>
          <w:sz w:val="22"/>
          <w:szCs w:val="22"/>
        </w:rPr>
        <w:t>arch</w:t>
      </w:r>
      <w:r w:rsidRPr="00802BE9">
        <w:rPr>
          <w:spacing w:val="-2"/>
          <w:sz w:val="22"/>
          <w:szCs w:val="22"/>
        </w:rPr>
        <w:t xml:space="preserve"> </w:t>
      </w:r>
      <w:r w:rsidR="005968BC">
        <w:rPr>
          <w:spacing w:val="-2"/>
          <w:sz w:val="22"/>
          <w:szCs w:val="22"/>
        </w:rPr>
        <w:t>6</w:t>
      </w:r>
      <w:r w:rsidRPr="00802BE9">
        <w:rPr>
          <w:spacing w:val="-2"/>
          <w:sz w:val="22"/>
          <w:szCs w:val="22"/>
        </w:rPr>
        <w:t>, 2014</w:t>
      </w:r>
      <w:r w:rsidRPr="00802BE9">
        <w:rPr>
          <w:b/>
          <w:spacing w:val="-2"/>
          <w:sz w:val="22"/>
          <w:szCs w:val="22"/>
        </w:rPr>
        <w:tab/>
        <w:t xml:space="preserve">Released: </w:t>
      </w:r>
      <w:r w:rsidRPr="00802BE9">
        <w:rPr>
          <w:spacing w:val="-2"/>
          <w:sz w:val="22"/>
          <w:szCs w:val="22"/>
        </w:rPr>
        <w:t>M</w:t>
      </w:r>
      <w:r w:rsidR="006E734A" w:rsidRPr="00802BE9">
        <w:rPr>
          <w:spacing w:val="-2"/>
          <w:sz w:val="22"/>
          <w:szCs w:val="22"/>
        </w:rPr>
        <w:t>arch</w:t>
      </w:r>
      <w:r w:rsidRPr="00802BE9">
        <w:rPr>
          <w:spacing w:val="-2"/>
          <w:sz w:val="22"/>
          <w:szCs w:val="22"/>
        </w:rPr>
        <w:t xml:space="preserve"> </w:t>
      </w:r>
      <w:r w:rsidR="005968BC">
        <w:rPr>
          <w:spacing w:val="-2"/>
          <w:sz w:val="22"/>
          <w:szCs w:val="22"/>
        </w:rPr>
        <w:t>6</w:t>
      </w:r>
      <w:r w:rsidRPr="00802BE9">
        <w:rPr>
          <w:spacing w:val="-2"/>
          <w:sz w:val="22"/>
          <w:szCs w:val="22"/>
        </w:rPr>
        <w:t>, 2014</w:t>
      </w:r>
    </w:p>
    <w:p w:rsidR="00695BCD" w:rsidRPr="00802BE9" w:rsidRDefault="00695BCD">
      <w:pPr>
        <w:rPr>
          <w:sz w:val="22"/>
          <w:szCs w:val="22"/>
        </w:rPr>
      </w:pPr>
    </w:p>
    <w:p w:rsidR="00695BCD" w:rsidRPr="00802BE9" w:rsidRDefault="00695BCD">
      <w:pPr>
        <w:rPr>
          <w:sz w:val="22"/>
          <w:szCs w:val="22"/>
        </w:rPr>
      </w:pPr>
      <w:r w:rsidRPr="00802BE9">
        <w:rPr>
          <w:sz w:val="22"/>
          <w:szCs w:val="22"/>
        </w:rPr>
        <w:t xml:space="preserve">By the Deputy Chief, Policy and Licensing Division, Public Safety and Homeland Security Bureau: </w:t>
      </w:r>
    </w:p>
    <w:p w:rsidR="00695BCD" w:rsidRPr="00802BE9" w:rsidRDefault="00695BCD">
      <w:pPr>
        <w:jc w:val="center"/>
        <w:rPr>
          <w:spacing w:val="-2"/>
          <w:sz w:val="22"/>
          <w:szCs w:val="22"/>
        </w:rPr>
      </w:pPr>
    </w:p>
    <w:p w:rsidR="00695BCD" w:rsidRPr="00802BE9" w:rsidRDefault="00695BCD">
      <w:pPr>
        <w:pStyle w:val="Heading1"/>
        <w:rPr>
          <w:rFonts w:ascii="Times New Roman" w:hAnsi="Times New Roman"/>
          <w:sz w:val="22"/>
          <w:szCs w:val="22"/>
        </w:rPr>
      </w:pPr>
      <w:r w:rsidRPr="00802BE9">
        <w:rPr>
          <w:rFonts w:ascii="Times New Roman" w:hAnsi="Times New Roman"/>
          <w:sz w:val="22"/>
          <w:szCs w:val="22"/>
        </w:rPr>
        <w:t>INTRODUCTION</w:t>
      </w:r>
      <w:r w:rsidRPr="00802BE9">
        <w:rPr>
          <w:rFonts w:ascii="Times New Roman" w:hAnsi="Times New Roman"/>
          <w:sz w:val="22"/>
          <w:szCs w:val="22"/>
        </w:rPr>
        <w:tab/>
      </w:r>
    </w:p>
    <w:p w:rsidR="00695BCD" w:rsidRPr="00802BE9" w:rsidRDefault="00695BCD" w:rsidP="00241595">
      <w:pPr>
        <w:pStyle w:val="ParaNum"/>
        <w:rPr>
          <w:sz w:val="22"/>
          <w:szCs w:val="22"/>
        </w:rPr>
      </w:pPr>
      <w:r w:rsidRPr="00802BE9">
        <w:rPr>
          <w:sz w:val="22"/>
          <w:szCs w:val="22"/>
        </w:rPr>
        <w:t xml:space="preserve">On April 1, 2013, </w:t>
      </w:r>
      <w:r w:rsidRPr="00802BE9">
        <w:rPr>
          <w:color w:val="010101"/>
          <w:sz w:val="22"/>
          <w:szCs w:val="22"/>
        </w:rPr>
        <w:t>the Public Safety and Homeland Security Bureau (Bureau), on delegated authority, adopted a reconfigured channel plan for the 800 MHz band along the U.S.-Mexico border (</w:t>
      </w:r>
      <w:r w:rsidRPr="00802BE9">
        <w:rPr>
          <w:i/>
          <w:color w:val="010101"/>
          <w:sz w:val="22"/>
          <w:szCs w:val="22"/>
        </w:rPr>
        <w:t>800 MHz Fifth Report and Order</w:t>
      </w:r>
      <w:r w:rsidRPr="00802BE9">
        <w:rPr>
          <w:color w:val="010101"/>
          <w:sz w:val="22"/>
          <w:szCs w:val="22"/>
        </w:rPr>
        <w:t>).</w:t>
      </w:r>
      <w:r w:rsidRPr="00802BE9">
        <w:rPr>
          <w:rStyle w:val="FootnoteReference"/>
          <w:szCs w:val="22"/>
        </w:rPr>
        <w:footnoteReference w:id="2"/>
      </w:r>
      <w:r w:rsidRPr="00802BE9">
        <w:rPr>
          <w:sz w:val="22"/>
          <w:szCs w:val="22"/>
        </w:rPr>
        <w:t xml:space="preserve">  On August 16, 2013, the Bureau released a </w:t>
      </w:r>
      <w:r w:rsidRPr="00802BE9">
        <w:rPr>
          <w:i/>
          <w:sz w:val="22"/>
          <w:szCs w:val="22"/>
        </w:rPr>
        <w:t>Public Notice</w:t>
      </w:r>
      <w:r w:rsidRPr="00802BE9">
        <w:rPr>
          <w:sz w:val="22"/>
          <w:szCs w:val="22"/>
        </w:rPr>
        <w:t xml:space="preserve"> establishing a schedule for completion of rebanding in the U.S.-Mexico border region.</w:t>
      </w:r>
      <w:r w:rsidRPr="00802BE9">
        <w:rPr>
          <w:rStyle w:val="FootnoteReference"/>
          <w:szCs w:val="22"/>
        </w:rPr>
        <w:footnoteReference w:id="3"/>
      </w:r>
      <w:r w:rsidRPr="00802BE9">
        <w:rPr>
          <w:sz w:val="22"/>
          <w:szCs w:val="22"/>
        </w:rPr>
        <w:t xml:space="preserve">  </w:t>
      </w:r>
      <w:r w:rsidR="006D633A" w:rsidRPr="00802BE9">
        <w:rPr>
          <w:sz w:val="22"/>
          <w:szCs w:val="22"/>
        </w:rPr>
        <w:t xml:space="preserve">That </w:t>
      </w:r>
      <w:r w:rsidR="006D633A" w:rsidRPr="00802BE9">
        <w:rPr>
          <w:i/>
          <w:sz w:val="22"/>
          <w:szCs w:val="22"/>
        </w:rPr>
        <w:t xml:space="preserve">Public Notice </w:t>
      </w:r>
      <w:r w:rsidRPr="00802BE9">
        <w:rPr>
          <w:sz w:val="22"/>
          <w:szCs w:val="22"/>
        </w:rPr>
        <w:t xml:space="preserve">directed licensees without </w:t>
      </w:r>
      <w:r w:rsidR="00481B48" w:rsidRPr="00802BE9">
        <w:rPr>
          <w:sz w:val="22"/>
          <w:szCs w:val="22"/>
        </w:rPr>
        <w:t>P</w:t>
      </w:r>
      <w:r w:rsidRPr="00802BE9">
        <w:rPr>
          <w:sz w:val="22"/>
          <w:szCs w:val="22"/>
        </w:rPr>
        <w:t xml:space="preserve">lanning </w:t>
      </w:r>
      <w:r w:rsidR="00481B48" w:rsidRPr="00802BE9">
        <w:rPr>
          <w:sz w:val="22"/>
          <w:szCs w:val="22"/>
        </w:rPr>
        <w:t>F</w:t>
      </w:r>
      <w:r w:rsidRPr="00802BE9">
        <w:rPr>
          <w:sz w:val="22"/>
          <w:szCs w:val="22"/>
        </w:rPr>
        <w:t xml:space="preserve">unding </w:t>
      </w:r>
      <w:r w:rsidR="00481B48" w:rsidRPr="00802BE9">
        <w:rPr>
          <w:sz w:val="22"/>
          <w:szCs w:val="22"/>
        </w:rPr>
        <w:t>A</w:t>
      </w:r>
      <w:r w:rsidRPr="00802BE9">
        <w:rPr>
          <w:sz w:val="22"/>
          <w:szCs w:val="22"/>
        </w:rPr>
        <w:t>greements (PFAs) to submit cost estimates to Sprint Corp</w:t>
      </w:r>
      <w:r w:rsidR="006D633A" w:rsidRPr="00802BE9">
        <w:rPr>
          <w:sz w:val="22"/>
          <w:szCs w:val="22"/>
        </w:rPr>
        <w:t>oration</w:t>
      </w:r>
      <w:r w:rsidRPr="00802BE9">
        <w:rPr>
          <w:sz w:val="22"/>
          <w:szCs w:val="22"/>
        </w:rPr>
        <w:t>. (Sprint) by November 20, 2013 or shortly thereafter.</w:t>
      </w:r>
      <w:r w:rsidRPr="00802BE9">
        <w:rPr>
          <w:rStyle w:val="FootnoteReference"/>
          <w:szCs w:val="22"/>
        </w:rPr>
        <w:footnoteReference w:id="4"/>
      </w:r>
      <w:r w:rsidRPr="00802BE9">
        <w:rPr>
          <w:sz w:val="22"/>
          <w:szCs w:val="22"/>
        </w:rPr>
        <w:t xml:space="preserve">  On December 24, 2013, </w:t>
      </w:r>
      <w:r w:rsidR="006D633A" w:rsidRPr="00802BE9">
        <w:rPr>
          <w:sz w:val="22"/>
          <w:szCs w:val="22"/>
        </w:rPr>
        <w:t xml:space="preserve">the Bureau </w:t>
      </w:r>
      <w:r w:rsidRPr="00802BE9">
        <w:rPr>
          <w:sz w:val="22"/>
          <w:szCs w:val="22"/>
        </w:rPr>
        <w:t>addressed requests for extension of the November 20, 2012 deadline for U.S.-Mexico border area licensees to submit cost estimates.</w:t>
      </w:r>
      <w:r w:rsidRPr="00802BE9">
        <w:rPr>
          <w:rStyle w:val="FootnoteReference"/>
          <w:szCs w:val="22"/>
        </w:rPr>
        <w:footnoteReference w:id="5"/>
      </w:r>
      <w:r w:rsidRPr="00802BE9">
        <w:rPr>
          <w:sz w:val="22"/>
          <w:szCs w:val="22"/>
        </w:rPr>
        <w:t xml:space="preserve">  In th</w:t>
      </w:r>
      <w:r w:rsidR="006D633A" w:rsidRPr="00802BE9">
        <w:rPr>
          <w:sz w:val="22"/>
          <w:szCs w:val="22"/>
        </w:rPr>
        <w:t xml:space="preserve">e instant </w:t>
      </w:r>
      <w:r w:rsidRPr="00802BE9">
        <w:rPr>
          <w:i/>
          <w:sz w:val="22"/>
          <w:szCs w:val="22"/>
        </w:rPr>
        <w:t>Order</w:t>
      </w:r>
      <w:r w:rsidRPr="00802BE9">
        <w:rPr>
          <w:sz w:val="22"/>
          <w:szCs w:val="22"/>
        </w:rPr>
        <w:t>, we address further requests for extension</w:t>
      </w:r>
      <w:r w:rsidR="006D633A" w:rsidRPr="00802BE9">
        <w:rPr>
          <w:sz w:val="22"/>
          <w:szCs w:val="22"/>
        </w:rPr>
        <w:t xml:space="preserve"> of time</w:t>
      </w:r>
      <w:r w:rsidRPr="00802BE9">
        <w:rPr>
          <w:sz w:val="22"/>
          <w:szCs w:val="22"/>
        </w:rPr>
        <w:t xml:space="preserve"> to submit cost estimates </w:t>
      </w:r>
      <w:r w:rsidR="00481B48" w:rsidRPr="00802BE9">
        <w:rPr>
          <w:sz w:val="22"/>
          <w:szCs w:val="22"/>
        </w:rPr>
        <w:t xml:space="preserve">filed by </w:t>
      </w:r>
      <w:r w:rsidRPr="00802BE9">
        <w:rPr>
          <w:sz w:val="22"/>
          <w:szCs w:val="22"/>
        </w:rPr>
        <w:t>licensees with or without PFAs.  We also address various requests for extension of time to complete negotiation of Frequency Reconfiguration Agreements (FRAs) necessary for the completion of rebanding in the U.S.-Mexico border regions.</w:t>
      </w:r>
    </w:p>
    <w:p w:rsidR="00695BCD" w:rsidRPr="00802BE9" w:rsidRDefault="00695BCD" w:rsidP="00007455">
      <w:pPr>
        <w:pStyle w:val="Heading1"/>
        <w:rPr>
          <w:rFonts w:ascii="Times New Roman" w:hAnsi="Times New Roman"/>
          <w:sz w:val="22"/>
          <w:szCs w:val="22"/>
        </w:rPr>
      </w:pPr>
      <w:r w:rsidRPr="00802BE9">
        <w:rPr>
          <w:rFonts w:ascii="Times New Roman" w:hAnsi="Times New Roman"/>
          <w:sz w:val="22"/>
          <w:szCs w:val="22"/>
        </w:rPr>
        <w:t>discussion</w:t>
      </w:r>
    </w:p>
    <w:p w:rsidR="00695BCD" w:rsidRPr="00802BE9" w:rsidRDefault="00695BCD" w:rsidP="009F20A9">
      <w:pPr>
        <w:pStyle w:val="ParaNum"/>
        <w:rPr>
          <w:sz w:val="22"/>
          <w:szCs w:val="22"/>
        </w:rPr>
      </w:pPr>
      <w:r w:rsidRPr="00802BE9">
        <w:rPr>
          <w:sz w:val="22"/>
          <w:szCs w:val="22"/>
        </w:rPr>
        <w:t>Section 1.46 of the Commission’s rules provides “[i]t is the policy of the Commission that extensions of time shall not be routinely granted.”</w:t>
      </w:r>
      <w:r w:rsidRPr="00802BE9">
        <w:rPr>
          <w:rStyle w:val="FootnoteReference"/>
          <w:szCs w:val="22"/>
        </w:rPr>
        <w:footnoteReference w:id="6"/>
      </w:r>
      <w:r w:rsidRPr="00802BE9">
        <w:rPr>
          <w:sz w:val="22"/>
          <w:szCs w:val="22"/>
        </w:rPr>
        <w:t xml:space="preserve">  The import of that rule is especially relevant to 800 MHz rebanding where delay in rebanding by one licensee can cause a “domino effect” delay in the </w:t>
      </w:r>
      <w:r w:rsidRPr="00802BE9">
        <w:rPr>
          <w:sz w:val="22"/>
          <w:szCs w:val="22"/>
        </w:rPr>
        <w:lastRenderedPageBreak/>
        <w:t xml:space="preserve">rebanding efforts of other licensees that have met the Commission’s 800 MHz band reconfiguration deadlines, with a consequent delay of the overall program.  We therefore afford a high degree of scrutiny to the reasons licensees advance for extensions of time.  Accordingly, as discussed in greater detail below, we grant extensions at this time only to licensees that have shown that grant of the request will not unreasonably delay rebanding, and we hold in abeyance requests from licensees that do not yet justify an extension. </w:t>
      </w:r>
    </w:p>
    <w:p w:rsidR="00695BCD" w:rsidRPr="00802BE9" w:rsidRDefault="00695BCD" w:rsidP="00DD0E07">
      <w:pPr>
        <w:pStyle w:val="ParaNum"/>
        <w:rPr>
          <w:sz w:val="22"/>
          <w:szCs w:val="22"/>
        </w:rPr>
      </w:pPr>
      <w:r w:rsidRPr="00802BE9">
        <w:rPr>
          <w:i/>
          <w:sz w:val="22"/>
          <w:szCs w:val="22"/>
        </w:rPr>
        <w:t>Licensees Requesting Extension to Complete Cost Estimates on or Before June 1, 2014</w:t>
      </w:r>
      <w:r w:rsidRPr="00802BE9">
        <w:rPr>
          <w:sz w:val="22"/>
          <w:szCs w:val="22"/>
        </w:rPr>
        <w:t>.   We first address extension requests of those border licensees listed in Appendix A that propose to complete their cost estimates on or before June 1, 2014.</w:t>
      </w:r>
      <w:r w:rsidRPr="00802BE9">
        <w:rPr>
          <w:rStyle w:val="FootnoteReference"/>
          <w:szCs w:val="22"/>
        </w:rPr>
        <w:footnoteReference w:id="7"/>
      </w:r>
      <w:r w:rsidRPr="00802BE9">
        <w:rPr>
          <w:sz w:val="22"/>
          <w:szCs w:val="22"/>
        </w:rPr>
        <w:t xml:space="preserve">  After reviewing these requests, we find that each of these licensees has made substantial progress toward completing cost estimates and has demonstrated a level of diligence and good faith sufficient to warrant the requested extension.  We therefore are granting the requested extensions, with the caveat to the licensee that, upon submission of the cost </w:t>
      </w:r>
      <w:r w:rsidR="00481B48" w:rsidRPr="00802BE9">
        <w:rPr>
          <w:sz w:val="22"/>
          <w:szCs w:val="22"/>
        </w:rPr>
        <w:t>estimates</w:t>
      </w:r>
      <w:r w:rsidRPr="00802BE9">
        <w:rPr>
          <w:sz w:val="22"/>
          <w:szCs w:val="22"/>
        </w:rPr>
        <w:t xml:space="preserve">, the licensee must diligently pursue the negotiation process with Sprint and timely conclude an FRA.  We advise licensees that any request for additional time must detail the licensee’s progress to date and propose milestone dates for each cost estimate step that has not yet been completed.    </w:t>
      </w:r>
    </w:p>
    <w:p w:rsidR="00695BCD" w:rsidRPr="00802BE9" w:rsidRDefault="00695BCD" w:rsidP="004C3926">
      <w:pPr>
        <w:pStyle w:val="ParaNum"/>
        <w:rPr>
          <w:sz w:val="22"/>
          <w:szCs w:val="22"/>
        </w:rPr>
      </w:pPr>
      <w:r w:rsidRPr="00802BE9">
        <w:rPr>
          <w:i/>
          <w:sz w:val="22"/>
          <w:szCs w:val="22"/>
        </w:rPr>
        <w:t>Licensees Requesting Extension to Complete Cost Estimates After June 1, 2014</w:t>
      </w:r>
      <w:r w:rsidRPr="00802BE9">
        <w:rPr>
          <w:sz w:val="22"/>
          <w:szCs w:val="22"/>
        </w:rPr>
        <w:t xml:space="preserve">.  With respect to the U.S.-Mexico licensees listed in Appendix B that have filed requests for extension to complete their cost estimates after June 1, 2014, we grant a partial </w:t>
      </w:r>
      <w:r w:rsidR="00481B48" w:rsidRPr="00802BE9">
        <w:rPr>
          <w:sz w:val="22"/>
          <w:szCs w:val="22"/>
        </w:rPr>
        <w:t xml:space="preserve">extension </w:t>
      </w:r>
      <w:r w:rsidRPr="00802BE9">
        <w:rPr>
          <w:sz w:val="22"/>
          <w:szCs w:val="22"/>
        </w:rPr>
        <w:t>until June 1, 2014, to either complete their cost estimate or submit a further request seeking additional time.</w:t>
      </w:r>
      <w:r w:rsidRPr="00802BE9">
        <w:rPr>
          <w:rStyle w:val="FootnoteReference"/>
          <w:szCs w:val="22"/>
        </w:rPr>
        <w:footnoteReference w:id="8"/>
      </w:r>
      <w:r w:rsidRPr="00802BE9">
        <w:rPr>
          <w:sz w:val="22"/>
          <w:szCs w:val="22"/>
        </w:rPr>
        <w:t xml:space="preserve">  Any further request for additional time must detail the licensee’s progress to date and propose milestone dates for each cost estimate step that has not yet been completed.   </w:t>
      </w:r>
    </w:p>
    <w:p w:rsidR="00695BCD" w:rsidRPr="00802BE9" w:rsidRDefault="00695BCD" w:rsidP="00584AA3">
      <w:pPr>
        <w:pStyle w:val="ParaNum"/>
        <w:rPr>
          <w:sz w:val="22"/>
          <w:szCs w:val="22"/>
        </w:rPr>
      </w:pPr>
      <w:r w:rsidRPr="00802BE9">
        <w:rPr>
          <w:i/>
          <w:sz w:val="22"/>
          <w:szCs w:val="22"/>
        </w:rPr>
        <w:t>Joint Requests for Additional Time to Complete Negotiations with Sprint</w:t>
      </w:r>
      <w:r w:rsidRPr="00802BE9">
        <w:rPr>
          <w:sz w:val="22"/>
          <w:szCs w:val="22"/>
        </w:rPr>
        <w:t xml:space="preserve">.  Several licensees and Sprint jointly </w:t>
      </w:r>
      <w:r w:rsidR="00481B48" w:rsidRPr="00802BE9">
        <w:rPr>
          <w:sz w:val="22"/>
          <w:szCs w:val="22"/>
        </w:rPr>
        <w:t xml:space="preserve">have </w:t>
      </w:r>
      <w:r w:rsidRPr="00802BE9">
        <w:rPr>
          <w:sz w:val="22"/>
          <w:szCs w:val="22"/>
        </w:rPr>
        <w:t>requested additional time to negotiate or mediate the proposed terms and estimated costs necessary for reaching a</w:t>
      </w:r>
      <w:r w:rsidR="00481B48" w:rsidRPr="00802BE9">
        <w:rPr>
          <w:sz w:val="22"/>
          <w:szCs w:val="22"/>
        </w:rPr>
        <w:t>n FRA</w:t>
      </w:r>
      <w:r w:rsidRPr="00802BE9">
        <w:rPr>
          <w:sz w:val="22"/>
          <w:szCs w:val="22"/>
        </w:rPr>
        <w:t xml:space="preserve">.  </w:t>
      </w:r>
      <w:r w:rsidR="00A3608B" w:rsidRPr="00802BE9">
        <w:rPr>
          <w:sz w:val="22"/>
          <w:szCs w:val="22"/>
        </w:rPr>
        <w:t>T</w:t>
      </w:r>
      <w:r w:rsidR="00481B48" w:rsidRPr="00802BE9">
        <w:rPr>
          <w:sz w:val="22"/>
          <w:szCs w:val="22"/>
        </w:rPr>
        <w:t xml:space="preserve">he </w:t>
      </w:r>
      <w:r w:rsidRPr="00802BE9">
        <w:rPr>
          <w:sz w:val="22"/>
          <w:szCs w:val="22"/>
        </w:rPr>
        <w:t>parties</w:t>
      </w:r>
      <w:r w:rsidR="00481B48" w:rsidRPr="00802BE9">
        <w:rPr>
          <w:sz w:val="22"/>
          <w:szCs w:val="22"/>
        </w:rPr>
        <w:t xml:space="preserve"> have</w:t>
      </w:r>
      <w:r w:rsidRPr="00802BE9">
        <w:rPr>
          <w:sz w:val="22"/>
          <w:szCs w:val="22"/>
        </w:rPr>
        <w:t xml:space="preserve"> worked diligently towards agreement and </w:t>
      </w:r>
      <w:r w:rsidR="00A3608B" w:rsidRPr="00802BE9">
        <w:rPr>
          <w:sz w:val="22"/>
          <w:szCs w:val="22"/>
        </w:rPr>
        <w:t xml:space="preserve">have narrowed </w:t>
      </w:r>
      <w:r w:rsidRPr="00802BE9">
        <w:rPr>
          <w:sz w:val="22"/>
          <w:szCs w:val="22"/>
        </w:rPr>
        <w:t>the scope of outstanding issues. Once these pending issues are resolved, the parties will be in a position to execute an FRA and begin rebanding.  After reviewing these requests, we find that the Parties have demonstrated diligence and good faith sufficient to warrant the requested extension</w:t>
      </w:r>
      <w:r w:rsidR="00A3608B" w:rsidRPr="00802BE9">
        <w:rPr>
          <w:sz w:val="22"/>
          <w:szCs w:val="22"/>
        </w:rPr>
        <w:t>s</w:t>
      </w:r>
      <w:r w:rsidRPr="00802BE9">
        <w:rPr>
          <w:sz w:val="22"/>
          <w:szCs w:val="22"/>
        </w:rPr>
        <w:t>.</w:t>
      </w:r>
      <w:r w:rsidRPr="00802BE9">
        <w:rPr>
          <w:rStyle w:val="FootnoteReference"/>
          <w:szCs w:val="22"/>
        </w:rPr>
        <w:footnoteReference w:id="9"/>
      </w:r>
      <w:r w:rsidRPr="00802BE9">
        <w:rPr>
          <w:sz w:val="22"/>
          <w:szCs w:val="22"/>
        </w:rPr>
        <w:t xml:space="preserve">              </w:t>
      </w:r>
    </w:p>
    <w:p w:rsidR="00695BCD" w:rsidRPr="00802BE9" w:rsidRDefault="00695BCD" w:rsidP="00EE4F17">
      <w:pPr>
        <w:pStyle w:val="ParaNum"/>
        <w:rPr>
          <w:sz w:val="22"/>
          <w:szCs w:val="22"/>
        </w:rPr>
      </w:pPr>
      <w:r w:rsidRPr="00802BE9">
        <w:rPr>
          <w:i/>
          <w:sz w:val="22"/>
          <w:szCs w:val="22"/>
        </w:rPr>
        <w:t>Transition Administrator Requests for Waiver in Connection with FRA disputes</w:t>
      </w:r>
      <w:r w:rsidRPr="00802BE9">
        <w:rPr>
          <w:sz w:val="22"/>
          <w:szCs w:val="22"/>
        </w:rPr>
        <w:t xml:space="preserve">. </w:t>
      </w:r>
      <w:r w:rsidRPr="00802BE9">
        <w:rPr>
          <w:i/>
          <w:sz w:val="22"/>
          <w:szCs w:val="22"/>
        </w:rPr>
        <w:t xml:space="preserve"> </w:t>
      </w:r>
      <w:r w:rsidRPr="00802BE9">
        <w:rPr>
          <w:sz w:val="22"/>
          <w:szCs w:val="22"/>
        </w:rPr>
        <w:t xml:space="preserve">The 800 MHz Transition Administrator, LLC (TA) mediator </w:t>
      </w:r>
      <w:r w:rsidR="00A3608B" w:rsidRPr="00802BE9">
        <w:rPr>
          <w:sz w:val="22"/>
          <w:szCs w:val="22"/>
        </w:rPr>
        <w:t xml:space="preserve">has </w:t>
      </w:r>
      <w:r w:rsidRPr="00802BE9">
        <w:rPr>
          <w:sz w:val="22"/>
          <w:szCs w:val="22"/>
        </w:rPr>
        <w:t xml:space="preserve">submitted several recommended resolutions and requests for waiver in connection with the resolution of disputes between an incumbent 800 MHz licensee and Sprint regarding the adoption of a FRA.  The Parties have not yet submitted an FRA to the TA by the deadline specified in the </w:t>
      </w:r>
      <w:r w:rsidRPr="00802BE9">
        <w:rPr>
          <w:i/>
          <w:sz w:val="22"/>
          <w:szCs w:val="22"/>
        </w:rPr>
        <w:t>800 MHz</w:t>
      </w:r>
      <w:r w:rsidRPr="00802BE9">
        <w:rPr>
          <w:sz w:val="22"/>
          <w:szCs w:val="22"/>
        </w:rPr>
        <w:t xml:space="preserve"> </w:t>
      </w:r>
      <w:r w:rsidRPr="00802BE9">
        <w:rPr>
          <w:i/>
          <w:sz w:val="22"/>
          <w:szCs w:val="22"/>
        </w:rPr>
        <w:t>Fifth Report and Order</w:t>
      </w:r>
      <w:r w:rsidRPr="00802BE9">
        <w:rPr>
          <w:sz w:val="22"/>
          <w:szCs w:val="22"/>
        </w:rPr>
        <w:t>.</w:t>
      </w:r>
      <w:r w:rsidRPr="00802BE9">
        <w:rPr>
          <w:rStyle w:val="FootnoteReference"/>
          <w:szCs w:val="22"/>
        </w:rPr>
        <w:footnoteReference w:id="10"/>
      </w:r>
      <w:r w:rsidRPr="00802BE9">
        <w:rPr>
          <w:sz w:val="22"/>
          <w:szCs w:val="22"/>
        </w:rPr>
        <w:t xml:space="preserve">  The Parties, however, have reported that they have resolved all disputed issues and are in pre-contract agreement and have submitted a schedule for </w:t>
      </w:r>
      <w:r w:rsidR="00A3608B" w:rsidRPr="00802BE9">
        <w:rPr>
          <w:sz w:val="22"/>
          <w:szCs w:val="22"/>
        </w:rPr>
        <w:t xml:space="preserve">execution </w:t>
      </w:r>
      <w:r w:rsidRPr="00802BE9">
        <w:rPr>
          <w:sz w:val="22"/>
          <w:szCs w:val="22"/>
        </w:rPr>
        <w:t>of the FRA.  The TA mediator recommends that the Commission grant the Parties additional time to complete the negotiation of the FRA under mediation, subject to the requirement that the TA provide the Commission with a report every two weeks regarding the status of the negotiation process.  For good cause shown, we grant the requested waivers and we extend the date on which the Parties must submit an executed FRA to the TA as specified in Appendix D.</w:t>
      </w:r>
      <w:r w:rsidRPr="00802BE9">
        <w:rPr>
          <w:rStyle w:val="FootnoteReference"/>
          <w:szCs w:val="22"/>
        </w:rPr>
        <w:footnoteReference w:id="11"/>
      </w:r>
      <w:r w:rsidRPr="00802BE9">
        <w:rPr>
          <w:sz w:val="22"/>
          <w:szCs w:val="22"/>
        </w:rPr>
        <w:t xml:space="preserve">  The Parties shall file a status report on their negotiations with the </w:t>
      </w:r>
      <w:r w:rsidR="006D633A" w:rsidRPr="00802BE9">
        <w:rPr>
          <w:sz w:val="22"/>
          <w:szCs w:val="22"/>
        </w:rPr>
        <w:t xml:space="preserve">TA </w:t>
      </w:r>
      <w:r w:rsidRPr="00802BE9">
        <w:rPr>
          <w:sz w:val="22"/>
          <w:szCs w:val="22"/>
        </w:rPr>
        <w:t>every two weeks until the FRA has been executed and submitted.  The status report may be filed electronically</w:t>
      </w:r>
      <w:r w:rsidR="006D633A" w:rsidRPr="00802BE9">
        <w:rPr>
          <w:sz w:val="22"/>
          <w:szCs w:val="22"/>
        </w:rPr>
        <w:t xml:space="preserve">: </w:t>
      </w:r>
      <w:r w:rsidR="00936F1C" w:rsidRPr="00802BE9">
        <w:rPr>
          <w:sz w:val="22"/>
          <w:szCs w:val="22"/>
        </w:rPr>
        <w:t>TAMediation@squiresanders.com</w:t>
      </w:r>
      <w:r w:rsidR="006D633A" w:rsidRPr="00802BE9">
        <w:rPr>
          <w:sz w:val="22"/>
          <w:szCs w:val="22"/>
        </w:rPr>
        <w:t>.</w:t>
      </w:r>
      <w:r w:rsidR="006D633A" w:rsidRPr="00802BE9">
        <w:rPr>
          <w:sz w:val="22"/>
          <w:szCs w:val="22"/>
          <w:highlight w:val="yellow"/>
        </w:rPr>
        <w:t xml:space="preserve"> </w:t>
      </w:r>
    </w:p>
    <w:p w:rsidR="00695BCD" w:rsidRPr="00802BE9" w:rsidRDefault="00695BCD" w:rsidP="009B23D9">
      <w:pPr>
        <w:pStyle w:val="Heading1"/>
        <w:rPr>
          <w:rFonts w:ascii="Times New Roman" w:hAnsi="Times New Roman"/>
          <w:sz w:val="22"/>
          <w:szCs w:val="22"/>
        </w:rPr>
      </w:pPr>
      <w:r w:rsidRPr="00802BE9">
        <w:rPr>
          <w:rFonts w:ascii="Times New Roman" w:hAnsi="Times New Roman"/>
          <w:sz w:val="22"/>
          <w:szCs w:val="22"/>
        </w:rPr>
        <w:t>ConCLUSION and ordering clauses</w:t>
      </w:r>
    </w:p>
    <w:p w:rsidR="00695BCD" w:rsidRPr="00802BE9" w:rsidRDefault="00695BCD" w:rsidP="00C60730">
      <w:pPr>
        <w:pStyle w:val="ParaNum"/>
        <w:tabs>
          <w:tab w:val="num" w:pos="1440"/>
        </w:tabs>
        <w:rPr>
          <w:sz w:val="22"/>
          <w:szCs w:val="22"/>
        </w:rPr>
      </w:pPr>
      <w:r w:rsidRPr="00802BE9">
        <w:rPr>
          <w:sz w:val="22"/>
          <w:szCs w:val="22"/>
        </w:rPr>
        <w:t xml:space="preserve">We note that failure to comply with the requirements of this </w:t>
      </w:r>
      <w:r w:rsidRPr="00802BE9">
        <w:rPr>
          <w:i/>
          <w:sz w:val="22"/>
          <w:szCs w:val="22"/>
        </w:rPr>
        <w:t>Order</w:t>
      </w:r>
      <w:r w:rsidRPr="00802BE9">
        <w:rPr>
          <w:sz w:val="22"/>
          <w:szCs w:val="22"/>
        </w:rPr>
        <w:t xml:space="preserve"> may result in further action by the Commission, including consideration of whether a licensee’s rebanding efforts demonstrate the “utmost good faith” that the Commission’s rules demand.</w:t>
      </w:r>
      <w:r w:rsidRPr="00802BE9">
        <w:rPr>
          <w:rStyle w:val="FootnoteReference"/>
          <w:szCs w:val="22"/>
        </w:rPr>
        <w:footnoteReference w:id="12"/>
      </w:r>
      <w:r w:rsidRPr="00802BE9">
        <w:rPr>
          <w:sz w:val="22"/>
          <w:szCs w:val="22"/>
        </w:rPr>
        <w:t xml:space="preserve"> </w:t>
      </w:r>
    </w:p>
    <w:p w:rsidR="00695BCD" w:rsidRPr="00802BE9" w:rsidRDefault="00695BCD" w:rsidP="00C60730">
      <w:pPr>
        <w:pStyle w:val="ParaNum"/>
        <w:tabs>
          <w:tab w:val="num" w:pos="1440"/>
        </w:tabs>
        <w:rPr>
          <w:sz w:val="22"/>
          <w:szCs w:val="22"/>
        </w:rPr>
      </w:pPr>
      <w:r w:rsidRPr="00802BE9">
        <w:rPr>
          <w:sz w:val="22"/>
          <w:szCs w:val="22"/>
        </w:rPr>
        <w:t>Accordingly, pursuant to Section 4(i) of the Communications Act of 1934, as amended, 47 U.S.C. § 154(i), and Sections 0.191, 0.392, 1.925 and 1.946 of the Commission’s rules, 47 C.F.R. §§ 0.191, 0.392, 1.925, 1.946, IT IS ORDERED that the requests for extension submitted by the licensees listed in Appendix A, Appendix B, Appendix C of this order and the requests for waiver submitted by the 800 MHz Transition Administrator in Appendix D are GRANTED OR GRANTED IN PART, to the extent discussed herein.</w:t>
      </w:r>
    </w:p>
    <w:p w:rsidR="00695BCD" w:rsidRPr="00802BE9" w:rsidRDefault="00695BCD" w:rsidP="000F7E2E">
      <w:pPr>
        <w:pStyle w:val="ParaNum"/>
        <w:numPr>
          <w:ilvl w:val="0"/>
          <w:numId w:val="0"/>
        </w:numPr>
        <w:ind w:left="2880" w:firstLine="720"/>
        <w:rPr>
          <w:sz w:val="22"/>
          <w:szCs w:val="22"/>
        </w:rPr>
      </w:pPr>
      <w:r w:rsidRPr="00802BE9">
        <w:rPr>
          <w:sz w:val="22"/>
          <w:szCs w:val="22"/>
        </w:rPr>
        <w:t>FEDERAL COMMUNICATIONS COMMISSION</w:t>
      </w:r>
    </w:p>
    <w:p w:rsidR="00695BCD" w:rsidRPr="00802BE9" w:rsidRDefault="00695BCD">
      <w:pPr>
        <w:rPr>
          <w:sz w:val="22"/>
          <w:szCs w:val="22"/>
        </w:rPr>
      </w:pPr>
    </w:p>
    <w:p w:rsidR="00695BCD" w:rsidRPr="00802BE9" w:rsidRDefault="00695BCD">
      <w:pPr>
        <w:rPr>
          <w:sz w:val="22"/>
          <w:szCs w:val="22"/>
        </w:rPr>
      </w:pPr>
    </w:p>
    <w:p w:rsidR="00695BCD" w:rsidRPr="00802BE9" w:rsidRDefault="00695BCD" w:rsidP="007E208A">
      <w:pPr>
        <w:rPr>
          <w:sz w:val="22"/>
          <w:szCs w:val="22"/>
        </w:rPr>
      </w:pPr>
      <w:r w:rsidRPr="00802BE9">
        <w:rPr>
          <w:sz w:val="22"/>
          <w:szCs w:val="22"/>
        </w:rPr>
        <w:tab/>
      </w:r>
      <w:r w:rsidRPr="00802BE9">
        <w:rPr>
          <w:sz w:val="22"/>
          <w:szCs w:val="22"/>
        </w:rPr>
        <w:tab/>
      </w:r>
      <w:r w:rsidRPr="00802BE9">
        <w:rPr>
          <w:sz w:val="22"/>
          <w:szCs w:val="22"/>
        </w:rPr>
        <w:tab/>
      </w:r>
      <w:r w:rsidRPr="00802BE9">
        <w:rPr>
          <w:sz w:val="22"/>
          <w:szCs w:val="22"/>
        </w:rPr>
        <w:tab/>
      </w:r>
      <w:r w:rsidRPr="00802BE9">
        <w:rPr>
          <w:sz w:val="22"/>
          <w:szCs w:val="22"/>
        </w:rPr>
        <w:tab/>
        <w:t>Michael J. Wilhelm</w:t>
      </w:r>
    </w:p>
    <w:p w:rsidR="00695BCD" w:rsidRPr="00802BE9" w:rsidRDefault="00695BCD" w:rsidP="007E208A">
      <w:pPr>
        <w:ind w:left="2880" w:firstLine="720"/>
        <w:rPr>
          <w:sz w:val="22"/>
          <w:szCs w:val="22"/>
        </w:rPr>
      </w:pPr>
      <w:r w:rsidRPr="00802BE9">
        <w:rPr>
          <w:sz w:val="22"/>
          <w:szCs w:val="22"/>
        </w:rPr>
        <w:t>Deputy Chief, Policy and Licensing Division</w:t>
      </w:r>
    </w:p>
    <w:p w:rsidR="00695BCD" w:rsidRPr="00802BE9" w:rsidRDefault="00695BCD" w:rsidP="007E208A">
      <w:pPr>
        <w:ind w:left="2880" w:firstLine="720"/>
        <w:rPr>
          <w:sz w:val="22"/>
          <w:szCs w:val="22"/>
        </w:rPr>
      </w:pPr>
      <w:r w:rsidRPr="00802BE9">
        <w:rPr>
          <w:sz w:val="22"/>
          <w:szCs w:val="22"/>
        </w:rPr>
        <w:t xml:space="preserve">Public Safety and Homeland Security Bureau </w:t>
      </w:r>
      <w:r w:rsidRPr="00802BE9">
        <w:rPr>
          <w:sz w:val="22"/>
          <w:szCs w:val="22"/>
        </w:rPr>
        <w:tab/>
      </w:r>
    </w:p>
    <w:p w:rsidR="00695BCD" w:rsidRPr="00802BE9" w:rsidRDefault="00695BCD">
      <w:pPr>
        <w:rPr>
          <w:sz w:val="22"/>
          <w:szCs w:val="22"/>
        </w:rPr>
      </w:pPr>
    </w:p>
    <w:p w:rsidR="00695BCD" w:rsidRPr="00802BE9" w:rsidRDefault="00695BCD" w:rsidP="00221AA3">
      <w:pPr>
        <w:jc w:val="center"/>
        <w:rPr>
          <w:b/>
          <w:sz w:val="22"/>
          <w:szCs w:val="22"/>
        </w:rPr>
      </w:pPr>
      <w:r w:rsidRPr="00802BE9">
        <w:rPr>
          <w:b/>
          <w:sz w:val="22"/>
          <w:szCs w:val="22"/>
        </w:rPr>
        <w:br w:type="page"/>
        <w:t>Appendix A</w:t>
      </w:r>
    </w:p>
    <w:p w:rsidR="00695BCD" w:rsidRPr="00802BE9" w:rsidRDefault="00695BCD" w:rsidP="007E208A">
      <w:pPr>
        <w:rPr>
          <w:b/>
          <w:sz w:val="22"/>
          <w:szCs w:val="22"/>
        </w:rPr>
      </w:pPr>
    </w:p>
    <w:p w:rsidR="00695BCD" w:rsidRPr="00802BE9" w:rsidRDefault="00695BCD" w:rsidP="007E208A">
      <w:pPr>
        <w:rPr>
          <w:b/>
          <w:sz w:val="22"/>
          <w:szCs w:val="22"/>
        </w:rPr>
      </w:pPr>
      <w:r w:rsidRPr="00802BE9">
        <w:rPr>
          <w:b/>
          <w:sz w:val="22"/>
          <w:szCs w:val="22"/>
        </w:rPr>
        <w:t xml:space="preserve">Appendix A – Licensees Requesting Extensions to Complete Cost Estimates on or Before June 1, 2014.   </w:t>
      </w:r>
    </w:p>
    <w:p w:rsidR="00695BCD" w:rsidRPr="00802BE9" w:rsidRDefault="00695BCD" w:rsidP="007E208A">
      <w:pPr>
        <w:rPr>
          <w:b/>
          <w:sz w:val="22"/>
          <w:szCs w:val="22"/>
        </w:rPr>
      </w:pPr>
    </w:p>
    <w:p w:rsidR="00695BCD" w:rsidRPr="00802BE9" w:rsidRDefault="00695BCD" w:rsidP="007E208A">
      <w:pPr>
        <w:rPr>
          <w:b/>
          <w:sz w:val="22"/>
          <w:szCs w:val="22"/>
        </w:rPr>
      </w:pPr>
      <w:r w:rsidRPr="00802BE9">
        <w:rPr>
          <w:b/>
          <w:sz w:val="22"/>
          <w:szCs w:val="22"/>
        </w:rPr>
        <w:t>Relief Granted: Extension to Complete Cost Estimate on or Before the Date Requested (indicated in parentheses).</w:t>
      </w:r>
    </w:p>
    <w:p w:rsidR="00695BCD" w:rsidRPr="00802BE9" w:rsidRDefault="00695BCD" w:rsidP="007E208A">
      <w:pPr>
        <w:rPr>
          <w:b/>
          <w:sz w:val="22"/>
          <w:szCs w:val="22"/>
        </w:rPr>
      </w:pPr>
    </w:p>
    <w:p w:rsidR="00695BCD" w:rsidRPr="00802BE9" w:rsidRDefault="00695BCD" w:rsidP="002902ED">
      <w:pPr>
        <w:rPr>
          <w:b/>
          <w:sz w:val="22"/>
          <w:szCs w:val="22"/>
        </w:rPr>
      </w:pPr>
      <w:r w:rsidRPr="00802BE9">
        <w:rPr>
          <w:b/>
          <w:sz w:val="22"/>
          <w:szCs w:val="22"/>
        </w:rPr>
        <w:t xml:space="preserve">Region 3 (Arizona) </w:t>
      </w:r>
    </w:p>
    <w:p w:rsidR="00695BCD" w:rsidRPr="00802BE9" w:rsidRDefault="00695BCD" w:rsidP="00006E63">
      <w:pPr>
        <w:rPr>
          <w:sz w:val="22"/>
          <w:szCs w:val="22"/>
        </w:rPr>
      </w:pPr>
      <w:r w:rsidRPr="00802BE9">
        <w:rPr>
          <w:sz w:val="22"/>
          <w:szCs w:val="22"/>
        </w:rPr>
        <w:t>Arizona Public Service Company (Mar. 21, 2014)</w:t>
      </w:r>
    </w:p>
    <w:p w:rsidR="00695BCD" w:rsidRPr="00802BE9" w:rsidRDefault="00695BCD" w:rsidP="00006E63">
      <w:pPr>
        <w:rPr>
          <w:sz w:val="22"/>
          <w:szCs w:val="22"/>
        </w:rPr>
      </w:pPr>
      <w:r w:rsidRPr="00802BE9">
        <w:rPr>
          <w:sz w:val="22"/>
          <w:szCs w:val="22"/>
        </w:rPr>
        <w:t>City of Tucson (Apr. 21, 2014)</w:t>
      </w:r>
    </w:p>
    <w:p w:rsidR="00695BCD" w:rsidRPr="00802BE9" w:rsidRDefault="00695BCD" w:rsidP="00006E63">
      <w:pPr>
        <w:rPr>
          <w:sz w:val="22"/>
          <w:szCs w:val="22"/>
        </w:rPr>
      </w:pPr>
      <w:r w:rsidRPr="00802BE9">
        <w:rPr>
          <w:sz w:val="22"/>
          <w:szCs w:val="22"/>
        </w:rPr>
        <w:t>City of Mesa (Mar. 21, 2014)</w:t>
      </w:r>
    </w:p>
    <w:p w:rsidR="00695BCD" w:rsidRPr="00802BE9" w:rsidRDefault="00695BCD" w:rsidP="00006E63">
      <w:pPr>
        <w:rPr>
          <w:sz w:val="22"/>
          <w:szCs w:val="22"/>
        </w:rPr>
      </w:pPr>
      <w:r w:rsidRPr="00802BE9">
        <w:rPr>
          <w:sz w:val="22"/>
          <w:szCs w:val="22"/>
        </w:rPr>
        <w:t>City of Phoenix (Mar. 21, 2014)</w:t>
      </w:r>
    </w:p>
    <w:p w:rsidR="00695BCD" w:rsidRPr="00802BE9" w:rsidRDefault="00695BCD" w:rsidP="00006E63">
      <w:pPr>
        <w:rPr>
          <w:sz w:val="22"/>
          <w:szCs w:val="22"/>
        </w:rPr>
      </w:pPr>
      <w:r w:rsidRPr="00802BE9">
        <w:rPr>
          <w:sz w:val="22"/>
          <w:szCs w:val="22"/>
        </w:rPr>
        <w:t>City of Yuma (Apr. 11, 2014)</w:t>
      </w:r>
    </w:p>
    <w:p w:rsidR="00695BCD" w:rsidRPr="00802BE9" w:rsidRDefault="00695BCD" w:rsidP="000D79F7">
      <w:pPr>
        <w:rPr>
          <w:sz w:val="22"/>
          <w:szCs w:val="22"/>
        </w:rPr>
      </w:pPr>
      <w:r w:rsidRPr="00802BE9">
        <w:rPr>
          <w:sz w:val="22"/>
          <w:szCs w:val="22"/>
        </w:rPr>
        <w:t>Gila River Indian Community (May 5, 2014)</w:t>
      </w:r>
    </w:p>
    <w:p w:rsidR="00695BCD" w:rsidRPr="00802BE9" w:rsidRDefault="00695BCD" w:rsidP="000D79F7">
      <w:pPr>
        <w:rPr>
          <w:sz w:val="22"/>
          <w:szCs w:val="22"/>
        </w:rPr>
      </w:pPr>
      <w:r w:rsidRPr="00802BE9">
        <w:rPr>
          <w:sz w:val="22"/>
          <w:szCs w:val="22"/>
        </w:rPr>
        <w:t>Henry Zappia (May 30, 2014)</w:t>
      </w:r>
    </w:p>
    <w:p w:rsidR="00695BCD" w:rsidRPr="00802BE9" w:rsidRDefault="00695BCD" w:rsidP="002902ED">
      <w:pPr>
        <w:rPr>
          <w:sz w:val="22"/>
          <w:szCs w:val="22"/>
        </w:rPr>
      </w:pPr>
    </w:p>
    <w:p w:rsidR="00695BCD" w:rsidRPr="00802BE9" w:rsidRDefault="00695BCD" w:rsidP="002902ED">
      <w:pPr>
        <w:rPr>
          <w:b/>
          <w:sz w:val="22"/>
          <w:szCs w:val="22"/>
        </w:rPr>
      </w:pPr>
      <w:r w:rsidRPr="00802BE9">
        <w:rPr>
          <w:b/>
          <w:sz w:val="22"/>
          <w:szCs w:val="22"/>
        </w:rPr>
        <w:t xml:space="preserve">Region 5 (Southern California) </w:t>
      </w:r>
    </w:p>
    <w:p w:rsidR="00695BCD" w:rsidRPr="00802BE9" w:rsidRDefault="00695BCD" w:rsidP="00006E63">
      <w:pPr>
        <w:rPr>
          <w:sz w:val="22"/>
          <w:szCs w:val="22"/>
        </w:rPr>
      </w:pPr>
      <w:r w:rsidRPr="00802BE9">
        <w:rPr>
          <w:sz w:val="22"/>
          <w:szCs w:val="22"/>
        </w:rPr>
        <w:t>City of Los Angeles (Apr. 7, 2014)</w:t>
      </w:r>
    </w:p>
    <w:p w:rsidR="00695BCD" w:rsidRPr="00802BE9" w:rsidRDefault="00695BCD" w:rsidP="00006E63">
      <w:pPr>
        <w:rPr>
          <w:sz w:val="22"/>
          <w:szCs w:val="22"/>
        </w:rPr>
      </w:pPr>
      <w:r w:rsidRPr="00802BE9">
        <w:rPr>
          <w:sz w:val="22"/>
          <w:szCs w:val="22"/>
        </w:rPr>
        <w:t>Coachella Valley Water District (Mar. 31, 2014)</w:t>
      </w:r>
    </w:p>
    <w:p w:rsidR="00695BCD" w:rsidRPr="00802BE9" w:rsidRDefault="00695BCD" w:rsidP="00006E63">
      <w:pPr>
        <w:rPr>
          <w:sz w:val="22"/>
          <w:szCs w:val="22"/>
        </w:rPr>
      </w:pPr>
      <w:r w:rsidRPr="00802BE9">
        <w:rPr>
          <w:sz w:val="22"/>
          <w:szCs w:val="22"/>
        </w:rPr>
        <w:t>Eastern Riverside County Interoperable Communications Authority (ERICA) (May 16, 2014)</w:t>
      </w:r>
    </w:p>
    <w:p w:rsidR="00695BCD" w:rsidRPr="00802BE9" w:rsidRDefault="00695BCD" w:rsidP="00006E63">
      <w:pPr>
        <w:rPr>
          <w:sz w:val="22"/>
          <w:szCs w:val="22"/>
        </w:rPr>
      </w:pPr>
      <w:r w:rsidRPr="00802BE9">
        <w:rPr>
          <w:sz w:val="22"/>
          <w:szCs w:val="22"/>
        </w:rPr>
        <w:t>San Diego Gas and Electric Company (May 9, 2014)</w:t>
      </w:r>
    </w:p>
    <w:p w:rsidR="00695BCD" w:rsidRPr="00802BE9" w:rsidRDefault="00695BCD" w:rsidP="002902ED">
      <w:pPr>
        <w:rPr>
          <w:sz w:val="22"/>
          <w:szCs w:val="22"/>
        </w:rPr>
      </w:pPr>
      <w:r w:rsidRPr="00802BE9">
        <w:rPr>
          <w:sz w:val="22"/>
          <w:szCs w:val="22"/>
        </w:rPr>
        <w:t>San Diego Metropolitan Transit System (March 14, 2014)</w:t>
      </w:r>
    </w:p>
    <w:p w:rsidR="00695BCD" w:rsidRPr="00802BE9" w:rsidRDefault="00695BCD" w:rsidP="002902ED">
      <w:pPr>
        <w:rPr>
          <w:sz w:val="22"/>
          <w:szCs w:val="22"/>
        </w:rPr>
      </w:pPr>
    </w:p>
    <w:p w:rsidR="00695BCD" w:rsidRPr="00802BE9" w:rsidRDefault="00695BCD" w:rsidP="002902ED">
      <w:pPr>
        <w:rPr>
          <w:b/>
          <w:sz w:val="22"/>
          <w:szCs w:val="22"/>
        </w:rPr>
      </w:pPr>
      <w:r w:rsidRPr="00802BE9">
        <w:rPr>
          <w:b/>
          <w:sz w:val="22"/>
          <w:szCs w:val="22"/>
        </w:rPr>
        <w:t>Region 50 (Texas - El Paso Area)</w:t>
      </w:r>
    </w:p>
    <w:p w:rsidR="00695BCD" w:rsidRPr="00802BE9" w:rsidRDefault="00695BCD" w:rsidP="002902ED">
      <w:pPr>
        <w:rPr>
          <w:sz w:val="22"/>
          <w:szCs w:val="22"/>
        </w:rPr>
      </w:pPr>
      <w:r w:rsidRPr="00802BE9">
        <w:rPr>
          <w:sz w:val="22"/>
          <w:szCs w:val="22"/>
        </w:rPr>
        <w:t>City of El Paso (Mar. 31, 2014)</w:t>
      </w:r>
    </w:p>
    <w:p w:rsidR="00695BCD" w:rsidRPr="00802BE9" w:rsidRDefault="00695BCD" w:rsidP="002902ED">
      <w:pPr>
        <w:rPr>
          <w:sz w:val="22"/>
          <w:szCs w:val="22"/>
        </w:rPr>
      </w:pPr>
    </w:p>
    <w:p w:rsidR="00695BCD" w:rsidRPr="00802BE9" w:rsidRDefault="00695BCD" w:rsidP="00006E63">
      <w:pPr>
        <w:rPr>
          <w:b/>
          <w:sz w:val="22"/>
          <w:szCs w:val="22"/>
        </w:rPr>
      </w:pPr>
      <w:r w:rsidRPr="00802BE9">
        <w:rPr>
          <w:b/>
          <w:sz w:val="22"/>
          <w:szCs w:val="22"/>
        </w:rPr>
        <w:t>Region 53 (Southern Texas - San Antonio Area)</w:t>
      </w:r>
    </w:p>
    <w:p w:rsidR="00695BCD" w:rsidRPr="00802BE9" w:rsidRDefault="00695BCD" w:rsidP="00942E4F">
      <w:pPr>
        <w:rPr>
          <w:sz w:val="22"/>
          <w:szCs w:val="22"/>
        </w:rPr>
      </w:pPr>
      <w:r w:rsidRPr="00802BE9">
        <w:rPr>
          <w:sz w:val="22"/>
          <w:szCs w:val="22"/>
        </w:rPr>
        <w:t>American Electric Power Service Company (Mar. 29, 2014)</w:t>
      </w:r>
    </w:p>
    <w:p w:rsidR="00695BCD" w:rsidRPr="00802BE9" w:rsidRDefault="00695BCD" w:rsidP="00942E4F">
      <w:pPr>
        <w:rPr>
          <w:sz w:val="22"/>
          <w:szCs w:val="22"/>
        </w:rPr>
      </w:pPr>
      <w:r w:rsidRPr="00802BE9">
        <w:rPr>
          <w:sz w:val="22"/>
          <w:szCs w:val="22"/>
        </w:rPr>
        <w:t>City of Brownsville (May 11, 2014)</w:t>
      </w:r>
    </w:p>
    <w:p w:rsidR="00695BCD" w:rsidRPr="00802BE9" w:rsidRDefault="00695BCD" w:rsidP="00942E4F">
      <w:pPr>
        <w:rPr>
          <w:sz w:val="22"/>
          <w:szCs w:val="22"/>
        </w:rPr>
      </w:pPr>
      <w:r w:rsidRPr="00802BE9">
        <w:rPr>
          <w:sz w:val="22"/>
          <w:szCs w:val="22"/>
        </w:rPr>
        <w:t>City of Harlingen (May 2, 2014)</w:t>
      </w:r>
    </w:p>
    <w:p w:rsidR="00695BCD" w:rsidRPr="00802BE9" w:rsidRDefault="00695BCD" w:rsidP="00942E4F">
      <w:pPr>
        <w:rPr>
          <w:sz w:val="22"/>
          <w:szCs w:val="22"/>
        </w:rPr>
      </w:pPr>
      <w:r w:rsidRPr="00802BE9">
        <w:rPr>
          <w:sz w:val="22"/>
          <w:szCs w:val="22"/>
        </w:rPr>
        <w:t>City of Laredo (Apr. 21, 2014)</w:t>
      </w:r>
    </w:p>
    <w:p w:rsidR="00695BCD" w:rsidRPr="00802BE9" w:rsidRDefault="00695BCD" w:rsidP="00942E4F">
      <w:pPr>
        <w:rPr>
          <w:sz w:val="22"/>
          <w:szCs w:val="22"/>
        </w:rPr>
      </w:pPr>
      <w:r w:rsidRPr="00802BE9">
        <w:rPr>
          <w:sz w:val="22"/>
          <w:szCs w:val="22"/>
        </w:rPr>
        <w:t>City of McAllen (May 26, 2104)</w:t>
      </w:r>
    </w:p>
    <w:p w:rsidR="00695BCD" w:rsidRPr="00802BE9" w:rsidRDefault="00695BCD" w:rsidP="00942E4F">
      <w:pPr>
        <w:rPr>
          <w:sz w:val="22"/>
          <w:szCs w:val="22"/>
        </w:rPr>
      </w:pPr>
      <w:r w:rsidRPr="00802BE9">
        <w:rPr>
          <w:sz w:val="22"/>
          <w:szCs w:val="22"/>
        </w:rPr>
        <w:t>City of Rio Grande City (Mar. 14, 2014)</w:t>
      </w:r>
    </w:p>
    <w:p w:rsidR="00695BCD" w:rsidRPr="00802BE9" w:rsidRDefault="00695BCD" w:rsidP="00942E4F">
      <w:pPr>
        <w:rPr>
          <w:sz w:val="22"/>
          <w:szCs w:val="22"/>
        </w:rPr>
      </w:pPr>
      <w:r w:rsidRPr="00802BE9">
        <w:rPr>
          <w:sz w:val="22"/>
          <w:szCs w:val="22"/>
        </w:rPr>
        <w:t>County of Cameron (May. 31, 2014)</w:t>
      </w:r>
    </w:p>
    <w:p w:rsidR="00695BCD" w:rsidRPr="00802BE9" w:rsidRDefault="00695BCD" w:rsidP="00833B3F">
      <w:pPr>
        <w:rPr>
          <w:sz w:val="22"/>
          <w:szCs w:val="22"/>
        </w:rPr>
      </w:pPr>
      <w:r w:rsidRPr="00802BE9">
        <w:rPr>
          <w:sz w:val="22"/>
          <w:szCs w:val="22"/>
        </w:rPr>
        <w:t>County of Hidalgo (May 19, 2014)</w:t>
      </w:r>
    </w:p>
    <w:p w:rsidR="00695BCD" w:rsidRPr="00802BE9" w:rsidRDefault="00695BCD" w:rsidP="00942E4F">
      <w:pPr>
        <w:rPr>
          <w:sz w:val="22"/>
          <w:szCs w:val="22"/>
        </w:rPr>
      </w:pPr>
      <w:r w:rsidRPr="00802BE9">
        <w:rPr>
          <w:sz w:val="22"/>
          <w:szCs w:val="22"/>
        </w:rPr>
        <w:t>Lower Rio Grande Valley Development Council (Apr. 7, 2014)</w:t>
      </w:r>
    </w:p>
    <w:p w:rsidR="00695BCD" w:rsidRPr="00802BE9" w:rsidRDefault="00695BCD" w:rsidP="007E208A">
      <w:pPr>
        <w:rPr>
          <w:b/>
          <w:sz w:val="22"/>
          <w:szCs w:val="22"/>
        </w:rPr>
      </w:pPr>
    </w:p>
    <w:p w:rsidR="00695BCD" w:rsidRPr="00802BE9" w:rsidRDefault="00695BCD" w:rsidP="00942E4F">
      <w:pPr>
        <w:jc w:val="center"/>
        <w:rPr>
          <w:b/>
          <w:sz w:val="22"/>
          <w:szCs w:val="22"/>
        </w:rPr>
      </w:pPr>
      <w:r w:rsidRPr="00802BE9">
        <w:rPr>
          <w:b/>
          <w:sz w:val="22"/>
          <w:szCs w:val="22"/>
        </w:rPr>
        <w:t>Appendix B</w:t>
      </w:r>
    </w:p>
    <w:p w:rsidR="00695BCD" w:rsidRPr="00802BE9" w:rsidRDefault="00695BCD" w:rsidP="00942E4F">
      <w:pPr>
        <w:rPr>
          <w:b/>
          <w:sz w:val="22"/>
          <w:szCs w:val="22"/>
        </w:rPr>
      </w:pPr>
    </w:p>
    <w:p w:rsidR="00695BCD" w:rsidRPr="00802BE9" w:rsidRDefault="00695BCD" w:rsidP="00942E4F">
      <w:pPr>
        <w:rPr>
          <w:b/>
          <w:sz w:val="22"/>
          <w:szCs w:val="22"/>
        </w:rPr>
      </w:pPr>
      <w:r w:rsidRPr="00802BE9">
        <w:rPr>
          <w:b/>
          <w:sz w:val="22"/>
          <w:szCs w:val="22"/>
        </w:rPr>
        <w:t xml:space="preserve">Appendix B – Licensees Requesting Extensions to Complete Cost Estimates After June 1, 2014.   </w:t>
      </w:r>
    </w:p>
    <w:p w:rsidR="00695BCD" w:rsidRPr="00802BE9" w:rsidRDefault="00695BCD" w:rsidP="00942E4F">
      <w:pPr>
        <w:rPr>
          <w:b/>
          <w:sz w:val="22"/>
          <w:szCs w:val="22"/>
        </w:rPr>
      </w:pPr>
    </w:p>
    <w:p w:rsidR="00695BCD" w:rsidRPr="00802BE9" w:rsidRDefault="00695BCD" w:rsidP="00DD0E07">
      <w:pPr>
        <w:rPr>
          <w:b/>
          <w:sz w:val="22"/>
          <w:szCs w:val="22"/>
        </w:rPr>
      </w:pPr>
      <w:r w:rsidRPr="00802BE9">
        <w:rPr>
          <w:b/>
          <w:sz w:val="22"/>
          <w:szCs w:val="22"/>
        </w:rPr>
        <w:t xml:space="preserve">Relief Granted: Extension to Complete Cost Estimate on or Before June 1, 2014 </w:t>
      </w:r>
    </w:p>
    <w:p w:rsidR="00695BCD" w:rsidRPr="00802BE9" w:rsidRDefault="00695BCD" w:rsidP="001C2F97">
      <w:pPr>
        <w:rPr>
          <w:b/>
          <w:sz w:val="22"/>
          <w:szCs w:val="22"/>
        </w:rPr>
      </w:pPr>
    </w:p>
    <w:p w:rsidR="00695BCD" w:rsidRPr="00802BE9" w:rsidRDefault="00695BCD" w:rsidP="00034F7D">
      <w:pPr>
        <w:rPr>
          <w:b/>
          <w:sz w:val="22"/>
          <w:szCs w:val="22"/>
        </w:rPr>
      </w:pPr>
      <w:r w:rsidRPr="00802BE9">
        <w:rPr>
          <w:b/>
          <w:sz w:val="22"/>
          <w:szCs w:val="22"/>
        </w:rPr>
        <w:t>Region 3 (Arizona)</w:t>
      </w:r>
    </w:p>
    <w:p w:rsidR="00695BCD" w:rsidRPr="00802BE9" w:rsidRDefault="00695BCD" w:rsidP="00034F7D">
      <w:pPr>
        <w:rPr>
          <w:b/>
          <w:sz w:val="22"/>
          <w:szCs w:val="22"/>
        </w:rPr>
      </w:pPr>
      <w:r w:rsidRPr="00802BE9">
        <w:rPr>
          <w:color w:val="000000"/>
          <w:sz w:val="22"/>
          <w:szCs w:val="22"/>
        </w:rPr>
        <w:t xml:space="preserve">Tucson Electric Power </w:t>
      </w:r>
    </w:p>
    <w:p w:rsidR="00695BCD" w:rsidRPr="00802BE9" w:rsidRDefault="00695BCD" w:rsidP="00034F7D">
      <w:pPr>
        <w:rPr>
          <w:b/>
          <w:sz w:val="22"/>
          <w:szCs w:val="22"/>
        </w:rPr>
      </w:pPr>
    </w:p>
    <w:p w:rsidR="00695BCD" w:rsidRPr="00802BE9" w:rsidRDefault="00695BCD" w:rsidP="00034F7D">
      <w:pPr>
        <w:rPr>
          <w:b/>
          <w:sz w:val="22"/>
          <w:szCs w:val="22"/>
        </w:rPr>
      </w:pPr>
      <w:r w:rsidRPr="00802BE9">
        <w:rPr>
          <w:b/>
          <w:sz w:val="22"/>
          <w:szCs w:val="22"/>
        </w:rPr>
        <w:t xml:space="preserve">Region 5 (Southern California) </w:t>
      </w:r>
    </w:p>
    <w:p w:rsidR="00695BCD" w:rsidRPr="00802BE9" w:rsidRDefault="00695BCD" w:rsidP="001C2F97">
      <w:pPr>
        <w:rPr>
          <w:sz w:val="22"/>
          <w:szCs w:val="22"/>
        </w:rPr>
      </w:pPr>
      <w:r w:rsidRPr="00802BE9">
        <w:rPr>
          <w:sz w:val="22"/>
          <w:szCs w:val="22"/>
        </w:rPr>
        <w:t>City of San Diego</w:t>
      </w:r>
    </w:p>
    <w:p w:rsidR="00695BCD" w:rsidRPr="00802BE9" w:rsidRDefault="00695BCD" w:rsidP="001C2F97">
      <w:pPr>
        <w:rPr>
          <w:sz w:val="22"/>
          <w:szCs w:val="22"/>
        </w:rPr>
      </w:pPr>
      <w:r w:rsidRPr="00802BE9">
        <w:rPr>
          <w:sz w:val="22"/>
          <w:szCs w:val="22"/>
        </w:rPr>
        <w:t xml:space="preserve">Southern California Edison Company </w:t>
      </w:r>
    </w:p>
    <w:p w:rsidR="00695BCD" w:rsidRPr="00802BE9" w:rsidRDefault="00695BCD" w:rsidP="005A0DBA">
      <w:pPr>
        <w:rPr>
          <w:b/>
          <w:sz w:val="22"/>
          <w:szCs w:val="22"/>
        </w:rPr>
      </w:pPr>
      <w:r w:rsidRPr="00802BE9">
        <w:rPr>
          <w:b/>
          <w:sz w:val="22"/>
          <w:szCs w:val="22"/>
        </w:rPr>
        <w:t>Region 53 (Southern Texas - San Antonio Area)</w:t>
      </w:r>
    </w:p>
    <w:p w:rsidR="00695BCD" w:rsidRPr="00802BE9" w:rsidRDefault="00695BCD" w:rsidP="005A0DBA">
      <w:pPr>
        <w:rPr>
          <w:sz w:val="22"/>
          <w:szCs w:val="22"/>
        </w:rPr>
      </w:pPr>
      <w:r w:rsidRPr="00802BE9">
        <w:rPr>
          <w:sz w:val="22"/>
          <w:szCs w:val="22"/>
        </w:rPr>
        <w:t xml:space="preserve">Weslaco Independent School District </w:t>
      </w:r>
    </w:p>
    <w:p w:rsidR="00695BCD" w:rsidRPr="00802BE9" w:rsidRDefault="00695BCD" w:rsidP="001C2F97">
      <w:pPr>
        <w:rPr>
          <w:sz w:val="22"/>
          <w:szCs w:val="22"/>
        </w:rPr>
      </w:pPr>
    </w:p>
    <w:p w:rsidR="00695BCD" w:rsidRPr="00802BE9" w:rsidRDefault="00695BCD" w:rsidP="00764EC1">
      <w:pPr>
        <w:jc w:val="center"/>
        <w:rPr>
          <w:b/>
          <w:sz w:val="22"/>
          <w:szCs w:val="22"/>
        </w:rPr>
      </w:pPr>
      <w:r w:rsidRPr="00802BE9">
        <w:rPr>
          <w:b/>
          <w:sz w:val="22"/>
          <w:szCs w:val="22"/>
        </w:rPr>
        <w:t>Appendix C</w:t>
      </w:r>
    </w:p>
    <w:p w:rsidR="00695BCD" w:rsidRPr="00802BE9" w:rsidRDefault="00695BCD" w:rsidP="00764EC1">
      <w:pPr>
        <w:rPr>
          <w:b/>
          <w:sz w:val="22"/>
          <w:szCs w:val="22"/>
        </w:rPr>
      </w:pPr>
    </w:p>
    <w:p w:rsidR="00695BCD" w:rsidRPr="00802BE9" w:rsidRDefault="00695BCD" w:rsidP="00764EC1">
      <w:pPr>
        <w:rPr>
          <w:b/>
          <w:sz w:val="22"/>
          <w:szCs w:val="22"/>
        </w:rPr>
      </w:pPr>
      <w:r w:rsidRPr="00802BE9">
        <w:rPr>
          <w:b/>
          <w:sz w:val="22"/>
          <w:szCs w:val="22"/>
        </w:rPr>
        <w:t>Appendix C – Joint Requests for Additional Time to Negotiate Costs with Sprint Corp.</w:t>
      </w:r>
    </w:p>
    <w:p w:rsidR="00695BCD" w:rsidRPr="00802BE9" w:rsidRDefault="00695BCD" w:rsidP="00764EC1">
      <w:pPr>
        <w:rPr>
          <w:b/>
          <w:sz w:val="22"/>
          <w:szCs w:val="22"/>
        </w:rPr>
      </w:pPr>
    </w:p>
    <w:p w:rsidR="00695BCD" w:rsidRPr="00802BE9" w:rsidRDefault="00695BCD" w:rsidP="00764EC1">
      <w:pPr>
        <w:rPr>
          <w:b/>
          <w:sz w:val="22"/>
          <w:szCs w:val="22"/>
        </w:rPr>
      </w:pPr>
      <w:r w:rsidRPr="00802BE9">
        <w:rPr>
          <w:b/>
          <w:sz w:val="22"/>
          <w:szCs w:val="22"/>
        </w:rPr>
        <w:t>Relief Granted: Extension to Complete Negotiations on or Before the Date Requested (indicated in parentheses).</w:t>
      </w:r>
    </w:p>
    <w:p w:rsidR="00695BCD" w:rsidRPr="00802BE9" w:rsidRDefault="00695BCD" w:rsidP="00764EC1">
      <w:pPr>
        <w:rPr>
          <w:b/>
          <w:sz w:val="22"/>
          <w:szCs w:val="22"/>
        </w:rPr>
      </w:pPr>
    </w:p>
    <w:p w:rsidR="00695BCD" w:rsidRPr="00802BE9" w:rsidRDefault="00695BCD" w:rsidP="00764EC1">
      <w:pPr>
        <w:rPr>
          <w:b/>
          <w:sz w:val="22"/>
          <w:szCs w:val="22"/>
        </w:rPr>
      </w:pPr>
      <w:r w:rsidRPr="00802BE9">
        <w:rPr>
          <w:b/>
          <w:sz w:val="22"/>
          <w:szCs w:val="22"/>
        </w:rPr>
        <w:t>Region 3 (Arizona)</w:t>
      </w:r>
    </w:p>
    <w:p w:rsidR="00695BCD" w:rsidRPr="00802BE9" w:rsidRDefault="00695BCD" w:rsidP="00764EC1">
      <w:pPr>
        <w:rPr>
          <w:b/>
          <w:sz w:val="22"/>
          <w:szCs w:val="22"/>
        </w:rPr>
      </w:pPr>
      <w:r w:rsidRPr="00802BE9">
        <w:rPr>
          <w:color w:val="000000"/>
          <w:sz w:val="22"/>
          <w:szCs w:val="22"/>
        </w:rPr>
        <w:t>Action Communications, Inc. (Feb. 28, 2014)</w:t>
      </w:r>
    </w:p>
    <w:p w:rsidR="00695BCD" w:rsidRPr="00802BE9" w:rsidRDefault="00695BCD" w:rsidP="00764EC1">
      <w:pPr>
        <w:rPr>
          <w:snapToGrid w:val="0"/>
          <w:sz w:val="22"/>
          <w:szCs w:val="22"/>
        </w:rPr>
      </w:pPr>
      <w:r w:rsidRPr="00802BE9">
        <w:rPr>
          <w:snapToGrid w:val="0"/>
          <w:sz w:val="22"/>
          <w:szCs w:val="22"/>
        </w:rPr>
        <w:t>Caterpillar of Delaware, Inc. (Mar. 13, 2014)</w:t>
      </w:r>
    </w:p>
    <w:p w:rsidR="00695BCD" w:rsidRPr="00802BE9" w:rsidRDefault="00695BCD" w:rsidP="00764EC1">
      <w:pPr>
        <w:rPr>
          <w:sz w:val="22"/>
          <w:szCs w:val="22"/>
        </w:rPr>
      </w:pPr>
      <w:r w:rsidRPr="00802BE9">
        <w:rPr>
          <w:color w:val="000000"/>
          <w:sz w:val="22"/>
          <w:szCs w:val="22"/>
        </w:rPr>
        <w:t>Central Arizona Water Conservation District (Mar. 10, 2014)</w:t>
      </w:r>
    </w:p>
    <w:p w:rsidR="00695BCD" w:rsidRPr="00802BE9" w:rsidRDefault="00695BCD" w:rsidP="00AE6E09">
      <w:pPr>
        <w:rPr>
          <w:sz w:val="22"/>
          <w:szCs w:val="22"/>
        </w:rPr>
      </w:pPr>
      <w:r w:rsidRPr="00802BE9">
        <w:rPr>
          <w:sz w:val="22"/>
          <w:szCs w:val="22"/>
        </w:rPr>
        <w:t>CPC Arizona Holdings, Inc. (Feb. 28, 2014)</w:t>
      </w:r>
    </w:p>
    <w:p w:rsidR="00695BCD" w:rsidRPr="00802BE9" w:rsidRDefault="00695BCD" w:rsidP="008A3EDF">
      <w:pPr>
        <w:rPr>
          <w:sz w:val="22"/>
          <w:szCs w:val="22"/>
        </w:rPr>
      </w:pPr>
      <w:r w:rsidRPr="00802BE9">
        <w:rPr>
          <w:sz w:val="22"/>
          <w:szCs w:val="22"/>
        </w:rPr>
        <w:t>Northern Arizona University and City of Flagstaff (Mar. 18, 2014)</w:t>
      </w:r>
    </w:p>
    <w:p w:rsidR="00695BCD" w:rsidRPr="00802BE9" w:rsidRDefault="00695BCD" w:rsidP="00493874">
      <w:pPr>
        <w:rPr>
          <w:b/>
          <w:sz w:val="22"/>
          <w:szCs w:val="22"/>
        </w:rPr>
      </w:pPr>
    </w:p>
    <w:p w:rsidR="00695BCD" w:rsidRPr="00802BE9" w:rsidRDefault="00695BCD" w:rsidP="001C2F97">
      <w:pPr>
        <w:rPr>
          <w:b/>
          <w:sz w:val="22"/>
          <w:szCs w:val="22"/>
        </w:rPr>
      </w:pPr>
      <w:r w:rsidRPr="00802BE9">
        <w:rPr>
          <w:b/>
          <w:sz w:val="22"/>
          <w:szCs w:val="22"/>
        </w:rPr>
        <w:t xml:space="preserve">Region 5 (Southern California) </w:t>
      </w:r>
    </w:p>
    <w:p w:rsidR="00695BCD" w:rsidRPr="00802BE9" w:rsidRDefault="00695BCD" w:rsidP="001C2F97">
      <w:pPr>
        <w:rPr>
          <w:sz w:val="22"/>
          <w:szCs w:val="22"/>
        </w:rPr>
      </w:pPr>
      <w:r w:rsidRPr="00802BE9">
        <w:rPr>
          <w:color w:val="000000"/>
          <w:sz w:val="22"/>
          <w:szCs w:val="22"/>
        </w:rPr>
        <w:t>Automobile Club of Southern California (Mar. 3, 2014)</w:t>
      </w:r>
    </w:p>
    <w:p w:rsidR="00695BCD" w:rsidRPr="00802BE9" w:rsidRDefault="00695BCD" w:rsidP="001C2F97">
      <w:pPr>
        <w:rPr>
          <w:sz w:val="22"/>
          <w:szCs w:val="22"/>
        </w:rPr>
      </w:pPr>
      <w:r w:rsidRPr="00802BE9">
        <w:rPr>
          <w:sz w:val="22"/>
          <w:szCs w:val="22"/>
        </w:rPr>
        <w:t>City of Irvine (Mar. 14, 2014)</w:t>
      </w:r>
    </w:p>
    <w:p w:rsidR="00695BCD" w:rsidRPr="00802BE9" w:rsidRDefault="00695BCD" w:rsidP="001C2F97">
      <w:pPr>
        <w:rPr>
          <w:sz w:val="22"/>
          <w:szCs w:val="22"/>
        </w:rPr>
      </w:pPr>
      <w:r w:rsidRPr="00802BE9">
        <w:rPr>
          <w:sz w:val="22"/>
          <w:szCs w:val="22"/>
        </w:rPr>
        <w:t>City of Pasadena (Mar. 24, 2014)</w:t>
      </w:r>
    </w:p>
    <w:p w:rsidR="00695BCD" w:rsidRPr="00802BE9" w:rsidRDefault="00695BCD" w:rsidP="001C2F97">
      <w:pPr>
        <w:rPr>
          <w:sz w:val="22"/>
          <w:szCs w:val="22"/>
        </w:rPr>
      </w:pPr>
      <w:r w:rsidRPr="00802BE9">
        <w:rPr>
          <w:sz w:val="22"/>
          <w:szCs w:val="22"/>
        </w:rPr>
        <w:t>Mayer Reprographics, Inc. (Mar. 14, 2014)</w:t>
      </w:r>
    </w:p>
    <w:p w:rsidR="00695BCD" w:rsidRPr="00802BE9" w:rsidRDefault="00695BCD" w:rsidP="001C2F97">
      <w:pPr>
        <w:rPr>
          <w:color w:val="000000"/>
          <w:sz w:val="22"/>
          <w:szCs w:val="22"/>
        </w:rPr>
      </w:pPr>
      <w:r w:rsidRPr="00802BE9">
        <w:rPr>
          <w:sz w:val="22"/>
          <w:szCs w:val="22"/>
        </w:rPr>
        <w:t>Regents of the University of California, Los Angeles (Mar. 18, 2014)</w:t>
      </w:r>
    </w:p>
    <w:p w:rsidR="00695BCD" w:rsidRPr="00802BE9" w:rsidRDefault="00695BCD" w:rsidP="001C2F97">
      <w:pPr>
        <w:rPr>
          <w:color w:val="000000"/>
          <w:sz w:val="22"/>
          <w:szCs w:val="22"/>
        </w:rPr>
      </w:pPr>
      <w:r w:rsidRPr="00802BE9">
        <w:rPr>
          <w:color w:val="000000"/>
          <w:sz w:val="22"/>
          <w:szCs w:val="22"/>
        </w:rPr>
        <w:t>Regents of the University of California, Riverside (Mar. 6, 2014)</w:t>
      </w:r>
    </w:p>
    <w:p w:rsidR="00695BCD" w:rsidRPr="00802BE9" w:rsidRDefault="00695BCD" w:rsidP="001C2F97">
      <w:pPr>
        <w:rPr>
          <w:sz w:val="22"/>
          <w:szCs w:val="22"/>
        </w:rPr>
      </w:pPr>
      <w:r w:rsidRPr="00802BE9">
        <w:rPr>
          <w:color w:val="000000"/>
          <w:sz w:val="22"/>
          <w:szCs w:val="22"/>
        </w:rPr>
        <w:t>Regents of the University of California, Santa Barbara (Mar. 12, 2014)</w:t>
      </w:r>
    </w:p>
    <w:p w:rsidR="00695BCD" w:rsidRPr="00802BE9" w:rsidRDefault="00695BCD" w:rsidP="001C2F97">
      <w:pPr>
        <w:rPr>
          <w:sz w:val="22"/>
          <w:szCs w:val="22"/>
        </w:rPr>
      </w:pPr>
      <w:r w:rsidRPr="00802BE9">
        <w:rPr>
          <w:sz w:val="22"/>
          <w:szCs w:val="22"/>
        </w:rPr>
        <w:t>SC Communications, Inc. (Mar. 17, 2014)</w:t>
      </w:r>
    </w:p>
    <w:p w:rsidR="00695BCD" w:rsidRPr="00802BE9" w:rsidRDefault="00695BCD" w:rsidP="001C2F97">
      <w:pPr>
        <w:rPr>
          <w:sz w:val="22"/>
          <w:szCs w:val="22"/>
        </w:rPr>
      </w:pPr>
      <w:r w:rsidRPr="00802BE9">
        <w:rPr>
          <w:sz w:val="22"/>
          <w:szCs w:val="22"/>
        </w:rPr>
        <w:t>Telephone Connection, 3KFA, LLC and Third District (Mar. 24, 2014)</w:t>
      </w:r>
    </w:p>
    <w:p w:rsidR="00695BCD" w:rsidRPr="00802BE9" w:rsidRDefault="00695BCD" w:rsidP="001C2F97">
      <w:pPr>
        <w:rPr>
          <w:color w:val="000000"/>
          <w:sz w:val="22"/>
          <w:szCs w:val="22"/>
        </w:rPr>
      </w:pPr>
      <w:r w:rsidRPr="00802BE9">
        <w:rPr>
          <w:color w:val="000000"/>
          <w:sz w:val="22"/>
          <w:szCs w:val="22"/>
        </w:rPr>
        <w:t>William R. McLure (Mar. 14, 2014)</w:t>
      </w:r>
    </w:p>
    <w:p w:rsidR="00695BCD" w:rsidRPr="00802BE9" w:rsidRDefault="00695BCD" w:rsidP="001C2F97">
      <w:pPr>
        <w:rPr>
          <w:sz w:val="22"/>
          <w:szCs w:val="22"/>
        </w:rPr>
      </w:pPr>
    </w:p>
    <w:p w:rsidR="00695BCD" w:rsidRPr="00802BE9" w:rsidRDefault="00695BCD" w:rsidP="00E36B2B">
      <w:pPr>
        <w:jc w:val="center"/>
        <w:rPr>
          <w:b/>
          <w:sz w:val="22"/>
          <w:szCs w:val="22"/>
        </w:rPr>
      </w:pPr>
      <w:r w:rsidRPr="00802BE9">
        <w:rPr>
          <w:b/>
          <w:sz w:val="22"/>
          <w:szCs w:val="22"/>
        </w:rPr>
        <w:t>Appendix D</w:t>
      </w:r>
    </w:p>
    <w:p w:rsidR="00695BCD" w:rsidRPr="00802BE9" w:rsidRDefault="00695BCD" w:rsidP="00E36B2B">
      <w:pPr>
        <w:rPr>
          <w:b/>
          <w:sz w:val="22"/>
          <w:szCs w:val="22"/>
        </w:rPr>
      </w:pPr>
    </w:p>
    <w:p w:rsidR="00695BCD" w:rsidRPr="00802BE9" w:rsidRDefault="00695BCD" w:rsidP="00E36B2B">
      <w:pPr>
        <w:rPr>
          <w:b/>
          <w:color w:val="000000"/>
          <w:sz w:val="22"/>
          <w:szCs w:val="22"/>
        </w:rPr>
      </w:pPr>
      <w:r w:rsidRPr="00802BE9">
        <w:rPr>
          <w:b/>
          <w:sz w:val="22"/>
          <w:szCs w:val="22"/>
        </w:rPr>
        <w:t xml:space="preserve">Appendix D – Transition Administrator Requests for Waiver in Connection with FRA disputes.  </w:t>
      </w:r>
    </w:p>
    <w:p w:rsidR="00695BCD" w:rsidRPr="00802BE9" w:rsidRDefault="00695BCD" w:rsidP="00E36B2B">
      <w:pPr>
        <w:rPr>
          <w:b/>
          <w:sz w:val="22"/>
          <w:szCs w:val="22"/>
        </w:rPr>
      </w:pPr>
    </w:p>
    <w:p w:rsidR="00695BCD" w:rsidRPr="00802BE9" w:rsidRDefault="00695BCD" w:rsidP="00E36B2B">
      <w:pPr>
        <w:rPr>
          <w:b/>
          <w:sz w:val="22"/>
          <w:szCs w:val="22"/>
        </w:rPr>
      </w:pPr>
      <w:r w:rsidRPr="00802BE9">
        <w:rPr>
          <w:b/>
          <w:sz w:val="22"/>
          <w:szCs w:val="22"/>
        </w:rPr>
        <w:t>Relief Granted: Extension to Complete Negotiations on or Before the Date Requested (indicated in parentheses).</w:t>
      </w:r>
    </w:p>
    <w:p w:rsidR="00695BCD" w:rsidRPr="00802BE9" w:rsidRDefault="00695BCD" w:rsidP="00E36B2B">
      <w:pPr>
        <w:rPr>
          <w:snapToGrid w:val="0"/>
          <w:sz w:val="22"/>
          <w:szCs w:val="22"/>
        </w:rPr>
      </w:pPr>
    </w:p>
    <w:p w:rsidR="00695BCD" w:rsidRPr="00802BE9" w:rsidRDefault="00695BCD" w:rsidP="00E36B2B">
      <w:pPr>
        <w:rPr>
          <w:b/>
          <w:sz w:val="22"/>
          <w:szCs w:val="22"/>
        </w:rPr>
      </w:pPr>
      <w:r w:rsidRPr="00802BE9">
        <w:rPr>
          <w:b/>
          <w:sz w:val="22"/>
          <w:szCs w:val="22"/>
        </w:rPr>
        <w:t>Region 3 (Arizona)</w:t>
      </w:r>
    </w:p>
    <w:p w:rsidR="00695BCD" w:rsidRPr="00802BE9" w:rsidRDefault="00702489" w:rsidP="00E36B2B">
      <w:pPr>
        <w:rPr>
          <w:snapToGrid w:val="0"/>
          <w:sz w:val="22"/>
          <w:szCs w:val="22"/>
        </w:rPr>
      </w:pPr>
      <w:r w:rsidRPr="00802BE9">
        <w:rPr>
          <w:snapToGrid w:val="0"/>
          <w:sz w:val="22"/>
          <w:szCs w:val="22"/>
        </w:rPr>
        <w:t xml:space="preserve">City of Nogales </w:t>
      </w:r>
      <w:r w:rsidR="00695BCD" w:rsidRPr="00802BE9">
        <w:rPr>
          <w:snapToGrid w:val="0"/>
          <w:sz w:val="22"/>
          <w:szCs w:val="22"/>
        </w:rPr>
        <w:t>(Apr. 17, 2014)</w:t>
      </w:r>
    </w:p>
    <w:p w:rsidR="00695BCD" w:rsidRPr="00802BE9" w:rsidRDefault="00695BCD" w:rsidP="00E36B2B">
      <w:pPr>
        <w:rPr>
          <w:b/>
          <w:sz w:val="22"/>
          <w:szCs w:val="22"/>
        </w:rPr>
      </w:pPr>
      <w:r w:rsidRPr="00802BE9">
        <w:rPr>
          <w:snapToGrid w:val="0"/>
          <w:sz w:val="22"/>
          <w:szCs w:val="22"/>
        </w:rPr>
        <w:t>COM Rents, Inc. (Mar. 20, 2014)</w:t>
      </w:r>
    </w:p>
    <w:p w:rsidR="00695BCD" w:rsidRPr="00802BE9" w:rsidRDefault="00695BCD" w:rsidP="00E36B2B">
      <w:pPr>
        <w:rPr>
          <w:b/>
          <w:sz w:val="22"/>
          <w:szCs w:val="22"/>
        </w:rPr>
      </w:pPr>
      <w:r w:rsidRPr="00802BE9">
        <w:rPr>
          <w:snapToGrid w:val="0"/>
          <w:sz w:val="22"/>
          <w:szCs w:val="22"/>
        </w:rPr>
        <w:t>Sherriff’s Posse of Sun City (Mar. 10, 2014)</w:t>
      </w:r>
    </w:p>
    <w:p w:rsidR="00695BCD" w:rsidRPr="00802BE9" w:rsidRDefault="00695BCD" w:rsidP="00E36B2B">
      <w:pPr>
        <w:rPr>
          <w:b/>
          <w:sz w:val="22"/>
          <w:szCs w:val="22"/>
        </w:rPr>
      </w:pPr>
    </w:p>
    <w:p w:rsidR="00695BCD" w:rsidRPr="00802BE9" w:rsidRDefault="00695BCD" w:rsidP="00E36B2B">
      <w:pPr>
        <w:rPr>
          <w:b/>
          <w:sz w:val="22"/>
          <w:szCs w:val="22"/>
        </w:rPr>
      </w:pPr>
      <w:r w:rsidRPr="00802BE9">
        <w:rPr>
          <w:b/>
          <w:sz w:val="22"/>
          <w:szCs w:val="22"/>
        </w:rPr>
        <w:t xml:space="preserve">Region 5 (Southern California) </w:t>
      </w:r>
    </w:p>
    <w:p w:rsidR="00695BCD" w:rsidRPr="00802BE9" w:rsidRDefault="00702489" w:rsidP="00E36B2B">
      <w:pPr>
        <w:rPr>
          <w:snapToGrid w:val="0"/>
          <w:sz w:val="22"/>
          <w:szCs w:val="22"/>
        </w:rPr>
      </w:pPr>
      <w:r w:rsidRPr="00802BE9">
        <w:rPr>
          <w:snapToGrid w:val="0"/>
          <w:sz w:val="22"/>
          <w:szCs w:val="22"/>
        </w:rPr>
        <w:t xml:space="preserve">City of Santa Monica </w:t>
      </w:r>
      <w:r w:rsidR="00695BCD" w:rsidRPr="00802BE9">
        <w:rPr>
          <w:snapToGrid w:val="0"/>
          <w:sz w:val="22"/>
          <w:szCs w:val="22"/>
        </w:rPr>
        <w:t>(Mar. 14, 2014)</w:t>
      </w:r>
    </w:p>
    <w:p w:rsidR="00702489" w:rsidRPr="00802BE9" w:rsidRDefault="00702489" w:rsidP="00E36B2B">
      <w:pPr>
        <w:rPr>
          <w:snapToGrid w:val="0"/>
          <w:sz w:val="22"/>
          <w:szCs w:val="22"/>
        </w:rPr>
      </w:pPr>
      <w:r w:rsidRPr="00802BE9">
        <w:rPr>
          <w:snapToGrid w:val="0"/>
          <w:sz w:val="22"/>
          <w:szCs w:val="22"/>
        </w:rPr>
        <w:t>Laura and Sergio Rubio (Mar. 19, 2014)</w:t>
      </w:r>
    </w:p>
    <w:p w:rsidR="00695BCD" w:rsidRPr="00802BE9" w:rsidRDefault="00695BCD" w:rsidP="00E36B2B">
      <w:pPr>
        <w:rPr>
          <w:snapToGrid w:val="0"/>
          <w:sz w:val="22"/>
          <w:szCs w:val="22"/>
        </w:rPr>
      </w:pPr>
      <w:r w:rsidRPr="00802BE9">
        <w:rPr>
          <w:snapToGrid w:val="0"/>
          <w:sz w:val="22"/>
          <w:szCs w:val="22"/>
        </w:rPr>
        <w:t>Orange Unified School District (Mar. 7, 2014)</w:t>
      </w:r>
    </w:p>
    <w:p w:rsidR="00695BCD" w:rsidRPr="00802BE9" w:rsidRDefault="00695BCD" w:rsidP="00E36B2B">
      <w:pPr>
        <w:rPr>
          <w:b/>
          <w:sz w:val="22"/>
          <w:szCs w:val="22"/>
        </w:rPr>
      </w:pPr>
      <w:r w:rsidRPr="00802BE9">
        <w:rPr>
          <w:snapToGrid w:val="0"/>
          <w:sz w:val="22"/>
          <w:szCs w:val="22"/>
        </w:rPr>
        <w:t>Palomar Communications, Inc. (Mar. 19, 2014)</w:t>
      </w:r>
    </w:p>
    <w:p w:rsidR="00695BCD" w:rsidRPr="00802BE9" w:rsidRDefault="00695BCD" w:rsidP="00E36B2B">
      <w:pPr>
        <w:rPr>
          <w:b/>
          <w:snapToGrid w:val="0"/>
          <w:sz w:val="22"/>
          <w:szCs w:val="22"/>
        </w:rPr>
      </w:pPr>
    </w:p>
    <w:p w:rsidR="00695BCD" w:rsidRPr="00802BE9" w:rsidRDefault="00695BCD" w:rsidP="00E36B2B">
      <w:pPr>
        <w:rPr>
          <w:b/>
          <w:snapToGrid w:val="0"/>
          <w:sz w:val="22"/>
          <w:szCs w:val="22"/>
        </w:rPr>
      </w:pPr>
      <w:r w:rsidRPr="00802BE9">
        <w:rPr>
          <w:b/>
          <w:snapToGrid w:val="0"/>
          <w:sz w:val="22"/>
          <w:szCs w:val="22"/>
        </w:rPr>
        <w:t>Region 29 (New Mexico)</w:t>
      </w:r>
    </w:p>
    <w:p w:rsidR="00695BCD" w:rsidRPr="00802BE9" w:rsidRDefault="00695BCD" w:rsidP="00E36B2B">
      <w:pPr>
        <w:rPr>
          <w:snapToGrid w:val="0"/>
          <w:sz w:val="22"/>
          <w:szCs w:val="22"/>
        </w:rPr>
      </w:pPr>
      <w:r w:rsidRPr="00802BE9">
        <w:rPr>
          <w:snapToGrid w:val="0"/>
          <w:sz w:val="22"/>
          <w:szCs w:val="22"/>
        </w:rPr>
        <w:t>TeleBEEPER of New Mexico, Inc. (Mar. 6, 2014)</w:t>
      </w:r>
    </w:p>
    <w:p w:rsidR="00695BCD" w:rsidRPr="00802BE9" w:rsidRDefault="00695BCD" w:rsidP="00E36B2B">
      <w:pPr>
        <w:rPr>
          <w:snapToGrid w:val="0"/>
          <w:sz w:val="22"/>
          <w:szCs w:val="22"/>
        </w:rPr>
      </w:pPr>
    </w:p>
    <w:p w:rsidR="00695BCD" w:rsidRPr="00802BE9" w:rsidRDefault="00695BCD" w:rsidP="00E36B2B">
      <w:pPr>
        <w:rPr>
          <w:b/>
          <w:snapToGrid w:val="0"/>
          <w:sz w:val="22"/>
          <w:szCs w:val="22"/>
        </w:rPr>
      </w:pPr>
      <w:r w:rsidRPr="00802BE9">
        <w:rPr>
          <w:b/>
          <w:snapToGrid w:val="0"/>
          <w:sz w:val="22"/>
          <w:szCs w:val="22"/>
        </w:rPr>
        <w:t>Region 50 (Texas - El Paso Area)</w:t>
      </w:r>
    </w:p>
    <w:p w:rsidR="00695BCD" w:rsidRPr="00802BE9" w:rsidRDefault="00695BCD" w:rsidP="00E36B2B">
      <w:pPr>
        <w:rPr>
          <w:snapToGrid w:val="0"/>
          <w:sz w:val="22"/>
          <w:szCs w:val="22"/>
        </w:rPr>
      </w:pPr>
      <w:r w:rsidRPr="00802BE9">
        <w:rPr>
          <w:snapToGrid w:val="0"/>
          <w:sz w:val="22"/>
          <w:szCs w:val="22"/>
        </w:rPr>
        <w:t>Hearthstone Enterprises, Inc. (Mar. 7, 2014)</w:t>
      </w:r>
    </w:p>
    <w:p w:rsidR="00695BCD" w:rsidRPr="00802BE9" w:rsidRDefault="00695BCD" w:rsidP="003349BB">
      <w:pPr>
        <w:rPr>
          <w:b/>
          <w:sz w:val="22"/>
          <w:szCs w:val="22"/>
        </w:rPr>
      </w:pPr>
      <w:r w:rsidRPr="00802BE9">
        <w:rPr>
          <w:snapToGrid w:val="0"/>
          <w:sz w:val="22"/>
          <w:szCs w:val="22"/>
        </w:rPr>
        <w:t>Ricardo Solis Quezada (Mar. 17, 2014)</w:t>
      </w:r>
    </w:p>
    <w:p w:rsidR="00695BCD" w:rsidRPr="00802BE9" w:rsidRDefault="00695BCD" w:rsidP="003349BB">
      <w:pPr>
        <w:rPr>
          <w:snapToGrid w:val="0"/>
          <w:sz w:val="22"/>
          <w:szCs w:val="22"/>
        </w:rPr>
      </w:pPr>
      <w:r w:rsidRPr="00802BE9">
        <w:rPr>
          <w:snapToGrid w:val="0"/>
          <w:sz w:val="22"/>
          <w:szCs w:val="22"/>
        </w:rPr>
        <w:t>Ruben Vazquez (Mar. 17, 2014)</w:t>
      </w:r>
    </w:p>
    <w:p w:rsidR="00695BCD" w:rsidRPr="00802BE9" w:rsidRDefault="00695BCD" w:rsidP="00E36B2B">
      <w:pPr>
        <w:rPr>
          <w:snapToGrid w:val="0"/>
          <w:sz w:val="22"/>
          <w:szCs w:val="22"/>
        </w:rPr>
      </w:pPr>
    </w:p>
    <w:p w:rsidR="00695BCD" w:rsidRPr="00802BE9" w:rsidRDefault="00695BCD" w:rsidP="00E36B2B">
      <w:pPr>
        <w:rPr>
          <w:b/>
          <w:snapToGrid w:val="0"/>
          <w:sz w:val="22"/>
          <w:szCs w:val="22"/>
        </w:rPr>
      </w:pPr>
      <w:r w:rsidRPr="00802BE9">
        <w:rPr>
          <w:b/>
          <w:snapToGrid w:val="0"/>
          <w:sz w:val="22"/>
          <w:szCs w:val="22"/>
        </w:rPr>
        <w:t>Region 53 (Southern Texas - San Antonio Area)</w:t>
      </w:r>
    </w:p>
    <w:p w:rsidR="00695BCD" w:rsidRPr="00802BE9" w:rsidRDefault="00695BCD" w:rsidP="00E36B2B">
      <w:pPr>
        <w:rPr>
          <w:snapToGrid w:val="0"/>
          <w:sz w:val="22"/>
          <w:szCs w:val="22"/>
        </w:rPr>
      </w:pPr>
      <w:r w:rsidRPr="00802BE9">
        <w:rPr>
          <w:snapToGrid w:val="0"/>
          <w:sz w:val="22"/>
          <w:szCs w:val="22"/>
        </w:rPr>
        <w:t>County of Jim Hogg (Mar. 7, 2014)</w:t>
      </w:r>
    </w:p>
    <w:p w:rsidR="00702489" w:rsidRPr="00802BE9" w:rsidRDefault="00702489" w:rsidP="003349BB">
      <w:pPr>
        <w:rPr>
          <w:snapToGrid w:val="0"/>
          <w:sz w:val="22"/>
          <w:szCs w:val="22"/>
        </w:rPr>
      </w:pPr>
      <w:r w:rsidRPr="00802BE9">
        <w:rPr>
          <w:snapToGrid w:val="0"/>
          <w:sz w:val="22"/>
          <w:szCs w:val="22"/>
        </w:rPr>
        <w:t>Edinburg Consolidated Independent School District Police Department (Mar. 20, 2014)</w:t>
      </w:r>
    </w:p>
    <w:p w:rsidR="00695BCD" w:rsidRPr="00802BE9" w:rsidRDefault="00695BCD" w:rsidP="00E36B2B">
      <w:pPr>
        <w:rPr>
          <w:snapToGrid w:val="0"/>
          <w:sz w:val="22"/>
          <w:szCs w:val="22"/>
        </w:rPr>
      </w:pPr>
      <w:r w:rsidRPr="00802BE9">
        <w:rPr>
          <w:snapToGrid w:val="0"/>
          <w:sz w:val="22"/>
          <w:szCs w:val="22"/>
        </w:rPr>
        <w:t>Rio Grande Valley Sugar Growers, Inc. (Mar. 21, 2014)</w:t>
      </w:r>
    </w:p>
    <w:sectPr w:rsidR="00695BCD" w:rsidRPr="00802BE9" w:rsidSect="00EF116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C6" w:rsidRDefault="005475C6">
      <w:pPr>
        <w:spacing w:line="20" w:lineRule="exact"/>
      </w:pPr>
    </w:p>
  </w:endnote>
  <w:endnote w:type="continuationSeparator" w:id="0">
    <w:p w:rsidR="005475C6" w:rsidRDefault="005475C6">
      <w:r>
        <w:t xml:space="preserve"> </w:t>
      </w:r>
    </w:p>
  </w:endnote>
  <w:endnote w:type="continuationNotice" w:id="1">
    <w:p w:rsidR="005475C6" w:rsidRDefault="005475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CD" w:rsidRDefault="00695BCD">
    <w:pPr>
      <w:pStyle w:val="Footer"/>
      <w:framePr w:wrap="around" w:vAnchor="text" w:hAnchor="margin" w:xAlign="center" w:y="1"/>
    </w:pPr>
    <w:r>
      <w:fldChar w:fldCharType="begin"/>
    </w:r>
    <w:r>
      <w:instrText xml:space="preserve">PAGE  </w:instrText>
    </w:r>
    <w:r>
      <w:fldChar w:fldCharType="end"/>
    </w:r>
  </w:p>
  <w:p w:rsidR="00695BCD" w:rsidRDefault="00695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CD" w:rsidRDefault="00153806">
    <w:pPr>
      <w:pStyle w:val="Footer"/>
      <w:framePr w:wrap="around" w:vAnchor="text" w:hAnchor="margin" w:xAlign="center" w:y="1"/>
    </w:pPr>
    <w:r>
      <w:fldChar w:fldCharType="begin"/>
    </w:r>
    <w:r>
      <w:instrText xml:space="preserve">PAGE  </w:instrText>
    </w:r>
    <w:r>
      <w:fldChar w:fldCharType="separate"/>
    </w:r>
    <w:r w:rsidR="00983479">
      <w:rPr>
        <w:noProof/>
      </w:rPr>
      <w:t>1</w:t>
    </w:r>
    <w:r>
      <w:rPr>
        <w:noProof/>
      </w:rPr>
      <w:fldChar w:fldCharType="end"/>
    </w:r>
  </w:p>
  <w:p w:rsidR="00695BCD" w:rsidRDefault="00695BCD">
    <w:pPr>
      <w:spacing w:before="140" w:line="100" w:lineRule="exact"/>
      <w:rPr>
        <w:sz w:val="10"/>
      </w:rPr>
    </w:pPr>
  </w:p>
  <w:p w:rsidR="00695BCD" w:rsidRDefault="00695BCD">
    <w:pPr>
      <w:suppressAutoHyphens/>
      <w:spacing w:line="227" w:lineRule="auto"/>
    </w:pPr>
  </w:p>
  <w:p w:rsidR="00695BCD" w:rsidRDefault="00695B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CD" w:rsidRDefault="00695BC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C6" w:rsidRDefault="005475C6">
      <w:r>
        <w:separator/>
      </w:r>
    </w:p>
  </w:footnote>
  <w:footnote w:type="continuationSeparator" w:id="0">
    <w:p w:rsidR="005475C6" w:rsidRDefault="005475C6">
      <w:pPr>
        <w:rPr>
          <w:sz w:val="20"/>
        </w:rPr>
      </w:pPr>
      <w:r>
        <w:rPr>
          <w:sz w:val="20"/>
        </w:rPr>
        <w:t xml:space="preserve">(Continued from previous page)  </w:t>
      </w:r>
      <w:r>
        <w:rPr>
          <w:sz w:val="20"/>
        </w:rPr>
        <w:separator/>
      </w:r>
    </w:p>
  </w:footnote>
  <w:footnote w:type="continuationNotice" w:id="1">
    <w:p w:rsidR="005475C6" w:rsidRDefault="005475C6">
      <w:pPr>
        <w:rPr>
          <w:sz w:val="20"/>
        </w:rPr>
      </w:pPr>
      <w:r>
        <w:rPr>
          <w:sz w:val="20"/>
        </w:rPr>
        <w:t>(continued….)</w:t>
      </w:r>
    </w:p>
  </w:footnote>
  <w:footnote w:id="2">
    <w:p w:rsidR="00695BCD" w:rsidRPr="00936F1C" w:rsidRDefault="00695BCD" w:rsidP="00936F1C">
      <w:pPr>
        <w:pStyle w:val="FootnoteText"/>
        <w:spacing w:before="120" w:after="0"/>
      </w:pPr>
      <w:r w:rsidRPr="00936F1C">
        <w:rPr>
          <w:rStyle w:val="FootnoteReference"/>
          <w:sz w:val="20"/>
        </w:rPr>
        <w:footnoteRef/>
      </w:r>
      <w:r w:rsidRPr="00936F1C">
        <w:t xml:space="preserve"> Improving Public Safety Communications in the 800 MHz Band, New 800 MHz Band Plan for U.S.–Mexico Sharing Zone, WT Docket 02-55, </w:t>
      </w:r>
      <w:r w:rsidRPr="00936F1C">
        <w:rPr>
          <w:i/>
        </w:rPr>
        <w:t>Fifth Report and Order</w:t>
      </w:r>
      <w:r w:rsidRPr="00936F1C">
        <w:t>, 28 FCC Rcd 4085 (PSHSB 2013) (</w:t>
      </w:r>
      <w:r w:rsidRPr="00936F1C">
        <w:rPr>
          <w:i/>
        </w:rPr>
        <w:t>800 MHz Fifth Report and Order</w:t>
      </w:r>
      <w:r w:rsidRPr="00936F1C">
        <w:t>).</w:t>
      </w:r>
    </w:p>
  </w:footnote>
  <w:footnote w:id="3">
    <w:p w:rsidR="00695BCD" w:rsidRPr="00936F1C" w:rsidRDefault="00695BCD" w:rsidP="00936F1C">
      <w:pPr>
        <w:spacing w:before="120"/>
        <w:rPr>
          <w:sz w:val="20"/>
          <w:szCs w:val="20"/>
        </w:rPr>
      </w:pPr>
      <w:r w:rsidRPr="00936F1C">
        <w:rPr>
          <w:rStyle w:val="FootnoteReference"/>
          <w:sz w:val="20"/>
          <w:szCs w:val="20"/>
        </w:rPr>
        <w:footnoteRef/>
      </w:r>
      <w:r w:rsidRPr="00936F1C">
        <w:rPr>
          <w:sz w:val="20"/>
          <w:szCs w:val="20"/>
        </w:rPr>
        <w:t xml:space="preserve"> Public Safety and Homeland Security Bureau Announces that the 30-Month Transition Period for 800 MHz Band Reconfiguration in Regions Along the U.S.-Mexico Border Will Commence on August 23, 2013; Bureau Approves U.S.–Mexico Border Reconfiguration Timetable Submitted by the 800 MHz Transition Administrator and Establishes Application Freeze Dates, WT Docket No. 02-55, </w:t>
      </w:r>
      <w:r w:rsidRPr="00936F1C">
        <w:rPr>
          <w:i/>
          <w:sz w:val="20"/>
          <w:szCs w:val="20"/>
        </w:rPr>
        <w:t>Public Notice</w:t>
      </w:r>
      <w:r w:rsidRPr="00936F1C">
        <w:rPr>
          <w:sz w:val="20"/>
          <w:szCs w:val="20"/>
        </w:rPr>
        <w:t>, 28 FCC Rcd 12990 (PSHSB 2013) (</w:t>
      </w:r>
      <w:r w:rsidRPr="00936F1C">
        <w:rPr>
          <w:i/>
          <w:sz w:val="20"/>
          <w:szCs w:val="20"/>
        </w:rPr>
        <w:t>Public Notice</w:t>
      </w:r>
      <w:r w:rsidRPr="00936F1C">
        <w:rPr>
          <w:sz w:val="20"/>
          <w:szCs w:val="20"/>
        </w:rPr>
        <w:t xml:space="preserve">).  </w:t>
      </w:r>
    </w:p>
  </w:footnote>
  <w:footnote w:id="4">
    <w:p w:rsidR="00695BCD" w:rsidRPr="00936F1C" w:rsidRDefault="00695BCD" w:rsidP="00936F1C">
      <w:pPr>
        <w:pStyle w:val="FootnoteText"/>
        <w:spacing w:before="120" w:after="0"/>
      </w:pPr>
      <w:r w:rsidRPr="00936F1C">
        <w:rPr>
          <w:rStyle w:val="FootnoteReference"/>
          <w:sz w:val="20"/>
        </w:rPr>
        <w:footnoteRef/>
      </w:r>
      <w:r w:rsidRPr="00936F1C">
        <w:t xml:space="preserve"> </w:t>
      </w:r>
      <w:r w:rsidRPr="00936F1C">
        <w:rPr>
          <w:i/>
        </w:rPr>
        <w:t xml:space="preserve">Public Notice </w:t>
      </w:r>
      <w:r w:rsidRPr="00936F1C">
        <w:t>at Appendix II Reconfiguration Timetable Key Dates.</w:t>
      </w:r>
    </w:p>
  </w:footnote>
  <w:footnote w:id="5">
    <w:p w:rsidR="00695BCD" w:rsidRPr="00936F1C" w:rsidRDefault="00695BCD" w:rsidP="00936F1C">
      <w:pPr>
        <w:pStyle w:val="FootnoteText"/>
        <w:spacing w:before="120" w:after="0"/>
      </w:pPr>
      <w:r w:rsidRPr="00936F1C">
        <w:rPr>
          <w:rStyle w:val="FootnoteReference"/>
          <w:sz w:val="20"/>
        </w:rPr>
        <w:footnoteRef/>
      </w:r>
      <w:r w:rsidRPr="00936F1C">
        <w:t xml:space="preserve"> Improving Public Safety Communications in the 800 MHz Band, </w:t>
      </w:r>
      <w:r w:rsidR="00936F1C" w:rsidRPr="00936F1C">
        <w:t xml:space="preserve">WT Docket 02-55, </w:t>
      </w:r>
      <w:r w:rsidRPr="00936F1C">
        <w:rPr>
          <w:i/>
        </w:rPr>
        <w:t>Order</w:t>
      </w:r>
      <w:r w:rsidRPr="00936F1C">
        <w:t>, 28 FCC Rcd 17085 (PSHSB 2013).</w:t>
      </w:r>
    </w:p>
  </w:footnote>
  <w:footnote w:id="6">
    <w:p w:rsidR="00695BCD" w:rsidRPr="00936F1C" w:rsidRDefault="00695BCD" w:rsidP="00936F1C">
      <w:pPr>
        <w:pStyle w:val="FootnoteText"/>
        <w:spacing w:before="120" w:after="0"/>
      </w:pPr>
      <w:r w:rsidRPr="00936F1C">
        <w:rPr>
          <w:rStyle w:val="FootnoteReference"/>
          <w:sz w:val="20"/>
        </w:rPr>
        <w:footnoteRef/>
      </w:r>
      <w:r w:rsidRPr="00936F1C">
        <w:t xml:space="preserve"> 47 C.F.R. § 1.46.</w:t>
      </w:r>
    </w:p>
  </w:footnote>
  <w:footnote w:id="7">
    <w:p w:rsidR="00695BCD" w:rsidRPr="00936F1C" w:rsidRDefault="00695BCD" w:rsidP="00936F1C">
      <w:pPr>
        <w:pStyle w:val="FootnoteText"/>
        <w:spacing w:before="120" w:after="0"/>
      </w:pPr>
      <w:r w:rsidRPr="00936F1C">
        <w:rPr>
          <w:rStyle w:val="FootnoteReference"/>
          <w:sz w:val="20"/>
        </w:rPr>
        <w:footnoteRef/>
      </w:r>
      <w:r w:rsidRPr="00936F1C">
        <w:t xml:space="preserve"> Appendix A.</w:t>
      </w:r>
    </w:p>
  </w:footnote>
  <w:footnote w:id="8">
    <w:p w:rsidR="00695BCD" w:rsidRPr="00936F1C" w:rsidRDefault="00695BCD" w:rsidP="00936F1C">
      <w:pPr>
        <w:pStyle w:val="FootnoteText"/>
        <w:spacing w:before="120" w:after="0"/>
      </w:pPr>
      <w:r w:rsidRPr="00936F1C">
        <w:rPr>
          <w:rStyle w:val="FootnoteReference"/>
          <w:sz w:val="20"/>
        </w:rPr>
        <w:footnoteRef/>
      </w:r>
      <w:r w:rsidRPr="00936F1C">
        <w:t xml:space="preserve"> Appendix B.</w:t>
      </w:r>
    </w:p>
  </w:footnote>
  <w:footnote w:id="9">
    <w:p w:rsidR="00695BCD" w:rsidRPr="00936F1C" w:rsidRDefault="00695BCD" w:rsidP="00936F1C">
      <w:pPr>
        <w:pStyle w:val="FootnoteText"/>
        <w:spacing w:before="120" w:after="0"/>
      </w:pPr>
      <w:r w:rsidRPr="00936F1C">
        <w:rPr>
          <w:rStyle w:val="FootnoteReference"/>
          <w:sz w:val="20"/>
        </w:rPr>
        <w:footnoteRef/>
      </w:r>
      <w:r w:rsidRPr="00936F1C">
        <w:t xml:space="preserve"> Appendix C.</w:t>
      </w:r>
    </w:p>
  </w:footnote>
  <w:footnote w:id="10">
    <w:p w:rsidR="00695BCD" w:rsidRPr="00936F1C" w:rsidRDefault="00695BCD" w:rsidP="00936F1C">
      <w:pPr>
        <w:pStyle w:val="FootnoteText"/>
        <w:spacing w:before="120" w:after="0"/>
      </w:pPr>
      <w:r w:rsidRPr="00936F1C">
        <w:rPr>
          <w:rStyle w:val="FootnoteReference"/>
          <w:sz w:val="20"/>
        </w:rPr>
        <w:footnoteRef/>
      </w:r>
      <w:r w:rsidRPr="00936F1C">
        <w:t xml:space="preserve"> </w:t>
      </w:r>
      <w:r w:rsidRPr="00936F1C">
        <w:rPr>
          <w:i/>
        </w:rPr>
        <w:t>800 MH Fifth Report and Order</w:t>
      </w:r>
      <w:r w:rsidRPr="00936F1C">
        <w:t xml:space="preserve">, 28 FCC Rcd at </w:t>
      </w:r>
      <w:r w:rsidRPr="00936F1C">
        <w:rPr>
          <w:snapToGrid w:val="0"/>
        </w:rPr>
        <w:t>4104 ¶ 62.</w:t>
      </w:r>
    </w:p>
  </w:footnote>
  <w:footnote w:id="11">
    <w:p w:rsidR="00695BCD" w:rsidRPr="00936F1C" w:rsidRDefault="00695BCD" w:rsidP="00936F1C">
      <w:pPr>
        <w:pStyle w:val="FootnoteText"/>
        <w:spacing w:before="120" w:after="0"/>
      </w:pPr>
      <w:r w:rsidRPr="00936F1C">
        <w:rPr>
          <w:rStyle w:val="FootnoteReference"/>
          <w:sz w:val="20"/>
        </w:rPr>
        <w:footnoteRef/>
      </w:r>
      <w:r w:rsidRPr="00936F1C">
        <w:t xml:space="preserve"> Appendix D.</w:t>
      </w:r>
    </w:p>
  </w:footnote>
  <w:footnote w:id="12">
    <w:p w:rsidR="00695BCD" w:rsidRDefault="00695BCD" w:rsidP="00936F1C">
      <w:pPr>
        <w:pStyle w:val="FootnoteText"/>
        <w:spacing w:before="120" w:after="0"/>
      </w:pPr>
      <w:r w:rsidRPr="00936F1C">
        <w:rPr>
          <w:rStyle w:val="FootnoteReference"/>
          <w:sz w:val="20"/>
        </w:rPr>
        <w:footnoteRef/>
      </w:r>
      <w:r w:rsidRPr="00936F1C">
        <w:t xml:space="preserve"> 47 C.F.R. § 90.677.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30" w:rsidRDefault="00B96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CD" w:rsidRDefault="00695BCD">
    <w:pPr>
      <w:pStyle w:val="Header"/>
      <w:pBdr>
        <w:bottom w:val="single" w:sz="12" w:space="1" w:color="auto"/>
      </w:pBdr>
      <w:rPr>
        <w:b w:val="0"/>
      </w:rPr>
    </w:pPr>
    <w:r>
      <w:tab/>
      <w:t>Federal Communications Commission</w:t>
    </w:r>
    <w:r>
      <w:tab/>
      <w:t xml:space="preserve">DA </w:t>
    </w:r>
    <w:r w:rsidR="00A93FB8" w:rsidRPr="00A93FB8">
      <w:t>14-306</w:t>
    </w:r>
  </w:p>
  <w:p w:rsidR="00695BCD" w:rsidRDefault="00702489">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63034760" wp14:editId="0FD6289C">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695BCD" w:rsidRDefault="00695BC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CD" w:rsidRDefault="00695BCD">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 w:numId="2">
    <w:abstractNumId w:val="2"/>
  </w:num>
  <w:num w:numId="3">
    <w:abstractNumId w:val="1"/>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21"/>
    <w:rsid w:val="00001E05"/>
    <w:rsid w:val="00002174"/>
    <w:rsid w:val="00004568"/>
    <w:rsid w:val="00006E63"/>
    <w:rsid w:val="00007455"/>
    <w:rsid w:val="0002032F"/>
    <w:rsid w:val="00034F7D"/>
    <w:rsid w:val="00043630"/>
    <w:rsid w:val="000A443B"/>
    <w:rsid w:val="000D79F7"/>
    <w:rsid w:val="000E3398"/>
    <w:rsid w:val="000F3F8F"/>
    <w:rsid w:val="000F75EA"/>
    <w:rsid w:val="000F7E2E"/>
    <w:rsid w:val="001341FC"/>
    <w:rsid w:val="00153806"/>
    <w:rsid w:val="00193159"/>
    <w:rsid w:val="001A72FF"/>
    <w:rsid w:val="001B1C57"/>
    <w:rsid w:val="001B65FE"/>
    <w:rsid w:val="001C2F97"/>
    <w:rsid w:val="001C607F"/>
    <w:rsid w:val="0020261A"/>
    <w:rsid w:val="00215D44"/>
    <w:rsid w:val="00221AA3"/>
    <w:rsid w:val="00231E98"/>
    <w:rsid w:val="002407F7"/>
    <w:rsid w:val="00241595"/>
    <w:rsid w:val="00246740"/>
    <w:rsid w:val="002519B8"/>
    <w:rsid w:val="002820E1"/>
    <w:rsid w:val="002902ED"/>
    <w:rsid w:val="00295315"/>
    <w:rsid w:val="002A4A2A"/>
    <w:rsid w:val="002A733E"/>
    <w:rsid w:val="002A7BF1"/>
    <w:rsid w:val="002C1CF0"/>
    <w:rsid w:val="002C748A"/>
    <w:rsid w:val="002D1CBD"/>
    <w:rsid w:val="002E2FAE"/>
    <w:rsid w:val="002F2C59"/>
    <w:rsid w:val="002F75C5"/>
    <w:rsid w:val="00300459"/>
    <w:rsid w:val="003117D4"/>
    <w:rsid w:val="00334145"/>
    <w:rsid w:val="003349BB"/>
    <w:rsid w:val="00353E82"/>
    <w:rsid w:val="00367D7C"/>
    <w:rsid w:val="003817C7"/>
    <w:rsid w:val="003A4435"/>
    <w:rsid w:val="00407827"/>
    <w:rsid w:val="00432B14"/>
    <w:rsid w:val="00472207"/>
    <w:rsid w:val="004764C9"/>
    <w:rsid w:val="00481B48"/>
    <w:rsid w:val="00487716"/>
    <w:rsid w:val="00493874"/>
    <w:rsid w:val="004C3926"/>
    <w:rsid w:val="004D2F9E"/>
    <w:rsid w:val="004F5ABD"/>
    <w:rsid w:val="00511524"/>
    <w:rsid w:val="005230BD"/>
    <w:rsid w:val="005475C6"/>
    <w:rsid w:val="00584AA3"/>
    <w:rsid w:val="005968BC"/>
    <w:rsid w:val="005A0DBA"/>
    <w:rsid w:val="005A34C5"/>
    <w:rsid w:val="005C4F18"/>
    <w:rsid w:val="00603CAE"/>
    <w:rsid w:val="00627EC8"/>
    <w:rsid w:val="00640509"/>
    <w:rsid w:val="006419EF"/>
    <w:rsid w:val="00695BCD"/>
    <w:rsid w:val="006B3889"/>
    <w:rsid w:val="006D633A"/>
    <w:rsid w:val="006E734A"/>
    <w:rsid w:val="006F2449"/>
    <w:rsid w:val="006F46E8"/>
    <w:rsid w:val="00702489"/>
    <w:rsid w:val="00727E21"/>
    <w:rsid w:val="00732881"/>
    <w:rsid w:val="0074637F"/>
    <w:rsid w:val="0075036A"/>
    <w:rsid w:val="007536EE"/>
    <w:rsid w:val="00764EC1"/>
    <w:rsid w:val="00766DCE"/>
    <w:rsid w:val="00795306"/>
    <w:rsid w:val="007A288A"/>
    <w:rsid w:val="007B0D31"/>
    <w:rsid w:val="007B417A"/>
    <w:rsid w:val="007E208A"/>
    <w:rsid w:val="00802BE9"/>
    <w:rsid w:val="008057D7"/>
    <w:rsid w:val="0082433C"/>
    <w:rsid w:val="00833B3F"/>
    <w:rsid w:val="00845E64"/>
    <w:rsid w:val="00860E8B"/>
    <w:rsid w:val="00860F9A"/>
    <w:rsid w:val="00861B19"/>
    <w:rsid w:val="00866B3A"/>
    <w:rsid w:val="00874DF7"/>
    <w:rsid w:val="00875BA0"/>
    <w:rsid w:val="008856CE"/>
    <w:rsid w:val="00886C97"/>
    <w:rsid w:val="008A1755"/>
    <w:rsid w:val="008A3EDF"/>
    <w:rsid w:val="008C6372"/>
    <w:rsid w:val="008D4DFD"/>
    <w:rsid w:val="00906C8A"/>
    <w:rsid w:val="0091324C"/>
    <w:rsid w:val="009220FE"/>
    <w:rsid w:val="00936F1C"/>
    <w:rsid w:val="00942E4F"/>
    <w:rsid w:val="009576F2"/>
    <w:rsid w:val="009706F7"/>
    <w:rsid w:val="00970E3B"/>
    <w:rsid w:val="00971A8B"/>
    <w:rsid w:val="0097294C"/>
    <w:rsid w:val="00981733"/>
    <w:rsid w:val="00983479"/>
    <w:rsid w:val="00991ED5"/>
    <w:rsid w:val="00993D7F"/>
    <w:rsid w:val="009B23D9"/>
    <w:rsid w:val="009B7A33"/>
    <w:rsid w:val="009D047F"/>
    <w:rsid w:val="009D0B68"/>
    <w:rsid w:val="009E0C85"/>
    <w:rsid w:val="009F20A9"/>
    <w:rsid w:val="009F38AC"/>
    <w:rsid w:val="00A060A0"/>
    <w:rsid w:val="00A10A5B"/>
    <w:rsid w:val="00A30756"/>
    <w:rsid w:val="00A31812"/>
    <w:rsid w:val="00A3608B"/>
    <w:rsid w:val="00A82803"/>
    <w:rsid w:val="00A93FB8"/>
    <w:rsid w:val="00A95CA6"/>
    <w:rsid w:val="00AE6E09"/>
    <w:rsid w:val="00AF7FDB"/>
    <w:rsid w:val="00B03D2F"/>
    <w:rsid w:val="00B270DE"/>
    <w:rsid w:val="00B40E04"/>
    <w:rsid w:val="00B415A0"/>
    <w:rsid w:val="00B526FC"/>
    <w:rsid w:val="00B55E15"/>
    <w:rsid w:val="00B67AAD"/>
    <w:rsid w:val="00B91E26"/>
    <w:rsid w:val="00B96530"/>
    <w:rsid w:val="00BA40B9"/>
    <w:rsid w:val="00BE07BD"/>
    <w:rsid w:val="00BF0870"/>
    <w:rsid w:val="00C026AF"/>
    <w:rsid w:val="00C60730"/>
    <w:rsid w:val="00C728B6"/>
    <w:rsid w:val="00C9373B"/>
    <w:rsid w:val="00C94BF7"/>
    <w:rsid w:val="00CB1905"/>
    <w:rsid w:val="00CC3AA5"/>
    <w:rsid w:val="00CC7319"/>
    <w:rsid w:val="00D07FE2"/>
    <w:rsid w:val="00D13BEE"/>
    <w:rsid w:val="00D2629E"/>
    <w:rsid w:val="00D263E0"/>
    <w:rsid w:val="00DB7DCA"/>
    <w:rsid w:val="00DD0E07"/>
    <w:rsid w:val="00DD1689"/>
    <w:rsid w:val="00DD1F3F"/>
    <w:rsid w:val="00DE008D"/>
    <w:rsid w:val="00DE32CE"/>
    <w:rsid w:val="00DE3D7A"/>
    <w:rsid w:val="00DF6AA3"/>
    <w:rsid w:val="00E14E8B"/>
    <w:rsid w:val="00E16DB6"/>
    <w:rsid w:val="00E17714"/>
    <w:rsid w:val="00E36B2B"/>
    <w:rsid w:val="00E4177E"/>
    <w:rsid w:val="00E7709E"/>
    <w:rsid w:val="00EE1B67"/>
    <w:rsid w:val="00EE4F17"/>
    <w:rsid w:val="00EE6A37"/>
    <w:rsid w:val="00EF1169"/>
    <w:rsid w:val="00F05C3F"/>
    <w:rsid w:val="00F1592E"/>
    <w:rsid w:val="00F176A5"/>
    <w:rsid w:val="00F550F7"/>
    <w:rsid w:val="00F861F9"/>
    <w:rsid w:val="00FA3170"/>
    <w:rsid w:val="00FB7F48"/>
    <w:rsid w:val="00FD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EF1169"/>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EF1169"/>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link w:val="Heading3Char"/>
    <w:uiPriority w:val="99"/>
    <w:qFormat/>
    <w:rsid w:val="00EF1169"/>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link w:val="Heading4Char"/>
    <w:uiPriority w:val="99"/>
    <w:qFormat/>
    <w:rsid w:val="00EF1169"/>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link w:val="Heading5Char"/>
    <w:uiPriority w:val="99"/>
    <w:qFormat/>
    <w:rsid w:val="00EF1169"/>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EF1169"/>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link w:val="Heading7Char"/>
    <w:uiPriority w:val="99"/>
    <w:qFormat/>
    <w:rsid w:val="00EF1169"/>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link w:val="Heading8Char"/>
    <w:uiPriority w:val="99"/>
    <w:qFormat/>
    <w:rsid w:val="00EF1169"/>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link w:val="Heading9Char"/>
    <w:uiPriority w:val="99"/>
    <w:qFormat/>
    <w:rsid w:val="00EF1169"/>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1E0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01E0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01E0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01E0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01E0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01E05"/>
    <w:rPr>
      <w:rFonts w:ascii="Calibri" w:hAnsi="Calibri" w:cs="Times New Roman"/>
      <w:b/>
      <w:bCs/>
    </w:rPr>
  </w:style>
  <w:style w:type="character" w:customStyle="1" w:styleId="Heading7Char">
    <w:name w:val="Heading 7 Char"/>
    <w:basedOn w:val="DefaultParagraphFont"/>
    <w:link w:val="Heading7"/>
    <w:uiPriority w:val="99"/>
    <w:semiHidden/>
    <w:locked/>
    <w:rsid w:val="00001E0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01E0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01E05"/>
    <w:rPr>
      <w:rFonts w:ascii="Cambria" w:hAnsi="Cambria" w:cs="Times New Roman"/>
    </w:rPr>
  </w:style>
  <w:style w:type="paragraph" w:customStyle="1" w:styleId="ParaNum">
    <w:name w:val="ParaNum"/>
    <w:basedOn w:val="Normal"/>
    <w:uiPriority w:val="99"/>
    <w:rsid w:val="00EF1169"/>
    <w:pPr>
      <w:numPr>
        <w:numId w:val="2"/>
      </w:numPr>
      <w:spacing w:after="220"/>
    </w:pPr>
  </w:style>
  <w:style w:type="paragraph" w:styleId="EndnoteText">
    <w:name w:val="endnote text"/>
    <w:basedOn w:val="Normal"/>
    <w:link w:val="EndnoteTextChar"/>
    <w:uiPriority w:val="99"/>
    <w:semiHidden/>
    <w:rsid w:val="00EF1169"/>
    <w:rPr>
      <w:sz w:val="20"/>
    </w:rPr>
  </w:style>
  <w:style w:type="character" w:customStyle="1" w:styleId="EndnoteTextChar">
    <w:name w:val="Endnote Text Char"/>
    <w:basedOn w:val="DefaultParagraphFont"/>
    <w:link w:val="EndnoteText"/>
    <w:uiPriority w:val="99"/>
    <w:semiHidden/>
    <w:locked/>
    <w:rsid w:val="00001E05"/>
    <w:rPr>
      <w:rFonts w:cs="Times New Roman"/>
      <w:sz w:val="20"/>
      <w:szCs w:val="20"/>
    </w:rPr>
  </w:style>
  <w:style w:type="character" w:styleId="EndnoteReference">
    <w:name w:val="endnote reference"/>
    <w:basedOn w:val="DefaultParagraphFont"/>
    <w:uiPriority w:val="99"/>
    <w:semiHidden/>
    <w:rsid w:val="00EF1169"/>
    <w:rPr>
      <w:rFonts w:cs="Times New Roman"/>
      <w:vertAlign w:val="superscript"/>
    </w:rPr>
  </w:style>
  <w:style w:type="paragraph" w:styleId="FootnoteText">
    <w:name w:val="footnote text"/>
    <w:basedOn w:val="Normal"/>
    <w:link w:val="FootnoteTextChar"/>
    <w:autoRedefine/>
    <w:uiPriority w:val="99"/>
    <w:semiHidden/>
    <w:rsid w:val="00EF1169"/>
    <w:pPr>
      <w:tabs>
        <w:tab w:val="left" w:pos="720"/>
        <w:tab w:val="left" w:pos="1440"/>
      </w:tabs>
      <w:spacing w:after="120"/>
      <w:ind w:right="144"/>
    </w:pPr>
    <w:rPr>
      <w:sz w:val="20"/>
      <w:szCs w:val="20"/>
    </w:rPr>
  </w:style>
  <w:style w:type="character" w:customStyle="1" w:styleId="FootnoteTextChar">
    <w:name w:val="Footnote Text Char"/>
    <w:basedOn w:val="DefaultParagraphFont"/>
    <w:link w:val="FootnoteText"/>
    <w:uiPriority w:val="99"/>
    <w:semiHidden/>
    <w:locked/>
    <w:rsid w:val="00001E05"/>
    <w:rPr>
      <w:rFonts w:cs="Times New Roman"/>
      <w:sz w:val="20"/>
      <w:szCs w:val="20"/>
    </w:rPr>
  </w:style>
  <w:style w:type="character" w:styleId="FootnoteReference">
    <w:name w:val="footnote reference"/>
    <w:basedOn w:val="DefaultParagraphFont"/>
    <w:uiPriority w:val="99"/>
    <w:semiHidden/>
    <w:rsid w:val="00EF1169"/>
    <w:rPr>
      <w:rFonts w:ascii="Times New Roman" w:hAnsi="Times New Roman" w:cs="Times New Roman"/>
      <w:color w:val="auto"/>
      <w:sz w:val="22"/>
      <w:vertAlign w:val="superscript"/>
    </w:rPr>
  </w:style>
  <w:style w:type="paragraph" w:styleId="TOC1">
    <w:name w:val="toc 1"/>
    <w:basedOn w:val="Normal"/>
    <w:next w:val="Normal"/>
    <w:uiPriority w:val="99"/>
    <w:semiHidden/>
    <w:rsid w:val="00EF1169"/>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F1169"/>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F116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F116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F116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EF1169"/>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EF1169"/>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EF1169"/>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F1169"/>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EF1169"/>
    <w:pPr>
      <w:tabs>
        <w:tab w:val="right" w:pos="9360"/>
      </w:tabs>
      <w:suppressAutoHyphens/>
    </w:pPr>
  </w:style>
  <w:style w:type="character" w:customStyle="1" w:styleId="EquationCaption">
    <w:name w:val="_Equation Caption"/>
    <w:uiPriority w:val="99"/>
    <w:rsid w:val="00EF1169"/>
  </w:style>
  <w:style w:type="paragraph" w:styleId="Header">
    <w:name w:val="header"/>
    <w:basedOn w:val="Normal"/>
    <w:link w:val="HeaderChar"/>
    <w:autoRedefine/>
    <w:uiPriority w:val="99"/>
    <w:rsid w:val="00EF1169"/>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001E05"/>
    <w:rPr>
      <w:rFonts w:cs="Times New Roman"/>
      <w:sz w:val="24"/>
      <w:szCs w:val="24"/>
    </w:rPr>
  </w:style>
  <w:style w:type="paragraph" w:styleId="Footer">
    <w:name w:val="footer"/>
    <w:basedOn w:val="Normal"/>
    <w:link w:val="FooterChar"/>
    <w:uiPriority w:val="99"/>
    <w:rsid w:val="00EF1169"/>
    <w:pPr>
      <w:tabs>
        <w:tab w:val="center" w:pos="4320"/>
        <w:tab w:val="right" w:pos="8640"/>
      </w:tabs>
    </w:pPr>
  </w:style>
  <w:style w:type="character" w:customStyle="1" w:styleId="FooterChar">
    <w:name w:val="Footer Char"/>
    <w:basedOn w:val="DefaultParagraphFont"/>
    <w:link w:val="Footer"/>
    <w:uiPriority w:val="99"/>
    <w:semiHidden/>
    <w:locked/>
    <w:rsid w:val="00001E05"/>
    <w:rPr>
      <w:rFonts w:cs="Times New Roman"/>
      <w:sz w:val="24"/>
      <w:szCs w:val="24"/>
    </w:rPr>
  </w:style>
  <w:style w:type="character" w:styleId="PageNumber">
    <w:name w:val="page number"/>
    <w:basedOn w:val="DefaultParagraphFont"/>
    <w:uiPriority w:val="99"/>
    <w:rsid w:val="00EF1169"/>
    <w:rPr>
      <w:rFonts w:cs="Times New Roman"/>
    </w:rPr>
  </w:style>
  <w:style w:type="paragraph" w:styleId="BlockText">
    <w:name w:val="Block Text"/>
    <w:basedOn w:val="Normal"/>
    <w:uiPriority w:val="99"/>
    <w:rsid w:val="00EF1169"/>
    <w:pPr>
      <w:spacing w:after="240"/>
      <w:ind w:left="1440" w:right="1440"/>
    </w:pPr>
  </w:style>
  <w:style w:type="paragraph" w:customStyle="1" w:styleId="Paratitle">
    <w:name w:val="Para title"/>
    <w:basedOn w:val="Normal"/>
    <w:uiPriority w:val="99"/>
    <w:rsid w:val="00EF1169"/>
    <w:pPr>
      <w:tabs>
        <w:tab w:val="center" w:pos="9270"/>
      </w:tabs>
      <w:spacing w:after="240"/>
    </w:pPr>
    <w:rPr>
      <w:spacing w:val="-2"/>
    </w:rPr>
  </w:style>
  <w:style w:type="paragraph" w:customStyle="1" w:styleId="Bullet">
    <w:name w:val="Bullet"/>
    <w:basedOn w:val="Normal"/>
    <w:uiPriority w:val="99"/>
    <w:rsid w:val="00EF1169"/>
    <w:pPr>
      <w:numPr>
        <w:numId w:val="1"/>
      </w:numPr>
      <w:tabs>
        <w:tab w:val="clear" w:pos="360"/>
        <w:tab w:val="left" w:pos="2160"/>
      </w:tabs>
      <w:spacing w:after="220"/>
      <w:ind w:left="2160" w:hanging="720"/>
    </w:pPr>
  </w:style>
  <w:style w:type="paragraph" w:customStyle="1" w:styleId="TableFormat">
    <w:name w:val="TableFormat"/>
    <w:basedOn w:val="Bullet"/>
    <w:uiPriority w:val="99"/>
    <w:rsid w:val="00EF1169"/>
    <w:pPr>
      <w:numPr>
        <w:numId w:val="0"/>
      </w:numPr>
      <w:tabs>
        <w:tab w:val="clear" w:pos="2160"/>
        <w:tab w:val="left" w:pos="5040"/>
      </w:tabs>
      <w:ind w:left="5040" w:hanging="3600"/>
    </w:pPr>
  </w:style>
  <w:style w:type="paragraph" w:customStyle="1" w:styleId="TOCTitle">
    <w:name w:val="TOC Title"/>
    <w:basedOn w:val="Normal"/>
    <w:uiPriority w:val="99"/>
    <w:rsid w:val="00EF1169"/>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paragraph" w:customStyle="1" w:styleId="Default">
    <w:name w:val="Default"/>
    <w:uiPriority w:val="99"/>
    <w:rsid w:val="001C2F97"/>
    <w:pPr>
      <w:autoSpaceDE w:val="0"/>
      <w:autoSpaceDN w:val="0"/>
      <w:adjustRightInd w:val="0"/>
    </w:pPr>
    <w:rPr>
      <w:rFonts w:ascii="Book Antiqua" w:hAnsi="Book Antiqua" w:cs="Book Antiqua"/>
      <w:color w:val="000000"/>
      <w:sz w:val="24"/>
      <w:szCs w:val="24"/>
    </w:rPr>
  </w:style>
  <w:style w:type="character" w:styleId="Hyperlink">
    <w:name w:val="Hyperlink"/>
    <w:basedOn w:val="DefaultParagraphFont"/>
    <w:uiPriority w:val="99"/>
    <w:semiHidden/>
    <w:locked/>
    <w:rsid w:val="00EE4F1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EF1169"/>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EF1169"/>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link w:val="Heading3Char"/>
    <w:uiPriority w:val="99"/>
    <w:qFormat/>
    <w:rsid w:val="00EF1169"/>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link w:val="Heading4Char"/>
    <w:uiPriority w:val="99"/>
    <w:qFormat/>
    <w:rsid w:val="00EF1169"/>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link w:val="Heading5Char"/>
    <w:uiPriority w:val="99"/>
    <w:qFormat/>
    <w:rsid w:val="00EF1169"/>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EF1169"/>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link w:val="Heading7Char"/>
    <w:uiPriority w:val="99"/>
    <w:qFormat/>
    <w:rsid w:val="00EF1169"/>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link w:val="Heading8Char"/>
    <w:uiPriority w:val="99"/>
    <w:qFormat/>
    <w:rsid w:val="00EF1169"/>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link w:val="Heading9Char"/>
    <w:uiPriority w:val="99"/>
    <w:qFormat/>
    <w:rsid w:val="00EF1169"/>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1E0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01E0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01E0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01E0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01E0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01E05"/>
    <w:rPr>
      <w:rFonts w:ascii="Calibri" w:hAnsi="Calibri" w:cs="Times New Roman"/>
      <w:b/>
      <w:bCs/>
    </w:rPr>
  </w:style>
  <w:style w:type="character" w:customStyle="1" w:styleId="Heading7Char">
    <w:name w:val="Heading 7 Char"/>
    <w:basedOn w:val="DefaultParagraphFont"/>
    <w:link w:val="Heading7"/>
    <w:uiPriority w:val="99"/>
    <w:semiHidden/>
    <w:locked/>
    <w:rsid w:val="00001E0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01E0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01E05"/>
    <w:rPr>
      <w:rFonts w:ascii="Cambria" w:hAnsi="Cambria" w:cs="Times New Roman"/>
    </w:rPr>
  </w:style>
  <w:style w:type="paragraph" w:customStyle="1" w:styleId="ParaNum">
    <w:name w:val="ParaNum"/>
    <w:basedOn w:val="Normal"/>
    <w:uiPriority w:val="99"/>
    <w:rsid w:val="00EF1169"/>
    <w:pPr>
      <w:numPr>
        <w:numId w:val="2"/>
      </w:numPr>
      <w:spacing w:after="220"/>
    </w:pPr>
  </w:style>
  <w:style w:type="paragraph" w:styleId="EndnoteText">
    <w:name w:val="endnote text"/>
    <w:basedOn w:val="Normal"/>
    <w:link w:val="EndnoteTextChar"/>
    <w:uiPriority w:val="99"/>
    <w:semiHidden/>
    <w:rsid w:val="00EF1169"/>
    <w:rPr>
      <w:sz w:val="20"/>
    </w:rPr>
  </w:style>
  <w:style w:type="character" w:customStyle="1" w:styleId="EndnoteTextChar">
    <w:name w:val="Endnote Text Char"/>
    <w:basedOn w:val="DefaultParagraphFont"/>
    <w:link w:val="EndnoteText"/>
    <w:uiPriority w:val="99"/>
    <w:semiHidden/>
    <w:locked/>
    <w:rsid w:val="00001E05"/>
    <w:rPr>
      <w:rFonts w:cs="Times New Roman"/>
      <w:sz w:val="20"/>
      <w:szCs w:val="20"/>
    </w:rPr>
  </w:style>
  <w:style w:type="character" w:styleId="EndnoteReference">
    <w:name w:val="endnote reference"/>
    <w:basedOn w:val="DefaultParagraphFont"/>
    <w:uiPriority w:val="99"/>
    <w:semiHidden/>
    <w:rsid w:val="00EF1169"/>
    <w:rPr>
      <w:rFonts w:cs="Times New Roman"/>
      <w:vertAlign w:val="superscript"/>
    </w:rPr>
  </w:style>
  <w:style w:type="paragraph" w:styleId="FootnoteText">
    <w:name w:val="footnote text"/>
    <w:basedOn w:val="Normal"/>
    <w:link w:val="FootnoteTextChar"/>
    <w:autoRedefine/>
    <w:uiPriority w:val="99"/>
    <w:semiHidden/>
    <w:rsid w:val="00EF1169"/>
    <w:pPr>
      <w:tabs>
        <w:tab w:val="left" w:pos="720"/>
        <w:tab w:val="left" w:pos="1440"/>
      </w:tabs>
      <w:spacing w:after="120"/>
      <w:ind w:right="144"/>
    </w:pPr>
    <w:rPr>
      <w:sz w:val="20"/>
      <w:szCs w:val="20"/>
    </w:rPr>
  </w:style>
  <w:style w:type="character" w:customStyle="1" w:styleId="FootnoteTextChar">
    <w:name w:val="Footnote Text Char"/>
    <w:basedOn w:val="DefaultParagraphFont"/>
    <w:link w:val="FootnoteText"/>
    <w:uiPriority w:val="99"/>
    <w:semiHidden/>
    <w:locked/>
    <w:rsid w:val="00001E05"/>
    <w:rPr>
      <w:rFonts w:cs="Times New Roman"/>
      <w:sz w:val="20"/>
      <w:szCs w:val="20"/>
    </w:rPr>
  </w:style>
  <w:style w:type="character" w:styleId="FootnoteReference">
    <w:name w:val="footnote reference"/>
    <w:basedOn w:val="DefaultParagraphFont"/>
    <w:uiPriority w:val="99"/>
    <w:semiHidden/>
    <w:rsid w:val="00EF1169"/>
    <w:rPr>
      <w:rFonts w:ascii="Times New Roman" w:hAnsi="Times New Roman" w:cs="Times New Roman"/>
      <w:color w:val="auto"/>
      <w:sz w:val="22"/>
      <w:vertAlign w:val="superscript"/>
    </w:rPr>
  </w:style>
  <w:style w:type="paragraph" w:styleId="TOC1">
    <w:name w:val="toc 1"/>
    <w:basedOn w:val="Normal"/>
    <w:next w:val="Normal"/>
    <w:uiPriority w:val="99"/>
    <w:semiHidden/>
    <w:rsid w:val="00EF1169"/>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F1169"/>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F116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F116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F116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EF1169"/>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EF1169"/>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EF1169"/>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F1169"/>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EF1169"/>
    <w:pPr>
      <w:tabs>
        <w:tab w:val="right" w:pos="9360"/>
      </w:tabs>
      <w:suppressAutoHyphens/>
    </w:pPr>
  </w:style>
  <w:style w:type="character" w:customStyle="1" w:styleId="EquationCaption">
    <w:name w:val="_Equation Caption"/>
    <w:uiPriority w:val="99"/>
    <w:rsid w:val="00EF1169"/>
  </w:style>
  <w:style w:type="paragraph" w:styleId="Header">
    <w:name w:val="header"/>
    <w:basedOn w:val="Normal"/>
    <w:link w:val="HeaderChar"/>
    <w:autoRedefine/>
    <w:uiPriority w:val="99"/>
    <w:rsid w:val="00EF1169"/>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001E05"/>
    <w:rPr>
      <w:rFonts w:cs="Times New Roman"/>
      <w:sz w:val="24"/>
      <w:szCs w:val="24"/>
    </w:rPr>
  </w:style>
  <w:style w:type="paragraph" w:styleId="Footer">
    <w:name w:val="footer"/>
    <w:basedOn w:val="Normal"/>
    <w:link w:val="FooterChar"/>
    <w:uiPriority w:val="99"/>
    <w:rsid w:val="00EF1169"/>
    <w:pPr>
      <w:tabs>
        <w:tab w:val="center" w:pos="4320"/>
        <w:tab w:val="right" w:pos="8640"/>
      </w:tabs>
    </w:pPr>
  </w:style>
  <w:style w:type="character" w:customStyle="1" w:styleId="FooterChar">
    <w:name w:val="Footer Char"/>
    <w:basedOn w:val="DefaultParagraphFont"/>
    <w:link w:val="Footer"/>
    <w:uiPriority w:val="99"/>
    <w:semiHidden/>
    <w:locked/>
    <w:rsid w:val="00001E05"/>
    <w:rPr>
      <w:rFonts w:cs="Times New Roman"/>
      <w:sz w:val="24"/>
      <w:szCs w:val="24"/>
    </w:rPr>
  </w:style>
  <w:style w:type="character" w:styleId="PageNumber">
    <w:name w:val="page number"/>
    <w:basedOn w:val="DefaultParagraphFont"/>
    <w:uiPriority w:val="99"/>
    <w:rsid w:val="00EF1169"/>
    <w:rPr>
      <w:rFonts w:cs="Times New Roman"/>
    </w:rPr>
  </w:style>
  <w:style w:type="paragraph" w:styleId="BlockText">
    <w:name w:val="Block Text"/>
    <w:basedOn w:val="Normal"/>
    <w:uiPriority w:val="99"/>
    <w:rsid w:val="00EF1169"/>
    <w:pPr>
      <w:spacing w:after="240"/>
      <w:ind w:left="1440" w:right="1440"/>
    </w:pPr>
  </w:style>
  <w:style w:type="paragraph" w:customStyle="1" w:styleId="Paratitle">
    <w:name w:val="Para title"/>
    <w:basedOn w:val="Normal"/>
    <w:uiPriority w:val="99"/>
    <w:rsid w:val="00EF1169"/>
    <w:pPr>
      <w:tabs>
        <w:tab w:val="center" w:pos="9270"/>
      </w:tabs>
      <w:spacing w:after="240"/>
    </w:pPr>
    <w:rPr>
      <w:spacing w:val="-2"/>
    </w:rPr>
  </w:style>
  <w:style w:type="paragraph" w:customStyle="1" w:styleId="Bullet">
    <w:name w:val="Bullet"/>
    <w:basedOn w:val="Normal"/>
    <w:uiPriority w:val="99"/>
    <w:rsid w:val="00EF1169"/>
    <w:pPr>
      <w:numPr>
        <w:numId w:val="1"/>
      </w:numPr>
      <w:tabs>
        <w:tab w:val="clear" w:pos="360"/>
        <w:tab w:val="left" w:pos="2160"/>
      </w:tabs>
      <w:spacing w:after="220"/>
      <w:ind w:left="2160" w:hanging="720"/>
    </w:pPr>
  </w:style>
  <w:style w:type="paragraph" w:customStyle="1" w:styleId="TableFormat">
    <w:name w:val="TableFormat"/>
    <w:basedOn w:val="Bullet"/>
    <w:uiPriority w:val="99"/>
    <w:rsid w:val="00EF1169"/>
    <w:pPr>
      <w:numPr>
        <w:numId w:val="0"/>
      </w:numPr>
      <w:tabs>
        <w:tab w:val="clear" w:pos="2160"/>
        <w:tab w:val="left" w:pos="5040"/>
      </w:tabs>
      <w:ind w:left="5040" w:hanging="3600"/>
    </w:pPr>
  </w:style>
  <w:style w:type="paragraph" w:customStyle="1" w:styleId="TOCTitle">
    <w:name w:val="TOC Title"/>
    <w:basedOn w:val="Normal"/>
    <w:uiPriority w:val="99"/>
    <w:rsid w:val="00EF1169"/>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paragraph" w:customStyle="1" w:styleId="Default">
    <w:name w:val="Default"/>
    <w:uiPriority w:val="99"/>
    <w:rsid w:val="001C2F97"/>
    <w:pPr>
      <w:autoSpaceDE w:val="0"/>
      <w:autoSpaceDN w:val="0"/>
      <w:adjustRightInd w:val="0"/>
    </w:pPr>
    <w:rPr>
      <w:rFonts w:ascii="Book Antiqua" w:hAnsi="Book Antiqua" w:cs="Book Antiqua"/>
      <w:color w:val="000000"/>
      <w:sz w:val="24"/>
      <w:szCs w:val="24"/>
    </w:rPr>
  </w:style>
  <w:style w:type="character" w:styleId="Hyperlink">
    <w:name w:val="Hyperlink"/>
    <w:basedOn w:val="DefaultParagraphFont"/>
    <w:uiPriority w:val="99"/>
    <w:semiHidden/>
    <w:locked/>
    <w:rsid w:val="00EE4F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9670">
      <w:marLeft w:val="0"/>
      <w:marRight w:val="0"/>
      <w:marTop w:val="0"/>
      <w:marBottom w:val="0"/>
      <w:divBdr>
        <w:top w:val="none" w:sz="0" w:space="0" w:color="auto"/>
        <w:left w:val="none" w:sz="0" w:space="0" w:color="auto"/>
        <w:bottom w:val="none" w:sz="0" w:space="0" w:color="auto"/>
        <w:right w:val="none" w:sz="0" w:space="0" w:color="auto"/>
      </w:divBdr>
      <w:divsChild>
        <w:div w:id="83309672">
          <w:marLeft w:val="0"/>
          <w:marRight w:val="0"/>
          <w:marTop w:val="0"/>
          <w:marBottom w:val="0"/>
          <w:divBdr>
            <w:top w:val="none" w:sz="0" w:space="0" w:color="auto"/>
            <w:left w:val="none" w:sz="0" w:space="0" w:color="auto"/>
            <w:bottom w:val="none" w:sz="0" w:space="0" w:color="auto"/>
            <w:right w:val="none" w:sz="0" w:space="0" w:color="auto"/>
          </w:divBdr>
        </w:div>
        <w:div w:id="83309676">
          <w:marLeft w:val="0"/>
          <w:marRight w:val="0"/>
          <w:marTop w:val="0"/>
          <w:marBottom w:val="0"/>
          <w:divBdr>
            <w:top w:val="none" w:sz="0" w:space="0" w:color="auto"/>
            <w:left w:val="none" w:sz="0" w:space="0" w:color="auto"/>
            <w:bottom w:val="none" w:sz="0" w:space="0" w:color="auto"/>
            <w:right w:val="none" w:sz="0" w:space="0" w:color="auto"/>
          </w:divBdr>
        </w:div>
        <w:div w:id="83309685">
          <w:marLeft w:val="0"/>
          <w:marRight w:val="0"/>
          <w:marTop w:val="0"/>
          <w:marBottom w:val="0"/>
          <w:divBdr>
            <w:top w:val="none" w:sz="0" w:space="0" w:color="auto"/>
            <w:left w:val="none" w:sz="0" w:space="0" w:color="auto"/>
            <w:bottom w:val="none" w:sz="0" w:space="0" w:color="auto"/>
            <w:right w:val="none" w:sz="0" w:space="0" w:color="auto"/>
          </w:divBdr>
        </w:div>
        <w:div w:id="83309708">
          <w:marLeft w:val="0"/>
          <w:marRight w:val="0"/>
          <w:marTop w:val="0"/>
          <w:marBottom w:val="0"/>
          <w:divBdr>
            <w:top w:val="none" w:sz="0" w:space="0" w:color="auto"/>
            <w:left w:val="none" w:sz="0" w:space="0" w:color="auto"/>
            <w:bottom w:val="none" w:sz="0" w:space="0" w:color="auto"/>
            <w:right w:val="none" w:sz="0" w:space="0" w:color="auto"/>
          </w:divBdr>
        </w:div>
        <w:div w:id="83309721">
          <w:marLeft w:val="0"/>
          <w:marRight w:val="0"/>
          <w:marTop w:val="0"/>
          <w:marBottom w:val="0"/>
          <w:divBdr>
            <w:top w:val="none" w:sz="0" w:space="0" w:color="auto"/>
            <w:left w:val="none" w:sz="0" w:space="0" w:color="auto"/>
            <w:bottom w:val="none" w:sz="0" w:space="0" w:color="auto"/>
            <w:right w:val="none" w:sz="0" w:space="0" w:color="auto"/>
          </w:divBdr>
        </w:div>
        <w:div w:id="83309727">
          <w:marLeft w:val="0"/>
          <w:marRight w:val="0"/>
          <w:marTop w:val="0"/>
          <w:marBottom w:val="0"/>
          <w:divBdr>
            <w:top w:val="none" w:sz="0" w:space="0" w:color="auto"/>
            <w:left w:val="none" w:sz="0" w:space="0" w:color="auto"/>
            <w:bottom w:val="none" w:sz="0" w:space="0" w:color="auto"/>
            <w:right w:val="none" w:sz="0" w:space="0" w:color="auto"/>
          </w:divBdr>
        </w:div>
        <w:div w:id="83309741">
          <w:marLeft w:val="0"/>
          <w:marRight w:val="0"/>
          <w:marTop w:val="0"/>
          <w:marBottom w:val="0"/>
          <w:divBdr>
            <w:top w:val="none" w:sz="0" w:space="0" w:color="auto"/>
            <w:left w:val="none" w:sz="0" w:space="0" w:color="auto"/>
            <w:bottom w:val="none" w:sz="0" w:space="0" w:color="auto"/>
            <w:right w:val="none" w:sz="0" w:space="0" w:color="auto"/>
          </w:divBdr>
        </w:div>
        <w:div w:id="83309755">
          <w:marLeft w:val="0"/>
          <w:marRight w:val="0"/>
          <w:marTop w:val="0"/>
          <w:marBottom w:val="0"/>
          <w:divBdr>
            <w:top w:val="none" w:sz="0" w:space="0" w:color="auto"/>
            <w:left w:val="none" w:sz="0" w:space="0" w:color="auto"/>
            <w:bottom w:val="none" w:sz="0" w:space="0" w:color="auto"/>
            <w:right w:val="none" w:sz="0" w:space="0" w:color="auto"/>
          </w:divBdr>
        </w:div>
        <w:div w:id="83309762">
          <w:marLeft w:val="0"/>
          <w:marRight w:val="0"/>
          <w:marTop w:val="0"/>
          <w:marBottom w:val="0"/>
          <w:divBdr>
            <w:top w:val="none" w:sz="0" w:space="0" w:color="auto"/>
            <w:left w:val="none" w:sz="0" w:space="0" w:color="auto"/>
            <w:bottom w:val="none" w:sz="0" w:space="0" w:color="auto"/>
            <w:right w:val="none" w:sz="0" w:space="0" w:color="auto"/>
          </w:divBdr>
        </w:div>
        <w:div w:id="83309771">
          <w:marLeft w:val="0"/>
          <w:marRight w:val="0"/>
          <w:marTop w:val="0"/>
          <w:marBottom w:val="0"/>
          <w:divBdr>
            <w:top w:val="none" w:sz="0" w:space="0" w:color="auto"/>
            <w:left w:val="none" w:sz="0" w:space="0" w:color="auto"/>
            <w:bottom w:val="none" w:sz="0" w:space="0" w:color="auto"/>
            <w:right w:val="none" w:sz="0" w:space="0" w:color="auto"/>
          </w:divBdr>
        </w:div>
        <w:div w:id="83309807">
          <w:marLeft w:val="0"/>
          <w:marRight w:val="0"/>
          <w:marTop w:val="0"/>
          <w:marBottom w:val="0"/>
          <w:divBdr>
            <w:top w:val="none" w:sz="0" w:space="0" w:color="auto"/>
            <w:left w:val="none" w:sz="0" w:space="0" w:color="auto"/>
            <w:bottom w:val="none" w:sz="0" w:space="0" w:color="auto"/>
            <w:right w:val="none" w:sz="0" w:space="0" w:color="auto"/>
          </w:divBdr>
        </w:div>
      </w:divsChild>
    </w:div>
    <w:div w:id="83309698">
      <w:marLeft w:val="0"/>
      <w:marRight w:val="0"/>
      <w:marTop w:val="0"/>
      <w:marBottom w:val="0"/>
      <w:divBdr>
        <w:top w:val="none" w:sz="0" w:space="0" w:color="auto"/>
        <w:left w:val="none" w:sz="0" w:space="0" w:color="auto"/>
        <w:bottom w:val="none" w:sz="0" w:space="0" w:color="auto"/>
        <w:right w:val="none" w:sz="0" w:space="0" w:color="auto"/>
      </w:divBdr>
      <w:divsChild>
        <w:div w:id="83309694">
          <w:marLeft w:val="0"/>
          <w:marRight w:val="0"/>
          <w:marTop w:val="0"/>
          <w:marBottom w:val="0"/>
          <w:divBdr>
            <w:top w:val="none" w:sz="0" w:space="0" w:color="auto"/>
            <w:left w:val="none" w:sz="0" w:space="0" w:color="auto"/>
            <w:bottom w:val="none" w:sz="0" w:space="0" w:color="auto"/>
            <w:right w:val="none" w:sz="0" w:space="0" w:color="auto"/>
          </w:divBdr>
        </w:div>
        <w:div w:id="83309706">
          <w:marLeft w:val="0"/>
          <w:marRight w:val="0"/>
          <w:marTop w:val="0"/>
          <w:marBottom w:val="0"/>
          <w:divBdr>
            <w:top w:val="none" w:sz="0" w:space="0" w:color="auto"/>
            <w:left w:val="none" w:sz="0" w:space="0" w:color="auto"/>
            <w:bottom w:val="none" w:sz="0" w:space="0" w:color="auto"/>
            <w:right w:val="none" w:sz="0" w:space="0" w:color="auto"/>
          </w:divBdr>
        </w:div>
        <w:div w:id="83309730">
          <w:marLeft w:val="0"/>
          <w:marRight w:val="0"/>
          <w:marTop w:val="0"/>
          <w:marBottom w:val="0"/>
          <w:divBdr>
            <w:top w:val="none" w:sz="0" w:space="0" w:color="auto"/>
            <w:left w:val="none" w:sz="0" w:space="0" w:color="auto"/>
            <w:bottom w:val="none" w:sz="0" w:space="0" w:color="auto"/>
            <w:right w:val="none" w:sz="0" w:space="0" w:color="auto"/>
          </w:divBdr>
        </w:div>
        <w:div w:id="83309740">
          <w:marLeft w:val="0"/>
          <w:marRight w:val="0"/>
          <w:marTop w:val="0"/>
          <w:marBottom w:val="0"/>
          <w:divBdr>
            <w:top w:val="none" w:sz="0" w:space="0" w:color="auto"/>
            <w:left w:val="none" w:sz="0" w:space="0" w:color="auto"/>
            <w:bottom w:val="none" w:sz="0" w:space="0" w:color="auto"/>
            <w:right w:val="none" w:sz="0" w:space="0" w:color="auto"/>
          </w:divBdr>
        </w:div>
        <w:div w:id="83309766">
          <w:marLeft w:val="0"/>
          <w:marRight w:val="0"/>
          <w:marTop w:val="0"/>
          <w:marBottom w:val="0"/>
          <w:divBdr>
            <w:top w:val="none" w:sz="0" w:space="0" w:color="auto"/>
            <w:left w:val="none" w:sz="0" w:space="0" w:color="auto"/>
            <w:bottom w:val="none" w:sz="0" w:space="0" w:color="auto"/>
            <w:right w:val="none" w:sz="0" w:space="0" w:color="auto"/>
          </w:divBdr>
        </w:div>
        <w:div w:id="83309770">
          <w:marLeft w:val="0"/>
          <w:marRight w:val="0"/>
          <w:marTop w:val="0"/>
          <w:marBottom w:val="0"/>
          <w:divBdr>
            <w:top w:val="none" w:sz="0" w:space="0" w:color="auto"/>
            <w:left w:val="none" w:sz="0" w:space="0" w:color="auto"/>
            <w:bottom w:val="none" w:sz="0" w:space="0" w:color="auto"/>
            <w:right w:val="none" w:sz="0" w:space="0" w:color="auto"/>
          </w:divBdr>
        </w:div>
        <w:div w:id="83309792">
          <w:marLeft w:val="0"/>
          <w:marRight w:val="0"/>
          <w:marTop w:val="0"/>
          <w:marBottom w:val="0"/>
          <w:divBdr>
            <w:top w:val="none" w:sz="0" w:space="0" w:color="auto"/>
            <w:left w:val="none" w:sz="0" w:space="0" w:color="auto"/>
            <w:bottom w:val="none" w:sz="0" w:space="0" w:color="auto"/>
            <w:right w:val="none" w:sz="0" w:space="0" w:color="auto"/>
          </w:divBdr>
        </w:div>
        <w:div w:id="83309797">
          <w:marLeft w:val="0"/>
          <w:marRight w:val="0"/>
          <w:marTop w:val="0"/>
          <w:marBottom w:val="0"/>
          <w:divBdr>
            <w:top w:val="none" w:sz="0" w:space="0" w:color="auto"/>
            <w:left w:val="none" w:sz="0" w:space="0" w:color="auto"/>
            <w:bottom w:val="none" w:sz="0" w:space="0" w:color="auto"/>
            <w:right w:val="none" w:sz="0" w:space="0" w:color="auto"/>
          </w:divBdr>
        </w:div>
        <w:div w:id="83309801">
          <w:marLeft w:val="0"/>
          <w:marRight w:val="0"/>
          <w:marTop w:val="0"/>
          <w:marBottom w:val="0"/>
          <w:divBdr>
            <w:top w:val="none" w:sz="0" w:space="0" w:color="auto"/>
            <w:left w:val="none" w:sz="0" w:space="0" w:color="auto"/>
            <w:bottom w:val="none" w:sz="0" w:space="0" w:color="auto"/>
            <w:right w:val="none" w:sz="0" w:space="0" w:color="auto"/>
          </w:divBdr>
        </w:div>
        <w:div w:id="83309802">
          <w:marLeft w:val="0"/>
          <w:marRight w:val="0"/>
          <w:marTop w:val="0"/>
          <w:marBottom w:val="0"/>
          <w:divBdr>
            <w:top w:val="none" w:sz="0" w:space="0" w:color="auto"/>
            <w:left w:val="none" w:sz="0" w:space="0" w:color="auto"/>
            <w:bottom w:val="none" w:sz="0" w:space="0" w:color="auto"/>
            <w:right w:val="none" w:sz="0" w:space="0" w:color="auto"/>
          </w:divBdr>
        </w:div>
      </w:divsChild>
    </w:div>
    <w:div w:id="83309703">
      <w:marLeft w:val="0"/>
      <w:marRight w:val="0"/>
      <w:marTop w:val="0"/>
      <w:marBottom w:val="0"/>
      <w:divBdr>
        <w:top w:val="none" w:sz="0" w:space="0" w:color="auto"/>
        <w:left w:val="none" w:sz="0" w:space="0" w:color="auto"/>
        <w:bottom w:val="none" w:sz="0" w:space="0" w:color="auto"/>
        <w:right w:val="none" w:sz="0" w:space="0" w:color="auto"/>
      </w:divBdr>
      <w:divsChild>
        <w:div w:id="83309674">
          <w:marLeft w:val="0"/>
          <w:marRight w:val="0"/>
          <w:marTop w:val="0"/>
          <w:marBottom w:val="0"/>
          <w:divBdr>
            <w:top w:val="none" w:sz="0" w:space="0" w:color="auto"/>
            <w:left w:val="none" w:sz="0" w:space="0" w:color="auto"/>
            <w:bottom w:val="none" w:sz="0" w:space="0" w:color="auto"/>
            <w:right w:val="none" w:sz="0" w:space="0" w:color="auto"/>
          </w:divBdr>
        </w:div>
        <w:div w:id="83309690">
          <w:marLeft w:val="0"/>
          <w:marRight w:val="0"/>
          <w:marTop w:val="0"/>
          <w:marBottom w:val="0"/>
          <w:divBdr>
            <w:top w:val="none" w:sz="0" w:space="0" w:color="auto"/>
            <w:left w:val="none" w:sz="0" w:space="0" w:color="auto"/>
            <w:bottom w:val="none" w:sz="0" w:space="0" w:color="auto"/>
            <w:right w:val="none" w:sz="0" w:space="0" w:color="auto"/>
          </w:divBdr>
        </w:div>
        <w:div w:id="83309705">
          <w:marLeft w:val="0"/>
          <w:marRight w:val="0"/>
          <w:marTop w:val="0"/>
          <w:marBottom w:val="0"/>
          <w:divBdr>
            <w:top w:val="none" w:sz="0" w:space="0" w:color="auto"/>
            <w:left w:val="none" w:sz="0" w:space="0" w:color="auto"/>
            <w:bottom w:val="none" w:sz="0" w:space="0" w:color="auto"/>
            <w:right w:val="none" w:sz="0" w:space="0" w:color="auto"/>
          </w:divBdr>
        </w:div>
        <w:div w:id="83309720">
          <w:marLeft w:val="0"/>
          <w:marRight w:val="0"/>
          <w:marTop w:val="0"/>
          <w:marBottom w:val="0"/>
          <w:divBdr>
            <w:top w:val="none" w:sz="0" w:space="0" w:color="auto"/>
            <w:left w:val="none" w:sz="0" w:space="0" w:color="auto"/>
            <w:bottom w:val="none" w:sz="0" w:space="0" w:color="auto"/>
            <w:right w:val="none" w:sz="0" w:space="0" w:color="auto"/>
          </w:divBdr>
        </w:div>
        <w:div w:id="83309736">
          <w:marLeft w:val="0"/>
          <w:marRight w:val="0"/>
          <w:marTop w:val="0"/>
          <w:marBottom w:val="0"/>
          <w:divBdr>
            <w:top w:val="none" w:sz="0" w:space="0" w:color="auto"/>
            <w:left w:val="none" w:sz="0" w:space="0" w:color="auto"/>
            <w:bottom w:val="none" w:sz="0" w:space="0" w:color="auto"/>
            <w:right w:val="none" w:sz="0" w:space="0" w:color="auto"/>
          </w:divBdr>
        </w:div>
        <w:div w:id="83309745">
          <w:marLeft w:val="0"/>
          <w:marRight w:val="0"/>
          <w:marTop w:val="0"/>
          <w:marBottom w:val="0"/>
          <w:divBdr>
            <w:top w:val="none" w:sz="0" w:space="0" w:color="auto"/>
            <w:left w:val="none" w:sz="0" w:space="0" w:color="auto"/>
            <w:bottom w:val="none" w:sz="0" w:space="0" w:color="auto"/>
            <w:right w:val="none" w:sz="0" w:space="0" w:color="auto"/>
          </w:divBdr>
        </w:div>
        <w:div w:id="83309747">
          <w:marLeft w:val="0"/>
          <w:marRight w:val="0"/>
          <w:marTop w:val="0"/>
          <w:marBottom w:val="0"/>
          <w:divBdr>
            <w:top w:val="none" w:sz="0" w:space="0" w:color="auto"/>
            <w:left w:val="none" w:sz="0" w:space="0" w:color="auto"/>
            <w:bottom w:val="none" w:sz="0" w:space="0" w:color="auto"/>
            <w:right w:val="none" w:sz="0" w:space="0" w:color="auto"/>
          </w:divBdr>
        </w:div>
        <w:div w:id="83309748">
          <w:marLeft w:val="0"/>
          <w:marRight w:val="0"/>
          <w:marTop w:val="0"/>
          <w:marBottom w:val="0"/>
          <w:divBdr>
            <w:top w:val="none" w:sz="0" w:space="0" w:color="auto"/>
            <w:left w:val="none" w:sz="0" w:space="0" w:color="auto"/>
            <w:bottom w:val="none" w:sz="0" w:space="0" w:color="auto"/>
            <w:right w:val="none" w:sz="0" w:space="0" w:color="auto"/>
          </w:divBdr>
        </w:div>
        <w:div w:id="83309768">
          <w:marLeft w:val="0"/>
          <w:marRight w:val="0"/>
          <w:marTop w:val="0"/>
          <w:marBottom w:val="0"/>
          <w:divBdr>
            <w:top w:val="none" w:sz="0" w:space="0" w:color="auto"/>
            <w:left w:val="none" w:sz="0" w:space="0" w:color="auto"/>
            <w:bottom w:val="none" w:sz="0" w:space="0" w:color="auto"/>
            <w:right w:val="none" w:sz="0" w:space="0" w:color="auto"/>
          </w:divBdr>
        </w:div>
        <w:div w:id="83309775">
          <w:marLeft w:val="0"/>
          <w:marRight w:val="0"/>
          <w:marTop w:val="0"/>
          <w:marBottom w:val="0"/>
          <w:divBdr>
            <w:top w:val="none" w:sz="0" w:space="0" w:color="auto"/>
            <w:left w:val="none" w:sz="0" w:space="0" w:color="auto"/>
            <w:bottom w:val="none" w:sz="0" w:space="0" w:color="auto"/>
            <w:right w:val="none" w:sz="0" w:space="0" w:color="auto"/>
          </w:divBdr>
        </w:div>
        <w:div w:id="83309793">
          <w:marLeft w:val="0"/>
          <w:marRight w:val="0"/>
          <w:marTop w:val="0"/>
          <w:marBottom w:val="0"/>
          <w:divBdr>
            <w:top w:val="none" w:sz="0" w:space="0" w:color="auto"/>
            <w:left w:val="none" w:sz="0" w:space="0" w:color="auto"/>
            <w:bottom w:val="none" w:sz="0" w:space="0" w:color="auto"/>
            <w:right w:val="none" w:sz="0" w:space="0" w:color="auto"/>
          </w:divBdr>
        </w:div>
        <w:div w:id="83309796">
          <w:marLeft w:val="0"/>
          <w:marRight w:val="0"/>
          <w:marTop w:val="0"/>
          <w:marBottom w:val="0"/>
          <w:divBdr>
            <w:top w:val="none" w:sz="0" w:space="0" w:color="auto"/>
            <w:left w:val="none" w:sz="0" w:space="0" w:color="auto"/>
            <w:bottom w:val="none" w:sz="0" w:space="0" w:color="auto"/>
            <w:right w:val="none" w:sz="0" w:space="0" w:color="auto"/>
          </w:divBdr>
        </w:div>
        <w:div w:id="83309804">
          <w:marLeft w:val="0"/>
          <w:marRight w:val="0"/>
          <w:marTop w:val="0"/>
          <w:marBottom w:val="0"/>
          <w:divBdr>
            <w:top w:val="none" w:sz="0" w:space="0" w:color="auto"/>
            <w:left w:val="none" w:sz="0" w:space="0" w:color="auto"/>
            <w:bottom w:val="none" w:sz="0" w:space="0" w:color="auto"/>
            <w:right w:val="none" w:sz="0" w:space="0" w:color="auto"/>
          </w:divBdr>
        </w:div>
        <w:div w:id="83309806">
          <w:marLeft w:val="0"/>
          <w:marRight w:val="0"/>
          <w:marTop w:val="0"/>
          <w:marBottom w:val="0"/>
          <w:divBdr>
            <w:top w:val="none" w:sz="0" w:space="0" w:color="auto"/>
            <w:left w:val="none" w:sz="0" w:space="0" w:color="auto"/>
            <w:bottom w:val="none" w:sz="0" w:space="0" w:color="auto"/>
            <w:right w:val="none" w:sz="0" w:space="0" w:color="auto"/>
          </w:divBdr>
        </w:div>
      </w:divsChild>
    </w:div>
    <w:div w:id="83309751">
      <w:marLeft w:val="0"/>
      <w:marRight w:val="0"/>
      <w:marTop w:val="0"/>
      <w:marBottom w:val="0"/>
      <w:divBdr>
        <w:top w:val="none" w:sz="0" w:space="0" w:color="auto"/>
        <w:left w:val="none" w:sz="0" w:space="0" w:color="auto"/>
        <w:bottom w:val="none" w:sz="0" w:space="0" w:color="auto"/>
        <w:right w:val="none" w:sz="0" w:space="0" w:color="auto"/>
      </w:divBdr>
      <w:divsChild>
        <w:div w:id="83309667">
          <w:marLeft w:val="0"/>
          <w:marRight w:val="0"/>
          <w:marTop w:val="0"/>
          <w:marBottom w:val="0"/>
          <w:divBdr>
            <w:top w:val="none" w:sz="0" w:space="0" w:color="auto"/>
            <w:left w:val="none" w:sz="0" w:space="0" w:color="auto"/>
            <w:bottom w:val="none" w:sz="0" w:space="0" w:color="auto"/>
            <w:right w:val="none" w:sz="0" w:space="0" w:color="auto"/>
          </w:divBdr>
        </w:div>
        <w:div w:id="83309671">
          <w:marLeft w:val="0"/>
          <w:marRight w:val="0"/>
          <w:marTop w:val="0"/>
          <w:marBottom w:val="0"/>
          <w:divBdr>
            <w:top w:val="none" w:sz="0" w:space="0" w:color="auto"/>
            <w:left w:val="none" w:sz="0" w:space="0" w:color="auto"/>
            <w:bottom w:val="none" w:sz="0" w:space="0" w:color="auto"/>
            <w:right w:val="none" w:sz="0" w:space="0" w:color="auto"/>
          </w:divBdr>
        </w:div>
        <w:div w:id="83309687">
          <w:marLeft w:val="0"/>
          <w:marRight w:val="0"/>
          <w:marTop w:val="0"/>
          <w:marBottom w:val="0"/>
          <w:divBdr>
            <w:top w:val="none" w:sz="0" w:space="0" w:color="auto"/>
            <w:left w:val="none" w:sz="0" w:space="0" w:color="auto"/>
            <w:bottom w:val="none" w:sz="0" w:space="0" w:color="auto"/>
            <w:right w:val="none" w:sz="0" w:space="0" w:color="auto"/>
          </w:divBdr>
        </w:div>
        <w:div w:id="83309693">
          <w:marLeft w:val="0"/>
          <w:marRight w:val="0"/>
          <w:marTop w:val="0"/>
          <w:marBottom w:val="0"/>
          <w:divBdr>
            <w:top w:val="none" w:sz="0" w:space="0" w:color="auto"/>
            <w:left w:val="none" w:sz="0" w:space="0" w:color="auto"/>
            <w:bottom w:val="none" w:sz="0" w:space="0" w:color="auto"/>
            <w:right w:val="none" w:sz="0" w:space="0" w:color="auto"/>
          </w:divBdr>
        </w:div>
        <w:div w:id="83309696">
          <w:marLeft w:val="0"/>
          <w:marRight w:val="0"/>
          <w:marTop w:val="0"/>
          <w:marBottom w:val="0"/>
          <w:divBdr>
            <w:top w:val="none" w:sz="0" w:space="0" w:color="auto"/>
            <w:left w:val="none" w:sz="0" w:space="0" w:color="auto"/>
            <w:bottom w:val="none" w:sz="0" w:space="0" w:color="auto"/>
            <w:right w:val="none" w:sz="0" w:space="0" w:color="auto"/>
          </w:divBdr>
        </w:div>
        <w:div w:id="83309697">
          <w:marLeft w:val="0"/>
          <w:marRight w:val="0"/>
          <w:marTop w:val="0"/>
          <w:marBottom w:val="0"/>
          <w:divBdr>
            <w:top w:val="none" w:sz="0" w:space="0" w:color="auto"/>
            <w:left w:val="none" w:sz="0" w:space="0" w:color="auto"/>
            <w:bottom w:val="none" w:sz="0" w:space="0" w:color="auto"/>
            <w:right w:val="none" w:sz="0" w:space="0" w:color="auto"/>
          </w:divBdr>
        </w:div>
        <w:div w:id="83309707">
          <w:marLeft w:val="0"/>
          <w:marRight w:val="0"/>
          <w:marTop w:val="0"/>
          <w:marBottom w:val="0"/>
          <w:divBdr>
            <w:top w:val="none" w:sz="0" w:space="0" w:color="auto"/>
            <w:left w:val="none" w:sz="0" w:space="0" w:color="auto"/>
            <w:bottom w:val="none" w:sz="0" w:space="0" w:color="auto"/>
            <w:right w:val="none" w:sz="0" w:space="0" w:color="auto"/>
          </w:divBdr>
        </w:div>
        <w:div w:id="83309712">
          <w:marLeft w:val="0"/>
          <w:marRight w:val="0"/>
          <w:marTop w:val="0"/>
          <w:marBottom w:val="0"/>
          <w:divBdr>
            <w:top w:val="none" w:sz="0" w:space="0" w:color="auto"/>
            <w:left w:val="none" w:sz="0" w:space="0" w:color="auto"/>
            <w:bottom w:val="none" w:sz="0" w:space="0" w:color="auto"/>
            <w:right w:val="none" w:sz="0" w:space="0" w:color="auto"/>
          </w:divBdr>
        </w:div>
        <w:div w:id="83309714">
          <w:marLeft w:val="0"/>
          <w:marRight w:val="0"/>
          <w:marTop w:val="0"/>
          <w:marBottom w:val="0"/>
          <w:divBdr>
            <w:top w:val="none" w:sz="0" w:space="0" w:color="auto"/>
            <w:left w:val="none" w:sz="0" w:space="0" w:color="auto"/>
            <w:bottom w:val="none" w:sz="0" w:space="0" w:color="auto"/>
            <w:right w:val="none" w:sz="0" w:space="0" w:color="auto"/>
          </w:divBdr>
        </w:div>
        <w:div w:id="83309715">
          <w:marLeft w:val="0"/>
          <w:marRight w:val="0"/>
          <w:marTop w:val="0"/>
          <w:marBottom w:val="0"/>
          <w:divBdr>
            <w:top w:val="none" w:sz="0" w:space="0" w:color="auto"/>
            <w:left w:val="none" w:sz="0" w:space="0" w:color="auto"/>
            <w:bottom w:val="none" w:sz="0" w:space="0" w:color="auto"/>
            <w:right w:val="none" w:sz="0" w:space="0" w:color="auto"/>
          </w:divBdr>
        </w:div>
        <w:div w:id="83309718">
          <w:marLeft w:val="0"/>
          <w:marRight w:val="0"/>
          <w:marTop w:val="0"/>
          <w:marBottom w:val="0"/>
          <w:divBdr>
            <w:top w:val="none" w:sz="0" w:space="0" w:color="auto"/>
            <w:left w:val="none" w:sz="0" w:space="0" w:color="auto"/>
            <w:bottom w:val="none" w:sz="0" w:space="0" w:color="auto"/>
            <w:right w:val="none" w:sz="0" w:space="0" w:color="auto"/>
          </w:divBdr>
        </w:div>
        <w:div w:id="83309728">
          <w:marLeft w:val="0"/>
          <w:marRight w:val="0"/>
          <w:marTop w:val="0"/>
          <w:marBottom w:val="0"/>
          <w:divBdr>
            <w:top w:val="none" w:sz="0" w:space="0" w:color="auto"/>
            <w:left w:val="none" w:sz="0" w:space="0" w:color="auto"/>
            <w:bottom w:val="none" w:sz="0" w:space="0" w:color="auto"/>
            <w:right w:val="none" w:sz="0" w:space="0" w:color="auto"/>
          </w:divBdr>
        </w:div>
        <w:div w:id="83309753">
          <w:marLeft w:val="0"/>
          <w:marRight w:val="0"/>
          <w:marTop w:val="0"/>
          <w:marBottom w:val="0"/>
          <w:divBdr>
            <w:top w:val="none" w:sz="0" w:space="0" w:color="auto"/>
            <w:left w:val="none" w:sz="0" w:space="0" w:color="auto"/>
            <w:bottom w:val="none" w:sz="0" w:space="0" w:color="auto"/>
            <w:right w:val="none" w:sz="0" w:space="0" w:color="auto"/>
          </w:divBdr>
        </w:div>
        <w:div w:id="83309757">
          <w:marLeft w:val="0"/>
          <w:marRight w:val="0"/>
          <w:marTop w:val="0"/>
          <w:marBottom w:val="0"/>
          <w:divBdr>
            <w:top w:val="none" w:sz="0" w:space="0" w:color="auto"/>
            <w:left w:val="none" w:sz="0" w:space="0" w:color="auto"/>
            <w:bottom w:val="none" w:sz="0" w:space="0" w:color="auto"/>
            <w:right w:val="none" w:sz="0" w:space="0" w:color="auto"/>
          </w:divBdr>
        </w:div>
        <w:div w:id="83309772">
          <w:marLeft w:val="0"/>
          <w:marRight w:val="0"/>
          <w:marTop w:val="0"/>
          <w:marBottom w:val="0"/>
          <w:divBdr>
            <w:top w:val="none" w:sz="0" w:space="0" w:color="auto"/>
            <w:left w:val="none" w:sz="0" w:space="0" w:color="auto"/>
            <w:bottom w:val="none" w:sz="0" w:space="0" w:color="auto"/>
            <w:right w:val="none" w:sz="0" w:space="0" w:color="auto"/>
          </w:divBdr>
        </w:div>
        <w:div w:id="83309779">
          <w:marLeft w:val="0"/>
          <w:marRight w:val="0"/>
          <w:marTop w:val="0"/>
          <w:marBottom w:val="0"/>
          <w:divBdr>
            <w:top w:val="none" w:sz="0" w:space="0" w:color="auto"/>
            <w:left w:val="none" w:sz="0" w:space="0" w:color="auto"/>
            <w:bottom w:val="none" w:sz="0" w:space="0" w:color="auto"/>
            <w:right w:val="none" w:sz="0" w:space="0" w:color="auto"/>
          </w:divBdr>
        </w:div>
        <w:div w:id="83309781">
          <w:marLeft w:val="0"/>
          <w:marRight w:val="0"/>
          <w:marTop w:val="0"/>
          <w:marBottom w:val="0"/>
          <w:divBdr>
            <w:top w:val="none" w:sz="0" w:space="0" w:color="auto"/>
            <w:left w:val="none" w:sz="0" w:space="0" w:color="auto"/>
            <w:bottom w:val="none" w:sz="0" w:space="0" w:color="auto"/>
            <w:right w:val="none" w:sz="0" w:space="0" w:color="auto"/>
          </w:divBdr>
        </w:div>
        <w:div w:id="83309782">
          <w:marLeft w:val="0"/>
          <w:marRight w:val="0"/>
          <w:marTop w:val="0"/>
          <w:marBottom w:val="0"/>
          <w:divBdr>
            <w:top w:val="none" w:sz="0" w:space="0" w:color="auto"/>
            <w:left w:val="none" w:sz="0" w:space="0" w:color="auto"/>
            <w:bottom w:val="none" w:sz="0" w:space="0" w:color="auto"/>
            <w:right w:val="none" w:sz="0" w:space="0" w:color="auto"/>
          </w:divBdr>
        </w:div>
        <w:div w:id="83309788">
          <w:marLeft w:val="0"/>
          <w:marRight w:val="0"/>
          <w:marTop w:val="0"/>
          <w:marBottom w:val="0"/>
          <w:divBdr>
            <w:top w:val="none" w:sz="0" w:space="0" w:color="auto"/>
            <w:left w:val="none" w:sz="0" w:space="0" w:color="auto"/>
            <w:bottom w:val="none" w:sz="0" w:space="0" w:color="auto"/>
            <w:right w:val="none" w:sz="0" w:space="0" w:color="auto"/>
          </w:divBdr>
        </w:div>
        <w:div w:id="83309795">
          <w:marLeft w:val="0"/>
          <w:marRight w:val="0"/>
          <w:marTop w:val="0"/>
          <w:marBottom w:val="0"/>
          <w:divBdr>
            <w:top w:val="none" w:sz="0" w:space="0" w:color="auto"/>
            <w:left w:val="none" w:sz="0" w:space="0" w:color="auto"/>
            <w:bottom w:val="none" w:sz="0" w:space="0" w:color="auto"/>
            <w:right w:val="none" w:sz="0" w:space="0" w:color="auto"/>
          </w:divBdr>
        </w:div>
        <w:div w:id="83309800">
          <w:marLeft w:val="0"/>
          <w:marRight w:val="0"/>
          <w:marTop w:val="0"/>
          <w:marBottom w:val="0"/>
          <w:divBdr>
            <w:top w:val="none" w:sz="0" w:space="0" w:color="auto"/>
            <w:left w:val="none" w:sz="0" w:space="0" w:color="auto"/>
            <w:bottom w:val="none" w:sz="0" w:space="0" w:color="auto"/>
            <w:right w:val="none" w:sz="0" w:space="0" w:color="auto"/>
          </w:divBdr>
        </w:div>
      </w:divsChild>
    </w:div>
    <w:div w:id="83309756">
      <w:marLeft w:val="0"/>
      <w:marRight w:val="0"/>
      <w:marTop w:val="0"/>
      <w:marBottom w:val="0"/>
      <w:divBdr>
        <w:top w:val="none" w:sz="0" w:space="0" w:color="auto"/>
        <w:left w:val="none" w:sz="0" w:space="0" w:color="auto"/>
        <w:bottom w:val="none" w:sz="0" w:space="0" w:color="auto"/>
        <w:right w:val="none" w:sz="0" w:space="0" w:color="auto"/>
      </w:divBdr>
      <w:divsChild>
        <w:div w:id="83309722">
          <w:marLeft w:val="0"/>
          <w:marRight w:val="0"/>
          <w:marTop w:val="0"/>
          <w:marBottom w:val="0"/>
          <w:divBdr>
            <w:top w:val="none" w:sz="0" w:space="0" w:color="auto"/>
            <w:left w:val="none" w:sz="0" w:space="0" w:color="auto"/>
            <w:bottom w:val="none" w:sz="0" w:space="0" w:color="auto"/>
            <w:right w:val="none" w:sz="0" w:space="0" w:color="auto"/>
          </w:divBdr>
        </w:div>
        <w:div w:id="83309726">
          <w:marLeft w:val="0"/>
          <w:marRight w:val="0"/>
          <w:marTop w:val="0"/>
          <w:marBottom w:val="0"/>
          <w:divBdr>
            <w:top w:val="none" w:sz="0" w:space="0" w:color="auto"/>
            <w:left w:val="none" w:sz="0" w:space="0" w:color="auto"/>
            <w:bottom w:val="none" w:sz="0" w:space="0" w:color="auto"/>
            <w:right w:val="none" w:sz="0" w:space="0" w:color="auto"/>
          </w:divBdr>
        </w:div>
        <w:div w:id="83309729">
          <w:marLeft w:val="0"/>
          <w:marRight w:val="0"/>
          <w:marTop w:val="0"/>
          <w:marBottom w:val="0"/>
          <w:divBdr>
            <w:top w:val="none" w:sz="0" w:space="0" w:color="auto"/>
            <w:left w:val="none" w:sz="0" w:space="0" w:color="auto"/>
            <w:bottom w:val="none" w:sz="0" w:space="0" w:color="auto"/>
            <w:right w:val="none" w:sz="0" w:space="0" w:color="auto"/>
          </w:divBdr>
        </w:div>
        <w:div w:id="83309734">
          <w:marLeft w:val="0"/>
          <w:marRight w:val="0"/>
          <w:marTop w:val="0"/>
          <w:marBottom w:val="0"/>
          <w:divBdr>
            <w:top w:val="none" w:sz="0" w:space="0" w:color="auto"/>
            <w:left w:val="none" w:sz="0" w:space="0" w:color="auto"/>
            <w:bottom w:val="none" w:sz="0" w:space="0" w:color="auto"/>
            <w:right w:val="none" w:sz="0" w:space="0" w:color="auto"/>
          </w:divBdr>
        </w:div>
        <w:div w:id="83309742">
          <w:marLeft w:val="0"/>
          <w:marRight w:val="0"/>
          <w:marTop w:val="0"/>
          <w:marBottom w:val="0"/>
          <w:divBdr>
            <w:top w:val="none" w:sz="0" w:space="0" w:color="auto"/>
            <w:left w:val="none" w:sz="0" w:space="0" w:color="auto"/>
            <w:bottom w:val="none" w:sz="0" w:space="0" w:color="auto"/>
            <w:right w:val="none" w:sz="0" w:space="0" w:color="auto"/>
          </w:divBdr>
        </w:div>
        <w:div w:id="83309759">
          <w:marLeft w:val="0"/>
          <w:marRight w:val="0"/>
          <w:marTop w:val="0"/>
          <w:marBottom w:val="0"/>
          <w:divBdr>
            <w:top w:val="none" w:sz="0" w:space="0" w:color="auto"/>
            <w:left w:val="none" w:sz="0" w:space="0" w:color="auto"/>
            <w:bottom w:val="none" w:sz="0" w:space="0" w:color="auto"/>
            <w:right w:val="none" w:sz="0" w:space="0" w:color="auto"/>
          </w:divBdr>
        </w:div>
        <w:div w:id="83309760">
          <w:marLeft w:val="0"/>
          <w:marRight w:val="0"/>
          <w:marTop w:val="0"/>
          <w:marBottom w:val="0"/>
          <w:divBdr>
            <w:top w:val="none" w:sz="0" w:space="0" w:color="auto"/>
            <w:left w:val="none" w:sz="0" w:space="0" w:color="auto"/>
            <w:bottom w:val="none" w:sz="0" w:space="0" w:color="auto"/>
            <w:right w:val="none" w:sz="0" w:space="0" w:color="auto"/>
          </w:divBdr>
        </w:div>
        <w:div w:id="83309769">
          <w:marLeft w:val="0"/>
          <w:marRight w:val="0"/>
          <w:marTop w:val="0"/>
          <w:marBottom w:val="0"/>
          <w:divBdr>
            <w:top w:val="none" w:sz="0" w:space="0" w:color="auto"/>
            <w:left w:val="none" w:sz="0" w:space="0" w:color="auto"/>
            <w:bottom w:val="none" w:sz="0" w:space="0" w:color="auto"/>
            <w:right w:val="none" w:sz="0" w:space="0" w:color="auto"/>
          </w:divBdr>
        </w:div>
        <w:div w:id="83309777">
          <w:marLeft w:val="0"/>
          <w:marRight w:val="0"/>
          <w:marTop w:val="0"/>
          <w:marBottom w:val="0"/>
          <w:divBdr>
            <w:top w:val="none" w:sz="0" w:space="0" w:color="auto"/>
            <w:left w:val="none" w:sz="0" w:space="0" w:color="auto"/>
            <w:bottom w:val="none" w:sz="0" w:space="0" w:color="auto"/>
            <w:right w:val="none" w:sz="0" w:space="0" w:color="auto"/>
          </w:divBdr>
        </w:div>
        <w:div w:id="83309780">
          <w:marLeft w:val="0"/>
          <w:marRight w:val="0"/>
          <w:marTop w:val="0"/>
          <w:marBottom w:val="0"/>
          <w:divBdr>
            <w:top w:val="none" w:sz="0" w:space="0" w:color="auto"/>
            <w:left w:val="none" w:sz="0" w:space="0" w:color="auto"/>
            <w:bottom w:val="none" w:sz="0" w:space="0" w:color="auto"/>
            <w:right w:val="none" w:sz="0" w:space="0" w:color="auto"/>
          </w:divBdr>
        </w:div>
        <w:div w:id="83309783">
          <w:marLeft w:val="0"/>
          <w:marRight w:val="0"/>
          <w:marTop w:val="0"/>
          <w:marBottom w:val="0"/>
          <w:divBdr>
            <w:top w:val="none" w:sz="0" w:space="0" w:color="auto"/>
            <w:left w:val="none" w:sz="0" w:space="0" w:color="auto"/>
            <w:bottom w:val="none" w:sz="0" w:space="0" w:color="auto"/>
            <w:right w:val="none" w:sz="0" w:space="0" w:color="auto"/>
          </w:divBdr>
        </w:div>
      </w:divsChild>
    </w:div>
    <w:div w:id="83309758">
      <w:marLeft w:val="0"/>
      <w:marRight w:val="0"/>
      <w:marTop w:val="0"/>
      <w:marBottom w:val="0"/>
      <w:divBdr>
        <w:top w:val="none" w:sz="0" w:space="0" w:color="auto"/>
        <w:left w:val="none" w:sz="0" w:space="0" w:color="auto"/>
        <w:bottom w:val="none" w:sz="0" w:space="0" w:color="auto"/>
        <w:right w:val="none" w:sz="0" w:space="0" w:color="auto"/>
      </w:divBdr>
      <w:divsChild>
        <w:div w:id="83309668">
          <w:marLeft w:val="0"/>
          <w:marRight w:val="0"/>
          <w:marTop w:val="0"/>
          <w:marBottom w:val="0"/>
          <w:divBdr>
            <w:top w:val="none" w:sz="0" w:space="0" w:color="auto"/>
            <w:left w:val="none" w:sz="0" w:space="0" w:color="auto"/>
            <w:bottom w:val="none" w:sz="0" w:space="0" w:color="auto"/>
            <w:right w:val="none" w:sz="0" w:space="0" w:color="auto"/>
          </w:divBdr>
        </w:div>
        <w:div w:id="83309680">
          <w:marLeft w:val="0"/>
          <w:marRight w:val="0"/>
          <w:marTop w:val="0"/>
          <w:marBottom w:val="0"/>
          <w:divBdr>
            <w:top w:val="none" w:sz="0" w:space="0" w:color="auto"/>
            <w:left w:val="none" w:sz="0" w:space="0" w:color="auto"/>
            <w:bottom w:val="none" w:sz="0" w:space="0" w:color="auto"/>
            <w:right w:val="none" w:sz="0" w:space="0" w:color="auto"/>
          </w:divBdr>
        </w:div>
        <w:div w:id="83309684">
          <w:marLeft w:val="0"/>
          <w:marRight w:val="0"/>
          <w:marTop w:val="0"/>
          <w:marBottom w:val="0"/>
          <w:divBdr>
            <w:top w:val="none" w:sz="0" w:space="0" w:color="auto"/>
            <w:left w:val="none" w:sz="0" w:space="0" w:color="auto"/>
            <w:bottom w:val="none" w:sz="0" w:space="0" w:color="auto"/>
            <w:right w:val="none" w:sz="0" w:space="0" w:color="auto"/>
          </w:divBdr>
        </w:div>
        <w:div w:id="83309689">
          <w:marLeft w:val="0"/>
          <w:marRight w:val="0"/>
          <w:marTop w:val="0"/>
          <w:marBottom w:val="0"/>
          <w:divBdr>
            <w:top w:val="none" w:sz="0" w:space="0" w:color="auto"/>
            <w:left w:val="none" w:sz="0" w:space="0" w:color="auto"/>
            <w:bottom w:val="none" w:sz="0" w:space="0" w:color="auto"/>
            <w:right w:val="none" w:sz="0" w:space="0" w:color="auto"/>
          </w:divBdr>
        </w:div>
        <w:div w:id="83309699">
          <w:marLeft w:val="0"/>
          <w:marRight w:val="0"/>
          <w:marTop w:val="0"/>
          <w:marBottom w:val="0"/>
          <w:divBdr>
            <w:top w:val="none" w:sz="0" w:space="0" w:color="auto"/>
            <w:left w:val="none" w:sz="0" w:space="0" w:color="auto"/>
            <w:bottom w:val="none" w:sz="0" w:space="0" w:color="auto"/>
            <w:right w:val="none" w:sz="0" w:space="0" w:color="auto"/>
          </w:divBdr>
        </w:div>
        <w:div w:id="83309702">
          <w:marLeft w:val="0"/>
          <w:marRight w:val="0"/>
          <w:marTop w:val="0"/>
          <w:marBottom w:val="0"/>
          <w:divBdr>
            <w:top w:val="none" w:sz="0" w:space="0" w:color="auto"/>
            <w:left w:val="none" w:sz="0" w:space="0" w:color="auto"/>
            <w:bottom w:val="none" w:sz="0" w:space="0" w:color="auto"/>
            <w:right w:val="none" w:sz="0" w:space="0" w:color="auto"/>
          </w:divBdr>
        </w:div>
        <w:div w:id="83309719">
          <w:marLeft w:val="0"/>
          <w:marRight w:val="0"/>
          <w:marTop w:val="0"/>
          <w:marBottom w:val="0"/>
          <w:divBdr>
            <w:top w:val="none" w:sz="0" w:space="0" w:color="auto"/>
            <w:left w:val="none" w:sz="0" w:space="0" w:color="auto"/>
            <w:bottom w:val="none" w:sz="0" w:space="0" w:color="auto"/>
            <w:right w:val="none" w:sz="0" w:space="0" w:color="auto"/>
          </w:divBdr>
        </w:div>
        <w:div w:id="83309723">
          <w:marLeft w:val="0"/>
          <w:marRight w:val="0"/>
          <w:marTop w:val="0"/>
          <w:marBottom w:val="0"/>
          <w:divBdr>
            <w:top w:val="none" w:sz="0" w:space="0" w:color="auto"/>
            <w:left w:val="none" w:sz="0" w:space="0" w:color="auto"/>
            <w:bottom w:val="none" w:sz="0" w:space="0" w:color="auto"/>
            <w:right w:val="none" w:sz="0" w:space="0" w:color="auto"/>
          </w:divBdr>
        </w:div>
        <w:div w:id="83309752">
          <w:marLeft w:val="0"/>
          <w:marRight w:val="0"/>
          <w:marTop w:val="0"/>
          <w:marBottom w:val="0"/>
          <w:divBdr>
            <w:top w:val="none" w:sz="0" w:space="0" w:color="auto"/>
            <w:left w:val="none" w:sz="0" w:space="0" w:color="auto"/>
            <w:bottom w:val="none" w:sz="0" w:space="0" w:color="auto"/>
            <w:right w:val="none" w:sz="0" w:space="0" w:color="auto"/>
          </w:divBdr>
        </w:div>
      </w:divsChild>
    </w:div>
    <w:div w:id="83309763">
      <w:marLeft w:val="0"/>
      <w:marRight w:val="0"/>
      <w:marTop w:val="0"/>
      <w:marBottom w:val="0"/>
      <w:divBdr>
        <w:top w:val="none" w:sz="0" w:space="0" w:color="auto"/>
        <w:left w:val="none" w:sz="0" w:space="0" w:color="auto"/>
        <w:bottom w:val="none" w:sz="0" w:space="0" w:color="auto"/>
        <w:right w:val="none" w:sz="0" w:space="0" w:color="auto"/>
      </w:divBdr>
      <w:divsChild>
        <w:div w:id="83309679">
          <w:marLeft w:val="0"/>
          <w:marRight w:val="0"/>
          <w:marTop w:val="0"/>
          <w:marBottom w:val="0"/>
          <w:divBdr>
            <w:top w:val="none" w:sz="0" w:space="0" w:color="auto"/>
            <w:left w:val="none" w:sz="0" w:space="0" w:color="auto"/>
            <w:bottom w:val="none" w:sz="0" w:space="0" w:color="auto"/>
            <w:right w:val="none" w:sz="0" w:space="0" w:color="auto"/>
          </w:divBdr>
        </w:div>
        <w:div w:id="83309688">
          <w:marLeft w:val="0"/>
          <w:marRight w:val="0"/>
          <w:marTop w:val="0"/>
          <w:marBottom w:val="0"/>
          <w:divBdr>
            <w:top w:val="none" w:sz="0" w:space="0" w:color="auto"/>
            <w:left w:val="none" w:sz="0" w:space="0" w:color="auto"/>
            <w:bottom w:val="none" w:sz="0" w:space="0" w:color="auto"/>
            <w:right w:val="none" w:sz="0" w:space="0" w:color="auto"/>
          </w:divBdr>
        </w:div>
        <w:div w:id="83309695">
          <w:marLeft w:val="0"/>
          <w:marRight w:val="0"/>
          <w:marTop w:val="0"/>
          <w:marBottom w:val="0"/>
          <w:divBdr>
            <w:top w:val="none" w:sz="0" w:space="0" w:color="auto"/>
            <w:left w:val="none" w:sz="0" w:space="0" w:color="auto"/>
            <w:bottom w:val="none" w:sz="0" w:space="0" w:color="auto"/>
            <w:right w:val="none" w:sz="0" w:space="0" w:color="auto"/>
          </w:divBdr>
        </w:div>
        <w:div w:id="83309710">
          <w:marLeft w:val="0"/>
          <w:marRight w:val="0"/>
          <w:marTop w:val="0"/>
          <w:marBottom w:val="0"/>
          <w:divBdr>
            <w:top w:val="none" w:sz="0" w:space="0" w:color="auto"/>
            <w:left w:val="none" w:sz="0" w:space="0" w:color="auto"/>
            <w:bottom w:val="none" w:sz="0" w:space="0" w:color="auto"/>
            <w:right w:val="none" w:sz="0" w:space="0" w:color="auto"/>
          </w:divBdr>
        </w:div>
        <w:div w:id="83309711">
          <w:marLeft w:val="0"/>
          <w:marRight w:val="0"/>
          <w:marTop w:val="0"/>
          <w:marBottom w:val="0"/>
          <w:divBdr>
            <w:top w:val="none" w:sz="0" w:space="0" w:color="auto"/>
            <w:left w:val="none" w:sz="0" w:space="0" w:color="auto"/>
            <w:bottom w:val="none" w:sz="0" w:space="0" w:color="auto"/>
            <w:right w:val="none" w:sz="0" w:space="0" w:color="auto"/>
          </w:divBdr>
        </w:div>
        <w:div w:id="83309735">
          <w:marLeft w:val="0"/>
          <w:marRight w:val="0"/>
          <w:marTop w:val="0"/>
          <w:marBottom w:val="0"/>
          <w:divBdr>
            <w:top w:val="none" w:sz="0" w:space="0" w:color="auto"/>
            <w:left w:val="none" w:sz="0" w:space="0" w:color="auto"/>
            <w:bottom w:val="none" w:sz="0" w:space="0" w:color="auto"/>
            <w:right w:val="none" w:sz="0" w:space="0" w:color="auto"/>
          </w:divBdr>
        </w:div>
        <w:div w:id="83309739">
          <w:marLeft w:val="0"/>
          <w:marRight w:val="0"/>
          <w:marTop w:val="0"/>
          <w:marBottom w:val="0"/>
          <w:divBdr>
            <w:top w:val="none" w:sz="0" w:space="0" w:color="auto"/>
            <w:left w:val="none" w:sz="0" w:space="0" w:color="auto"/>
            <w:bottom w:val="none" w:sz="0" w:space="0" w:color="auto"/>
            <w:right w:val="none" w:sz="0" w:space="0" w:color="auto"/>
          </w:divBdr>
        </w:div>
        <w:div w:id="83309764">
          <w:marLeft w:val="0"/>
          <w:marRight w:val="0"/>
          <w:marTop w:val="0"/>
          <w:marBottom w:val="0"/>
          <w:divBdr>
            <w:top w:val="none" w:sz="0" w:space="0" w:color="auto"/>
            <w:left w:val="none" w:sz="0" w:space="0" w:color="auto"/>
            <w:bottom w:val="none" w:sz="0" w:space="0" w:color="auto"/>
            <w:right w:val="none" w:sz="0" w:space="0" w:color="auto"/>
          </w:divBdr>
        </w:div>
        <w:div w:id="83309776">
          <w:marLeft w:val="0"/>
          <w:marRight w:val="0"/>
          <w:marTop w:val="0"/>
          <w:marBottom w:val="0"/>
          <w:divBdr>
            <w:top w:val="none" w:sz="0" w:space="0" w:color="auto"/>
            <w:left w:val="none" w:sz="0" w:space="0" w:color="auto"/>
            <w:bottom w:val="none" w:sz="0" w:space="0" w:color="auto"/>
            <w:right w:val="none" w:sz="0" w:space="0" w:color="auto"/>
          </w:divBdr>
        </w:div>
        <w:div w:id="83309799">
          <w:marLeft w:val="0"/>
          <w:marRight w:val="0"/>
          <w:marTop w:val="0"/>
          <w:marBottom w:val="0"/>
          <w:divBdr>
            <w:top w:val="none" w:sz="0" w:space="0" w:color="auto"/>
            <w:left w:val="none" w:sz="0" w:space="0" w:color="auto"/>
            <w:bottom w:val="none" w:sz="0" w:space="0" w:color="auto"/>
            <w:right w:val="none" w:sz="0" w:space="0" w:color="auto"/>
          </w:divBdr>
        </w:div>
      </w:divsChild>
    </w:div>
    <w:div w:id="83309767">
      <w:marLeft w:val="0"/>
      <w:marRight w:val="0"/>
      <w:marTop w:val="0"/>
      <w:marBottom w:val="0"/>
      <w:divBdr>
        <w:top w:val="none" w:sz="0" w:space="0" w:color="auto"/>
        <w:left w:val="none" w:sz="0" w:space="0" w:color="auto"/>
        <w:bottom w:val="none" w:sz="0" w:space="0" w:color="auto"/>
        <w:right w:val="none" w:sz="0" w:space="0" w:color="auto"/>
      </w:divBdr>
      <w:divsChild>
        <w:div w:id="83309675">
          <w:marLeft w:val="0"/>
          <w:marRight w:val="0"/>
          <w:marTop w:val="0"/>
          <w:marBottom w:val="0"/>
          <w:divBdr>
            <w:top w:val="none" w:sz="0" w:space="0" w:color="auto"/>
            <w:left w:val="none" w:sz="0" w:space="0" w:color="auto"/>
            <w:bottom w:val="none" w:sz="0" w:space="0" w:color="auto"/>
            <w:right w:val="none" w:sz="0" w:space="0" w:color="auto"/>
          </w:divBdr>
        </w:div>
        <w:div w:id="83309713">
          <w:marLeft w:val="0"/>
          <w:marRight w:val="0"/>
          <w:marTop w:val="0"/>
          <w:marBottom w:val="0"/>
          <w:divBdr>
            <w:top w:val="none" w:sz="0" w:space="0" w:color="auto"/>
            <w:left w:val="none" w:sz="0" w:space="0" w:color="auto"/>
            <w:bottom w:val="none" w:sz="0" w:space="0" w:color="auto"/>
            <w:right w:val="none" w:sz="0" w:space="0" w:color="auto"/>
          </w:divBdr>
        </w:div>
        <w:div w:id="83309738">
          <w:marLeft w:val="0"/>
          <w:marRight w:val="0"/>
          <w:marTop w:val="0"/>
          <w:marBottom w:val="0"/>
          <w:divBdr>
            <w:top w:val="none" w:sz="0" w:space="0" w:color="auto"/>
            <w:left w:val="none" w:sz="0" w:space="0" w:color="auto"/>
            <w:bottom w:val="none" w:sz="0" w:space="0" w:color="auto"/>
            <w:right w:val="none" w:sz="0" w:space="0" w:color="auto"/>
          </w:divBdr>
        </w:div>
        <w:div w:id="83309749">
          <w:marLeft w:val="0"/>
          <w:marRight w:val="0"/>
          <w:marTop w:val="0"/>
          <w:marBottom w:val="0"/>
          <w:divBdr>
            <w:top w:val="none" w:sz="0" w:space="0" w:color="auto"/>
            <w:left w:val="none" w:sz="0" w:space="0" w:color="auto"/>
            <w:bottom w:val="none" w:sz="0" w:space="0" w:color="auto"/>
            <w:right w:val="none" w:sz="0" w:space="0" w:color="auto"/>
          </w:divBdr>
        </w:div>
      </w:divsChild>
    </w:div>
    <w:div w:id="83309773">
      <w:marLeft w:val="0"/>
      <w:marRight w:val="0"/>
      <w:marTop w:val="0"/>
      <w:marBottom w:val="0"/>
      <w:divBdr>
        <w:top w:val="none" w:sz="0" w:space="0" w:color="auto"/>
        <w:left w:val="none" w:sz="0" w:space="0" w:color="auto"/>
        <w:bottom w:val="none" w:sz="0" w:space="0" w:color="auto"/>
        <w:right w:val="none" w:sz="0" w:space="0" w:color="auto"/>
      </w:divBdr>
      <w:divsChild>
        <w:div w:id="83309677">
          <w:marLeft w:val="0"/>
          <w:marRight w:val="0"/>
          <w:marTop w:val="0"/>
          <w:marBottom w:val="0"/>
          <w:divBdr>
            <w:top w:val="none" w:sz="0" w:space="0" w:color="auto"/>
            <w:left w:val="none" w:sz="0" w:space="0" w:color="auto"/>
            <w:bottom w:val="none" w:sz="0" w:space="0" w:color="auto"/>
            <w:right w:val="none" w:sz="0" w:space="0" w:color="auto"/>
          </w:divBdr>
        </w:div>
        <w:div w:id="83309725">
          <w:marLeft w:val="0"/>
          <w:marRight w:val="0"/>
          <w:marTop w:val="0"/>
          <w:marBottom w:val="0"/>
          <w:divBdr>
            <w:top w:val="none" w:sz="0" w:space="0" w:color="auto"/>
            <w:left w:val="none" w:sz="0" w:space="0" w:color="auto"/>
            <w:bottom w:val="none" w:sz="0" w:space="0" w:color="auto"/>
            <w:right w:val="none" w:sz="0" w:space="0" w:color="auto"/>
          </w:divBdr>
        </w:div>
        <w:div w:id="83309744">
          <w:marLeft w:val="0"/>
          <w:marRight w:val="0"/>
          <w:marTop w:val="0"/>
          <w:marBottom w:val="0"/>
          <w:divBdr>
            <w:top w:val="none" w:sz="0" w:space="0" w:color="auto"/>
            <w:left w:val="none" w:sz="0" w:space="0" w:color="auto"/>
            <w:bottom w:val="none" w:sz="0" w:space="0" w:color="auto"/>
            <w:right w:val="none" w:sz="0" w:space="0" w:color="auto"/>
          </w:divBdr>
        </w:div>
        <w:div w:id="83309746">
          <w:marLeft w:val="0"/>
          <w:marRight w:val="0"/>
          <w:marTop w:val="0"/>
          <w:marBottom w:val="0"/>
          <w:divBdr>
            <w:top w:val="none" w:sz="0" w:space="0" w:color="auto"/>
            <w:left w:val="none" w:sz="0" w:space="0" w:color="auto"/>
            <w:bottom w:val="none" w:sz="0" w:space="0" w:color="auto"/>
            <w:right w:val="none" w:sz="0" w:space="0" w:color="auto"/>
          </w:divBdr>
        </w:div>
        <w:div w:id="83309765">
          <w:marLeft w:val="0"/>
          <w:marRight w:val="0"/>
          <w:marTop w:val="0"/>
          <w:marBottom w:val="0"/>
          <w:divBdr>
            <w:top w:val="none" w:sz="0" w:space="0" w:color="auto"/>
            <w:left w:val="none" w:sz="0" w:space="0" w:color="auto"/>
            <w:bottom w:val="none" w:sz="0" w:space="0" w:color="auto"/>
            <w:right w:val="none" w:sz="0" w:space="0" w:color="auto"/>
          </w:divBdr>
        </w:div>
        <w:div w:id="83309787">
          <w:marLeft w:val="0"/>
          <w:marRight w:val="0"/>
          <w:marTop w:val="0"/>
          <w:marBottom w:val="0"/>
          <w:divBdr>
            <w:top w:val="none" w:sz="0" w:space="0" w:color="auto"/>
            <w:left w:val="none" w:sz="0" w:space="0" w:color="auto"/>
            <w:bottom w:val="none" w:sz="0" w:space="0" w:color="auto"/>
            <w:right w:val="none" w:sz="0" w:space="0" w:color="auto"/>
          </w:divBdr>
        </w:div>
        <w:div w:id="83309790">
          <w:marLeft w:val="0"/>
          <w:marRight w:val="0"/>
          <w:marTop w:val="0"/>
          <w:marBottom w:val="0"/>
          <w:divBdr>
            <w:top w:val="none" w:sz="0" w:space="0" w:color="auto"/>
            <w:left w:val="none" w:sz="0" w:space="0" w:color="auto"/>
            <w:bottom w:val="none" w:sz="0" w:space="0" w:color="auto"/>
            <w:right w:val="none" w:sz="0" w:space="0" w:color="auto"/>
          </w:divBdr>
        </w:div>
        <w:div w:id="83309798">
          <w:marLeft w:val="0"/>
          <w:marRight w:val="0"/>
          <w:marTop w:val="0"/>
          <w:marBottom w:val="0"/>
          <w:divBdr>
            <w:top w:val="none" w:sz="0" w:space="0" w:color="auto"/>
            <w:left w:val="none" w:sz="0" w:space="0" w:color="auto"/>
            <w:bottom w:val="none" w:sz="0" w:space="0" w:color="auto"/>
            <w:right w:val="none" w:sz="0" w:space="0" w:color="auto"/>
          </w:divBdr>
        </w:div>
        <w:div w:id="83309805">
          <w:marLeft w:val="0"/>
          <w:marRight w:val="0"/>
          <w:marTop w:val="0"/>
          <w:marBottom w:val="0"/>
          <w:divBdr>
            <w:top w:val="none" w:sz="0" w:space="0" w:color="auto"/>
            <w:left w:val="none" w:sz="0" w:space="0" w:color="auto"/>
            <w:bottom w:val="none" w:sz="0" w:space="0" w:color="auto"/>
            <w:right w:val="none" w:sz="0" w:space="0" w:color="auto"/>
          </w:divBdr>
        </w:div>
      </w:divsChild>
    </w:div>
    <w:div w:id="83309784">
      <w:marLeft w:val="0"/>
      <w:marRight w:val="0"/>
      <w:marTop w:val="0"/>
      <w:marBottom w:val="0"/>
      <w:divBdr>
        <w:top w:val="none" w:sz="0" w:space="0" w:color="auto"/>
        <w:left w:val="none" w:sz="0" w:space="0" w:color="auto"/>
        <w:bottom w:val="none" w:sz="0" w:space="0" w:color="auto"/>
        <w:right w:val="none" w:sz="0" w:space="0" w:color="auto"/>
      </w:divBdr>
      <w:divsChild>
        <w:div w:id="83309669">
          <w:marLeft w:val="0"/>
          <w:marRight w:val="0"/>
          <w:marTop w:val="0"/>
          <w:marBottom w:val="0"/>
          <w:divBdr>
            <w:top w:val="none" w:sz="0" w:space="0" w:color="auto"/>
            <w:left w:val="none" w:sz="0" w:space="0" w:color="auto"/>
            <w:bottom w:val="none" w:sz="0" w:space="0" w:color="auto"/>
            <w:right w:val="none" w:sz="0" w:space="0" w:color="auto"/>
          </w:divBdr>
        </w:div>
        <w:div w:id="83309682">
          <w:marLeft w:val="0"/>
          <w:marRight w:val="0"/>
          <w:marTop w:val="0"/>
          <w:marBottom w:val="0"/>
          <w:divBdr>
            <w:top w:val="none" w:sz="0" w:space="0" w:color="auto"/>
            <w:left w:val="none" w:sz="0" w:space="0" w:color="auto"/>
            <w:bottom w:val="none" w:sz="0" w:space="0" w:color="auto"/>
            <w:right w:val="none" w:sz="0" w:space="0" w:color="auto"/>
          </w:divBdr>
        </w:div>
        <w:div w:id="83309683">
          <w:marLeft w:val="0"/>
          <w:marRight w:val="0"/>
          <w:marTop w:val="0"/>
          <w:marBottom w:val="0"/>
          <w:divBdr>
            <w:top w:val="none" w:sz="0" w:space="0" w:color="auto"/>
            <w:left w:val="none" w:sz="0" w:space="0" w:color="auto"/>
            <w:bottom w:val="none" w:sz="0" w:space="0" w:color="auto"/>
            <w:right w:val="none" w:sz="0" w:space="0" w:color="auto"/>
          </w:divBdr>
        </w:div>
        <w:div w:id="83309692">
          <w:marLeft w:val="0"/>
          <w:marRight w:val="0"/>
          <w:marTop w:val="0"/>
          <w:marBottom w:val="0"/>
          <w:divBdr>
            <w:top w:val="none" w:sz="0" w:space="0" w:color="auto"/>
            <w:left w:val="none" w:sz="0" w:space="0" w:color="auto"/>
            <w:bottom w:val="none" w:sz="0" w:space="0" w:color="auto"/>
            <w:right w:val="none" w:sz="0" w:space="0" w:color="auto"/>
          </w:divBdr>
        </w:div>
        <w:div w:id="83309700">
          <w:marLeft w:val="0"/>
          <w:marRight w:val="0"/>
          <w:marTop w:val="0"/>
          <w:marBottom w:val="0"/>
          <w:divBdr>
            <w:top w:val="none" w:sz="0" w:space="0" w:color="auto"/>
            <w:left w:val="none" w:sz="0" w:space="0" w:color="auto"/>
            <w:bottom w:val="none" w:sz="0" w:space="0" w:color="auto"/>
            <w:right w:val="none" w:sz="0" w:space="0" w:color="auto"/>
          </w:divBdr>
        </w:div>
        <w:div w:id="83309701">
          <w:marLeft w:val="0"/>
          <w:marRight w:val="0"/>
          <w:marTop w:val="0"/>
          <w:marBottom w:val="0"/>
          <w:divBdr>
            <w:top w:val="none" w:sz="0" w:space="0" w:color="auto"/>
            <w:left w:val="none" w:sz="0" w:space="0" w:color="auto"/>
            <w:bottom w:val="none" w:sz="0" w:space="0" w:color="auto"/>
            <w:right w:val="none" w:sz="0" w:space="0" w:color="auto"/>
          </w:divBdr>
        </w:div>
        <w:div w:id="83309709">
          <w:marLeft w:val="0"/>
          <w:marRight w:val="0"/>
          <w:marTop w:val="0"/>
          <w:marBottom w:val="0"/>
          <w:divBdr>
            <w:top w:val="none" w:sz="0" w:space="0" w:color="auto"/>
            <w:left w:val="none" w:sz="0" w:space="0" w:color="auto"/>
            <w:bottom w:val="none" w:sz="0" w:space="0" w:color="auto"/>
            <w:right w:val="none" w:sz="0" w:space="0" w:color="auto"/>
          </w:divBdr>
        </w:div>
        <w:div w:id="83309724">
          <w:marLeft w:val="0"/>
          <w:marRight w:val="0"/>
          <w:marTop w:val="0"/>
          <w:marBottom w:val="0"/>
          <w:divBdr>
            <w:top w:val="none" w:sz="0" w:space="0" w:color="auto"/>
            <w:left w:val="none" w:sz="0" w:space="0" w:color="auto"/>
            <w:bottom w:val="none" w:sz="0" w:space="0" w:color="auto"/>
            <w:right w:val="none" w:sz="0" w:space="0" w:color="auto"/>
          </w:divBdr>
        </w:div>
        <w:div w:id="83309731">
          <w:marLeft w:val="0"/>
          <w:marRight w:val="0"/>
          <w:marTop w:val="0"/>
          <w:marBottom w:val="0"/>
          <w:divBdr>
            <w:top w:val="none" w:sz="0" w:space="0" w:color="auto"/>
            <w:left w:val="none" w:sz="0" w:space="0" w:color="auto"/>
            <w:bottom w:val="none" w:sz="0" w:space="0" w:color="auto"/>
            <w:right w:val="none" w:sz="0" w:space="0" w:color="auto"/>
          </w:divBdr>
        </w:div>
        <w:div w:id="83309733">
          <w:marLeft w:val="0"/>
          <w:marRight w:val="0"/>
          <w:marTop w:val="0"/>
          <w:marBottom w:val="0"/>
          <w:divBdr>
            <w:top w:val="none" w:sz="0" w:space="0" w:color="auto"/>
            <w:left w:val="none" w:sz="0" w:space="0" w:color="auto"/>
            <w:bottom w:val="none" w:sz="0" w:space="0" w:color="auto"/>
            <w:right w:val="none" w:sz="0" w:space="0" w:color="auto"/>
          </w:divBdr>
        </w:div>
        <w:div w:id="83309737">
          <w:marLeft w:val="0"/>
          <w:marRight w:val="0"/>
          <w:marTop w:val="0"/>
          <w:marBottom w:val="0"/>
          <w:divBdr>
            <w:top w:val="none" w:sz="0" w:space="0" w:color="auto"/>
            <w:left w:val="none" w:sz="0" w:space="0" w:color="auto"/>
            <w:bottom w:val="none" w:sz="0" w:space="0" w:color="auto"/>
            <w:right w:val="none" w:sz="0" w:space="0" w:color="auto"/>
          </w:divBdr>
        </w:div>
        <w:div w:id="83309743">
          <w:marLeft w:val="0"/>
          <w:marRight w:val="0"/>
          <w:marTop w:val="0"/>
          <w:marBottom w:val="0"/>
          <w:divBdr>
            <w:top w:val="none" w:sz="0" w:space="0" w:color="auto"/>
            <w:left w:val="none" w:sz="0" w:space="0" w:color="auto"/>
            <w:bottom w:val="none" w:sz="0" w:space="0" w:color="auto"/>
            <w:right w:val="none" w:sz="0" w:space="0" w:color="auto"/>
          </w:divBdr>
        </w:div>
        <w:div w:id="83309761">
          <w:marLeft w:val="0"/>
          <w:marRight w:val="0"/>
          <w:marTop w:val="0"/>
          <w:marBottom w:val="0"/>
          <w:divBdr>
            <w:top w:val="none" w:sz="0" w:space="0" w:color="auto"/>
            <w:left w:val="none" w:sz="0" w:space="0" w:color="auto"/>
            <w:bottom w:val="none" w:sz="0" w:space="0" w:color="auto"/>
            <w:right w:val="none" w:sz="0" w:space="0" w:color="auto"/>
          </w:divBdr>
        </w:div>
        <w:div w:id="83309774">
          <w:marLeft w:val="0"/>
          <w:marRight w:val="0"/>
          <w:marTop w:val="0"/>
          <w:marBottom w:val="0"/>
          <w:divBdr>
            <w:top w:val="none" w:sz="0" w:space="0" w:color="auto"/>
            <w:left w:val="none" w:sz="0" w:space="0" w:color="auto"/>
            <w:bottom w:val="none" w:sz="0" w:space="0" w:color="auto"/>
            <w:right w:val="none" w:sz="0" w:space="0" w:color="auto"/>
          </w:divBdr>
        </w:div>
        <w:div w:id="83309778">
          <w:marLeft w:val="0"/>
          <w:marRight w:val="0"/>
          <w:marTop w:val="0"/>
          <w:marBottom w:val="0"/>
          <w:divBdr>
            <w:top w:val="none" w:sz="0" w:space="0" w:color="auto"/>
            <w:left w:val="none" w:sz="0" w:space="0" w:color="auto"/>
            <w:bottom w:val="none" w:sz="0" w:space="0" w:color="auto"/>
            <w:right w:val="none" w:sz="0" w:space="0" w:color="auto"/>
          </w:divBdr>
        </w:div>
        <w:div w:id="83309794">
          <w:marLeft w:val="0"/>
          <w:marRight w:val="0"/>
          <w:marTop w:val="0"/>
          <w:marBottom w:val="0"/>
          <w:divBdr>
            <w:top w:val="none" w:sz="0" w:space="0" w:color="auto"/>
            <w:left w:val="none" w:sz="0" w:space="0" w:color="auto"/>
            <w:bottom w:val="none" w:sz="0" w:space="0" w:color="auto"/>
            <w:right w:val="none" w:sz="0" w:space="0" w:color="auto"/>
          </w:divBdr>
        </w:div>
      </w:divsChild>
    </w:div>
    <w:div w:id="83309785">
      <w:marLeft w:val="0"/>
      <w:marRight w:val="0"/>
      <w:marTop w:val="0"/>
      <w:marBottom w:val="0"/>
      <w:divBdr>
        <w:top w:val="none" w:sz="0" w:space="0" w:color="auto"/>
        <w:left w:val="none" w:sz="0" w:space="0" w:color="auto"/>
        <w:bottom w:val="none" w:sz="0" w:space="0" w:color="auto"/>
        <w:right w:val="none" w:sz="0" w:space="0" w:color="auto"/>
      </w:divBdr>
      <w:divsChild>
        <w:div w:id="83309673">
          <w:marLeft w:val="0"/>
          <w:marRight w:val="0"/>
          <w:marTop w:val="0"/>
          <w:marBottom w:val="0"/>
          <w:divBdr>
            <w:top w:val="none" w:sz="0" w:space="0" w:color="auto"/>
            <w:left w:val="none" w:sz="0" w:space="0" w:color="auto"/>
            <w:bottom w:val="none" w:sz="0" w:space="0" w:color="auto"/>
            <w:right w:val="none" w:sz="0" w:space="0" w:color="auto"/>
          </w:divBdr>
        </w:div>
        <w:div w:id="83309678">
          <w:marLeft w:val="0"/>
          <w:marRight w:val="0"/>
          <w:marTop w:val="0"/>
          <w:marBottom w:val="0"/>
          <w:divBdr>
            <w:top w:val="none" w:sz="0" w:space="0" w:color="auto"/>
            <w:left w:val="none" w:sz="0" w:space="0" w:color="auto"/>
            <w:bottom w:val="none" w:sz="0" w:space="0" w:color="auto"/>
            <w:right w:val="none" w:sz="0" w:space="0" w:color="auto"/>
          </w:divBdr>
        </w:div>
        <w:div w:id="83309681">
          <w:marLeft w:val="0"/>
          <w:marRight w:val="0"/>
          <w:marTop w:val="0"/>
          <w:marBottom w:val="0"/>
          <w:divBdr>
            <w:top w:val="none" w:sz="0" w:space="0" w:color="auto"/>
            <w:left w:val="none" w:sz="0" w:space="0" w:color="auto"/>
            <w:bottom w:val="none" w:sz="0" w:space="0" w:color="auto"/>
            <w:right w:val="none" w:sz="0" w:space="0" w:color="auto"/>
          </w:divBdr>
        </w:div>
        <w:div w:id="83309686">
          <w:marLeft w:val="0"/>
          <w:marRight w:val="0"/>
          <w:marTop w:val="0"/>
          <w:marBottom w:val="0"/>
          <w:divBdr>
            <w:top w:val="none" w:sz="0" w:space="0" w:color="auto"/>
            <w:left w:val="none" w:sz="0" w:space="0" w:color="auto"/>
            <w:bottom w:val="none" w:sz="0" w:space="0" w:color="auto"/>
            <w:right w:val="none" w:sz="0" w:space="0" w:color="auto"/>
          </w:divBdr>
        </w:div>
        <w:div w:id="83309704">
          <w:marLeft w:val="0"/>
          <w:marRight w:val="0"/>
          <w:marTop w:val="0"/>
          <w:marBottom w:val="0"/>
          <w:divBdr>
            <w:top w:val="none" w:sz="0" w:space="0" w:color="auto"/>
            <w:left w:val="none" w:sz="0" w:space="0" w:color="auto"/>
            <w:bottom w:val="none" w:sz="0" w:space="0" w:color="auto"/>
            <w:right w:val="none" w:sz="0" w:space="0" w:color="auto"/>
          </w:divBdr>
        </w:div>
        <w:div w:id="83309754">
          <w:marLeft w:val="0"/>
          <w:marRight w:val="0"/>
          <w:marTop w:val="0"/>
          <w:marBottom w:val="0"/>
          <w:divBdr>
            <w:top w:val="none" w:sz="0" w:space="0" w:color="auto"/>
            <w:left w:val="none" w:sz="0" w:space="0" w:color="auto"/>
            <w:bottom w:val="none" w:sz="0" w:space="0" w:color="auto"/>
            <w:right w:val="none" w:sz="0" w:space="0" w:color="auto"/>
          </w:divBdr>
        </w:div>
        <w:div w:id="83309791">
          <w:marLeft w:val="0"/>
          <w:marRight w:val="0"/>
          <w:marTop w:val="0"/>
          <w:marBottom w:val="0"/>
          <w:divBdr>
            <w:top w:val="none" w:sz="0" w:space="0" w:color="auto"/>
            <w:left w:val="none" w:sz="0" w:space="0" w:color="auto"/>
            <w:bottom w:val="none" w:sz="0" w:space="0" w:color="auto"/>
            <w:right w:val="none" w:sz="0" w:space="0" w:color="auto"/>
          </w:divBdr>
        </w:div>
      </w:divsChild>
    </w:div>
    <w:div w:id="83309789">
      <w:marLeft w:val="0"/>
      <w:marRight w:val="0"/>
      <w:marTop w:val="0"/>
      <w:marBottom w:val="0"/>
      <w:divBdr>
        <w:top w:val="none" w:sz="0" w:space="0" w:color="auto"/>
        <w:left w:val="none" w:sz="0" w:space="0" w:color="auto"/>
        <w:bottom w:val="none" w:sz="0" w:space="0" w:color="auto"/>
        <w:right w:val="none" w:sz="0" w:space="0" w:color="auto"/>
      </w:divBdr>
      <w:divsChild>
        <w:div w:id="83309666">
          <w:marLeft w:val="0"/>
          <w:marRight w:val="0"/>
          <w:marTop w:val="0"/>
          <w:marBottom w:val="0"/>
          <w:divBdr>
            <w:top w:val="none" w:sz="0" w:space="0" w:color="auto"/>
            <w:left w:val="none" w:sz="0" w:space="0" w:color="auto"/>
            <w:bottom w:val="none" w:sz="0" w:space="0" w:color="auto"/>
            <w:right w:val="none" w:sz="0" w:space="0" w:color="auto"/>
          </w:divBdr>
        </w:div>
        <w:div w:id="83309691">
          <w:marLeft w:val="0"/>
          <w:marRight w:val="0"/>
          <w:marTop w:val="0"/>
          <w:marBottom w:val="0"/>
          <w:divBdr>
            <w:top w:val="none" w:sz="0" w:space="0" w:color="auto"/>
            <w:left w:val="none" w:sz="0" w:space="0" w:color="auto"/>
            <w:bottom w:val="none" w:sz="0" w:space="0" w:color="auto"/>
            <w:right w:val="none" w:sz="0" w:space="0" w:color="auto"/>
          </w:divBdr>
        </w:div>
        <w:div w:id="83309716">
          <w:marLeft w:val="0"/>
          <w:marRight w:val="0"/>
          <w:marTop w:val="0"/>
          <w:marBottom w:val="0"/>
          <w:divBdr>
            <w:top w:val="none" w:sz="0" w:space="0" w:color="auto"/>
            <w:left w:val="none" w:sz="0" w:space="0" w:color="auto"/>
            <w:bottom w:val="none" w:sz="0" w:space="0" w:color="auto"/>
            <w:right w:val="none" w:sz="0" w:space="0" w:color="auto"/>
          </w:divBdr>
        </w:div>
        <w:div w:id="83309717">
          <w:marLeft w:val="0"/>
          <w:marRight w:val="0"/>
          <w:marTop w:val="0"/>
          <w:marBottom w:val="0"/>
          <w:divBdr>
            <w:top w:val="none" w:sz="0" w:space="0" w:color="auto"/>
            <w:left w:val="none" w:sz="0" w:space="0" w:color="auto"/>
            <w:bottom w:val="none" w:sz="0" w:space="0" w:color="auto"/>
            <w:right w:val="none" w:sz="0" w:space="0" w:color="auto"/>
          </w:divBdr>
        </w:div>
        <w:div w:id="83309732">
          <w:marLeft w:val="0"/>
          <w:marRight w:val="0"/>
          <w:marTop w:val="0"/>
          <w:marBottom w:val="0"/>
          <w:divBdr>
            <w:top w:val="none" w:sz="0" w:space="0" w:color="auto"/>
            <w:left w:val="none" w:sz="0" w:space="0" w:color="auto"/>
            <w:bottom w:val="none" w:sz="0" w:space="0" w:color="auto"/>
            <w:right w:val="none" w:sz="0" w:space="0" w:color="auto"/>
          </w:divBdr>
        </w:div>
        <w:div w:id="83309750">
          <w:marLeft w:val="0"/>
          <w:marRight w:val="0"/>
          <w:marTop w:val="0"/>
          <w:marBottom w:val="0"/>
          <w:divBdr>
            <w:top w:val="none" w:sz="0" w:space="0" w:color="auto"/>
            <w:left w:val="none" w:sz="0" w:space="0" w:color="auto"/>
            <w:bottom w:val="none" w:sz="0" w:space="0" w:color="auto"/>
            <w:right w:val="none" w:sz="0" w:space="0" w:color="auto"/>
          </w:divBdr>
        </w:div>
        <w:div w:id="83309786">
          <w:marLeft w:val="0"/>
          <w:marRight w:val="0"/>
          <w:marTop w:val="0"/>
          <w:marBottom w:val="0"/>
          <w:divBdr>
            <w:top w:val="none" w:sz="0" w:space="0" w:color="auto"/>
            <w:left w:val="none" w:sz="0" w:space="0" w:color="auto"/>
            <w:bottom w:val="none" w:sz="0" w:space="0" w:color="auto"/>
            <w:right w:val="none" w:sz="0" w:space="0" w:color="auto"/>
          </w:divBdr>
        </w:div>
        <w:div w:id="83309803">
          <w:marLeft w:val="0"/>
          <w:marRight w:val="0"/>
          <w:marTop w:val="0"/>
          <w:marBottom w:val="0"/>
          <w:divBdr>
            <w:top w:val="none" w:sz="0" w:space="0" w:color="auto"/>
            <w:left w:val="none" w:sz="0" w:space="0" w:color="auto"/>
            <w:bottom w:val="none" w:sz="0" w:space="0" w:color="auto"/>
            <w:right w:val="none" w:sz="0" w:space="0" w:color="auto"/>
          </w:divBdr>
        </w:div>
      </w:divsChild>
    </w:div>
    <w:div w:id="83309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1596</Words>
  <Characters>8536</Characters>
  <Application>Microsoft Office Word</Application>
  <DocSecurity>0</DocSecurity>
  <Lines>206</Lines>
  <Paragraphs>110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10105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2014-02-27T17:18:00Z</cp:lastPrinted>
  <dcterms:created xsi:type="dcterms:W3CDTF">2014-03-05T21:26:00Z</dcterms:created>
  <dcterms:modified xsi:type="dcterms:W3CDTF">2014-03-05T21:26:00Z</dcterms:modified>
  <cp:category> </cp:category>
  <cp:contentStatus> </cp:contentStatus>
</cp:coreProperties>
</file>