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86" w:rsidRDefault="00DE5386">
      <w:pPr>
        <w:tabs>
          <w:tab w:val="center" w:pos="4680"/>
        </w:tabs>
        <w:suppressAutoHyphens/>
        <w:spacing w:line="240" w:lineRule="atLeast"/>
        <w:jc w:val="center"/>
        <w:outlineLvl w:val="0"/>
        <w:rPr>
          <w:b/>
        </w:rPr>
      </w:pPr>
      <w:bookmarkStart w:id="0" w:name="_GoBack"/>
      <w:bookmarkEnd w:id="0"/>
      <w:r>
        <w:rPr>
          <w:b/>
        </w:rPr>
        <w:t>Before the</w:t>
      </w:r>
    </w:p>
    <w:p w:rsidR="00DE5386" w:rsidRDefault="00DE5386">
      <w:pPr>
        <w:tabs>
          <w:tab w:val="center" w:pos="4680"/>
        </w:tabs>
        <w:suppressAutoHyphens/>
        <w:spacing w:line="240" w:lineRule="atLeast"/>
        <w:jc w:val="both"/>
        <w:outlineLvl w:val="0"/>
        <w:rPr>
          <w:b/>
        </w:rPr>
      </w:pPr>
      <w:r>
        <w:rPr>
          <w:b/>
        </w:rPr>
        <w:tab/>
        <w:t>Federal Communications Commission</w:t>
      </w:r>
    </w:p>
    <w:p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DE5386">
        <w:trPr>
          <w:trHeight w:val="1566"/>
        </w:trPr>
        <w:tc>
          <w:tcPr>
            <w:tcW w:w="4698" w:type="dxa"/>
          </w:tcPr>
          <w:p w:rsidR="00DE5386" w:rsidRDefault="00DE5386">
            <w:r>
              <w:rPr>
                <w:spacing w:val="-2"/>
              </w:rPr>
              <w:t>In the Matter of</w:t>
            </w:r>
            <w:r>
              <w:t xml:space="preserve"> </w:t>
            </w:r>
          </w:p>
          <w:p w:rsidR="00DE5386" w:rsidRDefault="00DE5386"/>
          <w:p w:rsidR="006E6B64" w:rsidRPr="009F5969" w:rsidRDefault="00F71A89" w:rsidP="006E6B64">
            <w:r>
              <w:rPr>
                <w:spacing w:val="-2"/>
              </w:rPr>
              <w:t>Brian R. Ragan</w:t>
            </w:r>
          </w:p>
          <w:p w:rsidR="00250566" w:rsidRPr="00785FCE" w:rsidRDefault="00250566" w:rsidP="00187123"/>
          <w:p w:rsidR="006E6B64" w:rsidRDefault="006E6B64" w:rsidP="006E6B64">
            <w:r>
              <w:t>L</w:t>
            </w:r>
            <w:r w:rsidR="00F71A89">
              <w:t>icensee of Amateur Radio Station KF6EI</w:t>
            </w:r>
          </w:p>
          <w:p w:rsidR="00F879B9" w:rsidRPr="00F879B9" w:rsidRDefault="00F879B9" w:rsidP="00F879B9">
            <w:smartTag w:uri="urn:schemas-microsoft-com:office:smarttags" w:element="place">
              <w:smartTag w:uri="urn:schemas-microsoft-com:office:smarttags" w:element="City">
                <w:r w:rsidRPr="00F879B9">
                  <w:t>Suisun City</w:t>
                </w:r>
              </w:smartTag>
              <w:r w:rsidRPr="00F879B9">
                <w:t xml:space="preserve">, </w:t>
              </w:r>
              <w:smartTag w:uri="urn:schemas-microsoft-com:office:smarttags" w:element="State">
                <w:r w:rsidRPr="00F879B9">
                  <w:t>California</w:t>
                </w:r>
              </w:smartTag>
            </w:smartTag>
          </w:p>
          <w:p w:rsidR="00F879B9" w:rsidRPr="009F5969" w:rsidRDefault="00F879B9" w:rsidP="006E6B64"/>
          <w:p w:rsidR="00DE5386" w:rsidRDefault="00DE5386" w:rsidP="00187123">
            <w:pPr>
              <w:rPr>
                <w:spacing w:val="-2"/>
              </w:rPr>
            </w:pPr>
          </w:p>
        </w:tc>
        <w:tc>
          <w:tcPr>
            <w:tcW w:w="360" w:type="dxa"/>
          </w:tcPr>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6E6B64" w:rsidRDefault="00F879B9">
            <w:pPr>
              <w:tabs>
                <w:tab w:val="center" w:pos="4680"/>
              </w:tabs>
              <w:suppressAutoHyphens/>
              <w:spacing w:line="240" w:lineRule="atLeast"/>
              <w:jc w:val="both"/>
              <w:outlineLvl w:val="0"/>
            </w:pPr>
            <w:r>
              <w:t>)</w:t>
            </w:r>
          </w:p>
        </w:tc>
        <w:tc>
          <w:tcPr>
            <w:tcW w:w="4374" w:type="dxa"/>
          </w:tcPr>
          <w:p w:rsidR="00DE5386" w:rsidRDefault="00DE5386">
            <w:pPr>
              <w:rPr>
                <w:spacing w:val="-2"/>
              </w:rPr>
            </w:pPr>
          </w:p>
          <w:p w:rsidR="00DE5386" w:rsidRDefault="00DE5386">
            <w:pPr>
              <w:ind w:left="702"/>
              <w:rPr>
                <w:spacing w:val="-2"/>
              </w:rPr>
            </w:pPr>
          </w:p>
          <w:p w:rsidR="00187123" w:rsidRPr="004C2376" w:rsidRDefault="00DE5386" w:rsidP="00187123">
            <w:pPr>
              <w:ind w:left="522"/>
              <w:rPr>
                <w:color w:val="000000"/>
              </w:rPr>
            </w:pPr>
            <w:r>
              <w:t xml:space="preserve">File No.:  </w:t>
            </w:r>
            <w:r w:rsidR="006E6B64" w:rsidRPr="00281B52">
              <w:rPr>
                <w:lang w:val="es-ES"/>
              </w:rPr>
              <w:t>EB-</w:t>
            </w:r>
            <w:r w:rsidR="00F71A89">
              <w:rPr>
                <w:lang w:val="es-ES"/>
              </w:rPr>
              <w:t>FIELDWR-12-00000609</w:t>
            </w:r>
          </w:p>
          <w:p w:rsidR="00DE5386" w:rsidRDefault="00DE5386">
            <w:pPr>
              <w:ind w:left="522"/>
            </w:pPr>
            <w:r>
              <w:t xml:space="preserve">NAL/Acct. No.:  </w:t>
            </w:r>
            <w:r w:rsidR="003A4914">
              <w:t>20123296</w:t>
            </w:r>
            <w:r w:rsidR="00F71A89">
              <w:t>0</w:t>
            </w:r>
            <w:r w:rsidR="006E6B64" w:rsidRPr="00D64DD5">
              <w:t>001</w:t>
            </w:r>
          </w:p>
          <w:p w:rsidR="00DE5386" w:rsidRDefault="00187123">
            <w:pPr>
              <w:ind w:left="522"/>
            </w:pPr>
            <w:r>
              <w:t xml:space="preserve">FRN:  </w:t>
            </w:r>
            <w:r w:rsidR="003A4914">
              <w:t>0014517353</w:t>
            </w:r>
          </w:p>
          <w:p w:rsidR="00187123" w:rsidRPr="00785FCE" w:rsidRDefault="00187123" w:rsidP="00187123">
            <w:pPr>
              <w:ind w:left="522"/>
            </w:pPr>
          </w:p>
          <w:p w:rsidR="00DE5386" w:rsidRDefault="00DE5386">
            <w:pPr>
              <w:ind w:left="522"/>
            </w:pPr>
          </w:p>
        </w:tc>
      </w:tr>
    </w:tbl>
    <w:p w:rsidR="00DE5386" w:rsidRDefault="00DE5386">
      <w:pPr>
        <w:pStyle w:val="Heading2"/>
        <w:rPr>
          <w:sz w:val="22"/>
          <w:szCs w:val="22"/>
        </w:rPr>
      </w:pPr>
      <w:r>
        <w:rPr>
          <w:sz w:val="22"/>
          <w:szCs w:val="22"/>
        </w:rPr>
        <w:t>FORFEITURE ORDER</w:t>
      </w:r>
    </w:p>
    <w:p w:rsidR="00DE5386" w:rsidRDefault="00DE5386">
      <w:pPr>
        <w:tabs>
          <w:tab w:val="left" w:pos="0"/>
        </w:tabs>
        <w:suppressAutoHyphens/>
        <w:spacing w:line="240" w:lineRule="atLeast"/>
        <w:jc w:val="center"/>
      </w:pPr>
    </w:p>
    <w:p w:rsidR="00DE5386" w:rsidRDefault="00DE5386" w:rsidP="00627660">
      <w:pPr>
        <w:tabs>
          <w:tab w:val="left" w:pos="0"/>
          <w:tab w:val="left" w:pos="720"/>
          <w:tab w:val="left" w:pos="5760"/>
        </w:tabs>
        <w:suppressAutoHyphens/>
        <w:spacing w:line="240" w:lineRule="atLeast"/>
      </w:pPr>
      <w:r>
        <w:rPr>
          <w:b/>
        </w:rPr>
        <w:t xml:space="preserve">Adopted:  </w:t>
      </w:r>
      <w:r w:rsidR="009F711E">
        <w:rPr>
          <w:b/>
        </w:rPr>
        <w:t>March 10, 2014</w:t>
      </w:r>
      <w:r>
        <w:rPr>
          <w:b/>
        </w:rPr>
        <w:tab/>
      </w:r>
      <w:r>
        <w:rPr>
          <w:b/>
        </w:rPr>
        <w:tab/>
        <w:t xml:space="preserve">Released:  </w:t>
      </w:r>
      <w:r w:rsidR="009F711E">
        <w:rPr>
          <w:b/>
        </w:rPr>
        <w:t>March 10, 2014</w:t>
      </w:r>
    </w:p>
    <w:p w:rsidR="00DE5386" w:rsidRDefault="00DE5386" w:rsidP="00627660">
      <w:pPr>
        <w:tabs>
          <w:tab w:val="left" w:pos="0"/>
          <w:tab w:val="left" w:pos="720"/>
          <w:tab w:val="left" w:pos="5760"/>
        </w:tabs>
        <w:suppressAutoHyphens/>
        <w:spacing w:line="240" w:lineRule="atLeast"/>
        <w:jc w:val="both"/>
      </w:pPr>
    </w:p>
    <w:p w:rsidR="00DE5386" w:rsidRPr="002A7814"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rsidR="00DE5386" w:rsidRPr="002A7814" w:rsidRDefault="00DE5386" w:rsidP="00A76318">
      <w:pPr>
        <w:tabs>
          <w:tab w:val="left" w:pos="0"/>
        </w:tabs>
        <w:suppressAutoHyphens/>
        <w:spacing w:line="240" w:lineRule="atLeast"/>
        <w:rPr>
          <w:color w:val="000000"/>
          <w:spacing w:val="-2"/>
        </w:rPr>
      </w:pPr>
    </w:p>
    <w:p w:rsidR="00DE5386" w:rsidRPr="002A7814" w:rsidRDefault="00DE5386" w:rsidP="00A76318">
      <w:pPr>
        <w:tabs>
          <w:tab w:val="center" w:pos="720"/>
        </w:tabs>
        <w:suppressAutoHyphens/>
        <w:spacing w:after="120" w:line="240" w:lineRule="atLeast"/>
        <w:rPr>
          <w:b/>
          <w:color w:val="000000"/>
          <w:spacing w:val="-2"/>
        </w:rPr>
      </w:pPr>
      <w:r w:rsidRPr="002A7814">
        <w:rPr>
          <w:b/>
          <w:color w:val="000000"/>
          <w:spacing w:val="-2"/>
        </w:rPr>
        <w:t xml:space="preserve">I.  </w:t>
      </w:r>
      <w:r w:rsidRPr="002A7814">
        <w:rPr>
          <w:b/>
          <w:color w:val="000000"/>
          <w:spacing w:val="-2"/>
        </w:rPr>
        <w:tab/>
        <w:t xml:space="preserve">         INTRODUCTION</w:t>
      </w:r>
    </w:p>
    <w:p w:rsidR="00DE5386" w:rsidRPr="002A7814" w:rsidRDefault="00DE5386" w:rsidP="00A76318">
      <w:pPr>
        <w:numPr>
          <w:ilvl w:val="0"/>
          <w:numId w:val="1"/>
        </w:numPr>
        <w:tabs>
          <w:tab w:val="clear" w:pos="1080"/>
          <w:tab w:val="left" w:pos="0"/>
          <w:tab w:val="num" w:pos="1440"/>
        </w:tabs>
        <w:suppressAutoHyphens/>
        <w:autoSpaceDE w:val="0"/>
        <w:autoSpaceDN w:val="0"/>
        <w:adjustRightInd w:val="0"/>
        <w:spacing w:line="240" w:lineRule="atLeast"/>
        <w:rPr>
          <w:color w:val="000000"/>
          <w:spacing w:val="-2"/>
        </w:rPr>
      </w:pPr>
      <w:r w:rsidRPr="002A7814">
        <w:rPr>
          <w:color w:val="000000"/>
          <w:spacing w:val="-2"/>
        </w:rPr>
        <w:t xml:space="preserve">In this Forfeiture Order (Order), we issue a monetary forfeiture in the amount of </w:t>
      </w:r>
      <w:r w:rsidR="00B72609">
        <w:rPr>
          <w:color w:val="000000"/>
          <w:spacing w:val="-2"/>
        </w:rPr>
        <w:t xml:space="preserve">thirteen </w:t>
      </w:r>
      <w:r w:rsidR="00250566">
        <w:rPr>
          <w:color w:val="000000"/>
          <w:spacing w:val="-2"/>
        </w:rPr>
        <w:t>thousand</w:t>
      </w:r>
      <w:r w:rsidR="00832FC6">
        <w:rPr>
          <w:color w:val="000000"/>
          <w:spacing w:val="-2"/>
        </w:rPr>
        <w:t>,</w:t>
      </w:r>
      <w:r w:rsidR="00312359">
        <w:rPr>
          <w:color w:val="000000"/>
          <w:spacing w:val="-2"/>
        </w:rPr>
        <w:t xml:space="preserve"> six hundred</w:t>
      </w:r>
      <w:r w:rsidRPr="002A7814">
        <w:rPr>
          <w:color w:val="000000"/>
          <w:spacing w:val="-2"/>
        </w:rPr>
        <w:t xml:space="preserve"> dollars ($</w:t>
      </w:r>
      <w:r w:rsidR="003A4914">
        <w:rPr>
          <w:color w:val="000000"/>
          <w:spacing w:val="-2"/>
        </w:rPr>
        <w:t>1</w:t>
      </w:r>
      <w:r w:rsidR="008B664C">
        <w:rPr>
          <w:color w:val="000000"/>
          <w:spacing w:val="-2"/>
        </w:rPr>
        <w:t>3,6</w:t>
      </w:r>
      <w:r w:rsidR="001F0226" w:rsidRPr="002A7814">
        <w:rPr>
          <w:color w:val="000000"/>
          <w:spacing w:val="-2"/>
        </w:rPr>
        <w:t>0</w:t>
      </w:r>
      <w:r w:rsidRPr="002A7814">
        <w:rPr>
          <w:color w:val="000000"/>
          <w:spacing w:val="-2"/>
        </w:rPr>
        <w:t xml:space="preserve">0) to </w:t>
      </w:r>
      <w:r w:rsidR="003A4914">
        <w:rPr>
          <w:color w:val="000000"/>
          <w:spacing w:val="-2"/>
        </w:rPr>
        <w:t>Brian R. Ragan</w:t>
      </w:r>
      <w:r w:rsidR="00B72609">
        <w:rPr>
          <w:color w:val="000000"/>
          <w:spacing w:val="-2"/>
        </w:rPr>
        <w:t>,</w:t>
      </w:r>
      <w:r w:rsidR="003A4914" w:rsidRPr="003A4914">
        <w:rPr>
          <w:rFonts w:eastAsia="PMingLiU"/>
          <w:color w:val="000000"/>
          <w:lang w:eastAsia="zh-TW"/>
        </w:rPr>
        <w:t xml:space="preserve"> </w:t>
      </w:r>
      <w:r w:rsidR="003A4914" w:rsidRPr="003A4914">
        <w:rPr>
          <w:color w:val="000000"/>
          <w:spacing w:val="-2"/>
        </w:rPr>
        <w:t xml:space="preserve">Licensee of Amateur Radio Station KF6EGI in </w:t>
      </w:r>
      <w:r w:rsidR="003A4914" w:rsidRPr="003A4914">
        <w:rPr>
          <w:rFonts w:hint="eastAsia"/>
          <w:color w:val="000000"/>
          <w:spacing w:val="-2"/>
        </w:rPr>
        <w:t>Suisun City</w:t>
      </w:r>
      <w:r w:rsidR="003A4914" w:rsidRPr="003A4914">
        <w:rPr>
          <w:color w:val="000000"/>
          <w:spacing w:val="-2"/>
        </w:rPr>
        <w:t xml:space="preserve">, California, </w:t>
      </w:r>
      <w:r w:rsidR="00373FCB">
        <w:rPr>
          <w:color w:val="000000"/>
          <w:spacing w:val="-2"/>
        </w:rPr>
        <w:t>for</w:t>
      </w:r>
      <w:r w:rsidR="003A4914" w:rsidRPr="003A4914">
        <w:rPr>
          <w:color w:val="000000"/>
          <w:spacing w:val="-2"/>
        </w:rPr>
        <w:t xml:space="preserve"> willfully</w:t>
      </w:r>
      <w:r w:rsidR="003A4914" w:rsidRPr="003A4914">
        <w:rPr>
          <w:rFonts w:hint="eastAsia"/>
          <w:color w:val="000000"/>
          <w:spacing w:val="-2"/>
        </w:rPr>
        <w:t xml:space="preserve"> </w:t>
      </w:r>
      <w:r w:rsidR="003A4914" w:rsidRPr="003A4914">
        <w:rPr>
          <w:color w:val="000000"/>
          <w:spacing w:val="-2"/>
        </w:rPr>
        <w:t xml:space="preserve">and repeatedly </w:t>
      </w:r>
      <w:r w:rsidR="00373FCB">
        <w:rPr>
          <w:color w:val="000000"/>
          <w:spacing w:val="-2"/>
        </w:rPr>
        <w:t xml:space="preserve">violating </w:t>
      </w:r>
      <w:r w:rsidR="003A4914" w:rsidRPr="003A4914">
        <w:rPr>
          <w:color w:val="000000"/>
          <w:spacing w:val="-2"/>
        </w:rPr>
        <w:t>Section</w:t>
      </w:r>
      <w:r w:rsidR="003A4914" w:rsidRPr="003A4914">
        <w:rPr>
          <w:rFonts w:hint="eastAsia"/>
          <w:color w:val="000000"/>
          <w:spacing w:val="-2"/>
        </w:rPr>
        <w:t xml:space="preserve"> 301 </w:t>
      </w:r>
      <w:r w:rsidR="003A4914" w:rsidRPr="003A4914">
        <w:rPr>
          <w:color w:val="000000"/>
          <w:spacing w:val="-2"/>
        </w:rPr>
        <w:t>of the Communications Act of 1934, as amended (Act),</w:t>
      </w:r>
      <w:r w:rsidR="003A4914" w:rsidRPr="003A4914">
        <w:rPr>
          <w:color w:val="000000"/>
          <w:spacing w:val="-2"/>
          <w:vertAlign w:val="superscript"/>
        </w:rPr>
        <w:footnoteReference w:id="2"/>
      </w:r>
      <w:r w:rsidR="003A4914" w:rsidRPr="003A4914">
        <w:rPr>
          <w:color w:val="000000"/>
          <w:spacing w:val="-2"/>
        </w:rPr>
        <w:t xml:space="preserve"> and </w:t>
      </w:r>
      <w:r w:rsidR="00373FCB">
        <w:rPr>
          <w:color w:val="000000"/>
          <w:spacing w:val="-2"/>
        </w:rPr>
        <w:t>for</w:t>
      </w:r>
      <w:r w:rsidR="003A4914" w:rsidRPr="003A4914">
        <w:rPr>
          <w:color w:val="000000"/>
          <w:spacing w:val="-2"/>
        </w:rPr>
        <w:t xml:space="preserve"> wi</w:t>
      </w:r>
      <w:r w:rsidR="00373FCB">
        <w:rPr>
          <w:color w:val="000000"/>
          <w:spacing w:val="-2"/>
        </w:rPr>
        <w:t>llfully violating</w:t>
      </w:r>
      <w:r w:rsidR="003A4914" w:rsidRPr="003A4914">
        <w:rPr>
          <w:color w:val="000000"/>
          <w:spacing w:val="-2"/>
        </w:rPr>
        <w:t xml:space="preserve"> Section 303(n) of the Act</w:t>
      </w:r>
      <w:r w:rsidR="00373FCB">
        <w:rPr>
          <w:color w:val="000000"/>
          <w:spacing w:val="-2"/>
        </w:rPr>
        <w:t>.</w:t>
      </w:r>
      <w:r w:rsidR="003A4914" w:rsidRPr="003A4914">
        <w:rPr>
          <w:color w:val="000000"/>
          <w:spacing w:val="-2"/>
          <w:vertAlign w:val="superscript"/>
        </w:rPr>
        <w:footnoteReference w:id="3"/>
      </w:r>
      <w:r w:rsidR="003A4914" w:rsidRPr="003A4914">
        <w:rPr>
          <w:color w:val="000000"/>
          <w:spacing w:val="-2"/>
        </w:rPr>
        <w:t xml:space="preserve"> </w:t>
      </w:r>
      <w:r w:rsidR="00373FCB">
        <w:rPr>
          <w:color w:val="000000"/>
          <w:spacing w:val="-2"/>
        </w:rPr>
        <w:t xml:space="preserve"> </w:t>
      </w:r>
      <w:r w:rsidR="002622B8" w:rsidRPr="002A7814">
        <w:rPr>
          <w:color w:val="000000"/>
          <w:spacing w:val="-2"/>
        </w:rPr>
        <w:t>The noted violation involved</w:t>
      </w:r>
      <w:r w:rsidR="00250566">
        <w:rPr>
          <w:color w:val="000000"/>
          <w:spacing w:val="-2"/>
        </w:rPr>
        <w:t xml:space="preserve"> </w:t>
      </w:r>
      <w:r w:rsidR="00373FCB">
        <w:rPr>
          <w:color w:val="000000"/>
          <w:spacing w:val="-2"/>
        </w:rPr>
        <w:t xml:space="preserve">Mr. Ragan’s operation of </w:t>
      </w:r>
      <w:r w:rsidR="00373FCB" w:rsidRPr="00373FCB">
        <w:rPr>
          <w:color w:val="000000"/>
          <w:spacing w:val="-2"/>
        </w:rPr>
        <w:t xml:space="preserve">an unlicensed radio transmitter on frequency 104.9 MHz, and </w:t>
      </w:r>
      <w:r w:rsidR="00373FCB">
        <w:rPr>
          <w:color w:val="000000"/>
          <w:spacing w:val="-2"/>
        </w:rPr>
        <w:t xml:space="preserve">his failure </w:t>
      </w:r>
      <w:r w:rsidR="00373FCB" w:rsidRPr="00373FCB">
        <w:rPr>
          <w:color w:val="000000"/>
          <w:spacing w:val="-2"/>
        </w:rPr>
        <w:t>to allow</w:t>
      </w:r>
      <w:r w:rsidR="00373FCB" w:rsidRPr="00373FCB">
        <w:rPr>
          <w:rFonts w:hint="eastAsia"/>
          <w:color w:val="000000"/>
          <w:spacing w:val="-2"/>
        </w:rPr>
        <w:t xml:space="preserve"> </w:t>
      </w:r>
      <w:r w:rsidR="00373FCB" w:rsidRPr="00373FCB">
        <w:rPr>
          <w:color w:val="000000"/>
          <w:spacing w:val="-2"/>
        </w:rPr>
        <w:t>an inspection of his station by FCC personnel.</w:t>
      </w:r>
      <w:r w:rsidR="001B5E6D" w:rsidRPr="00E34AAE">
        <w:rPr>
          <w:spacing w:val="-2"/>
        </w:rPr>
        <w:t xml:space="preserve"> </w:t>
      </w:r>
    </w:p>
    <w:p w:rsidR="00DE5386" w:rsidRPr="002A7814" w:rsidRDefault="00DE5386" w:rsidP="00A76318">
      <w:pPr>
        <w:tabs>
          <w:tab w:val="left" w:pos="0"/>
        </w:tabs>
        <w:suppressAutoHyphens/>
        <w:autoSpaceDE w:val="0"/>
        <w:autoSpaceDN w:val="0"/>
        <w:adjustRightInd w:val="0"/>
        <w:spacing w:line="240" w:lineRule="atLeast"/>
        <w:rPr>
          <w:color w:val="000000"/>
          <w:spacing w:val="-2"/>
        </w:rPr>
      </w:pPr>
    </w:p>
    <w:p w:rsidR="00DE5386" w:rsidRPr="002A7814" w:rsidRDefault="00DE5386" w:rsidP="00A76318">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rsidR="00DE5386" w:rsidRPr="002A7814" w:rsidRDefault="00DE5386" w:rsidP="00A76318">
      <w:pPr>
        <w:numPr>
          <w:ilvl w:val="0"/>
          <w:numId w:val="1"/>
        </w:numPr>
        <w:tabs>
          <w:tab w:val="clear" w:pos="1080"/>
          <w:tab w:val="left" w:pos="0"/>
          <w:tab w:val="num" w:pos="1440"/>
        </w:tabs>
        <w:suppressAutoHyphens/>
        <w:autoSpaceDE w:val="0"/>
        <w:autoSpaceDN w:val="0"/>
        <w:adjustRightInd w:val="0"/>
        <w:spacing w:line="240" w:lineRule="atLeast"/>
        <w:rPr>
          <w:color w:val="000000"/>
          <w:spacing w:val="-2"/>
        </w:rPr>
      </w:pPr>
      <w:r w:rsidRPr="002A7814">
        <w:rPr>
          <w:color w:val="000000"/>
          <w:spacing w:val="-2"/>
        </w:rPr>
        <w:t xml:space="preserve">On </w:t>
      </w:r>
      <w:r w:rsidR="00373FCB">
        <w:rPr>
          <w:color w:val="000000"/>
          <w:spacing w:val="-2"/>
        </w:rPr>
        <w:t xml:space="preserve">July </w:t>
      </w:r>
      <w:r w:rsidR="00747D0C">
        <w:rPr>
          <w:color w:val="000000"/>
          <w:spacing w:val="-2"/>
        </w:rPr>
        <w:t>2, 2012</w:t>
      </w:r>
      <w:r w:rsidRPr="002A7814">
        <w:rPr>
          <w:color w:val="000000"/>
          <w:spacing w:val="-2"/>
        </w:rPr>
        <w:t xml:space="preserve">, the Enforcement Bureau’s </w:t>
      </w:r>
      <w:r w:rsidR="00373FCB">
        <w:rPr>
          <w:color w:val="000000"/>
          <w:spacing w:val="-2"/>
        </w:rPr>
        <w:t>San Francisco Office</w:t>
      </w:r>
      <w:r w:rsidRPr="002A7814">
        <w:rPr>
          <w:color w:val="000000"/>
          <w:spacing w:val="-2"/>
        </w:rPr>
        <w:t xml:space="preserve"> (</w:t>
      </w:r>
      <w:r w:rsidR="00373FCB">
        <w:rPr>
          <w:color w:val="000000"/>
          <w:spacing w:val="-2"/>
        </w:rPr>
        <w:t xml:space="preserve">San Francisco </w:t>
      </w:r>
      <w:r w:rsidRPr="002A7814">
        <w:rPr>
          <w:color w:val="000000"/>
          <w:spacing w:val="-2"/>
        </w:rPr>
        <w:t>Office) issued a Notice of Apparent Liability for Forfeiture</w:t>
      </w:r>
      <w:r w:rsidR="00FB29D6">
        <w:rPr>
          <w:color w:val="000000"/>
          <w:spacing w:val="-2"/>
        </w:rPr>
        <w:t xml:space="preserve"> and Order</w:t>
      </w:r>
      <w:r w:rsidRPr="002A7814">
        <w:rPr>
          <w:color w:val="000000"/>
          <w:spacing w:val="-2"/>
        </w:rPr>
        <w:t xml:space="preserve"> (</w:t>
      </w:r>
      <w:r w:rsidRPr="00E26178">
        <w:rPr>
          <w:i/>
          <w:color w:val="000000"/>
          <w:spacing w:val="-2"/>
        </w:rPr>
        <w:t>NAL</w:t>
      </w:r>
      <w:r w:rsidRPr="002A7814">
        <w:rPr>
          <w:color w:val="000000"/>
          <w:spacing w:val="-2"/>
        </w:rPr>
        <w:t>)</w:t>
      </w:r>
      <w:r w:rsidRPr="002A7814">
        <w:rPr>
          <w:rStyle w:val="FootnoteReference"/>
          <w:color w:val="000000"/>
          <w:spacing w:val="-2"/>
          <w:sz w:val="22"/>
        </w:rPr>
        <w:t xml:space="preserve"> </w:t>
      </w:r>
      <w:r w:rsidRPr="002A7814">
        <w:rPr>
          <w:color w:val="000000"/>
          <w:spacing w:val="-2"/>
        </w:rPr>
        <w:t>for</w:t>
      </w:r>
      <w:r w:rsidR="00373FCB">
        <w:rPr>
          <w:color w:val="000000"/>
          <w:spacing w:val="-2"/>
        </w:rPr>
        <w:t xml:space="preserve"> seventeen</w:t>
      </w:r>
      <w:r w:rsidRPr="002A7814">
        <w:rPr>
          <w:color w:val="000000"/>
          <w:spacing w:val="-2"/>
        </w:rPr>
        <w:t xml:space="preserve"> thousand dollars ($</w:t>
      </w:r>
      <w:r w:rsidR="00373FCB">
        <w:rPr>
          <w:color w:val="000000"/>
          <w:spacing w:val="-2"/>
        </w:rPr>
        <w:t>17</w:t>
      </w:r>
      <w:r w:rsidR="00226B3D">
        <w:rPr>
          <w:color w:val="000000"/>
          <w:spacing w:val="-2"/>
        </w:rPr>
        <w:t>,</w:t>
      </w:r>
      <w:r w:rsidRPr="002A7814">
        <w:rPr>
          <w:color w:val="000000"/>
          <w:spacing w:val="-2"/>
        </w:rPr>
        <w:t xml:space="preserve">000) to </w:t>
      </w:r>
      <w:r w:rsidR="00373FCB">
        <w:rPr>
          <w:color w:val="000000"/>
          <w:spacing w:val="-2"/>
        </w:rPr>
        <w:t>Mr. Ragan</w:t>
      </w:r>
      <w:r w:rsidR="00FB29D6">
        <w:rPr>
          <w:color w:val="000000"/>
          <w:spacing w:val="-2"/>
        </w:rPr>
        <w:t xml:space="preserve"> for </w:t>
      </w:r>
      <w:r w:rsidR="00312359">
        <w:rPr>
          <w:color w:val="000000"/>
          <w:spacing w:val="-2"/>
        </w:rPr>
        <w:t>operating an</w:t>
      </w:r>
      <w:r w:rsidR="00373FCB">
        <w:rPr>
          <w:color w:val="000000"/>
          <w:spacing w:val="-2"/>
        </w:rPr>
        <w:t xml:space="preserve"> unlicensed radio station on </w:t>
      </w:r>
      <w:r w:rsidR="00FF6D19">
        <w:rPr>
          <w:color w:val="000000"/>
          <w:spacing w:val="-2"/>
        </w:rPr>
        <w:t xml:space="preserve">frequency </w:t>
      </w:r>
      <w:r w:rsidR="00373FCB">
        <w:rPr>
          <w:color w:val="000000"/>
          <w:spacing w:val="-2"/>
        </w:rPr>
        <w:t>104.9 MHz, and for failing to a</w:t>
      </w:r>
      <w:r w:rsidR="002E57BD">
        <w:rPr>
          <w:color w:val="000000"/>
          <w:spacing w:val="-2"/>
        </w:rPr>
        <w:t>llow FCC personnel to inspect</w:t>
      </w:r>
      <w:r w:rsidR="00373FCB">
        <w:rPr>
          <w:color w:val="000000"/>
          <w:spacing w:val="-2"/>
        </w:rPr>
        <w:t xml:space="preserve"> his station.</w:t>
      </w:r>
      <w:r w:rsidRPr="002A7814">
        <w:rPr>
          <w:rStyle w:val="FootnoteReference"/>
          <w:color w:val="000000"/>
          <w:spacing w:val="-2"/>
          <w:sz w:val="22"/>
        </w:rPr>
        <w:footnoteReference w:id="4"/>
      </w:r>
      <w:r w:rsidRPr="002A7814">
        <w:rPr>
          <w:color w:val="000000"/>
          <w:spacing w:val="-2"/>
        </w:rPr>
        <w:t xml:space="preserve">  In response to the </w:t>
      </w:r>
      <w:r w:rsidRPr="00FA5A31">
        <w:rPr>
          <w:i/>
          <w:color w:val="000000"/>
          <w:spacing w:val="-2"/>
        </w:rPr>
        <w:t>NAL</w:t>
      </w:r>
      <w:r w:rsidRPr="002A7814">
        <w:rPr>
          <w:color w:val="000000"/>
          <w:spacing w:val="-2"/>
        </w:rPr>
        <w:t xml:space="preserve">, </w:t>
      </w:r>
      <w:r w:rsidR="00373FCB">
        <w:rPr>
          <w:color w:val="000000"/>
          <w:spacing w:val="-2"/>
        </w:rPr>
        <w:t>Mr. Ragan does not</w:t>
      </w:r>
      <w:r w:rsidRPr="002A7814">
        <w:rPr>
          <w:color w:val="000000"/>
          <w:spacing w:val="-2"/>
        </w:rPr>
        <w:t xml:space="preserve"> deny the violations, but requests</w:t>
      </w:r>
      <w:r w:rsidR="00226B3D">
        <w:rPr>
          <w:color w:val="000000"/>
          <w:spacing w:val="-2"/>
        </w:rPr>
        <w:t xml:space="preserve"> </w:t>
      </w:r>
      <w:r w:rsidR="00832FC6">
        <w:rPr>
          <w:color w:val="000000"/>
          <w:spacing w:val="-2"/>
        </w:rPr>
        <w:t xml:space="preserve">a forfeiture </w:t>
      </w:r>
      <w:r w:rsidR="00226B3D">
        <w:rPr>
          <w:color w:val="000000"/>
          <w:spacing w:val="-2"/>
        </w:rPr>
        <w:t xml:space="preserve">reduction because </w:t>
      </w:r>
      <w:r w:rsidR="00373FCB">
        <w:rPr>
          <w:color w:val="000000"/>
          <w:spacing w:val="-2"/>
        </w:rPr>
        <w:t>he had no malicious intent in his operation, and because the proposed forfeiture is a harsh penalty for someone w</w:t>
      </w:r>
      <w:r w:rsidR="00312359">
        <w:rPr>
          <w:color w:val="000000"/>
          <w:spacing w:val="-2"/>
        </w:rPr>
        <w:t>ho immediately complied with a</w:t>
      </w:r>
      <w:r w:rsidR="00373FCB">
        <w:rPr>
          <w:color w:val="000000"/>
          <w:spacing w:val="-2"/>
        </w:rPr>
        <w:t xml:space="preserve"> Notice of Unlicensed Operation.</w:t>
      </w:r>
      <w:r w:rsidRPr="002A7814">
        <w:rPr>
          <w:rStyle w:val="FootnoteReference"/>
          <w:color w:val="000000"/>
          <w:spacing w:val="-2"/>
          <w:sz w:val="22"/>
        </w:rPr>
        <w:footnoteReference w:id="5"/>
      </w:r>
      <w:r w:rsidRPr="002A7814">
        <w:rPr>
          <w:color w:val="000000"/>
          <w:spacing w:val="-2"/>
        </w:rPr>
        <w:t xml:space="preserve">      </w:t>
      </w:r>
    </w:p>
    <w:p w:rsidR="00DE5386" w:rsidRPr="002A7814" w:rsidRDefault="00DE5386" w:rsidP="00A76318">
      <w:pPr>
        <w:tabs>
          <w:tab w:val="left" w:pos="0"/>
        </w:tabs>
        <w:suppressAutoHyphens/>
        <w:autoSpaceDE w:val="0"/>
        <w:autoSpaceDN w:val="0"/>
        <w:adjustRightInd w:val="0"/>
        <w:spacing w:line="240" w:lineRule="atLeast"/>
        <w:rPr>
          <w:color w:val="000000"/>
          <w:spacing w:val="-2"/>
        </w:rPr>
      </w:pPr>
    </w:p>
    <w:p w:rsidR="00DE5386" w:rsidRPr="002A7814" w:rsidRDefault="00DE5386" w:rsidP="00A76318">
      <w:pPr>
        <w:numPr>
          <w:ilvl w:val="0"/>
          <w:numId w:val="3"/>
        </w:numPr>
        <w:tabs>
          <w:tab w:val="clear" w:pos="1080"/>
          <w:tab w:val="num" w:pos="450"/>
        </w:tabs>
        <w:suppressAutoHyphens/>
        <w:autoSpaceDE w:val="0"/>
        <w:autoSpaceDN w:val="0"/>
        <w:adjustRightInd w:val="0"/>
        <w:spacing w:after="120" w:line="240" w:lineRule="atLeast"/>
        <w:ind w:left="0" w:firstLine="0"/>
        <w:rPr>
          <w:b/>
          <w:color w:val="000000"/>
          <w:spacing w:val="-2"/>
        </w:rPr>
      </w:pPr>
      <w:r w:rsidRPr="002A7814">
        <w:rPr>
          <w:b/>
          <w:color w:val="000000"/>
          <w:spacing w:val="-2"/>
        </w:rPr>
        <w:tab/>
        <w:t>DISCUSSION</w:t>
      </w:r>
    </w:p>
    <w:p w:rsidR="00580574" w:rsidRDefault="00DE5386" w:rsidP="00580574">
      <w:pPr>
        <w:numPr>
          <w:ilvl w:val="0"/>
          <w:numId w:val="1"/>
        </w:numPr>
        <w:tabs>
          <w:tab w:val="clear" w:pos="1080"/>
          <w:tab w:val="num" w:pos="1440"/>
          <w:tab w:val="left" w:pos="4680"/>
          <w:tab w:val="left" w:pos="5760"/>
        </w:tabs>
        <w:autoSpaceDE w:val="0"/>
        <w:autoSpaceDN w:val="0"/>
        <w:adjustRightInd w:val="0"/>
        <w:spacing w:after="120" w:line="226" w:lineRule="auto"/>
        <w:rPr>
          <w:color w:val="000000"/>
          <w:spacing w:val="-2"/>
        </w:rPr>
      </w:pPr>
      <w:r w:rsidRPr="002A7814">
        <w:rPr>
          <w:color w:val="000000"/>
          <w:spacing w:val="-2"/>
        </w:rPr>
        <w:t>The proposed forfeiture amount in this case was assessed in accord</w:t>
      </w:r>
      <w:r w:rsidR="00312359">
        <w:rPr>
          <w:color w:val="000000"/>
          <w:spacing w:val="-2"/>
        </w:rPr>
        <w:t xml:space="preserve">ance with Section 503(b) of the </w:t>
      </w:r>
      <w:r w:rsidRPr="002A7814">
        <w:rPr>
          <w:color w:val="000000"/>
          <w:spacing w:val="-2"/>
        </w:rPr>
        <w:t>Act,</w:t>
      </w:r>
      <w:r w:rsidRPr="002A7814">
        <w:rPr>
          <w:rStyle w:val="FootnoteReference"/>
          <w:color w:val="000000"/>
          <w:spacing w:val="-2"/>
          <w:sz w:val="22"/>
        </w:rPr>
        <w:footnoteReference w:id="6"/>
      </w:r>
      <w:r w:rsidRPr="002A7814">
        <w:rPr>
          <w:color w:val="000000"/>
          <w:spacing w:val="-2"/>
        </w:rPr>
        <w:t xml:space="preserve"> Section 1.80 of the Commission’s rules (Rules),</w:t>
      </w:r>
      <w:r w:rsidRPr="002A7814">
        <w:rPr>
          <w:rStyle w:val="FootnoteReference"/>
          <w:color w:val="000000"/>
          <w:spacing w:val="-2"/>
          <w:sz w:val="22"/>
        </w:rPr>
        <w:footnoteReference w:id="7"/>
      </w:r>
      <w:r w:rsidRPr="002A7814">
        <w:rPr>
          <w:color w:val="000000"/>
          <w:spacing w:val="-2"/>
        </w:rPr>
        <w:t xml:space="preserve"> and the </w:t>
      </w:r>
      <w:r w:rsidRPr="00F23733">
        <w:rPr>
          <w:i/>
          <w:color w:val="000000"/>
          <w:spacing w:val="-2"/>
        </w:rPr>
        <w:t>Forfeiture Policy Statement</w:t>
      </w:r>
      <w:r w:rsidRPr="002A7814">
        <w:rPr>
          <w:color w:val="000000"/>
          <w:spacing w:val="-2"/>
        </w:rPr>
        <w:t>.</w:t>
      </w:r>
      <w:r w:rsidRPr="002A7814">
        <w:rPr>
          <w:rStyle w:val="FootnoteReference"/>
          <w:color w:val="000000"/>
          <w:spacing w:val="-2"/>
          <w:sz w:val="22"/>
        </w:rPr>
        <w:footnoteReference w:id="8"/>
      </w:r>
      <w:r w:rsidRPr="002A7814">
        <w:rPr>
          <w:color w:val="000000"/>
          <w:spacing w:val="-2"/>
        </w:rPr>
        <w:t xml:space="preserve">  </w:t>
      </w:r>
      <w:r w:rsidRPr="002A7814">
        <w:rPr>
          <w:color w:val="000000"/>
          <w:spacing w:val="-2"/>
        </w:rPr>
        <w:lastRenderedPageBreak/>
        <w:t xml:space="preserve">In examining </w:t>
      </w:r>
      <w:r w:rsidR="00373FCB">
        <w:rPr>
          <w:color w:val="000000"/>
          <w:spacing w:val="-2"/>
        </w:rPr>
        <w:t>Mr. Ragan’s</w:t>
      </w:r>
      <w:r w:rsidRPr="002A7814">
        <w:rPr>
          <w:color w:val="000000"/>
          <w:spacing w:val="-2"/>
        </w:rPr>
        <w:t xml:space="preserve"> response,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2A7814">
        <w:rPr>
          <w:rStyle w:val="FootnoteReference"/>
          <w:color w:val="000000"/>
          <w:spacing w:val="-2"/>
          <w:sz w:val="22"/>
        </w:rPr>
        <w:footnoteReference w:id="9"/>
      </w:r>
      <w:r w:rsidRPr="002A7814">
        <w:rPr>
          <w:color w:val="000000"/>
          <w:spacing w:val="-2"/>
        </w:rPr>
        <w:t xml:space="preserve">  </w:t>
      </w:r>
    </w:p>
    <w:p w:rsidR="00580574" w:rsidRPr="00580574" w:rsidRDefault="00DE5386" w:rsidP="00580574">
      <w:pPr>
        <w:numPr>
          <w:ilvl w:val="0"/>
          <w:numId w:val="1"/>
        </w:numPr>
        <w:tabs>
          <w:tab w:val="clear" w:pos="1080"/>
          <w:tab w:val="num" w:pos="1440"/>
          <w:tab w:val="left" w:pos="4680"/>
          <w:tab w:val="left" w:pos="5760"/>
        </w:tabs>
        <w:autoSpaceDE w:val="0"/>
        <w:autoSpaceDN w:val="0"/>
        <w:adjustRightInd w:val="0"/>
        <w:spacing w:after="120" w:line="226" w:lineRule="auto"/>
        <w:rPr>
          <w:color w:val="000000"/>
          <w:spacing w:val="-2"/>
        </w:rPr>
      </w:pPr>
      <w:r w:rsidRPr="00F07DF9">
        <w:rPr>
          <w:color w:val="000000"/>
        </w:rPr>
        <w:t xml:space="preserve">We affirm the </w:t>
      </w:r>
      <w:r w:rsidRPr="00745774">
        <w:rPr>
          <w:i/>
          <w:color w:val="000000"/>
        </w:rPr>
        <w:t>NAL</w:t>
      </w:r>
      <w:r w:rsidRPr="00F07DF9">
        <w:rPr>
          <w:color w:val="000000"/>
        </w:rPr>
        <w:t>’s finding that</w:t>
      </w:r>
      <w:r w:rsidR="00160E82">
        <w:rPr>
          <w:color w:val="000000"/>
        </w:rPr>
        <w:t xml:space="preserve"> </w:t>
      </w:r>
      <w:r w:rsidR="0099661D">
        <w:rPr>
          <w:color w:val="000000"/>
        </w:rPr>
        <w:t>Mr. Ragan</w:t>
      </w:r>
      <w:r w:rsidRPr="00F07DF9">
        <w:rPr>
          <w:color w:val="000000"/>
        </w:rPr>
        <w:t xml:space="preserve"> violated Section</w:t>
      </w:r>
      <w:r w:rsidR="00A50CE6">
        <w:rPr>
          <w:color w:val="000000"/>
        </w:rPr>
        <w:t>s 301 and 303(n)</w:t>
      </w:r>
      <w:r w:rsidR="0066026B" w:rsidRPr="00F07DF9">
        <w:rPr>
          <w:color w:val="000000"/>
        </w:rPr>
        <w:t xml:space="preserve"> of the</w:t>
      </w:r>
      <w:r w:rsidR="00A50CE6">
        <w:rPr>
          <w:color w:val="000000"/>
        </w:rPr>
        <w:t xml:space="preserve"> Act</w:t>
      </w:r>
      <w:r w:rsidRPr="00F07DF9">
        <w:rPr>
          <w:color w:val="000000"/>
        </w:rPr>
        <w:t>.</w:t>
      </w:r>
      <w:r w:rsidRPr="00F07DF9">
        <w:rPr>
          <w:rStyle w:val="FootnoteReference"/>
          <w:color w:val="000000"/>
          <w:sz w:val="22"/>
        </w:rPr>
        <w:footnoteReference w:id="10"/>
      </w:r>
      <w:r w:rsidRPr="00F07DF9">
        <w:rPr>
          <w:color w:val="000000"/>
        </w:rPr>
        <w:t xml:space="preserve">  </w:t>
      </w:r>
      <w:r w:rsidR="0099661D" w:rsidRPr="0099661D">
        <w:rPr>
          <w:color w:val="000000"/>
        </w:rPr>
        <w:t>Section 301 of the Act states that no person shall use or operate any apparatus for the transmission of energy or communications or signals by radio within the United States, except under and in accordance with the Act and with a license granted under the provisions of the Act.</w:t>
      </w:r>
      <w:r w:rsidR="0099661D" w:rsidRPr="0099661D">
        <w:rPr>
          <w:color w:val="000000"/>
          <w:vertAlign w:val="superscript"/>
        </w:rPr>
        <w:footnoteReference w:id="11"/>
      </w:r>
      <w:r w:rsidR="0099661D" w:rsidRPr="0099661D">
        <w:rPr>
          <w:color w:val="000000"/>
        </w:rPr>
        <w:t xml:space="preserve"> </w:t>
      </w:r>
      <w:r w:rsidR="00DA3140">
        <w:rPr>
          <w:color w:val="000000"/>
        </w:rPr>
        <w:t xml:space="preserve"> </w:t>
      </w:r>
      <w:r w:rsidR="0099661D" w:rsidRPr="0099661D">
        <w:rPr>
          <w:color w:val="000000"/>
        </w:rPr>
        <w:t>Section 30</w:t>
      </w:r>
      <w:r w:rsidR="0099661D" w:rsidRPr="0099661D">
        <w:rPr>
          <w:rFonts w:hint="eastAsia"/>
          <w:color w:val="000000"/>
        </w:rPr>
        <w:t>3(n)</w:t>
      </w:r>
      <w:r w:rsidR="0099661D" w:rsidRPr="0099661D">
        <w:rPr>
          <w:color w:val="000000"/>
        </w:rPr>
        <w:t xml:space="preserve"> of the Act states that agents of the </w:t>
      </w:r>
      <w:r w:rsidR="0099661D" w:rsidRPr="0099661D">
        <w:rPr>
          <w:rFonts w:hint="eastAsia"/>
          <w:color w:val="000000"/>
        </w:rPr>
        <w:t>FCC h</w:t>
      </w:r>
      <w:r w:rsidR="0099661D" w:rsidRPr="0099661D">
        <w:rPr>
          <w:color w:val="000000"/>
        </w:rPr>
        <w:t>ave authority to inspect all radio installations associated with stations required to be licensed or authorized by the Act.</w:t>
      </w:r>
      <w:r w:rsidR="0099661D" w:rsidRPr="0099661D">
        <w:rPr>
          <w:color w:val="000000"/>
          <w:vertAlign w:val="superscript"/>
        </w:rPr>
        <w:footnoteReference w:id="12"/>
      </w:r>
      <w:r w:rsidR="0099661D" w:rsidRPr="0099661D">
        <w:rPr>
          <w:color w:val="000000"/>
        </w:rPr>
        <w:t xml:space="preserve">   </w:t>
      </w:r>
    </w:p>
    <w:p w:rsidR="00DE5386" w:rsidRPr="00160E82" w:rsidRDefault="00DE5386" w:rsidP="00160E82">
      <w:pPr>
        <w:widowControl w:val="0"/>
        <w:numPr>
          <w:ilvl w:val="0"/>
          <w:numId w:val="1"/>
        </w:numPr>
        <w:tabs>
          <w:tab w:val="clear" w:pos="1080"/>
          <w:tab w:val="num" w:pos="1440"/>
          <w:tab w:val="left" w:pos="4680"/>
          <w:tab w:val="left" w:pos="5760"/>
        </w:tabs>
        <w:autoSpaceDE w:val="0"/>
        <w:autoSpaceDN w:val="0"/>
        <w:adjustRightInd w:val="0"/>
        <w:spacing w:after="120" w:line="226" w:lineRule="auto"/>
      </w:pPr>
      <w:r w:rsidRPr="00F07DF9">
        <w:rPr>
          <w:rStyle w:val="documentbody1"/>
          <w:rFonts w:ascii="Times New Roman" w:hAnsi="Times New Roman"/>
          <w:color w:val="000000"/>
          <w:sz w:val="22"/>
          <w:szCs w:val="22"/>
        </w:rPr>
        <w:t xml:space="preserve">As reflected in the </w:t>
      </w:r>
      <w:r w:rsidRPr="00745774">
        <w:rPr>
          <w:rStyle w:val="documentbody1"/>
          <w:rFonts w:ascii="Times New Roman" w:hAnsi="Times New Roman"/>
          <w:i/>
          <w:color w:val="000000"/>
          <w:sz w:val="22"/>
          <w:szCs w:val="22"/>
        </w:rPr>
        <w:t>NAL</w:t>
      </w:r>
      <w:r w:rsidRPr="00F07DF9">
        <w:rPr>
          <w:rStyle w:val="documentbody1"/>
          <w:rFonts w:ascii="Times New Roman" w:hAnsi="Times New Roman"/>
          <w:color w:val="000000"/>
          <w:sz w:val="22"/>
          <w:szCs w:val="22"/>
        </w:rPr>
        <w:t xml:space="preserve">, </w:t>
      </w:r>
      <w:r w:rsidR="003C4BB4">
        <w:rPr>
          <w:color w:val="000000"/>
        </w:rPr>
        <w:t>o</w:t>
      </w:r>
      <w:r w:rsidR="003C4BB4" w:rsidRPr="003C4BB4">
        <w:rPr>
          <w:color w:val="000000"/>
        </w:rPr>
        <w:t xml:space="preserve">n </w:t>
      </w:r>
      <w:r w:rsidR="003C4BB4" w:rsidRPr="003C4BB4">
        <w:rPr>
          <w:iCs/>
          <w:color w:val="000000"/>
        </w:rPr>
        <w:t>February 4 and February 25</w:t>
      </w:r>
      <w:r w:rsidR="003C4BB4" w:rsidRPr="003C4BB4">
        <w:rPr>
          <w:color w:val="000000"/>
        </w:rPr>
        <w:t>, 201</w:t>
      </w:r>
      <w:r w:rsidR="003C4BB4" w:rsidRPr="003C4BB4">
        <w:rPr>
          <w:rFonts w:hint="eastAsia"/>
          <w:color w:val="000000"/>
        </w:rPr>
        <w:t>2</w:t>
      </w:r>
      <w:r w:rsidR="003C4BB4" w:rsidRPr="003C4BB4">
        <w:rPr>
          <w:color w:val="000000"/>
        </w:rPr>
        <w:t>, Mr. Ragan operated an unlicensed radio station on frequency 104.9 MHz from his residence.</w:t>
      </w:r>
      <w:r w:rsidR="00312359">
        <w:rPr>
          <w:rStyle w:val="FootnoteReference"/>
          <w:color w:val="000000"/>
        </w:rPr>
        <w:footnoteReference w:id="13"/>
      </w:r>
      <w:r w:rsidR="003C4BB4" w:rsidRPr="003C4BB4">
        <w:rPr>
          <w:color w:val="000000"/>
        </w:rPr>
        <w:t xml:space="preserve">  Mr. Ragan admitted to operating the unlicensed radio station to a </w:t>
      </w:r>
      <w:smartTag w:uri="urn:schemas-microsoft-com:office:smarttags" w:element="City">
        <w:smartTag w:uri="urn:schemas-microsoft-com:office:smarttags" w:element="place">
          <w:r w:rsidR="003C4BB4" w:rsidRPr="003C4BB4">
            <w:rPr>
              <w:color w:val="000000"/>
            </w:rPr>
            <w:t>San Francisco</w:t>
          </w:r>
        </w:smartTag>
      </w:smartTag>
      <w:r w:rsidR="003C4BB4" w:rsidRPr="003C4BB4">
        <w:rPr>
          <w:color w:val="000000"/>
        </w:rPr>
        <w:t xml:space="preserve"> agent and acknowledged that the operation had been ongoing for six months.</w:t>
      </w:r>
      <w:r w:rsidR="00312359">
        <w:rPr>
          <w:rStyle w:val="FootnoteReference"/>
          <w:color w:val="000000"/>
        </w:rPr>
        <w:footnoteReference w:id="14"/>
      </w:r>
      <w:r w:rsidR="003C4BB4" w:rsidRPr="003C4BB4">
        <w:rPr>
          <w:color w:val="000000"/>
        </w:rPr>
        <w:t xml:space="preserve">  A review of the Commission’s records revealed that Mr. Ragan did not have a license to operate a radio station on frequency 104.9 MHz at that location.  On February 25, 2012, Mr. Ragan refused to make his radio station available to a Commission agent for inspection.</w:t>
      </w:r>
      <w:r w:rsidR="00312359">
        <w:rPr>
          <w:rStyle w:val="FootnoteReference"/>
          <w:color w:val="000000"/>
        </w:rPr>
        <w:footnoteReference w:id="15"/>
      </w:r>
      <w:r w:rsidR="003C4BB4" w:rsidRPr="003C4BB4">
        <w:rPr>
          <w:color w:val="000000"/>
        </w:rPr>
        <w:t xml:space="preserve">  On February 27, 2012, Mr. Ragan acknowledged to a </w:t>
      </w:r>
      <w:smartTag w:uri="urn:schemas-microsoft-com:office:smarttags" w:element="place">
        <w:smartTag w:uri="urn:schemas-microsoft-com:office:smarttags" w:element="City">
          <w:r w:rsidR="003C4BB4" w:rsidRPr="003C4BB4">
            <w:rPr>
              <w:color w:val="000000"/>
            </w:rPr>
            <w:t>San Francisco</w:t>
          </w:r>
        </w:smartTag>
      </w:smartTag>
      <w:r w:rsidR="003C4BB4" w:rsidRPr="003C4BB4">
        <w:rPr>
          <w:color w:val="000000"/>
        </w:rPr>
        <w:t xml:space="preserve"> agent that he was aware that the FCC was requesting an inspection, but chose not to respond to the request.</w:t>
      </w:r>
      <w:r w:rsidR="005C3EDE">
        <w:rPr>
          <w:rStyle w:val="FootnoteReference"/>
          <w:color w:val="000000"/>
        </w:rPr>
        <w:footnoteReference w:id="16"/>
      </w:r>
      <w:r w:rsidR="003C4BB4" w:rsidRPr="003C4BB4">
        <w:rPr>
          <w:color w:val="000000"/>
        </w:rPr>
        <w:t xml:space="preserve">  Mr. Ragan possesses an FCC amateur radio license (KF6EGI), a Technician Class, and has been licensed by the FCC since 2006.  Mr. Ragan, as a licensed amateur radio operator for at least six years, should be aware that any radio equipment at his station must be made available for inspection at any time when requested by the FCC,</w:t>
      </w:r>
      <w:r w:rsidR="003C4BB4" w:rsidRPr="003C4BB4">
        <w:rPr>
          <w:color w:val="000000"/>
          <w:vertAlign w:val="superscript"/>
        </w:rPr>
        <w:footnoteReference w:id="17"/>
      </w:r>
      <w:r w:rsidR="003C4BB4" w:rsidRPr="003C4BB4">
        <w:rPr>
          <w:color w:val="000000"/>
        </w:rPr>
        <w:t xml:space="preserve"> and also should be aware of the proper operation of his amateur station in accordance with the Rules.</w:t>
      </w:r>
      <w:r w:rsidR="003C4BB4" w:rsidRPr="003C4BB4">
        <w:rPr>
          <w:color w:val="000000"/>
          <w:vertAlign w:val="superscript"/>
        </w:rPr>
        <w:footnoteReference w:id="18"/>
      </w:r>
      <w:r w:rsidR="003C4BB4" w:rsidRPr="003C4BB4">
        <w:rPr>
          <w:color w:val="000000"/>
        </w:rPr>
        <w:t xml:space="preserve">  </w:t>
      </w:r>
      <w:r w:rsidR="00580574" w:rsidRPr="00E34AAE">
        <w:rPr>
          <w:spacing w:val="-2"/>
        </w:rPr>
        <w:t xml:space="preserve">Based on the evidence before us, we find that </w:t>
      </w:r>
      <w:r w:rsidR="00FF2999">
        <w:rPr>
          <w:spacing w:val="-2"/>
        </w:rPr>
        <w:t>Mr. Ragan</w:t>
      </w:r>
      <w:r w:rsidR="00580574">
        <w:rPr>
          <w:b/>
          <w:color w:val="FF00FF"/>
          <w:spacing w:val="-2"/>
        </w:rPr>
        <w:t xml:space="preserve"> </w:t>
      </w:r>
      <w:r w:rsidR="00580574" w:rsidRPr="008D439F">
        <w:rPr>
          <w:spacing w:val="-2"/>
        </w:rPr>
        <w:t>willfully</w:t>
      </w:r>
      <w:r w:rsidR="00580574">
        <w:rPr>
          <w:spacing w:val="-2"/>
        </w:rPr>
        <w:t xml:space="preserve"> and repeatedly violated S</w:t>
      </w:r>
      <w:r w:rsidR="00580574" w:rsidRPr="00E34AAE">
        <w:rPr>
          <w:spacing w:val="-2"/>
        </w:rPr>
        <w:t>ection</w:t>
      </w:r>
      <w:r w:rsidR="00580574">
        <w:rPr>
          <w:spacing w:val="-2"/>
        </w:rPr>
        <w:t xml:space="preserve"> </w:t>
      </w:r>
      <w:r w:rsidR="00FF2999">
        <w:rPr>
          <w:spacing w:val="-2"/>
        </w:rPr>
        <w:t>301</w:t>
      </w:r>
      <w:r w:rsidR="00580574" w:rsidRPr="00E34AAE">
        <w:rPr>
          <w:spacing w:val="-2"/>
        </w:rPr>
        <w:t xml:space="preserve"> of the</w:t>
      </w:r>
      <w:r w:rsidR="00FF2999">
        <w:rPr>
          <w:spacing w:val="-2"/>
        </w:rPr>
        <w:t xml:space="preserve"> Act</w:t>
      </w:r>
      <w:r w:rsidR="00580574" w:rsidRPr="00E34AAE">
        <w:rPr>
          <w:spacing w:val="-2"/>
        </w:rPr>
        <w:t xml:space="preserve"> </w:t>
      </w:r>
      <w:r w:rsidR="00FF2999">
        <w:rPr>
          <w:spacing w:val="-2"/>
        </w:rPr>
        <w:t xml:space="preserve">by operating an </w:t>
      </w:r>
      <w:r w:rsidR="00FF2999" w:rsidRPr="00FF2999">
        <w:rPr>
          <w:spacing w:val="-2"/>
        </w:rPr>
        <w:t>unlicensed radio station on frequency 104.9 MHz</w:t>
      </w:r>
      <w:r w:rsidR="00FF2999">
        <w:rPr>
          <w:spacing w:val="-2"/>
        </w:rPr>
        <w:t>, and willfully violated Section 303(n) of the Act by failing to make his station available for inspection by FCC personnel</w:t>
      </w:r>
      <w:r w:rsidR="00580574">
        <w:rPr>
          <w:spacing w:val="-2"/>
        </w:rPr>
        <w:t>.</w:t>
      </w:r>
      <w:r w:rsidR="00DD5284" w:rsidRPr="00F07DF9">
        <w:rPr>
          <w:rStyle w:val="FootnoteReference"/>
          <w:color w:val="000000"/>
          <w:sz w:val="22"/>
        </w:rPr>
        <w:footnoteReference w:id="19"/>
      </w:r>
      <w:r w:rsidR="00160E82">
        <w:rPr>
          <w:color w:val="000000"/>
        </w:rPr>
        <w:t xml:space="preserve"> </w:t>
      </w:r>
      <w:r w:rsidR="0061124B" w:rsidRPr="00F07DF9">
        <w:rPr>
          <w:color w:val="000000"/>
        </w:rPr>
        <w:t xml:space="preserve">         </w:t>
      </w:r>
      <w:r w:rsidRPr="00F07DF9">
        <w:rPr>
          <w:color w:val="000000"/>
        </w:rPr>
        <w:t xml:space="preserve"> </w:t>
      </w:r>
    </w:p>
    <w:p w:rsidR="008347E0" w:rsidRPr="008347E0" w:rsidRDefault="00DE5386" w:rsidP="00B41224">
      <w:pPr>
        <w:pStyle w:val="ParaNum"/>
        <w:widowControl w:val="0"/>
        <w:numPr>
          <w:ilvl w:val="0"/>
          <w:numId w:val="1"/>
        </w:numPr>
        <w:tabs>
          <w:tab w:val="clear" w:pos="1080"/>
        </w:tabs>
        <w:spacing w:after="120"/>
        <w:rPr>
          <w:b/>
        </w:rPr>
      </w:pPr>
      <w:r w:rsidRPr="00624567">
        <w:rPr>
          <w:color w:val="000000"/>
        </w:rPr>
        <w:t xml:space="preserve">In response to the </w:t>
      </w:r>
      <w:r w:rsidRPr="00624567">
        <w:rPr>
          <w:i/>
          <w:color w:val="000000"/>
        </w:rPr>
        <w:t>NAL</w:t>
      </w:r>
      <w:r w:rsidR="0061124B" w:rsidRPr="00624567">
        <w:rPr>
          <w:color w:val="000000"/>
        </w:rPr>
        <w:t xml:space="preserve">, </w:t>
      </w:r>
      <w:r w:rsidR="00FF2999">
        <w:rPr>
          <w:color w:val="000000"/>
        </w:rPr>
        <w:t>Mr. Ragan</w:t>
      </w:r>
      <w:r w:rsidRPr="00624567">
        <w:rPr>
          <w:color w:val="000000"/>
        </w:rPr>
        <w:t xml:space="preserve"> requests reduction of the $</w:t>
      </w:r>
      <w:r w:rsidR="00FF2999">
        <w:rPr>
          <w:color w:val="000000"/>
        </w:rPr>
        <w:t>17</w:t>
      </w:r>
      <w:r w:rsidRPr="00624567">
        <w:rPr>
          <w:color w:val="000000"/>
        </w:rPr>
        <w:t xml:space="preserve">,000 forfeiture, </w:t>
      </w:r>
      <w:r w:rsidR="001557D7" w:rsidRPr="00624567">
        <w:t>first argu</w:t>
      </w:r>
      <w:r w:rsidR="005269A2" w:rsidRPr="00624567">
        <w:t>ing that</w:t>
      </w:r>
      <w:r w:rsidR="00FF2999" w:rsidRPr="00FF2999">
        <w:t xml:space="preserve"> he had no malicious intent in his operation</w:t>
      </w:r>
      <w:r w:rsidR="00FF2999">
        <w:t xml:space="preserve">. </w:t>
      </w:r>
      <w:r w:rsidR="002E57BD">
        <w:t xml:space="preserve"> </w:t>
      </w:r>
      <w:r w:rsidR="008347E0" w:rsidRPr="008347E0">
        <w:t xml:space="preserve">Under the applicable statute, the Commission need not demonstrate an intent to violate a rule to make a finding that a licensee engaged in willful misconduct.  As stated in the </w:t>
      </w:r>
      <w:r w:rsidR="008347E0" w:rsidRPr="008347E0">
        <w:rPr>
          <w:i/>
        </w:rPr>
        <w:t>NAL</w:t>
      </w:r>
      <w:r w:rsidR="008347E0" w:rsidRPr="008347E0">
        <w:t>, Section 312(f)(1) of the Act,</w:t>
      </w:r>
      <w:r w:rsidR="008347E0" w:rsidRPr="008347E0">
        <w:rPr>
          <w:vertAlign w:val="superscript"/>
        </w:rPr>
        <w:footnoteReference w:id="20"/>
      </w:r>
      <w:r w:rsidR="008347E0" w:rsidRPr="008347E0">
        <w:t xml:space="preserve"> which applies to violations for which forfeitures are assessed under Section 503(b) of the Act, provides that “[</w:t>
      </w:r>
      <w:r w:rsidR="00D854BD">
        <w:t>a</w:t>
      </w:r>
      <w:r w:rsidR="008347E0" w:rsidRPr="008347E0">
        <w:t>]</w:t>
      </w:r>
      <w:r w:rsidR="00D854BD">
        <w:t xml:space="preserve">s defined[,] . . . </w:t>
      </w:r>
      <w:r w:rsidR="008347E0" w:rsidRPr="008347E0">
        <w:t>‘willful’</w:t>
      </w:r>
      <w:r w:rsidR="00D854BD">
        <w:t xml:space="preserve"> means that the licensee knew that he was doing the act in question, regardless of whether there was an intent to violate the law.”</w:t>
      </w:r>
      <w:r w:rsidR="008347E0" w:rsidRPr="008347E0">
        <w:rPr>
          <w:vertAlign w:val="superscript"/>
        </w:rPr>
        <w:footnoteReference w:id="21"/>
      </w:r>
      <w:r w:rsidR="008347E0" w:rsidRPr="008347E0">
        <w:t xml:space="preserve">  As the facts are undisputed that </w:t>
      </w:r>
      <w:r w:rsidR="008347E0">
        <w:t>Mr. Ragan</w:t>
      </w:r>
      <w:r w:rsidR="008347E0" w:rsidRPr="008347E0">
        <w:t xml:space="preserve"> operated the </w:t>
      </w:r>
      <w:r w:rsidR="008347E0">
        <w:t>station</w:t>
      </w:r>
      <w:r w:rsidR="008347E0" w:rsidRPr="008347E0">
        <w:t xml:space="preserve"> on frequency </w:t>
      </w:r>
      <w:r w:rsidR="008347E0">
        <w:t xml:space="preserve">104.9 </w:t>
      </w:r>
      <w:r w:rsidR="008347E0" w:rsidRPr="008347E0">
        <w:rPr>
          <w:iCs/>
        </w:rPr>
        <w:t xml:space="preserve">MHz </w:t>
      </w:r>
      <w:r w:rsidR="008347E0" w:rsidRPr="008347E0">
        <w:t>on the dates in question without Commission</w:t>
      </w:r>
      <w:r w:rsidR="005C3EDE">
        <w:t xml:space="preserve"> authorization, we find that his</w:t>
      </w:r>
      <w:r w:rsidR="008347E0" w:rsidRPr="008347E0">
        <w:t xml:space="preserve"> violation of Sectio</w:t>
      </w:r>
      <w:r w:rsidR="005C3EDE">
        <w:t xml:space="preserve">n 301 of the Act was therefore </w:t>
      </w:r>
      <w:r w:rsidR="008347E0" w:rsidRPr="008347E0">
        <w:t>willful</w:t>
      </w:r>
      <w:r w:rsidR="005C3EDE">
        <w:t xml:space="preserve"> </w:t>
      </w:r>
      <w:r w:rsidR="005C3EDE" w:rsidRPr="008347E0">
        <w:t>according t</w:t>
      </w:r>
      <w:r w:rsidR="005C3EDE">
        <w:t>o Commission precedent</w:t>
      </w:r>
      <w:r w:rsidR="008347E0" w:rsidRPr="008347E0">
        <w:t>.</w:t>
      </w:r>
      <w:r w:rsidR="008347E0">
        <w:t xml:space="preserve">  </w:t>
      </w:r>
    </w:p>
    <w:p w:rsidR="00807748" w:rsidRPr="00807748" w:rsidRDefault="008347E0" w:rsidP="00807748">
      <w:pPr>
        <w:pStyle w:val="ParaNum"/>
        <w:widowControl w:val="0"/>
        <w:numPr>
          <w:ilvl w:val="0"/>
          <w:numId w:val="1"/>
        </w:numPr>
        <w:tabs>
          <w:tab w:val="clear" w:pos="1080"/>
        </w:tabs>
        <w:spacing w:after="0" w:line="240" w:lineRule="atLeast"/>
        <w:rPr>
          <w:b/>
        </w:rPr>
      </w:pPr>
      <w:r>
        <w:t xml:space="preserve">Mr. Ragan also argues that </w:t>
      </w:r>
      <w:r w:rsidR="00FF2999" w:rsidRPr="00FF2999">
        <w:t>the proposed forfeiture is a harsh penalty for someone w</w:t>
      </w:r>
      <w:r w:rsidR="005C3EDE">
        <w:t>ho immediately complied with a</w:t>
      </w:r>
      <w:r w:rsidR="00FF2999" w:rsidRPr="00FF2999">
        <w:t xml:space="preserve"> Notice of Unlicensed Operation.</w:t>
      </w:r>
      <w:r>
        <w:rPr>
          <w:rStyle w:val="FootnoteReference"/>
        </w:rPr>
        <w:footnoteReference w:id="22"/>
      </w:r>
      <w:r>
        <w:t xml:space="preserve">  The proposed penalty is consistent with </w:t>
      </w:r>
      <w:r w:rsidR="008B664C">
        <w:t xml:space="preserve">those assessed against </w:t>
      </w:r>
      <w:r>
        <w:t>other operators who engaged in unlicensed operations</w:t>
      </w:r>
      <w:r w:rsidR="005C3EDE">
        <w:t xml:space="preserve"> and failed to allow inspection by FCC agents</w:t>
      </w:r>
      <w:r>
        <w:t>.</w:t>
      </w:r>
      <w:r>
        <w:rPr>
          <w:rStyle w:val="FootnoteReference"/>
        </w:rPr>
        <w:footnoteReference w:id="23"/>
      </w:r>
      <w:r>
        <w:t xml:space="preserve"> </w:t>
      </w:r>
      <w:r w:rsidR="008B664C">
        <w:t xml:space="preserve"> </w:t>
      </w:r>
      <w:r w:rsidR="00097915">
        <w:t>As a licensed amateur radio operator, Mr. Ragan is expected to comply with the Rules</w:t>
      </w:r>
      <w:r w:rsidR="000D58C5">
        <w:t>.  W</w:t>
      </w:r>
      <w:r w:rsidR="008B664C">
        <w:t>hile Mr. Ragan did comply with the Notice of Unlicens</w:t>
      </w:r>
      <w:r w:rsidR="000D58C5">
        <w:t>ed Operation when it was issued</w:t>
      </w:r>
      <w:r w:rsidR="008B664C">
        <w:t xml:space="preserve"> by ceasing his illegal operation, the Commission is under no requirement to wait until he</w:t>
      </w:r>
      <w:r>
        <w:t xml:space="preserve"> </w:t>
      </w:r>
      <w:r w:rsidR="008B664C">
        <w:t>violates the Act again before proposing a forfeiture against him.</w:t>
      </w:r>
      <w:r w:rsidR="00097915">
        <w:rPr>
          <w:rStyle w:val="FootnoteReference"/>
        </w:rPr>
        <w:footnoteReference w:id="24"/>
      </w:r>
      <w:r w:rsidR="008B664C">
        <w:t xml:space="preserve">  </w:t>
      </w:r>
      <w:r w:rsidR="008601AD">
        <w:t>However, a</w:t>
      </w:r>
      <w:r w:rsidR="000D58C5">
        <w:t>lthough the proposed forfeiture is not nullified because of Mr. Ragan’s corrective action,</w:t>
      </w:r>
      <w:r w:rsidR="008601AD">
        <w:t xml:space="preserve"> </w:t>
      </w:r>
      <w:r w:rsidR="000D58C5">
        <w:t>it m</w:t>
      </w:r>
      <w:r w:rsidR="008601AD">
        <w:t>ay be reduced in response to</w:t>
      </w:r>
      <w:r w:rsidR="000D58C5">
        <w:t xml:space="preserve"> his history of compliance as an amateur licensee.</w:t>
      </w:r>
      <w:r w:rsidR="008601AD">
        <w:rPr>
          <w:rStyle w:val="FootnoteReference"/>
        </w:rPr>
        <w:footnoteReference w:id="25"/>
      </w:r>
      <w:r w:rsidR="000D58C5">
        <w:t xml:space="preserve">  P</w:t>
      </w:r>
      <w:r w:rsidR="008B664C">
        <w:t>rior to this violation, Mr. Ragan had no violations of the Act or the Rules as an amateur radio operator and, therefore, consistent with t</w:t>
      </w:r>
      <w:r w:rsidR="008B664C" w:rsidRPr="008B664C">
        <w:t>he adjustment factors</w:t>
      </w:r>
      <w:r w:rsidR="00807748">
        <w:t>,</w:t>
      </w:r>
      <w:r w:rsidR="008B664C" w:rsidRPr="008B664C">
        <w:rPr>
          <w:vertAlign w:val="superscript"/>
        </w:rPr>
        <w:footnoteReference w:id="26"/>
      </w:r>
      <w:r w:rsidR="008B664C" w:rsidRPr="008B664C">
        <w:t xml:space="preserve"> we find that </w:t>
      </w:r>
      <w:r w:rsidR="008B664C" w:rsidRPr="008B664C">
        <w:rPr>
          <w:bCs/>
        </w:rPr>
        <w:t>reduction</w:t>
      </w:r>
      <w:r w:rsidR="008B664C" w:rsidRPr="008B664C">
        <w:t xml:space="preserve"> of the forfeiture based on M</w:t>
      </w:r>
      <w:r w:rsidR="008B664C">
        <w:t>r. Ragan</w:t>
      </w:r>
      <w:r w:rsidR="008B664C" w:rsidRPr="008B664C">
        <w:t xml:space="preserve">’s </w:t>
      </w:r>
      <w:r w:rsidR="008B664C" w:rsidRPr="008B664C">
        <w:rPr>
          <w:bCs/>
        </w:rPr>
        <w:t>history</w:t>
      </w:r>
      <w:r w:rsidR="008B664C" w:rsidRPr="008B664C">
        <w:t xml:space="preserve"> of </w:t>
      </w:r>
      <w:r w:rsidR="008B664C" w:rsidRPr="008B664C">
        <w:rPr>
          <w:bCs/>
        </w:rPr>
        <w:t>compliance</w:t>
      </w:r>
      <w:r w:rsidR="008601AD">
        <w:t xml:space="preserve"> </w:t>
      </w:r>
      <w:r w:rsidR="008B664C" w:rsidRPr="008B664C">
        <w:t xml:space="preserve">is warranted and </w:t>
      </w:r>
      <w:r w:rsidR="008B664C" w:rsidRPr="008B664C">
        <w:rPr>
          <w:bCs/>
        </w:rPr>
        <w:t>reduce</w:t>
      </w:r>
      <w:r w:rsidR="008B664C" w:rsidRPr="008B664C">
        <w:t xml:space="preserve"> the forfeiture by $</w:t>
      </w:r>
      <w:r w:rsidR="008B664C">
        <w:t>3,400</w:t>
      </w:r>
      <w:r w:rsidR="008B664C" w:rsidRPr="008B664C">
        <w:t xml:space="preserve">. </w:t>
      </w:r>
      <w:r w:rsidR="008B664C">
        <w:rPr>
          <w:b/>
        </w:rPr>
        <w:t xml:space="preserve"> </w:t>
      </w:r>
      <w:r w:rsidR="00627660" w:rsidRPr="008B664C">
        <w:rPr>
          <w:spacing w:val="-2"/>
        </w:rPr>
        <w:t>Therefore, after consideration of the entire record and the factors listed above, we find that a forfeiture in the amount of $</w:t>
      </w:r>
      <w:r w:rsidR="008B664C">
        <w:rPr>
          <w:spacing w:val="-2"/>
        </w:rPr>
        <w:t>13,6</w:t>
      </w:r>
      <w:r w:rsidR="0040394E" w:rsidRPr="008B664C">
        <w:rPr>
          <w:spacing w:val="-2"/>
        </w:rPr>
        <w:t>00</w:t>
      </w:r>
      <w:r w:rsidR="00627660" w:rsidRPr="008B664C">
        <w:rPr>
          <w:spacing w:val="-2"/>
        </w:rPr>
        <w:t xml:space="preserve"> is warranted.</w:t>
      </w:r>
    </w:p>
    <w:p w:rsidR="0061124B" w:rsidRPr="008B664C" w:rsidRDefault="00627660" w:rsidP="00CF7D85">
      <w:pPr>
        <w:pStyle w:val="ParaNum"/>
        <w:widowControl w:val="0"/>
        <w:numPr>
          <w:ilvl w:val="0"/>
          <w:numId w:val="0"/>
        </w:numPr>
        <w:spacing w:after="0" w:line="240" w:lineRule="atLeast"/>
        <w:rPr>
          <w:b/>
        </w:rPr>
      </w:pPr>
      <w:r w:rsidRPr="008B664C">
        <w:rPr>
          <w:spacing w:val="-2"/>
        </w:rPr>
        <w:t xml:space="preserve">  </w:t>
      </w:r>
    </w:p>
    <w:p w:rsidR="00807748" w:rsidRPr="00807748" w:rsidRDefault="00DE5386" w:rsidP="00F23733">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1" w:name="_Toc70235218"/>
      <w:r w:rsidRPr="00624567">
        <w:rPr>
          <w:b/>
          <w:color w:val="000000"/>
          <w:spacing w:val="-2"/>
        </w:rPr>
        <w:tab/>
        <w:t>ORDERING CLAUSES</w:t>
      </w:r>
      <w:bookmarkEnd w:id="1"/>
    </w:p>
    <w:p w:rsidR="00DE5386" w:rsidRPr="00807748" w:rsidRDefault="00DE5386" w:rsidP="00F23733">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624567">
        <w:rPr>
          <w:color w:val="000000"/>
          <w:spacing w:val="-2"/>
        </w:rPr>
        <w:t xml:space="preserve">Accordingly, </w:t>
      </w:r>
      <w:r w:rsidRPr="00624567">
        <w:rPr>
          <w:b/>
          <w:color w:val="000000"/>
          <w:spacing w:val="-2"/>
        </w:rPr>
        <w:t>IT IS ORDERED</w:t>
      </w:r>
      <w:r w:rsidRPr="00624567">
        <w:rPr>
          <w:color w:val="000000"/>
          <w:spacing w:val="-2"/>
        </w:rPr>
        <w:t xml:space="preserve"> that, pursuant to Section 503(b) of the Communications Act of 1934, as amended, and Sections 0.111, 0.204, 0.311, 0.314, and 1.80(f)(4) of the Commission’s rules, </w:t>
      </w:r>
      <w:r w:rsidR="00B72609">
        <w:rPr>
          <w:color w:val="000000"/>
          <w:spacing w:val="-2"/>
        </w:rPr>
        <w:t>Brian R. Ragan</w:t>
      </w:r>
      <w:r w:rsidR="0040394E">
        <w:rPr>
          <w:spacing w:val="-2"/>
        </w:rPr>
        <w:t xml:space="preserve"> </w:t>
      </w:r>
      <w:r w:rsidRPr="00624567">
        <w:rPr>
          <w:b/>
          <w:color w:val="000000"/>
          <w:spacing w:val="-2"/>
        </w:rPr>
        <w:t>IS LIABLE FOR A MONETARY FORFEITURE</w:t>
      </w:r>
      <w:r w:rsidRPr="00624567">
        <w:rPr>
          <w:color w:val="000000"/>
          <w:spacing w:val="-2"/>
        </w:rPr>
        <w:t xml:space="preserve"> in the amount of </w:t>
      </w:r>
      <w:r w:rsidR="00B72609">
        <w:rPr>
          <w:color w:val="000000"/>
          <w:spacing w:val="-2"/>
        </w:rPr>
        <w:t>thirteen</w:t>
      </w:r>
      <w:r w:rsidR="0040394E">
        <w:rPr>
          <w:color w:val="000000"/>
          <w:spacing w:val="-2"/>
        </w:rPr>
        <w:t xml:space="preserve"> </w:t>
      </w:r>
      <w:r w:rsidR="00627660" w:rsidRPr="00624567">
        <w:rPr>
          <w:color w:val="000000"/>
          <w:spacing w:val="-2"/>
        </w:rPr>
        <w:t>thousand</w:t>
      </w:r>
      <w:r w:rsidR="00832FC6">
        <w:rPr>
          <w:color w:val="000000"/>
          <w:spacing w:val="-2"/>
        </w:rPr>
        <w:t>,</w:t>
      </w:r>
      <w:r w:rsidR="00807748">
        <w:rPr>
          <w:color w:val="000000"/>
          <w:spacing w:val="-2"/>
        </w:rPr>
        <w:t xml:space="preserve"> six hundred</w:t>
      </w:r>
      <w:r w:rsidRPr="00624567">
        <w:rPr>
          <w:color w:val="000000"/>
          <w:spacing w:val="-2"/>
        </w:rPr>
        <w:t xml:space="preserve"> dollars ($</w:t>
      </w:r>
      <w:r w:rsidR="00B72609">
        <w:rPr>
          <w:color w:val="000000"/>
          <w:spacing w:val="-2"/>
        </w:rPr>
        <w:t>13,600</w:t>
      </w:r>
      <w:r w:rsidRPr="00624567">
        <w:rPr>
          <w:color w:val="000000"/>
          <w:spacing w:val="-2"/>
        </w:rPr>
        <w:t>) for violations of Section</w:t>
      </w:r>
      <w:r w:rsidR="00B72609">
        <w:rPr>
          <w:color w:val="000000"/>
          <w:spacing w:val="-2"/>
        </w:rPr>
        <w:t>s</w:t>
      </w:r>
      <w:r w:rsidR="00CD1DBE" w:rsidRPr="00624567">
        <w:rPr>
          <w:color w:val="000000"/>
          <w:spacing w:val="-2"/>
        </w:rPr>
        <w:t xml:space="preserve"> </w:t>
      </w:r>
      <w:r w:rsidR="00B72609">
        <w:rPr>
          <w:color w:val="000000"/>
          <w:spacing w:val="-2"/>
        </w:rPr>
        <w:t>301 and 303(n)</w:t>
      </w:r>
      <w:r w:rsidRPr="00624567">
        <w:rPr>
          <w:color w:val="000000"/>
          <w:spacing w:val="-2"/>
        </w:rPr>
        <w:t xml:space="preserve"> of the </w:t>
      </w:r>
      <w:r w:rsidR="00B72609">
        <w:rPr>
          <w:color w:val="000000"/>
          <w:spacing w:val="-2"/>
        </w:rPr>
        <w:t>Act</w:t>
      </w:r>
      <w:r w:rsidRPr="00624567">
        <w:rPr>
          <w:color w:val="000000"/>
          <w:spacing w:val="-2"/>
        </w:rPr>
        <w:t>.</w:t>
      </w:r>
      <w:r w:rsidRPr="00624567">
        <w:rPr>
          <w:rStyle w:val="FootnoteReference"/>
          <w:color w:val="000000"/>
          <w:spacing w:val="-2"/>
          <w:sz w:val="22"/>
          <w:szCs w:val="22"/>
        </w:rPr>
        <w:footnoteReference w:id="27"/>
      </w:r>
      <w:r w:rsidRPr="00624567">
        <w:rPr>
          <w:color w:val="000000"/>
          <w:spacing w:val="-2"/>
        </w:rPr>
        <w:t xml:space="preserve"> </w:t>
      </w:r>
    </w:p>
    <w:p w:rsidR="00640C74" w:rsidRDefault="00DE5386" w:rsidP="00640C74">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2A7814">
        <w:rPr>
          <w:color w:val="000000"/>
          <w:spacing w:val="-2"/>
        </w:rPr>
        <w:t>Payment</w:t>
      </w:r>
      <w:r w:rsidRPr="002A7814">
        <w:rPr>
          <w:rFonts w:eastAsia="MS Mincho"/>
          <w:color w:val="000000"/>
          <w:spacing w:val="-2"/>
        </w:rPr>
        <w:t xml:space="preserve"> of the forfeiture shall be made in the manner provided for in Section 1.80 of the Rules within thirty (30) calendar days after the release date of this Forfeiture Order.</w:t>
      </w:r>
      <w:r w:rsidRPr="002A7814">
        <w:rPr>
          <w:rStyle w:val="FootnoteReference"/>
          <w:rFonts w:eastAsia="MS Mincho"/>
          <w:color w:val="000000"/>
          <w:spacing w:val="-2"/>
          <w:sz w:val="22"/>
          <w:szCs w:val="22"/>
        </w:rPr>
        <w:footnoteReference w:id="28"/>
      </w:r>
      <w:r w:rsidRPr="002A7814">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2A7814">
        <w:rPr>
          <w:rStyle w:val="FootnoteReference"/>
          <w:rFonts w:eastAsia="MS Mincho"/>
          <w:color w:val="000000"/>
          <w:spacing w:val="-2"/>
          <w:sz w:val="22"/>
          <w:szCs w:val="22"/>
        </w:rPr>
        <w:footnoteReference w:id="29"/>
      </w:r>
      <w:r w:rsidRPr="002A7814">
        <w:rPr>
          <w:rFonts w:eastAsia="MS Mincho"/>
          <w:color w:val="000000"/>
          <w:spacing w:val="-2"/>
        </w:rPr>
        <w:t> </w:t>
      </w:r>
      <w:r w:rsidR="005F2619">
        <w:rPr>
          <w:rFonts w:eastAsia="MS Mincho"/>
          <w:color w:val="000000"/>
          <w:spacing w:val="-2"/>
        </w:rPr>
        <w:t xml:space="preserve"> </w:t>
      </w:r>
      <w:r w:rsidR="00ED6602">
        <w:rPr>
          <w:rFonts w:eastAsia="MS Mincho"/>
          <w:color w:val="000000"/>
          <w:spacing w:val="-2"/>
        </w:rPr>
        <w:t>Brian R. Ragan</w:t>
      </w:r>
      <w:r w:rsidR="0040394E">
        <w:rPr>
          <w:spacing w:val="-2"/>
        </w:rPr>
        <w:t xml:space="preserve"> </w:t>
      </w:r>
      <w:r w:rsidRPr="002A7814">
        <w:rPr>
          <w:rFonts w:eastAsia="MS Mincho"/>
          <w:color w:val="000000"/>
          <w:spacing w:val="-2"/>
        </w:rPr>
        <w:t>shall send electronic notification of payment to</w:t>
      </w:r>
      <w:r w:rsidR="002A7814" w:rsidRPr="002A7814">
        <w:rPr>
          <w:rFonts w:eastAsia="MS Mincho"/>
          <w:color w:val="000000"/>
          <w:spacing w:val="-2"/>
        </w:rPr>
        <w:t xml:space="preserve"> </w:t>
      </w:r>
      <w:smartTag w:uri="urn:schemas-microsoft-com:office:smarttags" w:element="PersonName">
        <w:r w:rsidR="002A7814" w:rsidRPr="002A7814">
          <w:rPr>
            <w:rFonts w:eastAsia="MS Mincho"/>
            <w:color w:val="000000"/>
            <w:spacing w:val="-2"/>
          </w:rPr>
          <w:t>WR</w:t>
        </w:r>
        <w:r w:rsidRPr="002A7814">
          <w:rPr>
            <w:color w:val="000000"/>
            <w:spacing w:val="-2"/>
          </w:rPr>
          <w:t>-Response</w:t>
        </w:r>
      </w:smartTag>
      <w:r w:rsidRPr="002A7814">
        <w:rPr>
          <w:color w:val="000000"/>
          <w:spacing w:val="-2"/>
        </w:rPr>
        <w:t>@fcc.gov</w:t>
      </w:r>
      <w:r w:rsidRPr="002A7814">
        <w:rPr>
          <w:rFonts w:eastAsia="MS Mincho"/>
          <w:color w:val="000000"/>
          <w:spacing w:val="-2"/>
        </w:rPr>
        <w:t xml:space="preserve"> on the date said payment is made.</w:t>
      </w:r>
      <w:r w:rsidRPr="002A7814">
        <w:rPr>
          <w:color w:val="000000"/>
          <w:spacing w:val="-2"/>
        </w:rPr>
        <w:t xml:space="preserve">  </w:t>
      </w:r>
      <w:r w:rsidRPr="002A7814">
        <w:rPr>
          <w:rFonts w:eastAsia="MS Mincho"/>
          <w:color w:val="000000"/>
          <w:spacing w:val="-2"/>
        </w:rPr>
        <w:t>The </w:t>
      </w:r>
      <w:r w:rsidRPr="002A7814">
        <w:rPr>
          <w:color w:val="000000"/>
          <w:spacing w:val="-2"/>
        </w:rPr>
        <w:t>payment</w:t>
      </w:r>
      <w:r w:rsidRPr="002A7814">
        <w:rPr>
          <w:rFonts w:eastAsia="MS Mincho"/>
          <w:color w:val="000000"/>
          <w:spacing w:val="-2"/>
        </w:rPr>
        <w:t xml:space="preserve"> must be made by check or similar instrument, wire transfer, or credit card, and must include the NAL/Account number and FRN referenced above.  Regardless of the form of payment, a completed FCC Form 159 (Remittance Advice) must be submitted.</w:t>
      </w:r>
      <w:r w:rsidRPr="002A7814">
        <w:rPr>
          <w:rStyle w:val="FootnoteReference"/>
          <w:rFonts w:eastAsia="MS Mincho"/>
          <w:color w:val="000000"/>
          <w:spacing w:val="-2"/>
          <w:sz w:val="22"/>
          <w:szCs w:val="22"/>
        </w:rPr>
        <w:footnoteReference w:id="30"/>
      </w:r>
      <w:r w:rsidRPr="002A7814">
        <w:rPr>
          <w:rFonts w:eastAsia="MS Mincho"/>
          <w:color w:val="000000"/>
          <w:spacing w:val="-2"/>
        </w:rPr>
        <w:t xml:space="preserve">  When completing the FCC Form 159, enter the Account Number in block number 23A (call sign/other ID) and enter the letters “FORF” in block number 24A (payment type code).   </w:t>
      </w:r>
      <w:r w:rsidRPr="002A7814">
        <w:rPr>
          <w:color w:val="000000"/>
          <w:spacing w:val="-2"/>
        </w:rPr>
        <w:t>Below are additional instructions you should follow based on the form of payment you select:</w:t>
      </w:r>
    </w:p>
    <w:p w:rsidR="00640C74" w:rsidRPr="002A7814" w:rsidRDefault="00640C74" w:rsidP="00640C74">
      <w:pPr>
        <w:pStyle w:val="ParaNum"/>
        <w:numPr>
          <w:ilvl w:val="0"/>
          <w:numId w:val="11"/>
        </w:numPr>
        <w:snapToGrid w:val="0"/>
        <w:spacing w:after="120"/>
        <w:rPr>
          <w:rFonts w:eastAsia="MS Mincho"/>
          <w:color w:val="000000"/>
          <w:spacing w:val="-2"/>
        </w:rPr>
      </w:pPr>
      <w:r w:rsidRPr="002A7814">
        <w:rPr>
          <w:rFonts w:eastAsia="MS Mincho"/>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2A7814">
            <w:rPr>
              <w:rFonts w:eastAsia="MS Mincho"/>
              <w:color w:val="000000"/>
              <w:spacing w:val="-2"/>
            </w:rPr>
            <w:t>P.O. Box 979088</w:t>
          </w:r>
        </w:smartTag>
        <w:r w:rsidRPr="002A7814">
          <w:rPr>
            <w:rFonts w:eastAsia="MS Mincho"/>
            <w:color w:val="000000"/>
            <w:spacing w:val="-2"/>
          </w:rPr>
          <w:t xml:space="preserve">, </w:t>
        </w:r>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63197-9000</w:t>
          </w:r>
        </w:smartTag>
      </w:smartTag>
      <w:r w:rsidRPr="002A7814">
        <w:rPr>
          <w:rFonts w:eastAsia="MS Mincho"/>
          <w:color w:val="000000"/>
          <w:spacing w:val="-2"/>
        </w:rPr>
        <w:t xml:space="preserve">, or sent via overnight mail to U.S. Bank – Government Lockbox #979088, SL-MO-C2-GL, 1005 </w:t>
      </w:r>
      <w:smartTag w:uri="urn:schemas-microsoft-com:office:smarttags" w:element="PlaceName">
        <w:r w:rsidRPr="002A7814">
          <w:rPr>
            <w:rFonts w:eastAsia="MS Mincho"/>
            <w:color w:val="000000"/>
            <w:spacing w:val="-2"/>
          </w:rPr>
          <w:t>Convention</w:t>
        </w:r>
      </w:smartTag>
      <w:r w:rsidRPr="002A7814">
        <w:rPr>
          <w:rFonts w:eastAsia="MS Mincho"/>
          <w:color w:val="000000"/>
          <w:spacing w:val="-2"/>
        </w:rPr>
        <w:t xml:space="preserve"> </w:t>
      </w:r>
      <w:smartTag w:uri="urn:schemas-microsoft-com:office:smarttags" w:element="PlaceType">
        <w:r w:rsidRPr="002A7814">
          <w:rPr>
            <w:rFonts w:eastAsia="MS Mincho"/>
            <w:color w:val="000000"/>
            <w:spacing w:val="-2"/>
          </w:rPr>
          <w:t>Plaza</w:t>
        </w:r>
      </w:smartTag>
      <w:r w:rsidRPr="002A7814">
        <w:rPr>
          <w:rFonts w:eastAsia="MS Mincho"/>
          <w:color w:val="000000"/>
          <w:spacing w:val="-2"/>
        </w:rPr>
        <w:t xml:space="preserve">, </w:t>
      </w:r>
      <w:smartTag w:uri="urn:schemas-microsoft-com:office:smarttags" w:element="place">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63101</w:t>
          </w:r>
        </w:smartTag>
      </w:smartTag>
      <w:r w:rsidRPr="002A7814">
        <w:rPr>
          <w:rFonts w:eastAsia="MS Mincho"/>
          <w:color w:val="000000"/>
          <w:spacing w:val="-2"/>
        </w:rPr>
        <w:t xml:space="preserve">.  </w:t>
      </w:r>
    </w:p>
    <w:p w:rsidR="00640C74" w:rsidRPr="002A7814" w:rsidRDefault="00640C74" w:rsidP="00640C74">
      <w:pPr>
        <w:pStyle w:val="ParaNum"/>
        <w:numPr>
          <w:ilvl w:val="0"/>
          <w:numId w:val="11"/>
        </w:numPr>
        <w:snapToGrid w:val="0"/>
        <w:spacing w:after="120"/>
        <w:rPr>
          <w:rFonts w:eastAsia="MS Mincho"/>
          <w:color w:val="000000"/>
          <w:spacing w:val="-2"/>
        </w:rPr>
      </w:pPr>
      <w:r w:rsidRPr="002A7814">
        <w:rPr>
          <w:rFonts w:eastAsia="MS Mincho"/>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40C74" w:rsidRPr="002A7814" w:rsidRDefault="00640C74" w:rsidP="00640C74">
      <w:pPr>
        <w:pStyle w:val="ParaNum"/>
        <w:numPr>
          <w:ilvl w:val="0"/>
          <w:numId w:val="11"/>
        </w:numPr>
        <w:snapToGrid w:val="0"/>
        <w:spacing w:after="120"/>
        <w:rPr>
          <w:rFonts w:eastAsia="MS Mincho"/>
          <w:color w:val="000000"/>
          <w:spacing w:val="-2"/>
        </w:rPr>
      </w:pPr>
      <w:r w:rsidRPr="002A7814">
        <w:rPr>
          <w:rFonts w:eastAsia="MS Mincho"/>
          <w:color w:val="000000"/>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2A7814">
            <w:rPr>
              <w:rFonts w:eastAsia="MS Mincho"/>
              <w:color w:val="000000"/>
              <w:spacing w:val="-2"/>
            </w:rPr>
            <w:t>P.O. Box 979088</w:t>
          </w:r>
        </w:smartTag>
        <w:r w:rsidRPr="002A7814">
          <w:rPr>
            <w:rFonts w:eastAsia="MS Mincho"/>
            <w:color w:val="000000"/>
            <w:spacing w:val="-2"/>
          </w:rPr>
          <w:t xml:space="preserve">, </w:t>
        </w:r>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63197-9000</w:t>
          </w:r>
        </w:smartTag>
      </w:smartTag>
      <w:r w:rsidRPr="002A7814">
        <w:rPr>
          <w:rFonts w:eastAsia="MS Mincho"/>
          <w:color w:val="000000"/>
          <w:spacing w:val="-2"/>
        </w:rPr>
        <w:t xml:space="preserve">, or sent via overnight mail to U.S. Bank – Government Lockbox #979088, SL-MO-C2-GL, 1005 </w:t>
      </w:r>
      <w:smartTag w:uri="urn:schemas-microsoft-com:office:smarttags" w:element="PlaceName">
        <w:r w:rsidRPr="002A7814">
          <w:rPr>
            <w:rFonts w:eastAsia="MS Mincho"/>
            <w:color w:val="000000"/>
            <w:spacing w:val="-2"/>
          </w:rPr>
          <w:t>Convention</w:t>
        </w:r>
      </w:smartTag>
      <w:r w:rsidRPr="002A7814">
        <w:rPr>
          <w:rFonts w:eastAsia="MS Mincho"/>
          <w:color w:val="000000"/>
          <w:spacing w:val="-2"/>
        </w:rPr>
        <w:t xml:space="preserve"> </w:t>
      </w:r>
      <w:smartTag w:uri="urn:schemas-microsoft-com:office:smarttags" w:element="PlaceType">
        <w:r w:rsidRPr="002A7814">
          <w:rPr>
            <w:rFonts w:eastAsia="MS Mincho"/>
            <w:color w:val="000000"/>
            <w:spacing w:val="-2"/>
          </w:rPr>
          <w:t>Plaza</w:t>
        </w:r>
      </w:smartTag>
      <w:r w:rsidRPr="002A7814">
        <w:rPr>
          <w:rFonts w:eastAsia="MS Mincho"/>
          <w:color w:val="000000"/>
          <w:spacing w:val="-2"/>
        </w:rPr>
        <w:t xml:space="preserve">, </w:t>
      </w:r>
      <w:smartTag w:uri="urn:schemas-microsoft-com:office:smarttags" w:element="place">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63101</w:t>
          </w:r>
        </w:smartTag>
      </w:smartTag>
      <w:r w:rsidRPr="002A7814">
        <w:rPr>
          <w:rFonts w:eastAsia="MS Mincho"/>
          <w:color w:val="000000"/>
          <w:spacing w:val="-2"/>
        </w:rPr>
        <w:t xml:space="preserve">.  </w:t>
      </w:r>
    </w:p>
    <w:p w:rsidR="008601AD" w:rsidRPr="002E57BD" w:rsidRDefault="00DE5386" w:rsidP="008601AD">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640C74">
        <w:rPr>
          <w:color w:val="000000"/>
          <w:spacing w:val="-2"/>
        </w:rPr>
        <w:t>Any</w:t>
      </w:r>
      <w:r w:rsidRPr="00640C74">
        <w:rPr>
          <w:rFonts w:eastAsia="MS Mincho"/>
          <w:color w:val="000000"/>
          <w:spacing w:val="-2"/>
        </w:rPr>
        <w:t xml:space="preserve"> request for full payment</w:t>
      </w:r>
      <w:r w:rsidR="00A80EF9" w:rsidRPr="00640C74">
        <w:rPr>
          <w:rFonts w:eastAsia="MS Mincho"/>
          <w:color w:val="000000"/>
          <w:spacing w:val="-2"/>
        </w:rPr>
        <w:t xml:space="preserve"> over time</w:t>
      </w:r>
      <w:r w:rsidRPr="00640C74">
        <w:rPr>
          <w:rFonts w:eastAsia="MS Mincho"/>
          <w:color w:val="000000"/>
          <w:spacing w:val="-2"/>
        </w:rPr>
        <w:t xml:space="preserve"> under an installment plan should be sent to:  Chief Financial Officer—</w:t>
      </w:r>
      <w:r w:rsidRPr="00640C74">
        <w:rPr>
          <w:color w:val="000000"/>
          <w:spacing w:val="-2"/>
        </w:rPr>
        <w:t>Financial</w:t>
      </w:r>
      <w:r w:rsidRPr="00640C74">
        <w:rPr>
          <w:rFonts w:eastAsia="MS Mincho"/>
          <w:color w:val="000000"/>
          <w:spacing w:val="-2"/>
        </w:rPr>
        <w:t xml:space="preserve"> Operations, Federal Communications Commission, 445 12th Street, S.W., Room 1-A625, Washington, D.C.  20554.</w:t>
      </w:r>
      <w:r w:rsidRPr="00F07DF9">
        <w:rPr>
          <w:rStyle w:val="FootnoteReference"/>
          <w:rFonts w:eastAsia="MS Mincho"/>
          <w:color w:val="000000"/>
          <w:spacing w:val="-2"/>
          <w:sz w:val="22"/>
          <w:szCs w:val="22"/>
        </w:rPr>
        <w:footnoteReference w:id="31"/>
      </w:r>
      <w:r w:rsidRPr="00640C74">
        <w:rPr>
          <w:rFonts w:eastAsia="MS Mincho"/>
          <w:color w:val="000000"/>
          <w:spacing w:val="-2"/>
        </w:rPr>
        <w:t>  If you have questions regarding payment procedures, please contact the Financial Operations Group Help Desk by phone, 1-877-480-3201, or by e</w:t>
      </w:r>
      <w:r w:rsidRPr="00640C74">
        <w:rPr>
          <w:rFonts w:eastAsia="MS Mincho"/>
          <w:color w:val="000000"/>
          <w:spacing w:val="-2"/>
        </w:rPr>
        <w:noBreakHyphen/>
        <w:t xml:space="preserve">mail, </w:t>
      </w:r>
      <w:hyperlink r:id="rId8" w:history="1">
        <w:r w:rsidRPr="00640C74">
          <w:rPr>
            <w:rStyle w:val="Hyperlink"/>
            <w:rFonts w:eastAsia="MS Mincho"/>
            <w:color w:val="000000"/>
            <w:spacing w:val="-2"/>
            <w:u w:val="none"/>
          </w:rPr>
          <w:t>ARINQUIRIES@fcc.gov</w:t>
        </w:r>
      </w:hyperlink>
      <w:r w:rsidRPr="00640C74">
        <w:rPr>
          <w:rFonts w:eastAsia="MS Mincho"/>
          <w:color w:val="000000"/>
          <w:spacing w:val="-2"/>
        </w:rPr>
        <w:t>.</w:t>
      </w:r>
    </w:p>
    <w:p w:rsidR="00DE5386" w:rsidRPr="00640C74" w:rsidRDefault="00DE5386" w:rsidP="00640C74">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640C74">
        <w:rPr>
          <w:color w:val="000000"/>
          <w:spacing w:val="-2"/>
        </w:rPr>
        <w:t xml:space="preserve">IT IS FURTHER ORDERED that a copy of this Order shall be sent by both First Class and Certified Mail, Return Receipt Requested, to </w:t>
      </w:r>
      <w:r w:rsidR="00B72609" w:rsidRPr="00640C74">
        <w:rPr>
          <w:spacing w:val="-2"/>
        </w:rPr>
        <w:t>Brian R. Ragan at his address of record</w:t>
      </w:r>
      <w:r w:rsidR="00500C3C">
        <w:t>.</w:t>
      </w:r>
    </w:p>
    <w:p w:rsidR="00DE5386" w:rsidRDefault="00DE5386" w:rsidP="00A76318">
      <w:pPr>
        <w:tabs>
          <w:tab w:val="left" w:pos="0"/>
        </w:tabs>
        <w:suppressAutoHyphens/>
        <w:autoSpaceDE w:val="0"/>
        <w:autoSpaceDN w:val="0"/>
        <w:adjustRightInd w:val="0"/>
        <w:spacing w:line="240" w:lineRule="atLeast"/>
        <w:ind w:left="720"/>
        <w:rPr>
          <w:color w:val="000000"/>
          <w:spacing w:val="-2"/>
        </w:rPr>
      </w:pPr>
    </w:p>
    <w:p w:rsidR="00FC0AA9" w:rsidRPr="002A7814" w:rsidRDefault="00FC0AA9" w:rsidP="00A76318">
      <w:pPr>
        <w:tabs>
          <w:tab w:val="left" w:pos="0"/>
        </w:tabs>
        <w:suppressAutoHyphens/>
        <w:autoSpaceDE w:val="0"/>
        <w:autoSpaceDN w:val="0"/>
        <w:adjustRightInd w:val="0"/>
        <w:spacing w:line="240" w:lineRule="atLeast"/>
        <w:ind w:left="720"/>
        <w:rPr>
          <w:color w:val="000000"/>
          <w:spacing w:val="-2"/>
        </w:rPr>
      </w:pPr>
    </w:p>
    <w:p w:rsidR="00DE5386" w:rsidRPr="002A7814" w:rsidRDefault="00DE5386" w:rsidP="00A76318">
      <w:pPr>
        <w:pStyle w:val="ParaNum"/>
        <w:numPr>
          <w:ilvl w:val="0"/>
          <w:numId w:val="0"/>
        </w:numPr>
        <w:spacing w:after="0"/>
        <w:ind w:left="4320"/>
        <w:rPr>
          <w:color w:val="000000"/>
          <w:spacing w:val="-2"/>
        </w:rPr>
      </w:pPr>
      <w:r w:rsidRPr="002A7814">
        <w:rPr>
          <w:color w:val="000000"/>
          <w:spacing w:val="-2"/>
        </w:rPr>
        <w:t>FEDERAL COMMUNICATIONS COMMISSION</w:t>
      </w:r>
    </w:p>
    <w:p w:rsidR="00DE5386" w:rsidRPr="002A7814" w:rsidRDefault="00DE5386" w:rsidP="00A76318">
      <w:pPr>
        <w:pStyle w:val="ParaNum"/>
        <w:numPr>
          <w:ilvl w:val="0"/>
          <w:numId w:val="0"/>
        </w:numPr>
        <w:spacing w:after="0"/>
        <w:ind w:left="4320"/>
        <w:rPr>
          <w:color w:val="000000"/>
          <w:spacing w:val="-2"/>
        </w:rPr>
      </w:pPr>
    </w:p>
    <w:p w:rsidR="00DE5386" w:rsidRPr="002A7814" w:rsidRDefault="00DE5386" w:rsidP="00A76318">
      <w:pPr>
        <w:pStyle w:val="ParaNum"/>
        <w:numPr>
          <w:ilvl w:val="0"/>
          <w:numId w:val="0"/>
        </w:numPr>
        <w:spacing w:after="0"/>
        <w:ind w:left="4320"/>
        <w:rPr>
          <w:color w:val="000000"/>
          <w:spacing w:val="-2"/>
        </w:rPr>
      </w:pPr>
    </w:p>
    <w:p w:rsidR="00DE5386" w:rsidRDefault="00DE5386" w:rsidP="00A76318">
      <w:pPr>
        <w:pStyle w:val="ParaNum"/>
        <w:numPr>
          <w:ilvl w:val="0"/>
          <w:numId w:val="0"/>
        </w:numPr>
        <w:spacing w:after="0"/>
        <w:ind w:left="4320"/>
        <w:rPr>
          <w:color w:val="000000"/>
          <w:spacing w:val="-2"/>
        </w:rPr>
      </w:pPr>
    </w:p>
    <w:p w:rsidR="00807748" w:rsidRPr="002A7814" w:rsidRDefault="00807748" w:rsidP="00CF7D85">
      <w:pPr>
        <w:pStyle w:val="ParaNum"/>
        <w:numPr>
          <w:ilvl w:val="0"/>
          <w:numId w:val="0"/>
        </w:numPr>
        <w:spacing w:after="0"/>
        <w:rPr>
          <w:color w:val="000000"/>
          <w:spacing w:val="-2"/>
        </w:rPr>
      </w:pPr>
    </w:p>
    <w:p w:rsidR="00DE5386" w:rsidRPr="002A7814" w:rsidRDefault="00627660" w:rsidP="00A76318">
      <w:pPr>
        <w:pStyle w:val="ParaNum"/>
        <w:numPr>
          <w:ilvl w:val="0"/>
          <w:numId w:val="0"/>
        </w:numPr>
        <w:spacing w:after="0"/>
        <w:ind w:left="3600" w:firstLine="720"/>
        <w:rPr>
          <w:color w:val="000000"/>
          <w:spacing w:val="-2"/>
        </w:rPr>
      </w:pPr>
      <w:r w:rsidRPr="002A7814">
        <w:rPr>
          <w:color w:val="000000"/>
          <w:spacing w:val="-2"/>
        </w:rPr>
        <w:t>Rebecca L. Dorch</w:t>
      </w:r>
    </w:p>
    <w:p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0D" w:rsidRDefault="00EE5D0D">
      <w:r>
        <w:separator/>
      </w:r>
    </w:p>
  </w:endnote>
  <w:endnote w:type="continuationSeparator" w:id="0">
    <w:p w:rsidR="00EE5D0D" w:rsidRDefault="00EE5D0D">
      <w:r>
        <w:continuationSeparator/>
      </w:r>
    </w:p>
  </w:endnote>
  <w:endnote w:type="continuationNotice" w:id="1">
    <w:p w:rsidR="00EE5D0D" w:rsidRDefault="00EE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235A0">
      <w:rPr>
        <w:rStyle w:val="PageNumber"/>
        <w:noProof/>
        <w:sz w:val="20"/>
        <w:szCs w:val="20"/>
      </w:rPr>
      <w:t>2</w:t>
    </w:r>
    <w:r>
      <w:rPr>
        <w:rStyle w:val="PageNumber"/>
        <w:sz w:val="20"/>
        <w:szCs w:val="20"/>
      </w:rPr>
      <w:fldChar w:fldCharType="end"/>
    </w:r>
  </w:p>
  <w:p w:rsidR="00A80EF9" w:rsidRDefault="00A80EF9" w:rsidP="002A7814">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4E" w:rsidRDefault="0059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0D" w:rsidRDefault="00EE5D0D">
      <w:r>
        <w:separator/>
      </w:r>
    </w:p>
  </w:footnote>
  <w:footnote w:type="continuationSeparator" w:id="0">
    <w:p w:rsidR="00EE5D0D" w:rsidRDefault="00EE5D0D">
      <w:r>
        <w:continuationSeparator/>
      </w:r>
    </w:p>
  </w:footnote>
  <w:footnote w:type="continuationNotice" w:id="1">
    <w:p w:rsidR="00EE5D0D" w:rsidRDefault="00EE5D0D"/>
  </w:footnote>
  <w:footnote w:id="2">
    <w:p w:rsidR="003A4914" w:rsidRPr="00975422" w:rsidRDefault="003A4914" w:rsidP="00373FCB">
      <w:pPr>
        <w:pStyle w:val="FootnoteText"/>
        <w:ind w:firstLine="0"/>
        <w:jc w:val="left"/>
        <w:rPr>
          <w:color w:val="000000"/>
        </w:rPr>
      </w:pPr>
      <w:r w:rsidRPr="00780C0F">
        <w:rPr>
          <w:rStyle w:val="FootnoteReference"/>
          <w:color w:val="000000"/>
        </w:rPr>
        <w:footnoteRef/>
      </w:r>
      <w:r w:rsidRPr="00780C0F">
        <w:rPr>
          <w:color w:val="000000"/>
        </w:rPr>
        <w:t xml:space="preserve"> </w:t>
      </w:r>
      <w:r w:rsidRPr="00975422">
        <w:rPr>
          <w:color w:val="000000"/>
        </w:rPr>
        <w:t xml:space="preserve">47 U.S.C. § </w:t>
      </w:r>
      <w:r w:rsidRPr="00975422">
        <w:rPr>
          <w:rFonts w:hint="eastAsia"/>
          <w:color w:val="000000"/>
          <w:lang w:eastAsia="zh-TW"/>
        </w:rPr>
        <w:t>301</w:t>
      </w:r>
      <w:r w:rsidRPr="00975422">
        <w:rPr>
          <w:color w:val="000000"/>
        </w:rPr>
        <w:t>.</w:t>
      </w:r>
    </w:p>
  </w:footnote>
  <w:footnote w:id="3">
    <w:p w:rsidR="003A4914" w:rsidRPr="00975422" w:rsidRDefault="003A4914" w:rsidP="00373FCB">
      <w:pPr>
        <w:pStyle w:val="FootnoteText"/>
        <w:ind w:firstLine="0"/>
        <w:jc w:val="left"/>
        <w:rPr>
          <w:color w:val="000000"/>
        </w:rPr>
      </w:pPr>
      <w:r w:rsidRPr="00975422">
        <w:rPr>
          <w:rStyle w:val="FootnoteReference"/>
          <w:color w:val="000000"/>
        </w:rPr>
        <w:footnoteRef/>
      </w:r>
      <w:r w:rsidRPr="00975422">
        <w:rPr>
          <w:color w:val="000000"/>
        </w:rPr>
        <w:t xml:space="preserve"> 47 U.S.C. § </w:t>
      </w:r>
      <w:r w:rsidRPr="00975422">
        <w:rPr>
          <w:rFonts w:hint="eastAsia"/>
          <w:color w:val="000000"/>
          <w:lang w:eastAsia="zh-TW"/>
        </w:rPr>
        <w:t>303(n)</w:t>
      </w:r>
      <w:r w:rsidRPr="00975422">
        <w:rPr>
          <w:color w:val="000000"/>
        </w:rPr>
        <w:t>.</w:t>
      </w:r>
    </w:p>
  </w:footnote>
  <w:footnote w:id="4">
    <w:p w:rsidR="00A80EF9" w:rsidRPr="002A7814" w:rsidRDefault="00A80EF9" w:rsidP="00F07DF9">
      <w:pPr>
        <w:pStyle w:val="FootnoteText"/>
        <w:widowControl/>
        <w:ind w:firstLine="0"/>
        <w:jc w:val="left"/>
        <w:rPr>
          <w:szCs w:val="20"/>
        </w:rPr>
      </w:pPr>
      <w:r w:rsidRPr="002A7814">
        <w:rPr>
          <w:rStyle w:val="FootnoteReference"/>
        </w:rPr>
        <w:footnoteRef/>
      </w:r>
      <w:r w:rsidR="00226B3D">
        <w:rPr>
          <w:szCs w:val="20"/>
        </w:rPr>
        <w:t xml:space="preserve"> </w:t>
      </w:r>
      <w:r w:rsidR="00373FCB">
        <w:rPr>
          <w:i/>
          <w:szCs w:val="20"/>
        </w:rPr>
        <w:t>Brian R. Ragan</w:t>
      </w:r>
      <w:r w:rsidRPr="002A7814">
        <w:rPr>
          <w:szCs w:val="20"/>
        </w:rPr>
        <w:t>, Notice of Appar</w:t>
      </w:r>
      <w:r>
        <w:rPr>
          <w:szCs w:val="20"/>
        </w:rPr>
        <w:t>ent Liability for Forfeiture</w:t>
      </w:r>
      <w:r w:rsidR="00FA5A31">
        <w:rPr>
          <w:szCs w:val="20"/>
        </w:rPr>
        <w:t xml:space="preserve"> and Order</w:t>
      </w:r>
      <w:r>
        <w:rPr>
          <w:szCs w:val="20"/>
        </w:rPr>
        <w:t>, 2</w:t>
      </w:r>
      <w:r w:rsidR="00226B3D">
        <w:rPr>
          <w:szCs w:val="20"/>
        </w:rPr>
        <w:t>7</w:t>
      </w:r>
      <w:r w:rsidRPr="002A7814">
        <w:rPr>
          <w:szCs w:val="20"/>
        </w:rPr>
        <w:t xml:space="preserve"> FCC Rcd </w:t>
      </w:r>
      <w:r w:rsidR="0099661D">
        <w:rPr>
          <w:szCs w:val="20"/>
        </w:rPr>
        <w:t>7331</w:t>
      </w:r>
      <w:r w:rsidRPr="002A7814">
        <w:rPr>
          <w:szCs w:val="20"/>
        </w:rPr>
        <w:t xml:space="preserve"> (Enf. Bur. 201</w:t>
      </w:r>
      <w:r w:rsidR="00226B3D">
        <w:rPr>
          <w:szCs w:val="20"/>
        </w:rPr>
        <w:t>2</w:t>
      </w:r>
      <w:r w:rsidRPr="002A7814">
        <w:rPr>
          <w:szCs w:val="20"/>
        </w:rPr>
        <w:t>) (</w:t>
      </w:r>
      <w:r w:rsidRPr="002A7814">
        <w:rPr>
          <w:i/>
          <w:szCs w:val="20"/>
        </w:rPr>
        <w:t>NAL</w:t>
      </w:r>
      <w:r w:rsidRPr="002A7814">
        <w:rPr>
          <w:szCs w:val="20"/>
        </w:rPr>
        <w:t xml:space="preserve">).  A comprehensive recitation of the facts and history of this case can be found in the </w:t>
      </w:r>
      <w:r w:rsidRPr="002A7814">
        <w:rPr>
          <w:i/>
          <w:szCs w:val="20"/>
        </w:rPr>
        <w:t>NAL</w:t>
      </w:r>
      <w:r w:rsidRPr="002A7814">
        <w:rPr>
          <w:szCs w:val="20"/>
        </w:rPr>
        <w:t xml:space="preserve"> and is incorporated herein by reference.</w:t>
      </w:r>
      <w:r w:rsidR="00FA5A31">
        <w:rPr>
          <w:szCs w:val="20"/>
        </w:rPr>
        <w:t xml:space="preserve">  </w:t>
      </w:r>
    </w:p>
  </w:footnote>
  <w:footnote w:id="5">
    <w:p w:rsidR="00A80EF9" w:rsidRPr="00747D0C" w:rsidRDefault="00A80EF9" w:rsidP="00F07DF9">
      <w:pPr>
        <w:pStyle w:val="FootnoteText"/>
        <w:ind w:firstLine="0"/>
        <w:jc w:val="left"/>
        <w:rPr>
          <w:szCs w:val="20"/>
        </w:rPr>
      </w:pPr>
      <w:r w:rsidRPr="002A7814">
        <w:rPr>
          <w:rStyle w:val="FootnoteReference"/>
        </w:rPr>
        <w:footnoteRef/>
      </w:r>
      <w:r w:rsidRPr="002A7814">
        <w:rPr>
          <w:szCs w:val="20"/>
        </w:rPr>
        <w:t xml:space="preserve"> </w:t>
      </w:r>
      <w:r w:rsidRPr="00747D0C">
        <w:rPr>
          <w:i/>
          <w:szCs w:val="20"/>
        </w:rPr>
        <w:t>See</w:t>
      </w:r>
      <w:r w:rsidRPr="00747D0C">
        <w:rPr>
          <w:szCs w:val="20"/>
        </w:rPr>
        <w:t xml:space="preserve"> </w:t>
      </w:r>
      <w:r w:rsidR="00FA5A31" w:rsidRPr="00747D0C">
        <w:rPr>
          <w:szCs w:val="20"/>
        </w:rPr>
        <w:t xml:space="preserve">Response of </w:t>
      </w:r>
      <w:r w:rsidR="00373FCB">
        <w:rPr>
          <w:szCs w:val="20"/>
        </w:rPr>
        <w:t xml:space="preserve">Brian R. Ragan to San Francisco </w:t>
      </w:r>
      <w:r w:rsidR="00747D0C" w:rsidRPr="00747D0C">
        <w:rPr>
          <w:szCs w:val="20"/>
        </w:rPr>
        <w:t>Office</w:t>
      </w:r>
      <w:r w:rsidRPr="00747D0C">
        <w:rPr>
          <w:szCs w:val="20"/>
        </w:rPr>
        <w:t>, Western Region, Enforcement Bureau (</w:t>
      </w:r>
      <w:r w:rsidR="00FB29D6" w:rsidRPr="00747D0C">
        <w:rPr>
          <w:szCs w:val="20"/>
        </w:rPr>
        <w:t>J</w:t>
      </w:r>
      <w:r w:rsidR="00373FCB">
        <w:rPr>
          <w:szCs w:val="20"/>
        </w:rPr>
        <w:t>ul</w:t>
      </w:r>
      <w:r w:rsidR="00747D0C" w:rsidRPr="00747D0C">
        <w:rPr>
          <w:szCs w:val="20"/>
        </w:rPr>
        <w:t>.</w:t>
      </w:r>
      <w:r w:rsidR="00373FCB">
        <w:rPr>
          <w:szCs w:val="20"/>
        </w:rPr>
        <w:t xml:space="preserve"> 9</w:t>
      </w:r>
      <w:r w:rsidRPr="00747D0C">
        <w:rPr>
          <w:szCs w:val="20"/>
        </w:rPr>
        <w:t>, 201</w:t>
      </w:r>
      <w:r w:rsidR="00747D0C" w:rsidRPr="00747D0C">
        <w:rPr>
          <w:szCs w:val="20"/>
        </w:rPr>
        <w:t>2</w:t>
      </w:r>
      <w:r w:rsidRPr="00747D0C">
        <w:rPr>
          <w:szCs w:val="20"/>
        </w:rPr>
        <w:t xml:space="preserve">) (on file in </w:t>
      </w:r>
      <w:r w:rsidR="00747D0C" w:rsidRPr="00747D0C">
        <w:rPr>
          <w:szCs w:val="20"/>
          <w:lang w:val="es-ES"/>
        </w:rPr>
        <w:t>EB-FIELDWR-12-0000</w:t>
      </w:r>
      <w:r w:rsidR="00373FCB">
        <w:rPr>
          <w:szCs w:val="20"/>
          <w:lang w:val="es-ES"/>
        </w:rPr>
        <w:t>0609</w:t>
      </w:r>
      <w:r w:rsidRPr="00747D0C">
        <w:rPr>
          <w:szCs w:val="20"/>
        </w:rPr>
        <w:t>) (</w:t>
      </w:r>
      <w:r w:rsidRPr="00747D0C">
        <w:rPr>
          <w:i/>
          <w:szCs w:val="20"/>
        </w:rPr>
        <w:t>NAL Response</w:t>
      </w:r>
      <w:r w:rsidR="00FB29D6" w:rsidRPr="00747D0C">
        <w:rPr>
          <w:szCs w:val="20"/>
        </w:rPr>
        <w:t>).</w:t>
      </w:r>
    </w:p>
  </w:footnote>
  <w:footnote w:id="6">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47 U.S.C. § 503(b).</w:t>
      </w:r>
    </w:p>
  </w:footnote>
  <w:footnote w:id="7">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47 C.F.R. § 1.80.</w:t>
      </w:r>
    </w:p>
  </w:footnote>
  <w:footnote w:id="8">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w:t>
      </w:r>
      <w:r w:rsidRPr="002A7814">
        <w:rPr>
          <w:i/>
          <w:szCs w:val="20"/>
        </w:rPr>
        <w:t>The Commission’s Forfeiture Policy Statement and Amendment of Section 1.80 of the Rules to Incorporate the Forfeiture Guidelines</w:t>
      </w:r>
      <w:r w:rsidRPr="002A7814">
        <w:rPr>
          <w:szCs w:val="20"/>
        </w:rPr>
        <w:t xml:space="preserve">, Report and Order, 12 FCC Rcd 17087 (1997), </w:t>
      </w:r>
      <w:r w:rsidRPr="002A7814">
        <w:rPr>
          <w:i/>
          <w:szCs w:val="20"/>
        </w:rPr>
        <w:t>recons. denied</w:t>
      </w:r>
      <w:r w:rsidRPr="002A7814">
        <w:rPr>
          <w:szCs w:val="20"/>
        </w:rPr>
        <w:t>, 15 FCC Rcd 303 (1999) (</w:t>
      </w:r>
      <w:r w:rsidRPr="002A7814">
        <w:rPr>
          <w:i/>
          <w:szCs w:val="20"/>
        </w:rPr>
        <w:t>Forfeiture Policy Statement</w:t>
      </w:r>
      <w:r w:rsidRPr="002A7814">
        <w:rPr>
          <w:szCs w:val="20"/>
        </w:rPr>
        <w:t xml:space="preserve">).  </w:t>
      </w:r>
    </w:p>
  </w:footnote>
  <w:footnote w:id="9">
    <w:p w:rsidR="00A80EF9" w:rsidRPr="002A7814" w:rsidRDefault="00A80EF9" w:rsidP="00DD5284">
      <w:pPr>
        <w:pStyle w:val="FootnoteText"/>
        <w:widowControl/>
        <w:ind w:firstLine="0"/>
        <w:jc w:val="left"/>
        <w:rPr>
          <w:szCs w:val="20"/>
        </w:rPr>
      </w:pPr>
      <w:r w:rsidRPr="002A7814">
        <w:rPr>
          <w:rStyle w:val="FootnoteReference"/>
        </w:rPr>
        <w:footnoteRef/>
      </w:r>
      <w:r w:rsidRPr="002A7814">
        <w:rPr>
          <w:szCs w:val="20"/>
        </w:rPr>
        <w:t xml:space="preserve"> 47 U.S.C. § 503(b)(2)(E).</w:t>
      </w:r>
    </w:p>
  </w:footnote>
  <w:footnote w:id="10">
    <w:p w:rsidR="00A80EF9" w:rsidRPr="002A7814" w:rsidRDefault="00A80EF9" w:rsidP="00DD5284">
      <w:pPr>
        <w:pStyle w:val="FootnoteText"/>
        <w:widowControl/>
        <w:ind w:firstLine="0"/>
        <w:jc w:val="left"/>
        <w:rPr>
          <w:szCs w:val="20"/>
        </w:rPr>
      </w:pPr>
      <w:r w:rsidRPr="002A7814">
        <w:rPr>
          <w:rStyle w:val="FootnoteReference"/>
        </w:rPr>
        <w:footnoteRef/>
      </w:r>
      <w:r w:rsidRPr="002A7814">
        <w:rPr>
          <w:i/>
          <w:szCs w:val="20"/>
        </w:rPr>
        <w:t xml:space="preserve"> See NAL</w:t>
      </w:r>
      <w:r w:rsidRPr="002A7814">
        <w:rPr>
          <w:szCs w:val="20"/>
        </w:rPr>
        <w:t xml:space="preserve">, </w:t>
      </w:r>
      <w:r w:rsidRPr="002A7814">
        <w:rPr>
          <w:i/>
          <w:szCs w:val="20"/>
        </w:rPr>
        <w:t>supra</w:t>
      </w:r>
      <w:r w:rsidRPr="002A7814">
        <w:rPr>
          <w:szCs w:val="20"/>
        </w:rPr>
        <w:t xml:space="preserve"> note </w:t>
      </w:r>
      <w:r w:rsidR="00A50CE6">
        <w:rPr>
          <w:szCs w:val="20"/>
        </w:rPr>
        <w:t>3</w:t>
      </w:r>
      <w:r w:rsidRPr="002A7814">
        <w:rPr>
          <w:szCs w:val="20"/>
        </w:rPr>
        <w:t xml:space="preserve">. </w:t>
      </w:r>
    </w:p>
  </w:footnote>
  <w:footnote w:id="11">
    <w:p w:rsidR="0099661D" w:rsidRPr="00780C0F" w:rsidRDefault="0099661D" w:rsidP="0099661D">
      <w:pPr>
        <w:pStyle w:val="FootnoteText"/>
        <w:ind w:firstLine="0"/>
        <w:jc w:val="left"/>
        <w:rPr>
          <w:color w:val="000000"/>
        </w:rPr>
      </w:pPr>
      <w:r w:rsidRPr="00780C0F">
        <w:rPr>
          <w:rStyle w:val="FootnoteReference"/>
          <w:color w:val="000000"/>
        </w:rPr>
        <w:footnoteRef/>
      </w:r>
      <w:r w:rsidRPr="00780C0F">
        <w:rPr>
          <w:color w:val="000000"/>
        </w:rPr>
        <w:t xml:space="preserve"> 47 U.S.C. § 301</w:t>
      </w:r>
      <w:r>
        <w:rPr>
          <w:color w:val="000000"/>
        </w:rPr>
        <w:t>.</w:t>
      </w:r>
    </w:p>
  </w:footnote>
  <w:footnote w:id="12">
    <w:p w:rsidR="0099661D" w:rsidRPr="00780C0F" w:rsidRDefault="0099661D" w:rsidP="0099661D">
      <w:pPr>
        <w:pStyle w:val="FootnoteText"/>
        <w:ind w:firstLine="0"/>
        <w:jc w:val="left"/>
        <w:rPr>
          <w:color w:val="000000"/>
        </w:rPr>
      </w:pPr>
      <w:r w:rsidRPr="00780C0F">
        <w:rPr>
          <w:rStyle w:val="FootnoteReference"/>
          <w:color w:val="000000"/>
        </w:rPr>
        <w:footnoteRef/>
      </w:r>
      <w:r w:rsidRPr="00780C0F">
        <w:rPr>
          <w:color w:val="000000"/>
        </w:rPr>
        <w:t xml:space="preserve"> 47 U.S.C. § 303(n).</w:t>
      </w:r>
    </w:p>
  </w:footnote>
  <w:footnote w:id="13">
    <w:p w:rsidR="00312359" w:rsidRPr="00312359" w:rsidRDefault="00312359" w:rsidP="00312359">
      <w:pPr>
        <w:pStyle w:val="FootnoteText"/>
        <w:tabs>
          <w:tab w:val="clear" w:pos="720"/>
        </w:tabs>
        <w:ind w:firstLine="0"/>
      </w:pPr>
      <w:r>
        <w:rPr>
          <w:rStyle w:val="FootnoteReference"/>
        </w:rPr>
        <w:footnoteRef/>
      </w:r>
      <w:r>
        <w:t xml:space="preserve"> </w:t>
      </w:r>
      <w:r>
        <w:rPr>
          <w:i/>
        </w:rPr>
        <w:t>NAL</w:t>
      </w:r>
      <w:r>
        <w:t xml:space="preserve">, </w:t>
      </w:r>
      <w:r>
        <w:rPr>
          <w:szCs w:val="20"/>
        </w:rPr>
        <w:t>27</w:t>
      </w:r>
      <w:r w:rsidRPr="002A7814">
        <w:rPr>
          <w:szCs w:val="20"/>
        </w:rPr>
        <w:t xml:space="preserve"> FCC Rcd</w:t>
      </w:r>
      <w:r>
        <w:rPr>
          <w:szCs w:val="20"/>
        </w:rPr>
        <w:t xml:space="preserve"> at 7331, para. 2.</w:t>
      </w:r>
    </w:p>
  </w:footnote>
  <w:footnote w:id="14">
    <w:p w:rsidR="00312359" w:rsidRPr="00312359" w:rsidRDefault="00312359" w:rsidP="00312359">
      <w:pPr>
        <w:pStyle w:val="FootnoteText"/>
        <w:tabs>
          <w:tab w:val="clear" w:pos="720"/>
        </w:tabs>
        <w:ind w:firstLine="0"/>
      </w:pPr>
      <w:r>
        <w:rPr>
          <w:rStyle w:val="FootnoteReference"/>
        </w:rPr>
        <w:footnoteRef/>
      </w:r>
      <w:r>
        <w:t xml:space="preserve"> </w:t>
      </w:r>
      <w:r>
        <w:rPr>
          <w:i/>
        </w:rPr>
        <w:t xml:space="preserve">Id. </w:t>
      </w:r>
      <w:r>
        <w:t>at 7332, para. 3.</w:t>
      </w:r>
    </w:p>
  </w:footnote>
  <w:footnote w:id="15">
    <w:p w:rsidR="00312359" w:rsidRPr="00312359" w:rsidRDefault="00312359" w:rsidP="00312359">
      <w:pPr>
        <w:pStyle w:val="FootnoteText"/>
        <w:tabs>
          <w:tab w:val="clear" w:pos="720"/>
        </w:tabs>
        <w:ind w:firstLine="0"/>
      </w:pPr>
      <w:r>
        <w:rPr>
          <w:rStyle w:val="FootnoteReference"/>
        </w:rPr>
        <w:footnoteRef/>
      </w:r>
      <w:r>
        <w:t xml:space="preserve"> </w:t>
      </w:r>
      <w:r>
        <w:rPr>
          <w:i/>
        </w:rPr>
        <w:t xml:space="preserve">Id. </w:t>
      </w:r>
      <w:r>
        <w:t>at 7331, para. 2</w:t>
      </w:r>
    </w:p>
  </w:footnote>
  <w:footnote w:id="16">
    <w:p w:rsidR="005C3EDE" w:rsidRDefault="005C3EDE" w:rsidP="005C3EDE">
      <w:pPr>
        <w:pStyle w:val="FootnoteText"/>
        <w:tabs>
          <w:tab w:val="clear" w:pos="720"/>
        </w:tabs>
        <w:ind w:firstLine="0"/>
      </w:pPr>
      <w:r>
        <w:rPr>
          <w:rStyle w:val="FootnoteReference"/>
        </w:rPr>
        <w:footnoteRef/>
      </w:r>
      <w:r>
        <w:t xml:space="preserve"> </w:t>
      </w:r>
      <w:r>
        <w:rPr>
          <w:i/>
        </w:rPr>
        <w:t xml:space="preserve">Id. </w:t>
      </w:r>
      <w:r>
        <w:t>at 7332, para. 3.</w:t>
      </w:r>
    </w:p>
  </w:footnote>
  <w:footnote w:id="17">
    <w:p w:rsidR="003C4BB4" w:rsidRPr="00780C0F" w:rsidRDefault="003C4BB4" w:rsidP="00FF2999">
      <w:pPr>
        <w:pStyle w:val="FootnoteText"/>
        <w:ind w:firstLine="0"/>
        <w:rPr>
          <w:color w:val="000000"/>
        </w:rPr>
      </w:pPr>
      <w:r w:rsidRPr="00780C0F">
        <w:rPr>
          <w:rStyle w:val="FootnoteReference"/>
          <w:color w:val="000000"/>
        </w:rPr>
        <w:footnoteRef/>
      </w:r>
      <w:r w:rsidRPr="00780C0F">
        <w:rPr>
          <w:color w:val="000000"/>
        </w:rPr>
        <w:t xml:space="preserve"> </w:t>
      </w:r>
      <w:r w:rsidRPr="00780C0F">
        <w:rPr>
          <w:i/>
          <w:color w:val="000000"/>
        </w:rPr>
        <w:t>See</w:t>
      </w:r>
      <w:r w:rsidRPr="00780C0F">
        <w:rPr>
          <w:color w:val="000000"/>
        </w:rPr>
        <w:t xml:space="preserve"> 47 C.F.R. § 97.103(c). </w:t>
      </w:r>
    </w:p>
  </w:footnote>
  <w:footnote w:id="18">
    <w:p w:rsidR="003C4BB4" w:rsidRPr="00780C0F" w:rsidRDefault="003C4BB4" w:rsidP="00FF2999">
      <w:pPr>
        <w:pStyle w:val="FootnoteText"/>
        <w:ind w:firstLine="0"/>
        <w:rPr>
          <w:color w:val="000000"/>
        </w:rPr>
      </w:pPr>
      <w:r w:rsidRPr="00780C0F">
        <w:rPr>
          <w:rStyle w:val="FootnoteReference"/>
          <w:color w:val="000000"/>
        </w:rPr>
        <w:footnoteRef/>
      </w:r>
      <w:r w:rsidRPr="00780C0F">
        <w:rPr>
          <w:color w:val="000000"/>
        </w:rPr>
        <w:t xml:space="preserve"> </w:t>
      </w:r>
      <w:r w:rsidRPr="00780C0F">
        <w:rPr>
          <w:i/>
          <w:color w:val="000000"/>
        </w:rPr>
        <w:t>See</w:t>
      </w:r>
      <w:r w:rsidRPr="00780C0F">
        <w:rPr>
          <w:color w:val="000000"/>
        </w:rPr>
        <w:t xml:space="preserve"> 47 C.F.R. § 97.103(a).</w:t>
      </w:r>
    </w:p>
  </w:footnote>
  <w:footnote w:id="19">
    <w:p w:rsidR="00DD5284" w:rsidRPr="00F34069" w:rsidRDefault="00DD5284" w:rsidP="00DD5284">
      <w:pPr>
        <w:widowControl w:val="0"/>
        <w:tabs>
          <w:tab w:val="left" w:pos="1440"/>
        </w:tabs>
        <w:suppressAutoHyphens/>
        <w:autoSpaceDE w:val="0"/>
        <w:autoSpaceDN w:val="0"/>
        <w:adjustRightInd w:val="0"/>
        <w:spacing w:after="120" w:line="240" w:lineRule="atLeast"/>
        <w:rPr>
          <w:sz w:val="20"/>
          <w:szCs w:val="20"/>
        </w:rPr>
      </w:pPr>
      <w:r w:rsidRPr="00F34069">
        <w:rPr>
          <w:rStyle w:val="FootnoteReference"/>
        </w:rPr>
        <w:footnoteRef/>
      </w:r>
      <w:r w:rsidRPr="00F34069">
        <w:rPr>
          <w:sz w:val="20"/>
          <w:szCs w:val="20"/>
        </w:rPr>
        <w:t xml:space="preserve"> As required by the </w:t>
      </w:r>
      <w:r w:rsidRPr="00F34069">
        <w:rPr>
          <w:i/>
          <w:sz w:val="20"/>
          <w:szCs w:val="20"/>
        </w:rPr>
        <w:t>NAL</w:t>
      </w:r>
      <w:r w:rsidRPr="00F34069">
        <w:rPr>
          <w:sz w:val="20"/>
          <w:szCs w:val="20"/>
        </w:rPr>
        <w:t xml:space="preserve">, </w:t>
      </w:r>
      <w:r w:rsidR="008B664C">
        <w:rPr>
          <w:sz w:val="20"/>
          <w:szCs w:val="20"/>
        </w:rPr>
        <w:t>Mr. Ragan</w:t>
      </w:r>
      <w:r w:rsidRPr="00F34069">
        <w:rPr>
          <w:sz w:val="20"/>
          <w:szCs w:val="20"/>
        </w:rPr>
        <w:t xml:space="preserve"> submitted a written statement, stating that </w:t>
      </w:r>
      <w:r w:rsidR="00B72609">
        <w:rPr>
          <w:sz w:val="20"/>
          <w:szCs w:val="20"/>
        </w:rPr>
        <w:t xml:space="preserve">he is now in full compliance with Section 301 and is no longer engaged in unauthorized operation on frequency 104.9 MHz and that he is willing to allow an inspection for verification. </w:t>
      </w:r>
      <w:r w:rsidRPr="00F34069">
        <w:rPr>
          <w:sz w:val="20"/>
          <w:szCs w:val="20"/>
        </w:rPr>
        <w:t xml:space="preserve"> </w:t>
      </w:r>
      <w:r w:rsidRPr="00F34069">
        <w:rPr>
          <w:i/>
          <w:sz w:val="20"/>
          <w:szCs w:val="20"/>
        </w:rPr>
        <w:t>See</w:t>
      </w:r>
      <w:r w:rsidRPr="00F34069">
        <w:rPr>
          <w:sz w:val="20"/>
          <w:szCs w:val="20"/>
        </w:rPr>
        <w:t xml:space="preserve"> Statement of </w:t>
      </w:r>
      <w:r w:rsidR="00B72609">
        <w:rPr>
          <w:sz w:val="20"/>
          <w:szCs w:val="20"/>
        </w:rPr>
        <w:t>Brian R. Ragan,</w:t>
      </w:r>
      <w:r w:rsidR="00B41224">
        <w:rPr>
          <w:sz w:val="20"/>
          <w:szCs w:val="20"/>
        </w:rPr>
        <w:t xml:space="preserve"> to</w:t>
      </w:r>
      <w:r w:rsidRPr="00F34069">
        <w:rPr>
          <w:sz w:val="20"/>
          <w:szCs w:val="20"/>
        </w:rPr>
        <w:t xml:space="preserve"> </w:t>
      </w:r>
      <w:r w:rsidR="005F2619" w:rsidRPr="00F34069">
        <w:rPr>
          <w:sz w:val="20"/>
          <w:szCs w:val="20"/>
        </w:rPr>
        <w:t xml:space="preserve">San </w:t>
      </w:r>
      <w:r w:rsidR="00B72609">
        <w:rPr>
          <w:sz w:val="20"/>
          <w:szCs w:val="20"/>
        </w:rPr>
        <w:t xml:space="preserve">Francisco </w:t>
      </w:r>
      <w:r w:rsidRPr="00F34069">
        <w:rPr>
          <w:sz w:val="20"/>
          <w:szCs w:val="20"/>
        </w:rPr>
        <w:t>Office, Western Region, Enforcement Bureau (</w:t>
      </w:r>
      <w:r w:rsidR="005F2619" w:rsidRPr="00F34069">
        <w:rPr>
          <w:sz w:val="20"/>
          <w:szCs w:val="20"/>
        </w:rPr>
        <w:t>J</w:t>
      </w:r>
      <w:r w:rsidR="00B41224">
        <w:rPr>
          <w:sz w:val="20"/>
          <w:szCs w:val="20"/>
        </w:rPr>
        <w:t>u</w:t>
      </w:r>
      <w:r w:rsidR="00B72609">
        <w:rPr>
          <w:sz w:val="20"/>
          <w:szCs w:val="20"/>
        </w:rPr>
        <w:t>l. 9</w:t>
      </w:r>
      <w:r w:rsidR="005F2619" w:rsidRPr="00F34069">
        <w:rPr>
          <w:sz w:val="20"/>
          <w:szCs w:val="20"/>
        </w:rPr>
        <w:t>, 2012</w:t>
      </w:r>
      <w:r w:rsidRPr="00F34069">
        <w:rPr>
          <w:sz w:val="20"/>
          <w:szCs w:val="20"/>
        </w:rPr>
        <w:t xml:space="preserve">) (on file in </w:t>
      </w:r>
      <w:r w:rsidR="00912147" w:rsidRPr="00747D0C">
        <w:rPr>
          <w:sz w:val="20"/>
          <w:szCs w:val="20"/>
          <w:lang w:val="es-ES"/>
        </w:rPr>
        <w:t>EB-FIELDWR-12-0000</w:t>
      </w:r>
      <w:r w:rsidR="00B72609">
        <w:rPr>
          <w:sz w:val="20"/>
          <w:szCs w:val="20"/>
          <w:lang w:val="es-ES"/>
        </w:rPr>
        <w:t>0609</w:t>
      </w:r>
      <w:r w:rsidR="00912147">
        <w:rPr>
          <w:sz w:val="20"/>
          <w:szCs w:val="20"/>
          <w:lang w:val="es-ES"/>
        </w:rPr>
        <w:t>)</w:t>
      </w:r>
      <w:r w:rsidRPr="00F34069">
        <w:rPr>
          <w:sz w:val="20"/>
          <w:szCs w:val="20"/>
        </w:rPr>
        <w:t>.</w:t>
      </w:r>
    </w:p>
  </w:footnote>
  <w:footnote w:id="20">
    <w:p w:rsidR="008347E0" w:rsidRDefault="008347E0" w:rsidP="008B664C">
      <w:pPr>
        <w:pStyle w:val="FootnoteText"/>
        <w:ind w:firstLine="0"/>
      </w:pPr>
      <w:r>
        <w:rPr>
          <w:rStyle w:val="FootnoteReference"/>
        </w:rPr>
        <w:footnoteRef/>
      </w:r>
      <w:r>
        <w:t xml:space="preserve"> 47 U.S.C. § 312(f)(1).</w:t>
      </w:r>
    </w:p>
  </w:footnote>
  <w:footnote w:id="21">
    <w:p w:rsidR="008347E0" w:rsidRDefault="008347E0" w:rsidP="008347E0">
      <w:pPr>
        <w:pStyle w:val="FootnoteText"/>
        <w:ind w:firstLine="0"/>
      </w:pPr>
      <w:r>
        <w:rPr>
          <w:rStyle w:val="FootnoteReference"/>
        </w:rPr>
        <w:footnoteRef/>
      </w:r>
      <w:r>
        <w:t xml:space="preserve"> </w:t>
      </w:r>
      <w:r w:rsidRPr="006F6663">
        <w:rPr>
          <w:i/>
        </w:rPr>
        <w:t>NAL</w:t>
      </w:r>
      <w:r w:rsidR="00B72609">
        <w:t>, 27</w:t>
      </w:r>
      <w:r>
        <w:t xml:space="preserve"> FCC Rcd at </w:t>
      </w:r>
      <w:r w:rsidR="00B72609">
        <w:t>7335</w:t>
      </w:r>
      <w:r w:rsidR="005C3EDE">
        <w:t>, para. 4</w:t>
      </w:r>
      <w:r>
        <w:t xml:space="preserve"> n.7 (quoting </w:t>
      </w:r>
      <w:r w:rsidR="00D854BD">
        <w:t>H.R. Rep. 97-765, 97</w:t>
      </w:r>
      <w:r w:rsidR="00D854BD" w:rsidRPr="00D854BD">
        <w:rPr>
          <w:vertAlign w:val="superscript"/>
        </w:rPr>
        <w:t>th</w:t>
      </w:r>
      <w:r w:rsidR="00D854BD">
        <w:t xml:space="preserve"> Cong. 2d Sess. 51 (1982)</w:t>
      </w:r>
      <w:r>
        <w:t>).</w:t>
      </w:r>
    </w:p>
  </w:footnote>
  <w:footnote w:id="22">
    <w:p w:rsidR="008347E0" w:rsidRDefault="008347E0" w:rsidP="008347E0">
      <w:pPr>
        <w:pStyle w:val="FootnoteText"/>
        <w:ind w:firstLine="0"/>
      </w:pPr>
      <w:r>
        <w:rPr>
          <w:rStyle w:val="FootnoteReference"/>
        </w:rPr>
        <w:footnoteRef/>
      </w:r>
      <w:r>
        <w:t xml:space="preserve"> </w:t>
      </w:r>
      <w:r w:rsidRPr="008347E0">
        <w:rPr>
          <w:i/>
        </w:rPr>
        <w:t>NAL Response</w:t>
      </w:r>
      <w:r w:rsidRPr="008347E0">
        <w:t xml:space="preserve"> at</w:t>
      </w:r>
      <w:r>
        <w:t xml:space="preserve"> 1</w:t>
      </w:r>
      <w:r w:rsidRPr="008347E0">
        <w:t>.</w:t>
      </w:r>
    </w:p>
  </w:footnote>
  <w:footnote w:id="23">
    <w:p w:rsidR="008347E0" w:rsidRPr="00B72609" w:rsidRDefault="008347E0" w:rsidP="008347E0">
      <w:pPr>
        <w:pStyle w:val="FootnoteText"/>
        <w:ind w:firstLine="0"/>
        <w:jc w:val="left"/>
        <w:rPr>
          <w:szCs w:val="20"/>
        </w:rPr>
      </w:pPr>
      <w:r>
        <w:rPr>
          <w:rStyle w:val="FootnoteReference"/>
        </w:rPr>
        <w:footnoteRef/>
      </w:r>
      <w:r>
        <w:t xml:space="preserve"> </w:t>
      </w:r>
      <w:r w:rsidRPr="00B72609">
        <w:rPr>
          <w:i/>
          <w:szCs w:val="20"/>
        </w:rPr>
        <w:t>See Charles Clemons</w:t>
      </w:r>
      <w:r w:rsidRPr="00B72609">
        <w:rPr>
          <w:szCs w:val="20"/>
        </w:rPr>
        <w:t xml:space="preserve">, Forfeiture Order, 23 FCC Rcd 7414 (Enf. Bur. 2008) ($17,000 forfeiture assessed for unlicensed broadcaster who also failed to allow inspection, in violation of Sections 301 and 303(n) of the Act); </w:t>
      </w:r>
      <w:r w:rsidRPr="00B72609">
        <w:rPr>
          <w:i/>
          <w:szCs w:val="20"/>
        </w:rPr>
        <w:t>Craig Watkins</w:t>
      </w:r>
      <w:r w:rsidRPr="00B72609">
        <w:rPr>
          <w:szCs w:val="20"/>
        </w:rPr>
        <w:t>, Forfeiture Order, 23 FCC Rcd 3924 (Enf. Bur. 2008) ($17,000 forfeiture assessed for unlicensed broadcaster who also failed to allow inspection, in violation of Sections 301 and 303(n) of the Act);</w:t>
      </w:r>
      <w:r w:rsidRPr="00B72609">
        <w:rPr>
          <w:i/>
          <w:snapToGrid/>
          <w:szCs w:val="20"/>
        </w:rPr>
        <w:t xml:space="preserve"> </w:t>
      </w:r>
      <w:r w:rsidR="008B664C" w:rsidRPr="00B72609">
        <w:rPr>
          <w:i/>
          <w:snapToGrid/>
          <w:szCs w:val="20"/>
        </w:rPr>
        <w:t>Nicholas Paula</w:t>
      </w:r>
      <w:r w:rsidRPr="00B72609">
        <w:rPr>
          <w:szCs w:val="20"/>
        </w:rPr>
        <w:t xml:space="preserve">, Forfeiture Order, 23 FCC Rcd </w:t>
      </w:r>
      <w:r w:rsidR="008B664C" w:rsidRPr="00B72609">
        <w:rPr>
          <w:szCs w:val="20"/>
        </w:rPr>
        <w:t>409</w:t>
      </w:r>
      <w:r w:rsidRPr="00B72609">
        <w:rPr>
          <w:szCs w:val="20"/>
        </w:rPr>
        <w:t xml:space="preserve"> (Enf. Bur. 2008) ($17,000 forfeiture assessed for unlicensed broadcaster who also failed to allow inspection, in violation of Sect</w:t>
      </w:r>
      <w:r w:rsidR="00B72609">
        <w:rPr>
          <w:szCs w:val="20"/>
        </w:rPr>
        <w:t>ions 301 and 303(n) of the Act).</w:t>
      </w:r>
    </w:p>
  </w:footnote>
  <w:footnote w:id="24">
    <w:p w:rsidR="00097915" w:rsidRDefault="00097915" w:rsidP="006235A0">
      <w:pPr>
        <w:pStyle w:val="FootnoteText"/>
        <w:ind w:firstLine="0"/>
        <w:jc w:val="left"/>
      </w:pPr>
      <w:r>
        <w:rPr>
          <w:rStyle w:val="FootnoteReference"/>
        </w:rPr>
        <w:footnoteRef/>
      </w:r>
      <w:r>
        <w:t xml:space="preserve"> </w:t>
      </w:r>
      <w:r>
        <w:rPr>
          <w:i/>
        </w:rPr>
        <w:t>See Seawest Yacht Brokers</w:t>
      </w:r>
      <w:r>
        <w:t>, 9 FCC Rcd 6099</w:t>
      </w:r>
      <w:r w:rsidR="008601AD">
        <w:t xml:space="preserve">, 6099, para. 7 </w:t>
      </w:r>
      <w:r>
        <w:t>(1994) (</w:t>
      </w:r>
      <w:r w:rsidRPr="00097915">
        <w:t>corrective action taken to come into compliance with Commission rules or policy is expected, and does not nullify or mitigate any prior forfeitures or violations</w:t>
      </w:r>
      <w:r w:rsidR="008601AD">
        <w:t>)</w:t>
      </w:r>
      <w:r>
        <w:t>.</w:t>
      </w:r>
    </w:p>
  </w:footnote>
  <w:footnote w:id="25">
    <w:p w:rsidR="008601AD" w:rsidRPr="00097915" w:rsidRDefault="008601AD" w:rsidP="008601AD">
      <w:pPr>
        <w:pStyle w:val="FootnoteText"/>
        <w:ind w:firstLine="0"/>
        <w:jc w:val="left"/>
      </w:pPr>
      <w:r>
        <w:rPr>
          <w:rStyle w:val="FootnoteReference"/>
        </w:rPr>
        <w:footnoteRef/>
      </w:r>
      <w:r>
        <w:t xml:space="preserve"> </w:t>
      </w:r>
      <w:r>
        <w:rPr>
          <w:i/>
        </w:rPr>
        <w:t xml:space="preserve">See id. </w:t>
      </w:r>
      <w:r>
        <w:t>at 6099, para. 8 (forfeiture proposed for a violation of Section 301 of the Act, while not nullified because of corrective action  taken to come into compliance, may be reduced because of subject’s prior histo</w:t>
      </w:r>
      <w:r w:rsidR="002E57BD">
        <w:t xml:space="preserve">ry of compliance as a licensee); </w:t>
      </w:r>
      <w:r w:rsidR="002E57BD">
        <w:rPr>
          <w:i/>
        </w:rPr>
        <w:t>see also Joaquim Barbosa</w:t>
      </w:r>
      <w:r w:rsidR="002E57BD">
        <w:t>, Forfeitu</w:t>
      </w:r>
      <w:r w:rsidR="006235A0">
        <w:t>re Order, 27 FCC Rcd 15334 (Enf</w:t>
      </w:r>
      <w:r w:rsidR="002E57BD">
        <w:t>. Bur. 2012) (history of compliance reduction given to amateur radio licensee who had no history of violations prior to operating without authorization on a frequency not in the amateur radio service).</w:t>
      </w:r>
    </w:p>
  </w:footnote>
  <w:footnote w:id="26">
    <w:p w:rsidR="008B664C" w:rsidRDefault="008B664C" w:rsidP="008B664C">
      <w:pPr>
        <w:pStyle w:val="FootnoteText"/>
        <w:ind w:firstLine="0"/>
        <w:jc w:val="left"/>
      </w:pPr>
      <w:r>
        <w:rPr>
          <w:rStyle w:val="FootnoteReference"/>
        </w:rPr>
        <w:footnoteRef/>
      </w:r>
      <w:r>
        <w:t xml:space="preserve"> 47 C.F.R. § 1.80(b)(5), Note: Guidelines for Assessing Forfeitures, Section II, Adjustment Crite</w:t>
      </w:r>
      <w:r w:rsidR="00ED6602">
        <w:t>ria for Section 503 Forfeitures (f</w:t>
      </w:r>
      <w:r w:rsidRPr="008B664C">
        <w:t>or forfeitures proposed and assessed under Section 503(b) of the Act, as this one is, the adjustment factors included by the Commission in i</w:t>
      </w:r>
      <w:r w:rsidR="00807748">
        <w:t>ts downward adjustment criteria in Section 1.80</w:t>
      </w:r>
      <w:r w:rsidRPr="008B664C">
        <w:t xml:space="preserve"> are: </w:t>
      </w:r>
      <w:r w:rsidR="00807748">
        <w:t xml:space="preserve"> </w:t>
      </w:r>
      <w:r w:rsidRPr="008B664C">
        <w:t>(1) minor violation; (2) good faith or voluntary disclosure; (3) history of compliance; and (4) inability to pay</w:t>
      </w:r>
      <w:r w:rsidR="00ED6602">
        <w:t>)</w:t>
      </w:r>
      <w:r>
        <w:t>.</w:t>
      </w:r>
    </w:p>
  </w:footnote>
  <w:footnote w:id="27">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47 U.S.C. §</w:t>
      </w:r>
      <w:r w:rsidR="00B72609" w:rsidRPr="00B72609">
        <w:rPr>
          <w:szCs w:val="20"/>
        </w:rPr>
        <w:t>§</w:t>
      </w:r>
      <w:r w:rsidR="00B72609">
        <w:rPr>
          <w:szCs w:val="20"/>
        </w:rPr>
        <w:t xml:space="preserve"> 301, 303(n),</w:t>
      </w:r>
      <w:r w:rsidRPr="002A7814">
        <w:rPr>
          <w:szCs w:val="20"/>
        </w:rPr>
        <w:t xml:space="preserve"> 503(b); 47 C.F.R. §§ 0.111, 0.204, 0.311, 0.314, 1.80(f)(4)</w:t>
      </w:r>
      <w:r w:rsidR="00B72609">
        <w:rPr>
          <w:szCs w:val="20"/>
        </w:rPr>
        <w:t>.</w:t>
      </w:r>
    </w:p>
  </w:footnote>
  <w:footnote w:id="28">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47 C.F.R. § 1.80.</w:t>
      </w:r>
    </w:p>
  </w:footnote>
  <w:footnote w:id="29">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47 U.S.C. § 504(a).</w:t>
      </w:r>
    </w:p>
  </w:footnote>
  <w:footnote w:id="30">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w:t>
      </w:r>
      <w:r w:rsidRPr="002A7814">
        <w:rPr>
          <w:rFonts w:eastAsia="MS Mincho" w:cs="Arial"/>
          <w:szCs w:val="20"/>
        </w:rPr>
        <w:t>An FCC Form 159 and detailed instructions for completing the form may be obtained at http://www.fcc.gov/Forms/Form159/159.pdf.</w:t>
      </w:r>
    </w:p>
  </w:footnote>
  <w:footnote w:id="31">
    <w:p w:rsidR="00A80EF9" w:rsidRPr="002A7814" w:rsidRDefault="00A80EF9" w:rsidP="00F07DF9">
      <w:pPr>
        <w:pStyle w:val="FootnoteText"/>
        <w:widowControl/>
        <w:ind w:firstLine="0"/>
        <w:jc w:val="left"/>
        <w:rPr>
          <w:szCs w:val="20"/>
        </w:rPr>
      </w:pPr>
      <w:r w:rsidRPr="002A7814">
        <w:rPr>
          <w:rStyle w:val="FootnoteReference"/>
        </w:rPr>
        <w:footnoteRef/>
      </w:r>
      <w:r w:rsidRPr="002A7814">
        <w:rPr>
          <w:szCs w:val="20"/>
        </w:rPr>
        <w:t xml:space="preserve"> </w:t>
      </w:r>
      <w:r w:rsidRPr="002A7814">
        <w:rPr>
          <w:i/>
          <w:szCs w:val="20"/>
        </w:rPr>
        <w:t>See</w:t>
      </w:r>
      <w:r w:rsidRPr="002A7814">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4E" w:rsidRDefault="0059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b/>
      </w:rPr>
    </w:pPr>
    <w:r>
      <w:rPr>
        <w:b/>
      </w:rPr>
      <w:tab/>
      <w:t>Federal Comm</w:t>
    </w:r>
    <w:r w:rsidR="009F711E">
      <w:rPr>
        <w:b/>
      </w:rPr>
      <w:t>unications Commission</w:t>
    </w:r>
    <w:r w:rsidR="009F711E">
      <w:rPr>
        <w:b/>
      </w:rPr>
      <w:tab/>
      <w:t>DA 14-311</w:t>
    </w:r>
  </w:p>
  <w:p w:rsidR="00A80EF9" w:rsidRDefault="00056F28">
    <w:pPr>
      <w:pStyle w:val="Header"/>
      <w:jc w:val="both"/>
      <w:rPr>
        <w:b/>
      </w:rPr>
    </w:pPr>
    <w:r>
      <w:rPr>
        <w:b/>
        <w:noProof/>
      </w:rPr>
      <mc:AlternateContent>
        <mc:Choice Requires="wps">
          <w:drawing>
            <wp:anchor distT="0" distB="0" distL="114300" distR="114300" simplePos="0" relativeHeight="251657216" behindDoc="1" locked="0" layoutInCell="0" allowOverlap="1" wp14:anchorId="368B27F9" wp14:editId="13894D0F">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3AD8D067"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spacing w:val="-2"/>
      </w:rPr>
    </w:pPr>
    <w:r>
      <w:rPr>
        <w:b/>
        <w:spacing w:val="-2"/>
      </w:rPr>
      <w:tab/>
      <w:t xml:space="preserve">Federal Communications </w:t>
    </w:r>
    <w:r w:rsidR="009F711E">
      <w:rPr>
        <w:b/>
        <w:spacing w:val="-2"/>
      </w:rPr>
      <w:t>Commission</w:t>
    </w:r>
    <w:r w:rsidR="009F711E">
      <w:rPr>
        <w:b/>
        <w:spacing w:val="-2"/>
      </w:rPr>
      <w:tab/>
      <w:t>DA 14</w:t>
    </w:r>
    <w:r>
      <w:rPr>
        <w:b/>
        <w:spacing w:val="-2"/>
      </w:rPr>
      <w:t>-</w:t>
    </w:r>
    <w:r w:rsidR="009F711E">
      <w:rPr>
        <w:b/>
        <w:spacing w:val="-2"/>
      </w:rPr>
      <w:t>311</w:t>
    </w:r>
  </w:p>
  <w:p w:rsidR="00A80EF9" w:rsidRDefault="00056F28">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1020E5" w14:textId="77777777" w:rsidR="00A80EF9" w:rsidRDefault="00A80EF9"/>
                </w:txbxContent>
              </v:textbox>
              <w10:wrap anchorx="margin"/>
            </v:rect>
          </w:pict>
        </mc:Fallback>
      </mc:AlternateContent>
    </w:r>
  </w:p>
  <w:p w:rsidR="00A80EF9" w:rsidRDefault="00A80EF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5">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8">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5"/>
  </w:num>
  <w:num w:numId="3">
    <w:abstractNumId w:val="3"/>
  </w:num>
  <w:num w:numId="4">
    <w:abstractNumId w:val="10"/>
  </w:num>
  <w:num w:numId="5">
    <w:abstractNumId w:val="2"/>
  </w:num>
  <w:num w:numId="6">
    <w:abstractNumId w:val="4"/>
  </w:num>
  <w:num w:numId="7">
    <w:abstractNumId w:val="1"/>
  </w:num>
  <w:num w:numId="8">
    <w:abstractNumId w:val="11"/>
  </w:num>
  <w:num w:numId="9">
    <w:abstractNumId w:val="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13AE8"/>
    <w:rsid w:val="00032086"/>
    <w:rsid w:val="00056F28"/>
    <w:rsid w:val="00097915"/>
    <w:rsid w:val="000C78B8"/>
    <w:rsid w:val="000D58C5"/>
    <w:rsid w:val="000D7FCC"/>
    <w:rsid w:val="00123E26"/>
    <w:rsid w:val="00135A93"/>
    <w:rsid w:val="001557D7"/>
    <w:rsid w:val="00160E82"/>
    <w:rsid w:val="00187123"/>
    <w:rsid w:val="001B5E6D"/>
    <w:rsid w:val="001C1B23"/>
    <w:rsid w:val="001C3864"/>
    <w:rsid w:val="001D684D"/>
    <w:rsid w:val="001F0226"/>
    <w:rsid w:val="00226B3D"/>
    <w:rsid w:val="002375F1"/>
    <w:rsid w:val="00250566"/>
    <w:rsid w:val="002622B8"/>
    <w:rsid w:val="00274AA8"/>
    <w:rsid w:val="002A7814"/>
    <w:rsid w:val="002B7C73"/>
    <w:rsid w:val="002E57BD"/>
    <w:rsid w:val="002E7F94"/>
    <w:rsid w:val="00312359"/>
    <w:rsid w:val="00334D47"/>
    <w:rsid w:val="00334DCA"/>
    <w:rsid w:val="00360754"/>
    <w:rsid w:val="00373FCB"/>
    <w:rsid w:val="003A4914"/>
    <w:rsid w:val="003A79D6"/>
    <w:rsid w:val="003B30AC"/>
    <w:rsid w:val="003B64FD"/>
    <w:rsid w:val="003C4BB4"/>
    <w:rsid w:val="003C5EB9"/>
    <w:rsid w:val="0040394E"/>
    <w:rsid w:val="00447053"/>
    <w:rsid w:val="004573F0"/>
    <w:rsid w:val="00484344"/>
    <w:rsid w:val="00490F47"/>
    <w:rsid w:val="004A3C86"/>
    <w:rsid w:val="00500C3C"/>
    <w:rsid w:val="005269A2"/>
    <w:rsid w:val="00526CFB"/>
    <w:rsid w:val="00532DC0"/>
    <w:rsid w:val="00580574"/>
    <w:rsid w:val="0059554E"/>
    <w:rsid w:val="005C3EDE"/>
    <w:rsid w:val="005F2619"/>
    <w:rsid w:val="00603E27"/>
    <w:rsid w:val="0061124B"/>
    <w:rsid w:val="006235A0"/>
    <w:rsid w:val="00624567"/>
    <w:rsid w:val="00627660"/>
    <w:rsid w:val="00640C74"/>
    <w:rsid w:val="0066026B"/>
    <w:rsid w:val="00665A4F"/>
    <w:rsid w:val="006E6B64"/>
    <w:rsid w:val="006F37EC"/>
    <w:rsid w:val="00723B8F"/>
    <w:rsid w:val="00745774"/>
    <w:rsid w:val="00747D0C"/>
    <w:rsid w:val="00757369"/>
    <w:rsid w:val="007B3C8E"/>
    <w:rsid w:val="007E341B"/>
    <w:rsid w:val="007E4666"/>
    <w:rsid w:val="007F150B"/>
    <w:rsid w:val="00807407"/>
    <w:rsid w:val="00807748"/>
    <w:rsid w:val="008141EB"/>
    <w:rsid w:val="00817091"/>
    <w:rsid w:val="00832CD9"/>
    <w:rsid w:val="00832FC6"/>
    <w:rsid w:val="008347E0"/>
    <w:rsid w:val="00843372"/>
    <w:rsid w:val="00857739"/>
    <w:rsid w:val="008601AD"/>
    <w:rsid w:val="00895196"/>
    <w:rsid w:val="008B3D50"/>
    <w:rsid w:val="008B664C"/>
    <w:rsid w:val="008E7398"/>
    <w:rsid w:val="00912147"/>
    <w:rsid w:val="009509C2"/>
    <w:rsid w:val="009564E9"/>
    <w:rsid w:val="0099661D"/>
    <w:rsid w:val="009C17AA"/>
    <w:rsid w:val="009E30E7"/>
    <w:rsid w:val="009F711E"/>
    <w:rsid w:val="00A15C53"/>
    <w:rsid w:val="00A4026E"/>
    <w:rsid w:val="00A50CE6"/>
    <w:rsid w:val="00A52750"/>
    <w:rsid w:val="00A76318"/>
    <w:rsid w:val="00A80EF9"/>
    <w:rsid w:val="00A96136"/>
    <w:rsid w:val="00B055B2"/>
    <w:rsid w:val="00B2411E"/>
    <w:rsid w:val="00B303A7"/>
    <w:rsid w:val="00B41224"/>
    <w:rsid w:val="00B57CDB"/>
    <w:rsid w:val="00B61D95"/>
    <w:rsid w:val="00B72609"/>
    <w:rsid w:val="00B81DE3"/>
    <w:rsid w:val="00C16F99"/>
    <w:rsid w:val="00C41085"/>
    <w:rsid w:val="00C42E4D"/>
    <w:rsid w:val="00C45ADC"/>
    <w:rsid w:val="00C6483E"/>
    <w:rsid w:val="00CD1DBE"/>
    <w:rsid w:val="00CF7D85"/>
    <w:rsid w:val="00D22F42"/>
    <w:rsid w:val="00D269A7"/>
    <w:rsid w:val="00D54AA6"/>
    <w:rsid w:val="00D854BD"/>
    <w:rsid w:val="00DA3140"/>
    <w:rsid w:val="00DA316C"/>
    <w:rsid w:val="00DD22E5"/>
    <w:rsid w:val="00DD5284"/>
    <w:rsid w:val="00DE5386"/>
    <w:rsid w:val="00E0519C"/>
    <w:rsid w:val="00E26178"/>
    <w:rsid w:val="00E72CE4"/>
    <w:rsid w:val="00E8363E"/>
    <w:rsid w:val="00E9021A"/>
    <w:rsid w:val="00EA58D7"/>
    <w:rsid w:val="00ED20BD"/>
    <w:rsid w:val="00ED4A1F"/>
    <w:rsid w:val="00ED6602"/>
    <w:rsid w:val="00EE5D0D"/>
    <w:rsid w:val="00EF47CE"/>
    <w:rsid w:val="00EF6549"/>
    <w:rsid w:val="00F0144E"/>
    <w:rsid w:val="00F07DF9"/>
    <w:rsid w:val="00F23733"/>
    <w:rsid w:val="00F34069"/>
    <w:rsid w:val="00F6621C"/>
    <w:rsid w:val="00F67AE9"/>
    <w:rsid w:val="00F71A89"/>
    <w:rsid w:val="00F879B9"/>
    <w:rsid w:val="00FA5A31"/>
    <w:rsid w:val="00FA623A"/>
    <w:rsid w:val="00FA7F8B"/>
    <w:rsid w:val="00FB29D6"/>
    <w:rsid w:val="00FB617A"/>
    <w:rsid w:val="00FC0AA9"/>
    <w:rsid w:val="00FF2999"/>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8009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9615</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2014-03-06T21:41:00Z</dcterms:created>
  <dcterms:modified xsi:type="dcterms:W3CDTF">2014-03-06T21:41:00Z</dcterms:modified>
  <cp:category> </cp:category>
  <cp:contentStatus> </cp:contentStatus>
</cp:coreProperties>
</file>