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72" w:rsidRDefault="00FD7A72">
      <w:pPr>
        <w:jc w:val="center"/>
        <w:rPr>
          <w:b/>
        </w:rPr>
      </w:pPr>
      <w:bookmarkStart w:id="0" w:name="_GoBack"/>
      <w:bookmarkEnd w:id="0"/>
      <w:r>
        <w:rPr>
          <w:rFonts w:ascii="Times New Roman Bold" w:hAnsi="Times New Roman Bold"/>
          <w:b/>
          <w:kern w:val="0"/>
          <w:szCs w:val="22"/>
        </w:rPr>
        <w:t>Before</w:t>
      </w:r>
      <w:r>
        <w:rPr>
          <w:b/>
        </w:rPr>
        <w:t xml:space="preserve"> the</w:t>
      </w:r>
    </w:p>
    <w:p w:rsidR="00FD7A72" w:rsidRDefault="00FD7A72">
      <w:pPr>
        <w:pStyle w:val="StyleBoldCentered"/>
      </w:pPr>
      <w:r>
        <w:t>F</w:t>
      </w:r>
      <w:r>
        <w:rPr>
          <w:caps w:val="0"/>
        </w:rPr>
        <w:t>ederal Communications Commission</w:t>
      </w:r>
    </w:p>
    <w:p w:rsidR="00FD7A72" w:rsidRDefault="00FD7A72">
      <w:pPr>
        <w:pStyle w:val="StyleBoldCentered"/>
      </w:pPr>
      <w:smartTag w:uri="urn:schemas-microsoft-com:office:smarttags" w:element="place">
        <w:smartTag w:uri="urn:schemas-microsoft-com:office:smarttags" w:element="City">
          <w:r>
            <w:rPr>
              <w:caps w:val="0"/>
            </w:rP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p>
    <w:p w:rsidR="00FD7A72" w:rsidRDefault="00FD7A72"/>
    <w:tbl>
      <w:tblPr>
        <w:tblW w:w="0" w:type="auto"/>
        <w:tblLayout w:type="fixed"/>
        <w:tblLook w:val="0000" w:firstRow="0" w:lastRow="0" w:firstColumn="0" w:lastColumn="0" w:noHBand="0" w:noVBand="0"/>
      </w:tblPr>
      <w:tblGrid>
        <w:gridCol w:w="4698"/>
        <w:gridCol w:w="630"/>
        <w:gridCol w:w="4248"/>
      </w:tblGrid>
      <w:tr w:rsidR="00FD7A72">
        <w:tc>
          <w:tcPr>
            <w:tcW w:w="4698" w:type="dxa"/>
          </w:tcPr>
          <w:p w:rsidR="00742B14" w:rsidRPr="00F65A6A" w:rsidRDefault="00742B14" w:rsidP="00742B14">
            <w:pPr>
              <w:rPr>
                <w:szCs w:val="22"/>
              </w:rPr>
            </w:pPr>
            <w:r w:rsidRPr="00F65A6A">
              <w:rPr>
                <w:spacing w:val="-2"/>
                <w:szCs w:val="22"/>
              </w:rPr>
              <w:t>In the Matter of</w:t>
            </w:r>
            <w:r w:rsidRPr="00F65A6A">
              <w:rPr>
                <w:szCs w:val="22"/>
              </w:rPr>
              <w:t xml:space="preserve"> </w:t>
            </w:r>
          </w:p>
          <w:p w:rsidR="00742B14" w:rsidRPr="00F65A6A" w:rsidRDefault="00742B14" w:rsidP="00742B14">
            <w:pPr>
              <w:rPr>
                <w:szCs w:val="22"/>
              </w:rPr>
            </w:pPr>
          </w:p>
          <w:p w:rsidR="00737ADE" w:rsidRPr="00737ADE" w:rsidRDefault="00737ADE" w:rsidP="00737ADE">
            <w:pPr>
              <w:rPr>
                <w:szCs w:val="22"/>
              </w:rPr>
            </w:pPr>
            <w:r w:rsidRPr="00737ADE">
              <w:rPr>
                <w:szCs w:val="22"/>
              </w:rPr>
              <w:t>North County Broadcasting Corporation</w:t>
            </w:r>
          </w:p>
          <w:p w:rsidR="00737ADE" w:rsidRPr="00737ADE" w:rsidRDefault="00737ADE" w:rsidP="00737ADE">
            <w:pPr>
              <w:rPr>
                <w:szCs w:val="22"/>
              </w:rPr>
            </w:pPr>
            <w:r w:rsidRPr="00737ADE">
              <w:rPr>
                <w:szCs w:val="22"/>
              </w:rPr>
              <w:t>Licensee of Station KFSD</w:t>
            </w:r>
            <w:r w:rsidR="00B12A83">
              <w:rPr>
                <w:szCs w:val="22"/>
              </w:rPr>
              <w:t>(AM)</w:t>
            </w:r>
          </w:p>
          <w:p w:rsidR="00737ADE" w:rsidRPr="00737ADE" w:rsidRDefault="00737ADE" w:rsidP="00737ADE">
            <w:pPr>
              <w:rPr>
                <w:szCs w:val="22"/>
              </w:rPr>
            </w:pPr>
            <w:r w:rsidRPr="00737ADE">
              <w:rPr>
                <w:szCs w:val="22"/>
              </w:rPr>
              <w:t>Escondido, California</w:t>
            </w:r>
          </w:p>
          <w:p w:rsidR="00742B14" w:rsidRPr="00F65A6A" w:rsidRDefault="00742B14" w:rsidP="00737ADE">
            <w:pPr>
              <w:rPr>
                <w:szCs w:val="22"/>
              </w:rPr>
            </w:pPr>
          </w:p>
          <w:p w:rsidR="00FD7A72" w:rsidRDefault="00FD7A72" w:rsidP="00742B14">
            <w:pPr>
              <w:rPr>
                <w:spacing w:val="-2"/>
              </w:rPr>
            </w:pPr>
          </w:p>
        </w:tc>
        <w:tc>
          <w:tcPr>
            <w:tcW w:w="630" w:type="dxa"/>
          </w:tcPr>
          <w:p w:rsidR="00FD7A72" w:rsidRDefault="00FD7A72">
            <w:pPr>
              <w:tabs>
                <w:tab w:val="center" w:pos="4680"/>
              </w:tabs>
              <w:suppressAutoHyphens/>
              <w:rPr>
                <w:b/>
                <w:spacing w:val="-2"/>
              </w:rPr>
            </w:pPr>
            <w:r>
              <w:rPr>
                <w:b/>
                <w:spacing w:val="-2"/>
              </w:rPr>
              <w:t>)</w:t>
            </w:r>
          </w:p>
          <w:p w:rsidR="00FD7A72" w:rsidRDefault="00FD7A72">
            <w:pPr>
              <w:tabs>
                <w:tab w:val="center" w:pos="4680"/>
              </w:tabs>
              <w:suppressAutoHyphens/>
              <w:rPr>
                <w:b/>
                <w:spacing w:val="-2"/>
              </w:rPr>
            </w:pPr>
            <w:r>
              <w:rPr>
                <w:b/>
                <w:spacing w:val="-2"/>
              </w:rPr>
              <w:t>)</w:t>
            </w:r>
          </w:p>
          <w:p w:rsidR="00FD7A72" w:rsidRDefault="00FD7A72">
            <w:pPr>
              <w:tabs>
                <w:tab w:val="center" w:pos="4680"/>
              </w:tabs>
              <w:suppressAutoHyphens/>
              <w:rPr>
                <w:b/>
                <w:spacing w:val="-2"/>
              </w:rPr>
            </w:pPr>
            <w:r>
              <w:rPr>
                <w:b/>
                <w:spacing w:val="-2"/>
              </w:rPr>
              <w:t>)</w:t>
            </w:r>
          </w:p>
          <w:p w:rsidR="00FD7A72" w:rsidRDefault="00FD7A72">
            <w:pPr>
              <w:tabs>
                <w:tab w:val="center" w:pos="4680"/>
              </w:tabs>
              <w:suppressAutoHyphens/>
              <w:rPr>
                <w:b/>
                <w:spacing w:val="-2"/>
              </w:rPr>
            </w:pPr>
            <w:r>
              <w:rPr>
                <w:b/>
                <w:spacing w:val="-2"/>
              </w:rPr>
              <w:t>)</w:t>
            </w:r>
          </w:p>
          <w:p w:rsidR="00FD7A72" w:rsidRDefault="00FD7A72">
            <w:pPr>
              <w:tabs>
                <w:tab w:val="center" w:pos="4680"/>
              </w:tabs>
              <w:suppressAutoHyphens/>
              <w:rPr>
                <w:b/>
                <w:spacing w:val="-2"/>
              </w:rPr>
            </w:pPr>
            <w:r>
              <w:rPr>
                <w:b/>
                <w:spacing w:val="-2"/>
              </w:rPr>
              <w:t>)</w:t>
            </w:r>
          </w:p>
          <w:p w:rsidR="00FD7A72" w:rsidRDefault="00FD7A72">
            <w:pPr>
              <w:tabs>
                <w:tab w:val="center" w:pos="4680"/>
              </w:tabs>
              <w:suppressAutoHyphens/>
              <w:rPr>
                <w:b/>
                <w:spacing w:val="-2"/>
              </w:rPr>
            </w:pPr>
            <w:r>
              <w:rPr>
                <w:b/>
                <w:spacing w:val="-2"/>
              </w:rPr>
              <w:t>)</w:t>
            </w:r>
          </w:p>
          <w:p w:rsidR="00FD7A72" w:rsidRPr="00806727" w:rsidRDefault="00FD7A72">
            <w:pPr>
              <w:tabs>
                <w:tab w:val="center" w:pos="4680"/>
              </w:tabs>
              <w:suppressAutoHyphens/>
              <w:rPr>
                <w:b/>
                <w:spacing w:val="-2"/>
              </w:rPr>
            </w:pPr>
          </w:p>
        </w:tc>
        <w:tc>
          <w:tcPr>
            <w:tcW w:w="4248" w:type="dxa"/>
          </w:tcPr>
          <w:p w:rsidR="00FD7A72" w:rsidRPr="00D53C45" w:rsidRDefault="00FD7A72">
            <w:pPr>
              <w:tabs>
                <w:tab w:val="center" w:pos="4680"/>
              </w:tabs>
              <w:suppressAutoHyphens/>
              <w:rPr>
                <w:spacing w:val="-2"/>
                <w:lang w:val="es-ES"/>
              </w:rPr>
            </w:pPr>
          </w:p>
          <w:p w:rsidR="00FD7A72" w:rsidRPr="00D53C45" w:rsidRDefault="00FD7A72">
            <w:pPr>
              <w:pStyle w:val="TOAHeading"/>
              <w:tabs>
                <w:tab w:val="clear" w:pos="9360"/>
                <w:tab w:val="center" w:pos="4680"/>
              </w:tabs>
              <w:rPr>
                <w:spacing w:val="-2"/>
                <w:lang w:val="es-ES"/>
              </w:rPr>
            </w:pPr>
          </w:p>
          <w:p w:rsidR="00742B14" w:rsidRPr="00D53C45" w:rsidRDefault="00742B14" w:rsidP="00F25BFC">
            <w:pPr>
              <w:rPr>
                <w:szCs w:val="22"/>
                <w:lang w:val="es-ES"/>
              </w:rPr>
            </w:pPr>
            <w:r w:rsidRPr="00D53C45">
              <w:rPr>
                <w:szCs w:val="22"/>
                <w:lang w:val="es-ES"/>
              </w:rPr>
              <w:t xml:space="preserve">File </w:t>
            </w:r>
            <w:r w:rsidR="00022D9D" w:rsidRPr="00D53C45">
              <w:rPr>
                <w:szCs w:val="22"/>
                <w:lang w:val="es-ES"/>
              </w:rPr>
              <w:t>No.</w:t>
            </w:r>
            <w:r w:rsidRPr="00D53C45">
              <w:rPr>
                <w:szCs w:val="22"/>
                <w:lang w:val="es-ES"/>
              </w:rPr>
              <w:t>:</w:t>
            </w:r>
            <w:r w:rsidR="00806727" w:rsidRPr="00D53C45">
              <w:rPr>
                <w:szCs w:val="22"/>
                <w:lang w:val="es-ES"/>
              </w:rPr>
              <w:t xml:space="preserve"> </w:t>
            </w:r>
            <w:r w:rsidR="00737ADE" w:rsidRPr="00737ADE">
              <w:rPr>
                <w:szCs w:val="22"/>
                <w:lang w:val="es-ES"/>
              </w:rPr>
              <w:t>EB-10-SD-0028</w:t>
            </w:r>
          </w:p>
          <w:p w:rsidR="00737ADE" w:rsidRDefault="00742B14" w:rsidP="00F25BFC">
            <w:pPr>
              <w:rPr>
                <w:szCs w:val="22"/>
                <w:lang w:val="es-ES"/>
              </w:rPr>
            </w:pPr>
            <w:r w:rsidRPr="00D53C45">
              <w:rPr>
                <w:szCs w:val="22"/>
                <w:lang w:val="es-ES"/>
              </w:rPr>
              <w:t>NAL/Acct. No.</w:t>
            </w:r>
            <w:r w:rsidR="00806727" w:rsidRPr="00D53C45">
              <w:rPr>
                <w:szCs w:val="22"/>
                <w:lang w:val="es-ES"/>
              </w:rPr>
              <w:t xml:space="preserve">: </w:t>
            </w:r>
            <w:r w:rsidR="00737ADE" w:rsidRPr="00737ADE">
              <w:rPr>
                <w:szCs w:val="22"/>
                <w:lang w:val="es-ES"/>
              </w:rPr>
              <w:t>201132940002</w:t>
            </w:r>
          </w:p>
          <w:p w:rsidR="00742B14" w:rsidRPr="00E34AAE" w:rsidRDefault="00742B14" w:rsidP="00F25BFC">
            <w:pPr>
              <w:rPr>
                <w:szCs w:val="22"/>
              </w:rPr>
            </w:pPr>
            <w:r w:rsidRPr="00F65A6A">
              <w:rPr>
                <w:szCs w:val="22"/>
              </w:rPr>
              <w:t>FRN</w:t>
            </w:r>
            <w:r>
              <w:rPr>
                <w:szCs w:val="22"/>
              </w:rPr>
              <w:t>:</w:t>
            </w:r>
            <w:r w:rsidR="00806727">
              <w:rPr>
                <w:szCs w:val="22"/>
              </w:rPr>
              <w:t xml:space="preserve"> </w:t>
            </w:r>
            <w:r w:rsidR="00737ADE" w:rsidRPr="00737ADE">
              <w:rPr>
                <w:szCs w:val="22"/>
              </w:rPr>
              <w:t>0003770757</w:t>
            </w:r>
          </w:p>
          <w:p w:rsidR="00FD7A72" w:rsidRDefault="00737ADE" w:rsidP="00737ADE">
            <w:pPr>
              <w:rPr>
                <w:szCs w:val="22"/>
                <w:lang w:val="pt-BR"/>
              </w:rPr>
            </w:pPr>
            <w:r w:rsidRPr="00737ADE">
              <w:rPr>
                <w:szCs w:val="22"/>
                <w:lang w:val="pt-BR"/>
              </w:rPr>
              <w:t xml:space="preserve">Facility ID </w:t>
            </w:r>
            <w:r>
              <w:rPr>
                <w:szCs w:val="22"/>
                <w:lang w:val="pt-BR"/>
              </w:rPr>
              <w:t xml:space="preserve">No.: </w:t>
            </w:r>
            <w:r w:rsidRPr="00737ADE">
              <w:rPr>
                <w:szCs w:val="22"/>
                <w:lang w:val="pt-BR"/>
              </w:rPr>
              <w:t>49205</w:t>
            </w:r>
          </w:p>
          <w:p w:rsidR="00FD7A72" w:rsidRDefault="00FD7A72">
            <w:pPr>
              <w:tabs>
                <w:tab w:val="center" w:pos="4680"/>
              </w:tabs>
              <w:suppressAutoHyphens/>
              <w:rPr>
                <w:spacing w:val="-2"/>
              </w:rPr>
            </w:pPr>
          </w:p>
        </w:tc>
      </w:tr>
    </w:tbl>
    <w:p w:rsidR="00FD7A72" w:rsidRDefault="00FD7A72"/>
    <w:p w:rsidR="00FD7A72" w:rsidRDefault="00FD7A72">
      <w:pPr>
        <w:pStyle w:val="StyleBoldCentered"/>
      </w:pPr>
      <w:r>
        <w:t>Memorandum opinion and order</w:t>
      </w:r>
    </w:p>
    <w:p w:rsidR="00FD7A72" w:rsidRDefault="00FD7A72">
      <w:pPr>
        <w:tabs>
          <w:tab w:val="left" w:pos="-720"/>
        </w:tabs>
        <w:suppressAutoHyphens/>
        <w:spacing w:line="227" w:lineRule="auto"/>
        <w:rPr>
          <w:spacing w:val="-2"/>
        </w:rPr>
      </w:pPr>
    </w:p>
    <w:p w:rsidR="00FD7A72" w:rsidRDefault="00FD7A72" w:rsidP="00806727">
      <w:pPr>
        <w:tabs>
          <w:tab w:val="left" w:pos="720"/>
          <w:tab w:val="left" w:pos="5760"/>
        </w:tabs>
        <w:suppressAutoHyphens/>
        <w:spacing w:line="227" w:lineRule="auto"/>
        <w:rPr>
          <w:b/>
          <w:spacing w:val="-2"/>
        </w:rPr>
      </w:pPr>
      <w:r>
        <w:rPr>
          <w:b/>
          <w:spacing w:val="-2"/>
        </w:rPr>
        <w:t xml:space="preserve">Adopted:  </w:t>
      </w:r>
      <w:r w:rsidR="000F649C">
        <w:rPr>
          <w:b/>
          <w:spacing w:val="-2"/>
        </w:rPr>
        <w:t>March 7, 2014</w:t>
      </w:r>
      <w:r>
        <w:rPr>
          <w:b/>
          <w:spacing w:val="-2"/>
        </w:rPr>
        <w:tab/>
      </w:r>
      <w:r>
        <w:rPr>
          <w:b/>
          <w:spacing w:val="-2"/>
        </w:rPr>
        <w:tab/>
        <w:t xml:space="preserve">Released: </w:t>
      </w:r>
      <w:r w:rsidR="00806727">
        <w:rPr>
          <w:b/>
          <w:spacing w:val="-2"/>
        </w:rPr>
        <w:t xml:space="preserve"> </w:t>
      </w:r>
      <w:r w:rsidR="000F649C">
        <w:rPr>
          <w:b/>
          <w:spacing w:val="-2"/>
        </w:rPr>
        <w:t>March 10, 2014</w:t>
      </w:r>
    </w:p>
    <w:p w:rsidR="00806727" w:rsidRDefault="00806727" w:rsidP="00806727">
      <w:pPr>
        <w:tabs>
          <w:tab w:val="left" w:pos="720"/>
          <w:tab w:val="left" w:pos="5760"/>
        </w:tabs>
        <w:suppressAutoHyphens/>
        <w:spacing w:line="227" w:lineRule="auto"/>
      </w:pPr>
    </w:p>
    <w:p w:rsidR="00FD7A72" w:rsidRDefault="00FD7A72" w:rsidP="00237264">
      <w:pPr>
        <w:widowControl/>
        <w:rPr>
          <w:spacing w:val="-2"/>
        </w:rPr>
      </w:pPr>
      <w:r>
        <w:t xml:space="preserve">By the </w:t>
      </w:r>
      <w:r>
        <w:rPr>
          <w:spacing w:val="-2"/>
        </w:rPr>
        <w:t>Chief, Enforcement Bureau:</w:t>
      </w:r>
    </w:p>
    <w:p w:rsidR="00FD7A72" w:rsidRDefault="00FD7A72" w:rsidP="00237264">
      <w:pPr>
        <w:widowControl/>
      </w:pPr>
    </w:p>
    <w:p w:rsidR="00FD7A72" w:rsidRDefault="00FD7A72" w:rsidP="00F963E0">
      <w:pPr>
        <w:pStyle w:val="Heading1"/>
        <w:widowControl/>
        <w:spacing w:after="240"/>
      </w:pPr>
      <w:r>
        <w:t>Introduction</w:t>
      </w:r>
    </w:p>
    <w:p w:rsidR="00FD7A72" w:rsidRDefault="00FD7A72" w:rsidP="00F963E0">
      <w:pPr>
        <w:pStyle w:val="ParaNum"/>
        <w:widowControl/>
        <w:spacing w:after="240"/>
      </w:pPr>
      <w:r>
        <w:t xml:space="preserve">In this </w:t>
      </w:r>
      <w:r w:rsidRPr="00183D6B">
        <w:t>Memorandum Opinion and Order</w:t>
      </w:r>
      <w:r>
        <w:t xml:space="preserve"> (</w:t>
      </w:r>
      <w:r>
        <w:rPr>
          <w:i/>
        </w:rPr>
        <w:t>MO&amp;O</w:t>
      </w:r>
      <w:r>
        <w:t xml:space="preserve">), </w:t>
      </w:r>
      <w:r w:rsidR="00183D6B">
        <w:t xml:space="preserve">issued pursuant to </w:t>
      </w:r>
      <w:r w:rsidR="00841271">
        <w:t>S</w:t>
      </w:r>
      <w:r w:rsidR="00183D6B">
        <w:t>ection 405</w:t>
      </w:r>
      <w:r w:rsidR="00C47D3E">
        <w:t xml:space="preserve"> </w:t>
      </w:r>
      <w:r w:rsidR="00183D6B">
        <w:t>of the Communications Act of 1934, as amended (Act)</w:t>
      </w:r>
      <w:r w:rsidR="00F25BFC">
        <w:t>,</w:t>
      </w:r>
      <w:r w:rsidR="00F25BFC">
        <w:rPr>
          <w:rStyle w:val="FootnoteReference"/>
          <w:spacing w:val="-2"/>
        </w:rPr>
        <w:footnoteReference w:id="2"/>
      </w:r>
      <w:r w:rsidR="00183D6B">
        <w:t xml:space="preserve"> </w:t>
      </w:r>
      <w:r>
        <w:t>we d</w:t>
      </w:r>
      <w:r w:rsidR="00E83EFF">
        <w:t>eny</w:t>
      </w:r>
      <w:r>
        <w:t xml:space="preserve"> the petition for reconsideration</w:t>
      </w:r>
      <w:r w:rsidR="00E83124">
        <w:t xml:space="preserve"> (Petition)</w:t>
      </w:r>
      <w:r>
        <w:rPr>
          <w:rStyle w:val="FootnoteReference"/>
          <w:spacing w:val="-2"/>
        </w:rPr>
        <w:footnoteReference w:id="3"/>
      </w:r>
      <w:r>
        <w:t xml:space="preserve"> filed by </w:t>
      </w:r>
      <w:r w:rsidR="00737ADE">
        <w:t>North County Broadcasting Corporation (NCBC)</w:t>
      </w:r>
      <w:r w:rsidR="00806727">
        <w:t xml:space="preserve">, </w:t>
      </w:r>
      <w:r w:rsidR="00737ADE" w:rsidRPr="00737ADE">
        <w:rPr>
          <w:spacing w:val="-2"/>
          <w:szCs w:val="22"/>
        </w:rPr>
        <w:t xml:space="preserve">licensee of Station KFSD(AM) in Escondido, California, </w:t>
      </w:r>
      <w:r>
        <w:t xml:space="preserve">of the </w:t>
      </w:r>
      <w:r w:rsidR="00B12A83">
        <w:rPr>
          <w:i/>
        </w:rPr>
        <w:t>Forfeiture Order</w:t>
      </w:r>
      <w:r>
        <w:rPr>
          <w:i/>
        </w:rPr>
        <w:t xml:space="preserve"> </w:t>
      </w:r>
      <w:r>
        <w:t xml:space="preserve">issued on </w:t>
      </w:r>
      <w:r w:rsidR="00883534">
        <w:t>February 15, 2013</w:t>
      </w:r>
      <w:r>
        <w:t>.</w:t>
      </w:r>
      <w:bookmarkStart w:id="1" w:name="_Ref287534232"/>
      <w:r>
        <w:rPr>
          <w:rStyle w:val="FootnoteReference"/>
          <w:spacing w:val="-2"/>
          <w:szCs w:val="22"/>
        </w:rPr>
        <w:footnoteReference w:id="4"/>
      </w:r>
      <w:bookmarkEnd w:id="1"/>
      <w:r>
        <w:t xml:space="preserve">  The </w:t>
      </w:r>
      <w:r>
        <w:rPr>
          <w:i/>
        </w:rPr>
        <w:t>F</w:t>
      </w:r>
      <w:r w:rsidR="00B12A83">
        <w:rPr>
          <w:i/>
        </w:rPr>
        <w:t xml:space="preserve">orfeiture Order </w:t>
      </w:r>
      <w:r w:rsidR="00B12A83">
        <w:t>imposed</w:t>
      </w:r>
      <w:r>
        <w:t xml:space="preserve"> a monetary forfeiture in the amount of </w:t>
      </w:r>
      <w:r w:rsidR="00B12A83">
        <w:t xml:space="preserve">four thousand, eight hundred </w:t>
      </w:r>
      <w:r w:rsidR="008527E8">
        <w:t>dollars (</w:t>
      </w:r>
      <w:r>
        <w:t>$</w:t>
      </w:r>
      <w:r w:rsidR="00806727">
        <w:t>4</w:t>
      </w:r>
      <w:r>
        <w:t>,</w:t>
      </w:r>
      <w:r w:rsidR="00B12A83">
        <w:t>8</w:t>
      </w:r>
      <w:r>
        <w:t>00</w:t>
      </w:r>
      <w:r w:rsidR="008527E8">
        <w:t>)</w:t>
      </w:r>
      <w:r>
        <w:t xml:space="preserve"> </w:t>
      </w:r>
      <w:r w:rsidR="00806727">
        <w:t>for</w:t>
      </w:r>
      <w:r w:rsidR="00B12A83">
        <w:t xml:space="preserve"> NCBC</w:t>
      </w:r>
      <w:r w:rsidR="00EB075C">
        <w:t>’</w:t>
      </w:r>
      <w:r w:rsidR="00F5195E">
        <w:t>s</w:t>
      </w:r>
      <w:r w:rsidR="00A5322F">
        <w:t xml:space="preserve"> willful and repeated violation of Section 11.35 of the Commission’s rules (Rules)</w:t>
      </w:r>
      <w:r w:rsidR="00A5322F">
        <w:rPr>
          <w:rStyle w:val="FootnoteReference"/>
        </w:rPr>
        <w:footnoteReference w:id="5"/>
      </w:r>
      <w:r w:rsidR="00B12A83">
        <w:t xml:space="preserve"> </w:t>
      </w:r>
      <w:r w:rsidR="00F963E0">
        <w:t xml:space="preserve">for </w:t>
      </w:r>
      <w:r w:rsidR="00B12A83">
        <w:t xml:space="preserve">failure to ensure the operational readiness of Station KFSD(AM)’s Emergency Alert System (EAS) equipment. </w:t>
      </w:r>
    </w:p>
    <w:p w:rsidR="00FD7A72" w:rsidRDefault="00FD7A72" w:rsidP="00F963E0">
      <w:pPr>
        <w:pStyle w:val="Heading1"/>
        <w:widowControl/>
        <w:spacing w:after="240"/>
      </w:pPr>
      <w:r>
        <w:t>Background</w:t>
      </w:r>
    </w:p>
    <w:p w:rsidR="00E83124" w:rsidRPr="00E83124" w:rsidRDefault="00201F44" w:rsidP="001D02D4">
      <w:pPr>
        <w:pStyle w:val="ParaNum"/>
        <w:spacing w:after="240"/>
      </w:pPr>
      <w:r>
        <w:t xml:space="preserve">The </w:t>
      </w:r>
      <w:r w:rsidRPr="00E83124">
        <w:rPr>
          <w:i/>
        </w:rPr>
        <w:t xml:space="preserve">Forfeiture Order </w:t>
      </w:r>
      <w:r>
        <w:t>fully stated the facts of this proceeding so we will not repeat them here.</w:t>
      </w:r>
      <w:r>
        <w:rPr>
          <w:rStyle w:val="FootnoteReference"/>
        </w:rPr>
        <w:footnoteReference w:id="6"/>
      </w:r>
      <w:r w:rsidR="004E71DC">
        <w:t xml:space="preserve">  In the </w:t>
      </w:r>
      <w:r w:rsidR="004E71DC" w:rsidRPr="00E83124">
        <w:rPr>
          <w:i/>
        </w:rPr>
        <w:t>Forfeiture Order</w:t>
      </w:r>
      <w:r w:rsidR="004E71DC">
        <w:t xml:space="preserve">, the Enforcement Bureau’s Western Region (Region) </w:t>
      </w:r>
      <w:r w:rsidR="00152776">
        <w:t xml:space="preserve">found no merit in NCBC’s argument that </w:t>
      </w:r>
      <w:r w:rsidR="00152776" w:rsidRPr="00152776">
        <w:t xml:space="preserve">the </w:t>
      </w:r>
      <w:r w:rsidR="00152776" w:rsidRPr="004E71DC">
        <w:rPr>
          <w:i/>
        </w:rPr>
        <w:t xml:space="preserve">NAL </w:t>
      </w:r>
      <w:r w:rsidR="00152776" w:rsidRPr="00152776">
        <w:t>cannot be enforced because NCBC is a “small entity” and the Commission has never complied with its obligation under the Small Business Regulatory Enforcement</w:t>
      </w:r>
      <w:r w:rsidR="00CF5580">
        <w:t xml:space="preserve"> </w:t>
      </w:r>
      <w:r w:rsidR="00152776" w:rsidRPr="00152776">
        <w:t>Fairness Act of 1996 (SBREFA)</w:t>
      </w:r>
      <w:r w:rsidR="00152776" w:rsidRPr="00152776">
        <w:rPr>
          <w:vertAlign w:val="superscript"/>
        </w:rPr>
        <w:footnoteReference w:id="7"/>
      </w:r>
      <w:r w:rsidR="00152776" w:rsidRPr="00152776">
        <w:t xml:space="preserve"> “to adopt a specific policy or program concerning the reduction or waiver of forfeiture for small entities.”</w:t>
      </w:r>
      <w:r w:rsidR="00152776" w:rsidRPr="00152776">
        <w:rPr>
          <w:vertAlign w:val="superscript"/>
        </w:rPr>
        <w:footnoteReference w:id="8"/>
      </w:r>
      <w:r w:rsidR="00152776" w:rsidRPr="00152776">
        <w:t xml:space="preserve"> </w:t>
      </w:r>
      <w:r w:rsidR="00B23784">
        <w:t xml:space="preserve"> </w:t>
      </w:r>
      <w:r w:rsidR="00152776" w:rsidRPr="00152776">
        <w:t xml:space="preserve">The </w:t>
      </w:r>
      <w:r w:rsidR="00152776">
        <w:t xml:space="preserve">Region determined that the </w:t>
      </w:r>
      <w:r w:rsidR="00152776" w:rsidRPr="00152776">
        <w:t>Commission ha</w:t>
      </w:r>
      <w:r w:rsidR="00152776">
        <w:t>d</w:t>
      </w:r>
      <w:r w:rsidR="00152776" w:rsidRPr="00152776">
        <w:t xml:space="preserve"> previously held </w:t>
      </w:r>
      <w:r w:rsidR="00152776" w:rsidRPr="00152776">
        <w:lastRenderedPageBreak/>
        <w:t xml:space="preserve">that its policies, as detailed in the </w:t>
      </w:r>
      <w:r w:rsidR="00152776" w:rsidRPr="004E71DC">
        <w:rPr>
          <w:i/>
        </w:rPr>
        <w:t>Forfeiture Policy Statement</w:t>
      </w:r>
      <w:r w:rsidR="00152776" w:rsidRPr="00152776">
        <w:t>,</w:t>
      </w:r>
      <w:r w:rsidR="00EE7082">
        <w:rPr>
          <w:rStyle w:val="FootnoteReference"/>
        </w:rPr>
        <w:footnoteReference w:id="9"/>
      </w:r>
      <w:r w:rsidR="00152776" w:rsidRPr="00152776">
        <w:t xml:space="preserve"> comply with the SBREFA</w:t>
      </w:r>
      <w:r w:rsidR="00A463EC">
        <w:t>.</w:t>
      </w:r>
      <w:r w:rsidR="00152776" w:rsidRPr="00152776">
        <w:rPr>
          <w:vertAlign w:val="superscript"/>
        </w:rPr>
        <w:footnoteReference w:id="10"/>
      </w:r>
      <w:r w:rsidR="00A463EC">
        <w:t xml:space="preserve">  I</w:t>
      </w:r>
      <w:r w:rsidR="00152776">
        <w:t xml:space="preserve">n particular, the </w:t>
      </w:r>
      <w:r w:rsidR="00152776" w:rsidRPr="00152776">
        <w:t>Commission found</w:t>
      </w:r>
      <w:r w:rsidR="00152776">
        <w:t xml:space="preserve"> that</w:t>
      </w:r>
      <w:r w:rsidR="00152776" w:rsidRPr="00152776">
        <w:t xml:space="preserve">, consistent with the SBREFA, its precedent requires consideration </w:t>
      </w:r>
      <w:r w:rsidR="00152776" w:rsidRPr="00A463EC">
        <w:t>of a small entity’s ability to pay along with any good faith efforts by the entity to comply with the law.</w:t>
      </w:r>
      <w:r w:rsidR="00152776" w:rsidRPr="00A463EC">
        <w:rPr>
          <w:vertAlign w:val="superscript"/>
        </w:rPr>
        <w:footnoteReference w:id="11"/>
      </w:r>
      <w:r w:rsidR="00A463EC" w:rsidRPr="00A463EC">
        <w:t xml:space="preserve">  </w:t>
      </w:r>
      <w:r w:rsidR="00014A7B">
        <w:rPr>
          <w:snapToGrid/>
          <w:color w:val="010101"/>
          <w:kern w:val="0"/>
          <w:szCs w:val="22"/>
        </w:rPr>
        <w:t>T</w:t>
      </w:r>
      <w:r w:rsidR="00A463EC" w:rsidRPr="001D02D4">
        <w:rPr>
          <w:snapToGrid/>
          <w:color w:val="010101"/>
          <w:kern w:val="0"/>
          <w:szCs w:val="22"/>
        </w:rPr>
        <w:t xml:space="preserve">he Commission </w:t>
      </w:r>
      <w:r w:rsidR="00014A7B">
        <w:rPr>
          <w:snapToGrid/>
          <w:color w:val="010101"/>
          <w:kern w:val="0"/>
          <w:szCs w:val="22"/>
        </w:rPr>
        <w:t xml:space="preserve">also </w:t>
      </w:r>
      <w:r w:rsidR="00A463EC" w:rsidRPr="001D02D4">
        <w:rPr>
          <w:snapToGrid/>
          <w:color w:val="010101"/>
          <w:kern w:val="0"/>
          <w:szCs w:val="22"/>
        </w:rPr>
        <w:t xml:space="preserve">confirmed </w:t>
      </w:r>
      <w:r w:rsidR="003B3BB8">
        <w:rPr>
          <w:snapToGrid/>
          <w:color w:val="010101"/>
          <w:kern w:val="0"/>
          <w:szCs w:val="22"/>
        </w:rPr>
        <w:t xml:space="preserve">that </w:t>
      </w:r>
      <w:r w:rsidR="00A463EC" w:rsidRPr="001D02D4">
        <w:rPr>
          <w:snapToGrid/>
          <w:color w:val="010101"/>
          <w:kern w:val="0"/>
          <w:szCs w:val="22"/>
        </w:rPr>
        <w:t>its “other upward and downward adjustment factors, which are reflective of existing policy, encompass many of the conditions and exclusions listed and . . . SBREFA.”</w:t>
      </w:r>
      <w:r w:rsidR="00A463EC">
        <w:rPr>
          <w:rStyle w:val="FootnoteReference"/>
          <w:snapToGrid/>
          <w:kern w:val="0"/>
          <w:szCs w:val="22"/>
        </w:rPr>
        <w:footnoteReference w:id="12"/>
      </w:r>
      <w:r w:rsidR="00152776" w:rsidRPr="00A463EC">
        <w:t xml:space="preserve">  </w:t>
      </w:r>
      <w:r w:rsidR="0001460C" w:rsidRPr="00A463EC">
        <w:t>The Region n</w:t>
      </w:r>
      <w:r w:rsidR="00152776" w:rsidRPr="00A463EC">
        <w:t>oted that NCBC proffered no evidence of its inability to pay the proposed forfeiture</w:t>
      </w:r>
      <w:r w:rsidR="00152776" w:rsidRPr="00A463EC">
        <w:rPr>
          <w:vertAlign w:val="superscript"/>
        </w:rPr>
        <w:footnoteReference w:id="13"/>
      </w:r>
      <w:r w:rsidR="00152776" w:rsidRPr="00A463EC">
        <w:t xml:space="preserve"> and that the</w:t>
      </w:r>
      <w:r w:rsidR="00152776" w:rsidRPr="00152776">
        <w:t xml:space="preserve"> </w:t>
      </w:r>
      <w:r w:rsidR="003B3BB8">
        <w:t xml:space="preserve">Region’s </w:t>
      </w:r>
      <w:r w:rsidR="00152776" w:rsidRPr="00152776">
        <w:t>San Diego Office already reduced the proposed forfeiture amount after taking into account NCBC</w:t>
      </w:r>
      <w:r w:rsidR="00152776">
        <w:t>’s</w:t>
      </w:r>
      <w:r w:rsidR="00152776" w:rsidRPr="00152776">
        <w:t xml:space="preserve"> good faith effort to troubleshoot the EAS equipment failure prior to inspection.</w:t>
      </w:r>
      <w:r w:rsidR="00152776" w:rsidRPr="00152776">
        <w:rPr>
          <w:vertAlign w:val="superscript"/>
        </w:rPr>
        <w:footnoteReference w:id="14"/>
      </w:r>
      <w:r w:rsidR="00152776">
        <w:t xml:space="preserve">  The Region also noted NCBC’s history of compliance wit</w:t>
      </w:r>
      <w:r w:rsidR="009F274D">
        <w:t>h</w:t>
      </w:r>
      <w:r w:rsidR="00152776">
        <w:t xml:space="preserve"> the Rules and reduced</w:t>
      </w:r>
      <w:r w:rsidR="0001460C">
        <w:t xml:space="preserve"> </w:t>
      </w:r>
      <w:r w:rsidR="00152776">
        <w:t>th</w:t>
      </w:r>
      <w:r w:rsidR="0001460C">
        <w:t>e f</w:t>
      </w:r>
      <w:r w:rsidR="00152776">
        <w:t>o</w:t>
      </w:r>
      <w:r w:rsidR="0001460C">
        <w:t>r</w:t>
      </w:r>
      <w:r w:rsidR="00152776">
        <w:t>feiture from $6,000 to $4,800.</w:t>
      </w:r>
      <w:r w:rsidR="00E83124">
        <w:rPr>
          <w:rStyle w:val="FootnoteReference"/>
        </w:rPr>
        <w:footnoteReference w:id="15"/>
      </w:r>
    </w:p>
    <w:p w:rsidR="00FD7A72" w:rsidRDefault="00FD7A72" w:rsidP="00F963E0">
      <w:pPr>
        <w:pStyle w:val="Heading1"/>
        <w:widowControl/>
        <w:spacing w:after="240"/>
      </w:pPr>
      <w:r>
        <w:t>Discussion</w:t>
      </w:r>
    </w:p>
    <w:p w:rsidR="001641B0" w:rsidRPr="001641B0" w:rsidRDefault="00FA5DEB" w:rsidP="00F963E0">
      <w:pPr>
        <w:pStyle w:val="ParaNum"/>
        <w:widowControl/>
        <w:spacing w:after="240"/>
      </w:pPr>
      <w:r w:rsidRPr="00804CED">
        <w:rPr>
          <w:spacing w:val="-2"/>
        </w:rPr>
        <w:t>Reconsideration is appropriate only where the petitioner either demonstrates a material error or omission in the underlying order or raises additional facts not known or not existing until after the petitioner’s last opportunity to present such matters.</w:t>
      </w:r>
      <w:r>
        <w:rPr>
          <w:spacing w:val="-2"/>
          <w:szCs w:val="22"/>
          <w:vertAlign w:val="superscript"/>
        </w:rPr>
        <w:footnoteReference w:id="16"/>
      </w:r>
      <w:r w:rsidRPr="00804CED">
        <w:rPr>
          <w:spacing w:val="-2"/>
        </w:rPr>
        <w:t xml:space="preserve">  A petition for reconsideration that </w:t>
      </w:r>
      <w:r w:rsidR="00E83124">
        <w:rPr>
          <w:spacing w:val="-2"/>
        </w:rPr>
        <w:t xml:space="preserve">simply </w:t>
      </w:r>
      <w:r w:rsidRPr="00804CED">
        <w:rPr>
          <w:spacing w:val="-2"/>
        </w:rPr>
        <w:t>reiterates arguments that were previously considered and rejected will be denied.</w:t>
      </w:r>
      <w:r>
        <w:rPr>
          <w:spacing w:val="-2"/>
          <w:szCs w:val="22"/>
          <w:vertAlign w:val="superscript"/>
        </w:rPr>
        <w:footnoteReference w:id="17"/>
      </w:r>
      <w:r w:rsidRPr="00804CED">
        <w:rPr>
          <w:spacing w:val="-2"/>
        </w:rPr>
        <w:t xml:space="preserve">  </w:t>
      </w:r>
      <w:r>
        <w:rPr>
          <w:spacing w:val="-2"/>
        </w:rPr>
        <w:t>We find that</w:t>
      </w:r>
      <w:r w:rsidR="0001460C">
        <w:rPr>
          <w:spacing w:val="-2"/>
        </w:rPr>
        <w:t xml:space="preserve"> NCBC</w:t>
      </w:r>
      <w:r>
        <w:rPr>
          <w:spacing w:val="-2"/>
        </w:rPr>
        <w:t xml:space="preserve">’s Petition fails to demonstrate a material error </w:t>
      </w:r>
      <w:r w:rsidR="000C269E">
        <w:rPr>
          <w:spacing w:val="-2"/>
        </w:rPr>
        <w:t xml:space="preserve">or omission </w:t>
      </w:r>
      <w:r>
        <w:rPr>
          <w:spacing w:val="-2"/>
        </w:rPr>
        <w:t xml:space="preserve">in the </w:t>
      </w:r>
      <w:r>
        <w:rPr>
          <w:i/>
          <w:iCs/>
          <w:spacing w:val="-2"/>
        </w:rPr>
        <w:t>F</w:t>
      </w:r>
      <w:r w:rsidR="0001460C">
        <w:rPr>
          <w:i/>
          <w:iCs/>
          <w:spacing w:val="-2"/>
        </w:rPr>
        <w:t>orfeiture Order</w:t>
      </w:r>
      <w:r>
        <w:rPr>
          <w:i/>
          <w:iCs/>
          <w:spacing w:val="-2"/>
        </w:rPr>
        <w:t xml:space="preserve"> </w:t>
      </w:r>
      <w:r>
        <w:rPr>
          <w:spacing w:val="-2"/>
        </w:rPr>
        <w:t>and reiterates arguments previously presented to and rejected by the Region</w:t>
      </w:r>
      <w:r w:rsidR="0001460C">
        <w:rPr>
          <w:spacing w:val="-2"/>
        </w:rPr>
        <w:t>.</w:t>
      </w:r>
      <w:r w:rsidR="00362A11">
        <w:rPr>
          <w:rStyle w:val="FootnoteReference"/>
          <w:spacing w:val="-2"/>
        </w:rPr>
        <w:footnoteReference w:id="18"/>
      </w:r>
      <w:r>
        <w:rPr>
          <w:spacing w:val="-2"/>
        </w:rPr>
        <w:t xml:space="preserve">  </w:t>
      </w:r>
      <w:r w:rsidR="00CB2FB7">
        <w:rPr>
          <w:spacing w:val="-2"/>
        </w:rPr>
        <w:t xml:space="preserve">We further find that </w:t>
      </w:r>
      <w:r w:rsidR="0001460C">
        <w:rPr>
          <w:spacing w:val="-2"/>
        </w:rPr>
        <w:t>NCBC</w:t>
      </w:r>
      <w:r w:rsidR="00CB2FB7">
        <w:rPr>
          <w:spacing w:val="-2"/>
        </w:rPr>
        <w:t xml:space="preserve"> raises no new facts and presents no new or previously unknown facts in </w:t>
      </w:r>
      <w:r w:rsidR="0001460C">
        <w:rPr>
          <w:spacing w:val="-2"/>
        </w:rPr>
        <w:t>its</w:t>
      </w:r>
      <w:r w:rsidR="00CB2FB7">
        <w:rPr>
          <w:spacing w:val="-2"/>
        </w:rPr>
        <w:t xml:space="preserve"> Petition, but merely reiterates </w:t>
      </w:r>
      <w:r w:rsidR="0001460C">
        <w:rPr>
          <w:spacing w:val="-2"/>
        </w:rPr>
        <w:t>its argument that the Commission “has failed to comply with its obligation under SBREFA to establish a policy or program to provide for the reduction . . . of civil penalties for rule violations by small entities.”</w:t>
      </w:r>
      <w:r w:rsidR="0001460C">
        <w:rPr>
          <w:rStyle w:val="FootnoteReference"/>
          <w:spacing w:val="-2"/>
        </w:rPr>
        <w:footnoteReference w:id="19"/>
      </w:r>
      <w:r w:rsidR="0001460C">
        <w:rPr>
          <w:spacing w:val="-2"/>
        </w:rPr>
        <w:t xml:space="preserve">  </w:t>
      </w:r>
      <w:r w:rsidR="00886BBE">
        <w:rPr>
          <w:spacing w:val="-2"/>
        </w:rPr>
        <w:t xml:space="preserve">As discussed in the </w:t>
      </w:r>
      <w:r w:rsidR="00886BBE">
        <w:rPr>
          <w:i/>
          <w:spacing w:val="-2"/>
        </w:rPr>
        <w:t>Forfeiture Order</w:t>
      </w:r>
      <w:r w:rsidR="00A5322F">
        <w:rPr>
          <w:spacing w:val="-2"/>
        </w:rPr>
        <w:t xml:space="preserve">, the Commission dealt with this argument when it amended Section 1.80 of the Rules and released the </w:t>
      </w:r>
      <w:r w:rsidR="00A5322F" w:rsidRPr="00886BBE">
        <w:rPr>
          <w:i/>
          <w:spacing w:val="-2"/>
        </w:rPr>
        <w:lastRenderedPageBreak/>
        <w:t>Forfeiture Policy Statement</w:t>
      </w:r>
      <w:r w:rsidR="00A5322F">
        <w:rPr>
          <w:spacing w:val="-2"/>
        </w:rPr>
        <w:t>.</w:t>
      </w:r>
      <w:r w:rsidR="00A5322F">
        <w:rPr>
          <w:rStyle w:val="FootnoteReference"/>
          <w:spacing w:val="-2"/>
        </w:rPr>
        <w:footnoteReference w:id="20"/>
      </w:r>
      <w:r w:rsidR="00A5322F">
        <w:rPr>
          <w:spacing w:val="-2"/>
        </w:rPr>
        <w:t xml:space="preserve">  We also note t</w:t>
      </w:r>
      <w:r w:rsidR="00886BBE">
        <w:rPr>
          <w:spacing w:val="-2"/>
        </w:rPr>
        <w:t>hat NCBC has produced no new ev</w:t>
      </w:r>
      <w:r w:rsidR="00A5322F">
        <w:rPr>
          <w:spacing w:val="-2"/>
        </w:rPr>
        <w:t>idence</w:t>
      </w:r>
      <w:r w:rsidR="00886BBE">
        <w:rPr>
          <w:spacing w:val="-2"/>
        </w:rPr>
        <w:t xml:space="preserve"> </w:t>
      </w:r>
      <w:r w:rsidR="00A5322F">
        <w:rPr>
          <w:spacing w:val="-2"/>
        </w:rPr>
        <w:t>regarding its</w:t>
      </w:r>
      <w:r w:rsidR="00886BBE">
        <w:rPr>
          <w:spacing w:val="-2"/>
        </w:rPr>
        <w:t xml:space="preserve"> </w:t>
      </w:r>
      <w:r w:rsidR="00A5322F">
        <w:rPr>
          <w:spacing w:val="-2"/>
        </w:rPr>
        <w:t>inability to pay the forfeiture.</w:t>
      </w:r>
      <w:r w:rsidR="00A5322F">
        <w:rPr>
          <w:rStyle w:val="FootnoteReference"/>
          <w:spacing w:val="-2"/>
        </w:rPr>
        <w:footnoteReference w:id="21"/>
      </w:r>
      <w:r w:rsidR="00A5322F">
        <w:rPr>
          <w:spacing w:val="-2"/>
        </w:rPr>
        <w:t xml:space="preserve">  </w:t>
      </w:r>
      <w:r w:rsidR="002D530E">
        <w:t xml:space="preserve">Therefore, we find that </w:t>
      </w:r>
      <w:r w:rsidR="001A7C71">
        <w:t xml:space="preserve">the </w:t>
      </w:r>
      <w:r w:rsidR="002D530E" w:rsidRPr="00783AA9">
        <w:t xml:space="preserve">Petition </w:t>
      </w:r>
      <w:r w:rsidR="002D530E">
        <w:t xml:space="preserve">provides no basis </w:t>
      </w:r>
      <w:r w:rsidR="00922A49">
        <w:t>for reconsideration</w:t>
      </w:r>
      <w:r w:rsidR="007A7E25">
        <w:t xml:space="preserve"> of, </w:t>
      </w:r>
      <w:r w:rsidR="00735624">
        <w:t>further</w:t>
      </w:r>
      <w:r w:rsidR="002D530E">
        <w:t xml:space="preserve"> reduction</w:t>
      </w:r>
      <w:r w:rsidR="007A7E25">
        <w:t xml:space="preserve"> to,</w:t>
      </w:r>
      <w:r w:rsidR="002D530E">
        <w:t xml:space="preserve"> or cancellation of the monetary forfeiture assessed against </w:t>
      </w:r>
      <w:r w:rsidR="00A5322F">
        <w:t>NCBC</w:t>
      </w:r>
      <w:r w:rsidR="002D530E">
        <w:t xml:space="preserve"> a</w:t>
      </w:r>
      <w:r w:rsidR="00FD7A72">
        <w:rPr>
          <w:color w:val="000000"/>
          <w:szCs w:val="22"/>
        </w:rPr>
        <w:t xml:space="preserve">nd affirm the </w:t>
      </w:r>
      <w:r w:rsidR="00A5322F">
        <w:rPr>
          <w:i/>
          <w:color w:val="000000"/>
          <w:szCs w:val="22"/>
        </w:rPr>
        <w:t>Forfeiture Order</w:t>
      </w:r>
      <w:bookmarkStart w:id="2" w:name="SR;556"/>
      <w:bookmarkStart w:id="3" w:name="SearchTerm"/>
      <w:bookmarkEnd w:id="2"/>
      <w:bookmarkEnd w:id="3"/>
      <w:r w:rsidR="00FD7A72">
        <w:rPr>
          <w:color w:val="000000"/>
          <w:szCs w:val="22"/>
        </w:rPr>
        <w:t>.</w:t>
      </w:r>
      <w:r w:rsidR="00CF5726">
        <w:rPr>
          <w:color w:val="000000"/>
          <w:szCs w:val="22"/>
        </w:rPr>
        <w:t xml:space="preserve">  </w:t>
      </w:r>
    </w:p>
    <w:p w:rsidR="00FD7A72" w:rsidRDefault="00FD7A72" w:rsidP="00F963E0">
      <w:pPr>
        <w:pStyle w:val="Heading1"/>
        <w:widowControl/>
        <w:spacing w:after="240"/>
      </w:pPr>
      <w:r>
        <w:t>ordering clauses</w:t>
      </w:r>
    </w:p>
    <w:p w:rsidR="005C12AF" w:rsidRDefault="00FD7A72" w:rsidP="00F963E0">
      <w:pPr>
        <w:pStyle w:val="ParaNum"/>
        <w:widowControl/>
      </w:pPr>
      <w:r>
        <w:t xml:space="preserve">Accordingly, </w:t>
      </w:r>
      <w:r>
        <w:rPr>
          <w:b/>
        </w:rPr>
        <w:t xml:space="preserve">IT IS ORDERED </w:t>
      </w:r>
      <w:r>
        <w:t xml:space="preserve">that, pursuant to </w:t>
      </w:r>
      <w:r w:rsidR="001A7C71">
        <w:t>S</w:t>
      </w:r>
      <w:r>
        <w:t xml:space="preserve">ection 405 of the </w:t>
      </w:r>
      <w:r w:rsidR="007A7E25">
        <w:t>Act</w:t>
      </w:r>
      <w:r>
        <w:t>,</w:t>
      </w:r>
      <w:r>
        <w:rPr>
          <w:rStyle w:val="FootnoteReference"/>
          <w:szCs w:val="22"/>
        </w:rPr>
        <w:footnoteReference w:id="22"/>
      </w:r>
      <w:r>
        <w:t xml:space="preserve"> and </w:t>
      </w:r>
      <w:r w:rsidR="001A7C71">
        <w:t>S</w:t>
      </w:r>
      <w:r>
        <w:t>ection 1.106 of the Rules,</w:t>
      </w:r>
      <w:r>
        <w:rPr>
          <w:rStyle w:val="FootnoteCharacters"/>
          <w:szCs w:val="22"/>
        </w:rPr>
        <w:footnoteReference w:id="23"/>
      </w:r>
      <w:r>
        <w:t xml:space="preserve"> the </w:t>
      </w:r>
      <w:r w:rsidRPr="00783AA9">
        <w:t>Petition for Reconsideration</w:t>
      </w:r>
      <w:r>
        <w:t xml:space="preserve"> filed by</w:t>
      </w:r>
      <w:r w:rsidR="00661F3A">
        <w:t xml:space="preserve"> </w:t>
      </w:r>
      <w:r w:rsidR="00A5322F" w:rsidRPr="00A5322F">
        <w:t xml:space="preserve">North County Broadcasting Corporation </w:t>
      </w:r>
      <w:r>
        <w:rPr>
          <w:b/>
        </w:rPr>
        <w:t>IS D</w:t>
      </w:r>
      <w:r w:rsidR="00362A11">
        <w:rPr>
          <w:b/>
        </w:rPr>
        <w:t>ENIED</w:t>
      </w:r>
      <w:r>
        <w:rPr>
          <w:b/>
        </w:rPr>
        <w:t xml:space="preserve"> </w:t>
      </w:r>
      <w:r>
        <w:t xml:space="preserve">and the </w:t>
      </w:r>
      <w:r w:rsidR="00A5322F">
        <w:rPr>
          <w:i/>
        </w:rPr>
        <w:t>Forfeiture Order</w:t>
      </w:r>
      <w:r w:rsidR="00C65EEA">
        <w:t>,</w:t>
      </w:r>
      <w:r w:rsidR="00E10CF9">
        <w:t xml:space="preserve"> </w:t>
      </w:r>
      <w:r w:rsidR="008527E8">
        <w:t>28 FCC Rcd 1</w:t>
      </w:r>
      <w:r w:rsidR="00A5322F">
        <w:t>207</w:t>
      </w:r>
      <w:r w:rsidR="00E10CF9">
        <w:t>,</w:t>
      </w:r>
      <w:r w:rsidR="00C65EEA">
        <w:t xml:space="preserve"> issued February 15, 2013,</w:t>
      </w:r>
      <w:r>
        <w:t xml:space="preserve"> </w:t>
      </w:r>
      <w:r>
        <w:rPr>
          <w:b/>
        </w:rPr>
        <w:t>IS AFFIRMED</w:t>
      </w:r>
      <w:r>
        <w:t>.</w:t>
      </w:r>
    </w:p>
    <w:p w:rsidR="00FD7A72" w:rsidRDefault="00FD7A72" w:rsidP="00F963E0">
      <w:pPr>
        <w:pStyle w:val="ParaNum"/>
        <w:widowControl/>
      </w:pPr>
      <w:r>
        <w:rPr>
          <w:b/>
        </w:rPr>
        <w:t>IT IS ALSO ORDERED</w:t>
      </w:r>
      <w:r>
        <w:t xml:space="preserve"> that, pursuant to </w:t>
      </w:r>
      <w:r w:rsidR="001A7C71">
        <w:t>S</w:t>
      </w:r>
      <w:r>
        <w:t xml:space="preserve">ection 503(b) of the Act, and </w:t>
      </w:r>
      <w:r w:rsidR="001A7C71">
        <w:t>S</w:t>
      </w:r>
      <w:r>
        <w:t>ections 0.111,</w:t>
      </w:r>
      <w:r w:rsidR="008527E8">
        <w:t xml:space="preserve"> 0.204,</w:t>
      </w:r>
      <w:r>
        <w:t xml:space="preserve"> 0.311 and 1.80 of the Rules, </w:t>
      </w:r>
      <w:r w:rsidR="00A5322F" w:rsidRPr="00A5322F">
        <w:t xml:space="preserve">North County Broadcasting Corporation </w:t>
      </w:r>
      <w:r>
        <w:rPr>
          <w:b/>
        </w:rPr>
        <w:t>IS LIABLE FOR A MONETARY FORFEITURE</w:t>
      </w:r>
      <w:r w:rsidR="008527E8">
        <w:t xml:space="preserve"> </w:t>
      </w:r>
      <w:r w:rsidR="005C12AF" w:rsidRPr="00953557">
        <w:rPr>
          <w:spacing w:val="-2"/>
        </w:rPr>
        <w:t xml:space="preserve">in the amount of </w:t>
      </w:r>
      <w:r w:rsidR="00A5322F">
        <w:rPr>
          <w:spacing w:val="-2"/>
        </w:rPr>
        <w:t>four thousand, eight hundred do</w:t>
      </w:r>
      <w:r w:rsidR="008527E8">
        <w:rPr>
          <w:spacing w:val="-2"/>
        </w:rPr>
        <w:t>llars (</w:t>
      </w:r>
      <w:r w:rsidR="005C12AF" w:rsidRPr="00953557">
        <w:rPr>
          <w:spacing w:val="-2"/>
        </w:rPr>
        <w:t>$</w:t>
      </w:r>
      <w:r w:rsidR="005C12AF">
        <w:rPr>
          <w:spacing w:val="-2"/>
        </w:rPr>
        <w:t>4</w:t>
      </w:r>
      <w:r w:rsidR="005C12AF" w:rsidRPr="00953557">
        <w:rPr>
          <w:spacing w:val="-2"/>
        </w:rPr>
        <w:t>,</w:t>
      </w:r>
      <w:r w:rsidR="00A5322F">
        <w:rPr>
          <w:spacing w:val="-2"/>
        </w:rPr>
        <w:t>8</w:t>
      </w:r>
      <w:r w:rsidR="005C12AF" w:rsidRPr="00953557">
        <w:rPr>
          <w:spacing w:val="-2"/>
        </w:rPr>
        <w:t>00</w:t>
      </w:r>
      <w:r w:rsidR="008527E8">
        <w:rPr>
          <w:spacing w:val="-2"/>
        </w:rPr>
        <w:t>)</w:t>
      </w:r>
      <w:r w:rsidR="005C12AF" w:rsidRPr="00953557">
        <w:t xml:space="preserve"> for </w:t>
      </w:r>
      <w:r w:rsidR="005C12AF">
        <w:t xml:space="preserve">willfully and </w:t>
      </w:r>
      <w:r w:rsidR="005C12AF" w:rsidRPr="00953557">
        <w:t>repeatedly violating</w:t>
      </w:r>
      <w:r w:rsidR="005C12AF" w:rsidRPr="00953557">
        <w:rPr>
          <w:spacing w:val="-2"/>
        </w:rPr>
        <w:t xml:space="preserve"> </w:t>
      </w:r>
      <w:r w:rsidR="001A750E">
        <w:rPr>
          <w:spacing w:val="-2"/>
        </w:rPr>
        <w:t>S</w:t>
      </w:r>
      <w:r w:rsidR="005C12AF" w:rsidRPr="00953557">
        <w:rPr>
          <w:spacing w:val="-2"/>
        </w:rPr>
        <w:t>ection</w:t>
      </w:r>
      <w:r w:rsidR="00A5322F">
        <w:rPr>
          <w:spacing w:val="-2"/>
        </w:rPr>
        <w:t xml:space="preserve"> 11.35</w:t>
      </w:r>
      <w:r w:rsidR="005C12AF">
        <w:rPr>
          <w:spacing w:val="-2"/>
        </w:rPr>
        <w:t xml:space="preserve"> of the Rules</w:t>
      </w:r>
      <w:r w:rsidR="005C12AF" w:rsidRPr="00953557">
        <w:rPr>
          <w:spacing w:val="-2"/>
        </w:rPr>
        <w:t>.</w:t>
      </w:r>
      <w:r w:rsidR="005C12AF" w:rsidRPr="00953557">
        <w:rPr>
          <w:rStyle w:val="FootnoteReference"/>
          <w:szCs w:val="22"/>
        </w:rPr>
        <w:footnoteReference w:id="24"/>
      </w:r>
    </w:p>
    <w:p w:rsidR="00592215" w:rsidRPr="00090E77" w:rsidRDefault="00592215" w:rsidP="001D5086">
      <w:pPr>
        <w:pStyle w:val="ParaNum"/>
      </w:pPr>
      <w:r w:rsidRPr="00626BA2">
        <w:rPr>
          <w:rFonts w:eastAsia="MS Mincho"/>
        </w:rPr>
        <w:t xml:space="preserve">Payment of the forfeiture </w:t>
      </w:r>
      <w:r w:rsidRPr="00E54E68">
        <w:rPr>
          <w:rFonts w:eastAsia="MS Mincho"/>
        </w:rPr>
        <w:t xml:space="preserve">shall </w:t>
      </w:r>
      <w:r w:rsidRPr="00626BA2">
        <w:rPr>
          <w:rFonts w:eastAsia="MS Mincho"/>
        </w:rPr>
        <w:t xml:space="preserve">be made in the manner provided for in Section 1.80 of the Rules </w:t>
      </w:r>
      <w:r>
        <w:rPr>
          <w:rFonts w:eastAsia="MS Mincho"/>
        </w:rPr>
        <w:t xml:space="preserve">immediately and no later than thirty (30) </w:t>
      </w:r>
      <w:r w:rsidRPr="00626BA2">
        <w:rPr>
          <w:rFonts w:eastAsia="MS Mincho"/>
        </w:rPr>
        <w:t xml:space="preserve">calendar days after the release date of this </w:t>
      </w:r>
      <w:r w:rsidR="008527E8">
        <w:rPr>
          <w:rFonts w:eastAsia="MS Mincho"/>
        </w:rPr>
        <w:t>Memorandum Opinion and Order</w:t>
      </w:r>
      <w:r w:rsidRPr="00626BA2">
        <w:rPr>
          <w:rFonts w:eastAsia="MS Mincho"/>
        </w:rPr>
        <w:t>.</w:t>
      </w:r>
      <w:r>
        <w:rPr>
          <w:rStyle w:val="FootnoteReference"/>
          <w:rFonts w:eastAsia="MS Mincho" w:cs="Arial"/>
        </w:rPr>
        <w:footnoteReference w:id="25"/>
      </w:r>
      <w:r w:rsidRPr="00626BA2">
        <w:rPr>
          <w:rFonts w:eastAsia="MS Mincho"/>
        </w:rPr>
        <w:t xml:space="preserve">  If the forfeiture is not paid within the period specified, the case may be referred to the U.S. Department of Justice for enforcement of the forfeiture pursuant to Section 504(a) of the Act.</w:t>
      </w:r>
      <w:r>
        <w:rPr>
          <w:rStyle w:val="FootnoteReference"/>
          <w:rFonts w:eastAsia="MS Mincho" w:cs="Arial"/>
        </w:rPr>
        <w:footnoteReference w:id="26"/>
      </w:r>
      <w:r w:rsidRPr="00626BA2">
        <w:rPr>
          <w:rFonts w:eastAsia="MS Mincho"/>
        </w:rPr>
        <w:t xml:space="preserve">  </w:t>
      </w:r>
      <w:r w:rsidR="001D5086" w:rsidRPr="001D5086">
        <w:rPr>
          <w:rFonts w:eastAsia="MS Mincho" w:cs="Arial"/>
        </w:rPr>
        <w:t xml:space="preserve">North County Broadcasting Corporation </w:t>
      </w:r>
      <w:r w:rsidRPr="00D72D84">
        <w:rPr>
          <w:rFonts w:eastAsia="MS Mincho"/>
        </w:rPr>
        <w:t xml:space="preserve">shall send electronic notification </w:t>
      </w:r>
      <w:r>
        <w:rPr>
          <w:rFonts w:eastAsia="MS Mincho"/>
        </w:rPr>
        <w:t xml:space="preserve">of payment </w:t>
      </w:r>
      <w:r w:rsidRPr="00D72D84">
        <w:rPr>
          <w:rFonts w:eastAsia="MS Mincho"/>
        </w:rPr>
        <w:t xml:space="preserve">to </w:t>
      </w:r>
      <w:smartTag w:uri="urn:schemas-microsoft-com:office:smarttags" w:element="PersonName">
        <w:r>
          <w:rPr>
            <w:rFonts w:eastAsia="MS Mincho"/>
          </w:rPr>
          <w:t>WR-Response</w:t>
        </w:r>
      </w:smartTag>
      <w:r>
        <w:rPr>
          <w:rFonts w:eastAsia="MS Mincho"/>
        </w:rPr>
        <w:t xml:space="preserve">@fcc.gov </w:t>
      </w:r>
      <w:r w:rsidRPr="00D72D84">
        <w:rPr>
          <w:rFonts w:eastAsia="MS Mincho"/>
        </w:rPr>
        <w:t>on the date said payment is made.</w:t>
      </w:r>
    </w:p>
    <w:p w:rsidR="00592215" w:rsidRPr="00626BA2" w:rsidRDefault="00592215" w:rsidP="00F963E0">
      <w:pPr>
        <w:pStyle w:val="ParaNum"/>
        <w:widowControl/>
        <w:rPr>
          <w:rFonts w:eastAsia="MS Mincho" w:cs="Arial"/>
        </w:rPr>
      </w:pPr>
      <w:r w:rsidRPr="00626BA2">
        <w:rPr>
          <w:rFonts w:eastAsia="MS Mincho" w:cs="Arial"/>
        </w:rPr>
        <w:t xml:space="preserve">The payment must be made by check or similar instrument, wire transfer, or credit card, and must include the NAL/Account </w:t>
      </w:r>
      <w:r w:rsidR="00ED15B3">
        <w:rPr>
          <w:rFonts w:eastAsia="MS Mincho" w:cs="Arial"/>
        </w:rPr>
        <w:t>N</w:t>
      </w:r>
      <w:r w:rsidRPr="00626BA2">
        <w:rPr>
          <w:rFonts w:eastAsia="MS Mincho" w:cs="Arial"/>
        </w:rPr>
        <w:t>umber and FRN referenced above.</w:t>
      </w:r>
      <w:r>
        <w:rPr>
          <w:rFonts w:eastAsia="MS Mincho" w:cs="Arial"/>
        </w:rPr>
        <w:t xml:space="preserve">  </w:t>
      </w:r>
      <w:r w:rsidRPr="00626BA2">
        <w:rPr>
          <w:rFonts w:eastAsia="MS Mincho" w:cs="Arial"/>
        </w:rPr>
        <w:t xml:space="preserve">Regardless of the form of payment, a completed FCC Form 159 (Remittance Advice) must </w:t>
      </w:r>
      <w:r>
        <w:rPr>
          <w:rFonts w:eastAsia="MS Mincho" w:cs="Arial"/>
        </w:rPr>
        <w:t>be submitted.</w:t>
      </w:r>
      <w:r>
        <w:rPr>
          <w:rStyle w:val="FootnoteReference"/>
          <w:rFonts w:eastAsia="MS Mincho" w:cs="Arial"/>
        </w:rPr>
        <w:footnoteReference w:id="27"/>
      </w:r>
      <w:r>
        <w:rPr>
          <w:rFonts w:eastAsia="MS Mincho" w:cs="Arial"/>
        </w:rPr>
        <w:t xml:space="preserve">  </w:t>
      </w:r>
      <w:r w:rsidRPr="00626BA2">
        <w:rPr>
          <w:rFonts w:eastAsia="MS Mincho" w:cs="Arial"/>
        </w:rPr>
        <w:t>When completing the FCC Form 159, enter the Account Number in block number 23A (call sign/other ID) and enter the letters “FORF” in block number 24A (payment type code).  </w:t>
      </w:r>
      <w:r>
        <w:rPr>
          <w:rFonts w:eastAsia="MS Mincho" w:cs="Arial"/>
        </w:rPr>
        <w:t xml:space="preserve"> </w:t>
      </w:r>
      <w:r>
        <w:rPr>
          <w:color w:val="000000"/>
          <w:szCs w:val="22"/>
        </w:rPr>
        <w:t>Below are additional instructions you should follow based on the form of payment you select:</w:t>
      </w:r>
    </w:p>
    <w:p w:rsidR="00592215" w:rsidRPr="00626BA2" w:rsidRDefault="00592215" w:rsidP="00F963E0">
      <w:pPr>
        <w:pStyle w:val="ParaNum"/>
        <w:widowControl/>
        <w:numPr>
          <w:ilvl w:val="0"/>
          <w:numId w:val="9"/>
        </w:numPr>
        <w:rPr>
          <w:rFonts w:eastAsia="MS Mincho"/>
        </w:rPr>
      </w:pPr>
      <w:r>
        <w:rPr>
          <w:rFonts w:eastAsia="MS Mincho"/>
        </w:rPr>
        <w:t>P</w:t>
      </w:r>
      <w:r w:rsidRPr="00626BA2">
        <w:rPr>
          <w:rFonts w:eastAsia="MS Mincho"/>
        </w:rPr>
        <w:t>ayment by check or money order must be made payable to the order of the Federal Communications Commission.  Such payments (along with the completed Form 159) </w:t>
      </w:r>
      <w:r>
        <w:rPr>
          <w:rFonts w:eastAsia="MS Mincho"/>
        </w:rPr>
        <w:t>must</w:t>
      </w:r>
      <w:r w:rsidRPr="00626BA2">
        <w:rPr>
          <w:rFonts w:eastAsia="MS Mincho"/>
        </w:rPr>
        <w:t xml:space="preserve"> be mailed to Federal Communications Commission, </w:t>
      </w:r>
      <w:smartTag w:uri="urn:schemas-microsoft-com:office:smarttags" w:element="address">
        <w:smartTag w:uri="urn:schemas-microsoft-com:office:smarttags" w:element="Street">
          <w:r w:rsidRPr="00626BA2">
            <w:rPr>
              <w:rFonts w:eastAsia="MS Mincho"/>
            </w:rPr>
            <w:t>P.O. Box 979088</w:t>
          </w:r>
        </w:smartTag>
        <w:r w:rsidRPr="00626BA2">
          <w:rPr>
            <w:rFonts w:eastAsia="MS Mincho"/>
          </w:rPr>
          <w:t xml:space="preserve">, </w:t>
        </w:r>
        <w:smartTag w:uri="urn:schemas-microsoft-com:office:smarttags" w:element="City">
          <w:r w:rsidRPr="00626BA2">
            <w:rPr>
              <w:rFonts w:eastAsia="MS Mincho"/>
            </w:rPr>
            <w:t>St. Louis</w:t>
          </w:r>
        </w:smartTag>
        <w:r w:rsidRPr="00626BA2">
          <w:rPr>
            <w:rFonts w:eastAsia="MS Mincho"/>
          </w:rPr>
          <w:t xml:space="preserve">, </w:t>
        </w:r>
        <w:smartTag w:uri="urn:schemas-microsoft-com:office:smarttags" w:element="State">
          <w:r w:rsidRPr="00626BA2">
            <w:rPr>
              <w:rFonts w:eastAsia="MS Mincho"/>
            </w:rPr>
            <w:t>MO</w:t>
          </w:r>
        </w:smartTag>
        <w:r w:rsidRPr="00626BA2">
          <w:rPr>
            <w:rFonts w:eastAsia="MS Mincho"/>
          </w:rPr>
          <w:t xml:space="preserve"> </w:t>
        </w:r>
        <w:smartTag w:uri="urn:schemas-microsoft-com:office:smarttags" w:element="PostalCode">
          <w:r w:rsidRPr="00626BA2">
            <w:rPr>
              <w:rFonts w:eastAsia="MS Mincho"/>
            </w:rPr>
            <w:t>63197-9000</w:t>
          </w:r>
        </w:smartTag>
      </w:smartTag>
      <w:r w:rsidRPr="00626BA2">
        <w:rPr>
          <w:rFonts w:eastAsia="MS Mincho"/>
        </w:rPr>
        <w:t xml:space="preserve">, or sent via overnight mail to U.S. Bank – Government Lockbox #979088, SL-MO-C2-GL, 1005 </w:t>
      </w:r>
      <w:smartTag w:uri="urn:schemas-microsoft-com:office:smarttags" w:element="PlaceName">
        <w:r w:rsidRPr="00626BA2">
          <w:rPr>
            <w:rFonts w:eastAsia="MS Mincho"/>
          </w:rPr>
          <w:t>Convention</w:t>
        </w:r>
      </w:smartTag>
      <w:r w:rsidRPr="00626BA2">
        <w:rPr>
          <w:rFonts w:eastAsia="MS Mincho"/>
        </w:rPr>
        <w:t xml:space="preserve"> </w:t>
      </w:r>
      <w:smartTag w:uri="urn:schemas-microsoft-com:office:smarttags" w:element="PlaceType">
        <w:r w:rsidRPr="00626BA2">
          <w:rPr>
            <w:rFonts w:eastAsia="MS Mincho"/>
          </w:rPr>
          <w:t>Plaza</w:t>
        </w:r>
      </w:smartTag>
      <w:r w:rsidRPr="00626BA2">
        <w:rPr>
          <w:rFonts w:eastAsia="MS Mincho"/>
        </w:rPr>
        <w:t xml:space="preserve">, </w:t>
      </w:r>
      <w:smartTag w:uri="urn:schemas-microsoft-com:office:smarttags" w:element="place">
        <w:smartTag w:uri="urn:schemas-microsoft-com:office:smarttags" w:element="City">
          <w:r w:rsidRPr="00626BA2">
            <w:rPr>
              <w:rFonts w:eastAsia="MS Mincho"/>
            </w:rPr>
            <w:t>St. Louis</w:t>
          </w:r>
        </w:smartTag>
        <w:r w:rsidRPr="00626BA2">
          <w:rPr>
            <w:rFonts w:eastAsia="MS Mincho"/>
          </w:rPr>
          <w:t xml:space="preserve">, </w:t>
        </w:r>
        <w:smartTag w:uri="urn:schemas-microsoft-com:office:smarttags" w:element="State">
          <w:r w:rsidRPr="00626BA2">
            <w:rPr>
              <w:rFonts w:eastAsia="MS Mincho"/>
            </w:rPr>
            <w:t>MO</w:t>
          </w:r>
        </w:smartTag>
        <w:r w:rsidRPr="00626BA2">
          <w:rPr>
            <w:rFonts w:eastAsia="MS Mincho"/>
          </w:rPr>
          <w:t xml:space="preserve"> </w:t>
        </w:r>
        <w:smartTag w:uri="urn:schemas-microsoft-com:office:smarttags" w:element="PostalCode">
          <w:r w:rsidRPr="00626BA2">
            <w:rPr>
              <w:rFonts w:eastAsia="MS Mincho"/>
            </w:rPr>
            <w:t>63101</w:t>
          </w:r>
        </w:smartTag>
      </w:smartTag>
      <w:r w:rsidRPr="00626BA2">
        <w:rPr>
          <w:rFonts w:eastAsia="MS Mincho"/>
        </w:rPr>
        <w:t xml:space="preserve">.  </w:t>
      </w:r>
    </w:p>
    <w:p w:rsidR="00592215" w:rsidRPr="00626BA2" w:rsidRDefault="00592215" w:rsidP="00F963E0">
      <w:pPr>
        <w:pStyle w:val="ParaNum"/>
        <w:widowControl/>
        <w:numPr>
          <w:ilvl w:val="0"/>
          <w:numId w:val="9"/>
        </w:numPr>
        <w:rPr>
          <w:rFonts w:eastAsia="MS Mincho"/>
        </w:rPr>
      </w:pPr>
      <w:r>
        <w:rPr>
          <w:rFonts w:eastAsia="MS Mincho"/>
        </w:rPr>
        <w:t>Payment by wire transfer must</w:t>
      </w:r>
      <w:r w:rsidRPr="00626BA2">
        <w:rPr>
          <w:rFonts w:eastAsia="MS Mincho"/>
        </w:rPr>
        <w:t xml:space="preserve"> be made to ABA Number 021030004, receiving bank TREAS/NYC, and Account Number 27000001.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 xml:space="preserve">.  </w:t>
      </w:r>
    </w:p>
    <w:p w:rsidR="00592215" w:rsidRPr="00626BA2" w:rsidRDefault="00592215" w:rsidP="00F963E0">
      <w:pPr>
        <w:pStyle w:val="ParaNum"/>
        <w:widowControl/>
        <w:numPr>
          <w:ilvl w:val="0"/>
          <w:numId w:val="9"/>
        </w:numPr>
        <w:spacing w:after="220"/>
        <w:rPr>
          <w:rFonts w:eastAsia="MS Mincho"/>
        </w:rPr>
      </w:pPr>
      <w:r>
        <w:rPr>
          <w:rFonts w:eastAsia="MS Mincho"/>
        </w:rPr>
        <w:t>Payment by credit card must</w:t>
      </w:r>
      <w:r w:rsidRPr="00626BA2">
        <w:rPr>
          <w:rFonts w:eastAsia="MS Mincho"/>
        </w:rPr>
        <w:t xml:space="preserve"> be made by providing the required credit card information on FCC Form 159 and signing and dating the Form 159 to authorize the credit card payment.</w:t>
      </w:r>
      <w:r>
        <w:rPr>
          <w:rFonts w:eastAsia="MS Mincho"/>
        </w:rPr>
        <w:t xml:space="preserve">   </w:t>
      </w:r>
      <w:r w:rsidRPr="00626BA2">
        <w:rPr>
          <w:rFonts w:eastAsia="MS Mincho"/>
        </w:rPr>
        <w:t xml:space="preserve">The completed Form 159 </w:t>
      </w:r>
      <w:r>
        <w:rPr>
          <w:rFonts w:eastAsia="MS Mincho"/>
        </w:rPr>
        <w:t>must</w:t>
      </w:r>
      <w:r w:rsidRPr="00626BA2">
        <w:rPr>
          <w:rFonts w:eastAsia="MS Mincho"/>
        </w:rPr>
        <w:t xml:space="preserve"> then be mailed to Federal Communications Commission, </w:t>
      </w:r>
      <w:smartTag w:uri="urn:schemas-microsoft-com:office:smarttags" w:element="address">
        <w:smartTag w:uri="urn:schemas-microsoft-com:office:smarttags" w:element="Street">
          <w:r w:rsidRPr="00626BA2">
            <w:rPr>
              <w:rFonts w:eastAsia="MS Mincho"/>
            </w:rPr>
            <w:t>P.O. Box 979088</w:t>
          </w:r>
        </w:smartTag>
        <w:r w:rsidRPr="00626BA2">
          <w:rPr>
            <w:rFonts w:eastAsia="MS Mincho"/>
          </w:rPr>
          <w:t xml:space="preserve">, </w:t>
        </w:r>
        <w:smartTag w:uri="urn:schemas-microsoft-com:office:smarttags" w:element="City">
          <w:r w:rsidRPr="00626BA2">
            <w:rPr>
              <w:rFonts w:eastAsia="MS Mincho"/>
            </w:rPr>
            <w:t>St. Louis</w:t>
          </w:r>
        </w:smartTag>
        <w:r w:rsidRPr="00626BA2">
          <w:rPr>
            <w:rFonts w:eastAsia="MS Mincho"/>
          </w:rPr>
          <w:t xml:space="preserve">, </w:t>
        </w:r>
        <w:smartTag w:uri="urn:schemas-microsoft-com:office:smarttags" w:element="State">
          <w:r w:rsidRPr="00626BA2">
            <w:rPr>
              <w:rFonts w:eastAsia="MS Mincho"/>
            </w:rPr>
            <w:t>MO</w:t>
          </w:r>
        </w:smartTag>
        <w:r w:rsidRPr="00626BA2">
          <w:rPr>
            <w:rFonts w:eastAsia="MS Mincho"/>
          </w:rPr>
          <w:t xml:space="preserve"> </w:t>
        </w:r>
        <w:smartTag w:uri="urn:schemas-microsoft-com:office:smarttags" w:element="PostalCode">
          <w:r w:rsidRPr="00626BA2">
            <w:rPr>
              <w:rFonts w:eastAsia="MS Mincho"/>
            </w:rPr>
            <w:t>63197-9000</w:t>
          </w:r>
        </w:smartTag>
      </w:smartTag>
      <w:r w:rsidRPr="00626BA2">
        <w:rPr>
          <w:rFonts w:eastAsia="MS Mincho"/>
        </w:rPr>
        <w:t xml:space="preserve">, </w:t>
      </w:r>
      <w:r>
        <w:rPr>
          <w:rFonts w:eastAsia="MS Mincho"/>
        </w:rPr>
        <w:t xml:space="preserve">or </w:t>
      </w:r>
      <w:r w:rsidRPr="00626BA2">
        <w:rPr>
          <w:rFonts w:eastAsia="MS Mincho"/>
        </w:rPr>
        <w:t xml:space="preserve">sent via overnight mail to U.S. Bank – Government Lockbox #979088, SL-MO-C2-GL, 1005 </w:t>
      </w:r>
      <w:smartTag w:uri="urn:schemas-microsoft-com:office:smarttags" w:element="PlaceName">
        <w:r w:rsidRPr="00626BA2">
          <w:rPr>
            <w:rFonts w:eastAsia="MS Mincho"/>
          </w:rPr>
          <w:t>Convention</w:t>
        </w:r>
      </w:smartTag>
      <w:r w:rsidRPr="00626BA2">
        <w:rPr>
          <w:rFonts w:eastAsia="MS Mincho"/>
        </w:rPr>
        <w:t xml:space="preserve"> </w:t>
      </w:r>
      <w:smartTag w:uri="urn:schemas-microsoft-com:office:smarttags" w:element="PlaceType">
        <w:r w:rsidRPr="00626BA2">
          <w:rPr>
            <w:rFonts w:eastAsia="MS Mincho"/>
          </w:rPr>
          <w:t>Plaza</w:t>
        </w:r>
      </w:smartTag>
      <w:r w:rsidRPr="00626BA2">
        <w:rPr>
          <w:rFonts w:eastAsia="MS Mincho"/>
        </w:rPr>
        <w:t xml:space="preserve">, </w:t>
      </w:r>
      <w:smartTag w:uri="urn:schemas-microsoft-com:office:smarttags" w:element="place">
        <w:smartTag w:uri="urn:schemas-microsoft-com:office:smarttags" w:element="City">
          <w:r w:rsidRPr="00626BA2">
            <w:rPr>
              <w:rFonts w:eastAsia="MS Mincho"/>
            </w:rPr>
            <w:t>St. Louis</w:t>
          </w:r>
        </w:smartTag>
        <w:r w:rsidRPr="00626BA2">
          <w:rPr>
            <w:rFonts w:eastAsia="MS Mincho"/>
          </w:rPr>
          <w:t xml:space="preserve">, </w:t>
        </w:r>
        <w:smartTag w:uri="urn:schemas-microsoft-com:office:smarttags" w:element="State">
          <w:r w:rsidRPr="00626BA2">
            <w:rPr>
              <w:rFonts w:eastAsia="MS Mincho"/>
            </w:rPr>
            <w:t>MO</w:t>
          </w:r>
        </w:smartTag>
        <w:r w:rsidRPr="00626BA2">
          <w:rPr>
            <w:rFonts w:eastAsia="MS Mincho"/>
          </w:rPr>
          <w:t xml:space="preserve"> </w:t>
        </w:r>
        <w:smartTag w:uri="urn:schemas-microsoft-com:office:smarttags" w:element="PostalCode">
          <w:r w:rsidRPr="00626BA2">
            <w:rPr>
              <w:rFonts w:eastAsia="MS Mincho"/>
            </w:rPr>
            <w:t>63101</w:t>
          </w:r>
        </w:smartTag>
      </w:smartTag>
      <w:r w:rsidRPr="00626BA2">
        <w:rPr>
          <w:rFonts w:eastAsia="MS Mincho"/>
        </w:rPr>
        <w:t xml:space="preserve">.  </w:t>
      </w:r>
    </w:p>
    <w:p w:rsidR="00592215" w:rsidRDefault="00592215" w:rsidP="00F963E0">
      <w:pPr>
        <w:pStyle w:val="ParaNum"/>
        <w:widowControl/>
        <w:spacing w:after="220"/>
        <w:rPr>
          <w:rFonts w:eastAsia="MS Mincho"/>
        </w:rPr>
      </w:pPr>
      <w:r>
        <w:rPr>
          <w:rFonts w:eastAsia="MS Mincho"/>
        </w:rPr>
        <w:t>Any r</w:t>
      </w:r>
      <w:r w:rsidRPr="00626BA2">
        <w:rPr>
          <w:rFonts w:eastAsia="MS Mincho"/>
        </w:rPr>
        <w:t>equest for full payment</w:t>
      </w:r>
      <w:r w:rsidR="008527E8">
        <w:rPr>
          <w:rFonts w:eastAsia="MS Mincho"/>
        </w:rPr>
        <w:t xml:space="preserve"> over time</w:t>
      </w:r>
      <w:r w:rsidRPr="00626BA2">
        <w:rPr>
          <w:rFonts w:eastAsia="MS Mincho"/>
        </w:rPr>
        <w:t xml:space="preserve"> under an installment plan should be sent to:  Chief Financial Officer—Financial Operations, </w:t>
      </w:r>
      <w:r w:rsidRPr="00BF0439">
        <w:rPr>
          <w:rFonts w:eastAsia="MS Mincho" w:cs="Arial"/>
        </w:rPr>
        <w:t>Federal</w:t>
      </w:r>
      <w:r w:rsidRPr="00626BA2">
        <w:rPr>
          <w:rFonts w:eastAsia="MS Mincho"/>
        </w:rPr>
        <w:t xml:space="preserve"> Communications Commission, 445 12th Street, S.W., Room 1-A625, Washington, D.C.  20554.</w:t>
      </w:r>
      <w:r>
        <w:rPr>
          <w:rStyle w:val="FootnoteReference"/>
          <w:rFonts w:eastAsia="MS Mincho"/>
        </w:rPr>
        <w:footnoteReference w:id="28"/>
      </w:r>
      <w:r w:rsidRPr="00626BA2">
        <w:rPr>
          <w:rFonts w:eastAsia="MS Mincho"/>
        </w:rPr>
        <w:t>  If you have questions regarding payment procedures, please contact the Financial Operations Group Help Desk by phone, 1-877-480-3201, or by e</w:t>
      </w:r>
      <w:r>
        <w:rPr>
          <w:rFonts w:eastAsia="MS Mincho"/>
        </w:rPr>
        <w:noBreakHyphen/>
      </w:r>
      <w:r w:rsidRPr="00626BA2">
        <w:rPr>
          <w:rFonts w:eastAsia="MS Mincho"/>
        </w:rPr>
        <w:t>mail,</w:t>
      </w:r>
      <w:r>
        <w:rPr>
          <w:rFonts w:eastAsia="MS Mincho"/>
        </w:rPr>
        <w:t xml:space="preserve"> </w:t>
      </w:r>
      <w:r w:rsidRPr="00626BA2">
        <w:rPr>
          <w:rFonts w:eastAsia="MS Mincho" w:cs="Arial"/>
        </w:rPr>
        <w:t>ARINQUIRIES@fcc.gov</w:t>
      </w:r>
      <w:r w:rsidRPr="00626BA2">
        <w:rPr>
          <w:rFonts w:eastAsia="MS Mincho"/>
        </w:rPr>
        <w:t>.</w:t>
      </w:r>
    </w:p>
    <w:p w:rsidR="00A5322F" w:rsidRPr="00A5322F" w:rsidRDefault="00A57968" w:rsidP="00F963E0">
      <w:pPr>
        <w:pStyle w:val="ParaNum"/>
        <w:keepNext/>
        <w:widowControl/>
        <w:tabs>
          <w:tab w:val="clear" w:pos="1440"/>
          <w:tab w:val="num" w:pos="1080"/>
        </w:tabs>
        <w:spacing w:after="220"/>
        <w:jc w:val="both"/>
        <w:rPr>
          <w:szCs w:val="22"/>
        </w:rPr>
      </w:pPr>
      <w:r>
        <w:rPr>
          <w:b/>
        </w:rPr>
        <w:tab/>
      </w:r>
      <w:r w:rsidR="00FD7A72">
        <w:rPr>
          <w:b/>
        </w:rPr>
        <w:t>IT IS FURTHER ORDERED</w:t>
      </w:r>
      <w:r w:rsidR="00FD7A72">
        <w:t xml:space="preserve"> that this Memorandum Opinion and Order shall be sent by both regular mail and by certified mail, return receipt requested, to </w:t>
      </w:r>
      <w:r w:rsidR="00A5322F" w:rsidRPr="00A5322F">
        <w:t xml:space="preserve">North County Broadcasting Corporation at 1563 South State College Boulevard, Anaheim, CA 92806, and </w:t>
      </w:r>
      <w:r w:rsidR="00A5322F" w:rsidRPr="00A5322F">
        <w:rPr>
          <w:color w:val="000000"/>
        </w:rPr>
        <w:t>to David Tillotson,</w:t>
      </w:r>
      <w:r w:rsidR="00A5322F">
        <w:rPr>
          <w:color w:val="000000"/>
        </w:rPr>
        <w:t xml:space="preserve"> Esquire,</w:t>
      </w:r>
      <w:r w:rsidR="00A5322F" w:rsidRPr="00A5322F">
        <w:rPr>
          <w:color w:val="000000"/>
        </w:rPr>
        <w:t xml:space="preserve"> its counsel of record, at 4606 Charleston Terrace, NW, Washington, D.C. 20007-1911</w:t>
      </w:r>
      <w:r w:rsidR="00A5322F" w:rsidRPr="00A5322F">
        <w:rPr>
          <w:szCs w:val="22"/>
        </w:rPr>
        <w:t>.</w:t>
      </w:r>
    </w:p>
    <w:p w:rsidR="00FD7A72" w:rsidRDefault="00FD7A72" w:rsidP="00F963E0">
      <w:pPr>
        <w:pStyle w:val="ParaNum"/>
        <w:widowControl/>
        <w:numPr>
          <w:ilvl w:val="0"/>
          <w:numId w:val="0"/>
        </w:numPr>
      </w:pPr>
    </w:p>
    <w:p w:rsidR="00EA6590" w:rsidRDefault="00FD7A72" w:rsidP="00F963E0">
      <w:pPr>
        <w:widowControl/>
        <w:tabs>
          <w:tab w:val="left" w:pos="0"/>
          <w:tab w:val="left" w:pos="4320"/>
        </w:tabs>
        <w:spacing w:line="240" w:lineRule="atLeast"/>
        <w:jc w:val="both"/>
        <w:rPr>
          <w:szCs w:val="22"/>
        </w:rPr>
      </w:pPr>
      <w:r>
        <w:rPr>
          <w:szCs w:val="22"/>
        </w:rPr>
        <w:tab/>
        <w:t>FEDERAL COMMUNICATIONS COMMISSION</w:t>
      </w:r>
    </w:p>
    <w:p w:rsidR="00EA6590" w:rsidRDefault="00EA6590" w:rsidP="00F963E0">
      <w:pPr>
        <w:widowControl/>
        <w:tabs>
          <w:tab w:val="left" w:pos="0"/>
          <w:tab w:val="left" w:pos="4320"/>
        </w:tabs>
        <w:spacing w:line="240" w:lineRule="atLeast"/>
        <w:jc w:val="both"/>
        <w:rPr>
          <w:szCs w:val="22"/>
        </w:rPr>
      </w:pPr>
    </w:p>
    <w:p w:rsidR="00EA6590" w:rsidRDefault="00EA6590" w:rsidP="00F963E0">
      <w:pPr>
        <w:widowControl/>
        <w:tabs>
          <w:tab w:val="left" w:pos="0"/>
          <w:tab w:val="left" w:pos="4320"/>
        </w:tabs>
        <w:spacing w:line="240" w:lineRule="atLeast"/>
        <w:jc w:val="both"/>
        <w:rPr>
          <w:szCs w:val="22"/>
        </w:rPr>
      </w:pPr>
    </w:p>
    <w:p w:rsidR="00EA6590" w:rsidRDefault="00EA6590" w:rsidP="00F963E0">
      <w:pPr>
        <w:widowControl/>
        <w:tabs>
          <w:tab w:val="left" w:pos="0"/>
          <w:tab w:val="left" w:pos="4320"/>
        </w:tabs>
        <w:spacing w:line="240" w:lineRule="atLeast"/>
        <w:jc w:val="both"/>
        <w:rPr>
          <w:szCs w:val="22"/>
        </w:rPr>
      </w:pPr>
    </w:p>
    <w:p w:rsidR="00EA6590" w:rsidRDefault="00EA6590" w:rsidP="00F963E0">
      <w:pPr>
        <w:widowControl/>
        <w:tabs>
          <w:tab w:val="left" w:pos="0"/>
          <w:tab w:val="left" w:pos="4320"/>
        </w:tabs>
        <w:spacing w:line="240" w:lineRule="atLeast"/>
        <w:jc w:val="both"/>
        <w:rPr>
          <w:szCs w:val="22"/>
        </w:rPr>
      </w:pPr>
    </w:p>
    <w:p w:rsidR="00A8085E" w:rsidRDefault="00FD7A72" w:rsidP="00F963E0">
      <w:pPr>
        <w:keepNext/>
        <w:widowControl/>
        <w:ind w:left="2880" w:firstLine="720"/>
        <w:rPr>
          <w:szCs w:val="22"/>
        </w:rPr>
      </w:pPr>
      <w:r>
        <w:rPr>
          <w:szCs w:val="22"/>
        </w:rPr>
        <w:tab/>
      </w:r>
      <w:r w:rsidR="00A8085E">
        <w:rPr>
          <w:szCs w:val="22"/>
        </w:rPr>
        <w:t>P. Michele Ellison</w:t>
      </w:r>
    </w:p>
    <w:p w:rsidR="00A8085E" w:rsidRDefault="00A8085E" w:rsidP="00F963E0">
      <w:pPr>
        <w:keepNext/>
        <w:widowControl/>
        <w:ind w:left="3600" w:firstLine="720"/>
        <w:rPr>
          <w:szCs w:val="22"/>
        </w:rPr>
      </w:pPr>
      <w:r>
        <w:rPr>
          <w:szCs w:val="22"/>
        </w:rPr>
        <w:t>Chief, Enforcement Bureau</w:t>
      </w:r>
    </w:p>
    <w:p w:rsidR="00FD7A72" w:rsidRDefault="00FD7A72" w:rsidP="00F963E0">
      <w:pPr>
        <w:widowControl/>
        <w:tabs>
          <w:tab w:val="left" w:pos="0"/>
          <w:tab w:val="left" w:pos="4320"/>
        </w:tabs>
        <w:spacing w:line="240" w:lineRule="atLeast"/>
        <w:jc w:val="both"/>
      </w:pPr>
    </w:p>
    <w:sectPr w:rsidR="00FD7A72" w:rsidSect="00873B0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86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48" w:rsidRDefault="00977848">
      <w:pPr>
        <w:spacing w:line="20" w:lineRule="exact"/>
      </w:pPr>
    </w:p>
  </w:endnote>
  <w:endnote w:type="continuationSeparator" w:id="0">
    <w:p w:rsidR="00977848" w:rsidRDefault="00977848">
      <w:r>
        <w:t xml:space="preserve"> </w:t>
      </w:r>
    </w:p>
  </w:endnote>
  <w:endnote w:type="continuationNotice" w:id="1">
    <w:p w:rsidR="00977848" w:rsidRDefault="0097784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C3" w:rsidRDefault="001A21C3">
    <w:pPr>
      <w:pStyle w:val="Footer"/>
      <w:framePr w:wrap="around" w:vAnchor="text" w:hAnchor="margin" w:xAlign="center" w:y="1"/>
    </w:pPr>
    <w:r>
      <w:fldChar w:fldCharType="begin"/>
    </w:r>
    <w:r>
      <w:instrText xml:space="preserve">PAGE  </w:instrText>
    </w:r>
    <w:r>
      <w:fldChar w:fldCharType="end"/>
    </w:r>
  </w:p>
  <w:p w:rsidR="001A21C3" w:rsidRDefault="001A2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C3" w:rsidRDefault="001A21C3">
    <w:pPr>
      <w:pStyle w:val="Footer"/>
      <w:framePr w:wrap="around" w:vAnchor="text" w:hAnchor="margin" w:xAlign="center" w:y="1"/>
    </w:pPr>
    <w:r>
      <w:fldChar w:fldCharType="begin"/>
    </w:r>
    <w:r>
      <w:instrText xml:space="preserve">PAGE  </w:instrText>
    </w:r>
    <w:r>
      <w:fldChar w:fldCharType="separate"/>
    </w:r>
    <w:r w:rsidR="00445860">
      <w:rPr>
        <w:noProof/>
      </w:rPr>
      <w:t>2</w:t>
    </w:r>
    <w:r>
      <w:fldChar w:fldCharType="end"/>
    </w:r>
  </w:p>
  <w:p w:rsidR="00737ADE" w:rsidRPr="00F849BA" w:rsidRDefault="00737ADE" w:rsidP="00737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68" w:rsidRDefault="00410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48" w:rsidRDefault="00977848">
      <w:r>
        <w:separator/>
      </w:r>
    </w:p>
  </w:footnote>
  <w:footnote w:type="continuationSeparator" w:id="0">
    <w:p w:rsidR="00977848" w:rsidRDefault="00977848">
      <w:pPr>
        <w:rPr>
          <w:sz w:val="20"/>
        </w:rPr>
      </w:pPr>
      <w:r>
        <w:rPr>
          <w:sz w:val="20"/>
        </w:rPr>
        <w:t xml:space="preserve">(Continued from previous page)  </w:t>
      </w:r>
      <w:r>
        <w:rPr>
          <w:sz w:val="20"/>
        </w:rPr>
        <w:separator/>
      </w:r>
    </w:p>
  </w:footnote>
  <w:footnote w:type="continuationNotice" w:id="1">
    <w:p w:rsidR="00977848" w:rsidRDefault="00977848">
      <w:pPr>
        <w:rPr>
          <w:sz w:val="20"/>
        </w:rPr>
      </w:pPr>
      <w:r>
        <w:rPr>
          <w:sz w:val="20"/>
        </w:rPr>
        <w:t>(continued….)</w:t>
      </w:r>
    </w:p>
  </w:footnote>
  <w:footnote w:id="2">
    <w:p w:rsidR="001A21C3" w:rsidRPr="004E71DC" w:rsidRDefault="001A21C3" w:rsidP="003B3BB8">
      <w:pPr>
        <w:pStyle w:val="FootnoteText"/>
      </w:pPr>
      <w:r w:rsidRPr="004E71DC">
        <w:rPr>
          <w:rStyle w:val="FootnoteReference"/>
          <w:sz w:val="20"/>
        </w:rPr>
        <w:footnoteRef/>
      </w:r>
      <w:r w:rsidRPr="004E71DC">
        <w:t xml:space="preserve"> </w:t>
      </w:r>
      <w:r w:rsidRPr="004E71DC">
        <w:rPr>
          <w:i/>
        </w:rPr>
        <w:t xml:space="preserve">See </w:t>
      </w:r>
      <w:r w:rsidRPr="004E71DC">
        <w:t>47 U.S.C. § 405.</w:t>
      </w:r>
    </w:p>
  </w:footnote>
  <w:footnote w:id="3">
    <w:p w:rsidR="001A21C3" w:rsidRPr="004E71DC" w:rsidRDefault="001A21C3" w:rsidP="003B3BB8">
      <w:pPr>
        <w:pStyle w:val="FootnoteText"/>
      </w:pPr>
      <w:r w:rsidRPr="004E71DC">
        <w:rPr>
          <w:rStyle w:val="FootnoteReference"/>
          <w:sz w:val="20"/>
        </w:rPr>
        <w:footnoteRef/>
      </w:r>
      <w:r w:rsidRPr="004E71DC">
        <w:t xml:space="preserve"> </w:t>
      </w:r>
      <w:r w:rsidRPr="004E71DC">
        <w:rPr>
          <w:i/>
        </w:rPr>
        <w:t>See</w:t>
      </w:r>
      <w:r w:rsidRPr="004E71DC">
        <w:t xml:space="preserve"> </w:t>
      </w:r>
      <w:r w:rsidR="00B12A83" w:rsidRPr="004E71DC">
        <w:rPr>
          <w:i/>
        </w:rPr>
        <w:t>North County Broadcasting Corporation</w:t>
      </w:r>
      <w:r w:rsidRPr="004E71DC">
        <w:t xml:space="preserve">, Petition for Reconsideration (filed </w:t>
      </w:r>
      <w:r w:rsidR="00B12A83" w:rsidRPr="004E71DC">
        <w:t>Feb. 27, 2013</w:t>
      </w:r>
      <w:r w:rsidRPr="004E71DC">
        <w:t>)</w:t>
      </w:r>
      <w:r w:rsidR="000103DA">
        <w:t xml:space="preserve"> (on file in EB-10-SD-0028)</w:t>
      </w:r>
      <w:r w:rsidRPr="004E71DC">
        <w:t xml:space="preserve"> (Petition).</w:t>
      </w:r>
    </w:p>
  </w:footnote>
  <w:footnote w:id="4">
    <w:p w:rsidR="001A21C3" w:rsidRPr="004E71DC" w:rsidRDefault="001A21C3" w:rsidP="003B3BB8">
      <w:pPr>
        <w:pStyle w:val="FootnoteText"/>
      </w:pPr>
      <w:r w:rsidRPr="004E71DC">
        <w:rPr>
          <w:rStyle w:val="FootnoteReference"/>
          <w:sz w:val="20"/>
        </w:rPr>
        <w:footnoteRef/>
      </w:r>
      <w:r w:rsidRPr="004E71DC">
        <w:t xml:space="preserve"> </w:t>
      </w:r>
      <w:r w:rsidR="00F5195E" w:rsidRPr="004E71DC">
        <w:rPr>
          <w:i/>
        </w:rPr>
        <w:t>North County Broadcasting Corporation</w:t>
      </w:r>
      <w:r w:rsidR="0037432F" w:rsidRPr="004E71DC">
        <w:t>,</w:t>
      </w:r>
      <w:r w:rsidR="00F5195E" w:rsidRPr="004E71DC">
        <w:t xml:space="preserve"> Forfeiture Order, 28</w:t>
      </w:r>
      <w:r w:rsidRPr="004E71DC">
        <w:t xml:space="preserve"> FCC Rcd </w:t>
      </w:r>
      <w:r w:rsidR="00F5195E" w:rsidRPr="004E71DC">
        <w:t>1207</w:t>
      </w:r>
      <w:r w:rsidRPr="004E71DC">
        <w:t xml:space="preserve"> (Enf. Bur. 201</w:t>
      </w:r>
      <w:r w:rsidR="00F5195E" w:rsidRPr="004E71DC">
        <w:t>3</w:t>
      </w:r>
      <w:r w:rsidRPr="004E71DC">
        <w:t>) (</w:t>
      </w:r>
      <w:r w:rsidRPr="004E71DC">
        <w:rPr>
          <w:i/>
        </w:rPr>
        <w:t>Forfeiture Order</w:t>
      </w:r>
      <w:r w:rsidRPr="004E71DC">
        <w:t xml:space="preserve">), </w:t>
      </w:r>
      <w:r w:rsidRPr="004E71DC">
        <w:rPr>
          <w:i/>
        </w:rPr>
        <w:t xml:space="preserve">aff’g </w:t>
      </w:r>
      <w:r w:rsidRPr="004E71DC">
        <w:t>Notice of Apparent Liability for Forfeiture</w:t>
      </w:r>
      <w:r w:rsidR="00D66DC1" w:rsidRPr="004E71DC">
        <w:t>,</w:t>
      </w:r>
      <w:r w:rsidRPr="004E71DC">
        <w:rPr>
          <w:i/>
        </w:rPr>
        <w:t xml:space="preserve"> </w:t>
      </w:r>
      <w:r w:rsidR="00F5195E" w:rsidRPr="004E71DC">
        <w:t>26 FCC Rcd 201 (Enf. Bur 2011)</w:t>
      </w:r>
      <w:r w:rsidR="005308D8" w:rsidRPr="004E71DC">
        <w:t xml:space="preserve"> (</w:t>
      </w:r>
      <w:r w:rsidR="005308D8" w:rsidRPr="004E71DC">
        <w:rPr>
          <w:i/>
        </w:rPr>
        <w:t>NAL</w:t>
      </w:r>
      <w:r w:rsidR="005308D8" w:rsidRPr="004E71DC">
        <w:t>)</w:t>
      </w:r>
      <w:r w:rsidR="00F5195E" w:rsidRPr="004E71DC">
        <w:t xml:space="preserve">. </w:t>
      </w:r>
      <w:r w:rsidR="00EB075C" w:rsidRPr="004E71DC">
        <w:t xml:space="preserve"> </w:t>
      </w:r>
      <w:r w:rsidR="009F274D" w:rsidRPr="004E71DC">
        <w:t xml:space="preserve">NCBC filed a response to the </w:t>
      </w:r>
      <w:r w:rsidR="009F274D" w:rsidRPr="004E71DC">
        <w:rPr>
          <w:i/>
        </w:rPr>
        <w:t xml:space="preserve">NAL </w:t>
      </w:r>
      <w:r w:rsidR="009F274D" w:rsidRPr="004E71DC">
        <w:t>on February 4, 2011</w:t>
      </w:r>
      <w:r w:rsidR="00EB075C" w:rsidRPr="004E71DC">
        <w:t xml:space="preserve">. </w:t>
      </w:r>
      <w:r w:rsidR="001D02D4" w:rsidRPr="001D02D4">
        <w:t xml:space="preserve">Response of North County Broadcasting </w:t>
      </w:r>
      <w:r w:rsidR="001D02D4">
        <w:t>(</w:t>
      </w:r>
      <w:r w:rsidR="001D02D4" w:rsidRPr="001D02D4">
        <w:t>Feb. 4, 2011</w:t>
      </w:r>
      <w:r w:rsidR="001D02D4">
        <w:t>)</w:t>
      </w:r>
      <w:r w:rsidR="009F274D" w:rsidRPr="004E71DC">
        <w:t xml:space="preserve"> (on file in EB</w:t>
      </w:r>
      <w:r w:rsidR="00EB075C" w:rsidRPr="004E71DC">
        <w:t>-</w:t>
      </w:r>
      <w:r w:rsidR="009F274D" w:rsidRPr="004E71DC">
        <w:t>10-SD-0028) (</w:t>
      </w:r>
      <w:r w:rsidR="009F274D" w:rsidRPr="004E71DC">
        <w:rPr>
          <w:i/>
        </w:rPr>
        <w:t>NAL Response</w:t>
      </w:r>
      <w:r w:rsidR="009F274D" w:rsidRPr="004E71DC">
        <w:t>)</w:t>
      </w:r>
      <w:r w:rsidR="004D3460">
        <w:t>.</w:t>
      </w:r>
    </w:p>
  </w:footnote>
  <w:footnote w:id="5">
    <w:p w:rsidR="00A5322F" w:rsidRPr="004E71DC" w:rsidRDefault="00A5322F" w:rsidP="003B3BB8">
      <w:pPr>
        <w:pStyle w:val="FootnoteText"/>
      </w:pPr>
      <w:r w:rsidRPr="00014A7B">
        <w:rPr>
          <w:rStyle w:val="FootnoteReference"/>
          <w:sz w:val="20"/>
        </w:rPr>
        <w:footnoteRef/>
      </w:r>
      <w:r w:rsidRPr="004E71DC">
        <w:t xml:space="preserve"> 47 C.F.R. § 11.35.</w:t>
      </w:r>
    </w:p>
  </w:footnote>
  <w:footnote w:id="6">
    <w:p w:rsidR="001A21C3" w:rsidRPr="004E71DC" w:rsidRDefault="001A21C3" w:rsidP="003B3BB8">
      <w:pPr>
        <w:spacing w:after="120"/>
        <w:rPr>
          <w:sz w:val="20"/>
        </w:rPr>
      </w:pPr>
      <w:r w:rsidRPr="004E71DC">
        <w:rPr>
          <w:rStyle w:val="FootnoteReference"/>
          <w:sz w:val="20"/>
        </w:rPr>
        <w:footnoteRef/>
      </w:r>
      <w:r w:rsidRPr="004E71DC">
        <w:rPr>
          <w:sz w:val="20"/>
        </w:rPr>
        <w:t xml:space="preserve"> </w:t>
      </w:r>
      <w:r w:rsidR="00D66DC1" w:rsidRPr="004E71DC">
        <w:rPr>
          <w:i/>
          <w:sz w:val="20"/>
        </w:rPr>
        <w:t>Forfeiture Order</w:t>
      </w:r>
      <w:r w:rsidR="00D66DC1" w:rsidRPr="004E71DC">
        <w:rPr>
          <w:sz w:val="20"/>
        </w:rPr>
        <w:t>,</w:t>
      </w:r>
      <w:r w:rsidRPr="004E71DC">
        <w:rPr>
          <w:i/>
          <w:sz w:val="20"/>
        </w:rPr>
        <w:t xml:space="preserve"> </w:t>
      </w:r>
      <w:r w:rsidR="00F85104" w:rsidRPr="004E71DC">
        <w:rPr>
          <w:sz w:val="20"/>
        </w:rPr>
        <w:t>2</w:t>
      </w:r>
      <w:r w:rsidR="00F5195E" w:rsidRPr="004E71DC">
        <w:rPr>
          <w:sz w:val="20"/>
        </w:rPr>
        <w:t>8</w:t>
      </w:r>
      <w:r w:rsidR="00F85104" w:rsidRPr="004E71DC">
        <w:rPr>
          <w:sz w:val="20"/>
        </w:rPr>
        <w:t xml:space="preserve"> FCC Rcd at </w:t>
      </w:r>
      <w:r w:rsidR="00F5195E" w:rsidRPr="004E71DC">
        <w:rPr>
          <w:sz w:val="20"/>
        </w:rPr>
        <w:t>1207</w:t>
      </w:r>
      <w:r w:rsidR="00F85104" w:rsidRPr="004E71DC">
        <w:rPr>
          <w:sz w:val="20"/>
        </w:rPr>
        <w:t>–</w:t>
      </w:r>
      <w:r w:rsidR="00EB075C" w:rsidRPr="004E71DC">
        <w:rPr>
          <w:sz w:val="20"/>
        </w:rPr>
        <w:t>0</w:t>
      </w:r>
      <w:r w:rsidR="00F5195E" w:rsidRPr="004E71DC">
        <w:rPr>
          <w:sz w:val="20"/>
        </w:rPr>
        <w:t>8, paras. 2–</w:t>
      </w:r>
      <w:r w:rsidR="006A6EF8" w:rsidRPr="004E71DC">
        <w:rPr>
          <w:sz w:val="20"/>
        </w:rPr>
        <w:t>5</w:t>
      </w:r>
      <w:r w:rsidR="00457432" w:rsidRPr="004E71DC">
        <w:rPr>
          <w:sz w:val="20"/>
        </w:rPr>
        <w:t xml:space="preserve">. </w:t>
      </w:r>
    </w:p>
  </w:footnote>
  <w:footnote w:id="7">
    <w:p w:rsidR="00152776" w:rsidRPr="004E71DC" w:rsidRDefault="00152776" w:rsidP="003B3BB8">
      <w:pPr>
        <w:pStyle w:val="FootnoteText"/>
      </w:pPr>
      <w:r w:rsidRPr="00014A7B">
        <w:rPr>
          <w:rStyle w:val="FootnoteReference"/>
          <w:sz w:val="20"/>
        </w:rPr>
        <w:footnoteRef/>
      </w:r>
      <w:r w:rsidRPr="004E71DC">
        <w:t xml:space="preserve"> P</w:t>
      </w:r>
      <w:r w:rsidR="00CF5580">
        <w:t>ub</w:t>
      </w:r>
      <w:r w:rsidRPr="004E71DC">
        <w:t>.</w:t>
      </w:r>
      <w:r w:rsidR="00CF5580">
        <w:t xml:space="preserve"> </w:t>
      </w:r>
      <w:r w:rsidRPr="004E71DC">
        <w:t>L.</w:t>
      </w:r>
      <w:r w:rsidR="00CF5580">
        <w:t xml:space="preserve"> No.</w:t>
      </w:r>
      <w:r w:rsidRPr="004E71DC">
        <w:t xml:space="preserve"> 104-121,</w:t>
      </w:r>
      <w:r w:rsidR="00CF5580">
        <w:t xml:space="preserve"> 110 Stat. 847</w:t>
      </w:r>
      <w:r w:rsidRPr="004E71DC">
        <w:t xml:space="preserve"> </w:t>
      </w:r>
      <w:r w:rsidR="00CF5580">
        <w:t>(</w:t>
      </w:r>
      <w:r w:rsidRPr="004E71DC">
        <w:t>Mar</w:t>
      </w:r>
      <w:r w:rsidR="00CF5580">
        <w:t xml:space="preserve">. </w:t>
      </w:r>
      <w:r w:rsidRPr="004E71DC">
        <w:t>29, 1996</w:t>
      </w:r>
      <w:r w:rsidR="00CF5580">
        <w:t>)</w:t>
      </w:r>
      <w:r w:rsidRPr="004E71DC">
        <w:t>, as amended by P</w:t>
      </w:r>
      <w:r w:rsidR="00CF5580">
        <w:t>ub</w:t>
      </w:r>
      <w:r w:rsidRPr="004E71DC">
        <w:t>.</w:t>
      </w:r>
      <w:r w:rsidR="00CF5580">
        <w:t xml:space="preserve"> </w:t>
      </w:r>
      <w:r w:rsidRPr="004E71DC">
        <w:t>L.</w:t>
      </w:r>
      <w:r w:rsidR="00CF5580">
        <w:t xml:space="preserve"> No. 110-28, 121 Stat. 112</w:t>
      </w:r>
      <w:r w:rsidRPr="004E71DC">
        <w:t xml:space="preserve"> </w:t>
      </w:r>
      <w:r w:rsidR="00CF5580">
        <w:t>(</w:t>
      </w:r>
      <w:r w:rsidRPr="004E71DC">
        <w:t>May 25, 2007</w:t>
      </w:r>
      <w:r w:rsidR="00CF5580">
        <w:t>)</w:t>
      </w:r>
      <w:r w:rsidRPr="004E71DC">
        <w:t>.</w:t>
      </w:r>
    </w:p>
  </w:footnote>
  <w:footnote w:id="8">
    <w:p w:rsidR="00152776" w:rsidRPr="004E71DC" w:rsidRDefault="00152776" w:rsidP="003B3BB8">
      <w:pPr>
        <w:pStyle w:val="FootnoteText"/>
      </w:pPr>
      <w:r w:rsidRPr="00014A7B">
        <w:rPr>
          <w:rStyle w:val="FootnoteReference"/>
          <w:sz w:val="20"/>
        </w:rPr>
        <w:footnoteRef/>
      </w:r>
      <w:r w:rsidRPr="004E71DC">
        <w:t xml:space="preserve"> </w:t>
      </w:r>
      <w:r w:rsidR="009F274D" w:rsidRPr="004E71DC">
        <w:rPr>
          <w:i/>
        </w:rPr>
        <w:t>Forfeiture Order</w:t>
      </w:r>
      <w:r w:rsidR="009F274D" w:rsidRPr="004E71DC">
        <w:t>,</w:t>
      </w:r>
      <w:r w:rsidR="009F274D" w:rsidRPr="004E71DC">
        <w:rPr>
          <w:i/>
        </w:rPr>
        <w:t xml:space="preserve"> </w:t>
      </w:r>
      <w:r w:rsidR="009F274D" w:rsidRPr="004E71DC">
        <w:t>28 FCC Rcd at 1210, para. 10</w:t>
      </w:r>
      <w:r w:rsidR="00EC53FB">
        <w:t xml:space="preserve"> (</w:t>
      </w:r>
      <w:r w:rsidR="009F274D" w:rsidRPr="004E71DC">
        <w:t xml:space="preserve">quoting </w:t>
      </w:r>
      <w:r w:rsidR="009F274D" w:rsidRPr="004E71DC">
        <w:rPr>
          <w:i/>
        </w:rPr>
        <w:t xml:space="preserve">NAL </w:t>
      </w:r>
      <w:r w:rsidRPr="004E71DC">
        <w:rPr>
          <w:i/>
        </w:rPr>
        <w:t>Response</w:t>
      </w:r>
      <w:r w:rsidRPr="004E71DC">
        <w:t xml:space="preserve"> at 2–3</w:t>
      </w:r>
      <w:r w:rsidR="00EC53FB">
        <w:t>)</w:t>
      </w:r>
      <w:r w:rsidRPr="004E71DC">
        <w:t xml:space="preserve">. </w:t>
      </w:r>
    </w:p>
  </w:footnote>
  <w:footnote w:id="9">
    <w:p w:rsidR="00EE7082" w:rsidRPr="004E71DC" w:rsidRDefault="00EE7082" w:rsidP="003B3BB8">
      <w:pPr>
        <w:pStyle w:val="FootnoteText"/>
      </w:pPr>
      <w:r w:rsidRPr="00014A7B">
        <w:rPr>
          <w:rStyle w:val="FootnoteReference"/>
          <w:sz w:val="20"/>
        </w:rPr>
        <w:footnoteRef/>
      </w:r>
      <w:r w:rsidRPr="004E71DC">
        <w:t xml:space="preserve"> </w:t>
      </w:r>
      <w:r w:rsidRPr="004E71DC">
        <w:rPr>
          <w:i/>
          <w:spacing w:val="-2"/>
        </w:rPr>
        <w:t>The Commission’s Forfeiture Policy Statement and Amendment of Section 1.80 of the Rules to Incorporate the Forfeiture Guidelines</w:t>
      </w:r>
      <w:r w:rsidRPr="004E71DC">
        <w:rPr>
          <w:spacing w:val="-2"/>
        </w:rPr>
        <w:t>, Report and Order, 12 FCC Rcd 17087 (1997), recons. denied, 15 FCC Rcd 303 (1999) (</w:t>
      </w:r>
      <w:r w:rsidRPr="004E71DC">
        <w:rPr>
          <w:i/>
          <w:spacing w:val="-2"/>
        </w:rPr>
        <w:t>Forfeiture Policy Statement</w:t>
      </w:r>
      <w:r w:rsidRPr="004E71DC">
        <w:rPr>
          <w:spacing w:val="-2"/>
        </w:rPr>
        <w:t>).</w:t>
      </w:r>
    </w:p>
  </w:footnote>
  <w:footnote w:id="10">
    <w:p w:rsidR="00152776" w:rsidRPr="004E71DC" w:rsidRDefault="00152776" w:rsidP="003B3BB8">
      <w:pPr>
        <w:pStyle w:val="FootnoteText"/>
      </w:pPr>
      <w:r w:rsidRPr="00014A7B">
        <w:rPr>
          <w:rStyle w:val="FootnoteReference"/>
          <w:sz w:val="20"/>
        </w:rPr>
        <w:footnoteRef/>
      </w:r>
      <w:r w:rsidRPr="004E71DC">
        <w:t xml:space="preserve"> </w:t>
      </w:r>
      <w:r w:rsidR="00EE7082" w:rsidRPr="004E71DC">
        <w:rPr>
          <w:i/>
        </w:rPr>
        <w:t>Forfeiture Order</w:t>
      </w:r>
      <w:r w:rsidR="00EE7082" w:rsidRPr="004E71DC">
        <w:t>,</w:t>
      </w:r>
      <w:r w:rsidR="00EE7082" w:rsidRPr="004E71DC">
        <w:rPr>
          <w:i/>
        </w:rPr>
        <w:t xml:space="preserve"> </w:t>
      </w:r>
      <w:r w:rsidR="00EE7082" w:rsidRPr="004E71DC">
        <w:t>28 FCC Rcd at 1210, para. 10</w:t>
      </w:r>
      <w:r w:rsidR="00A463EC">
        <w:t xml:space="preserve"> (</w:t>
      </w:r>
      <w:r w:rsidR="00886BBE" w:rsidRPr="004E71DC">
        <w:t xml:space="preserve">citing </w:t>
      </w:r>
      <w:r w:rsidRPr="004E71DC">
        <w:rPr>
          <w:i/>
        </w:rPr>
        <w:t>Forfeiture Policy Statement</w:t>
      </w:r>
      <w:r w:rsidRPr="004E71DC">
        <w:t>, 12 FCC Rcd at 17109</w:t>
      </w:r>
      <w:r w:rsidR="007F2CD0" w:rsidRPr="004E71DC">
        <w:t>,</w:t>
      </w:r>
      <w:r w:rsidR="00396034" w:rsidRPr="004E71DC">
        <w:t xml:space="preserve"> </w:t>
      </w:r>
      <w:r w:rsidR="007F2CD0" w:rsidRPr="004E71DC">
        <w:t>para. 52</w:t>
      </w:r>
      <w:r w:rsidR="00A463EC">
        <w:t>)</w:t>
      </w:r>
      <w:r w:rsidR="007F2CD0" w:rsidRPr="004E71DC">
        <w:t>.</w:t>
      </w:r>
      <w:r w:rsidRPr="004E71DC">
        <w:t xml:space="preserve">  </w:t>
      </w:r>
    </w:p>
  </w:footnote>
  <w:footnote w:id="11">
    <w:p w:rsidR="00152776" w:rsidRPr="004E71DC" w:rsidRDefault="00152776" w:rsidP="003B3BB8">
      <w:pPr>
        <w:pStyle w:val="FootnoteText"/>
      </w:pPr>
      <w:r w:rsidRPr="00014A7B">
        <w:rPr>
          <w:rStyle w:val="FootnoteReference"/>
          <w:sz w:val="20"/>
        </w:rPr>
        <w:footnoteRef/>
      </w:r>
      <w:r w:rsidRPr="004E71DC">
        <w:t xml:space="preserve"> </w:t>
      </w:r>
      <w:r w:rsidRPr="004E71DC">
        <w:rPr>
          <w:i/>
        </w:rPr>
        <w:t>Id.</w:t>
      </w:r>
    </w:p>
  </w:footnote>
  <w:footnote w:id="12">
    <w:p w:rsidR="00A463EC" w:rsidRPr="001D02D4" w:rsidRDefault="00A463EC" w:rsidP="001D02D4">
      <w:pPr>
        <w:widowControl/>
        <w:autoSpaceDE w:val="0"/>
        <w:autoSpaceDN w:val="0"/>
        <w:adjustRightInd w:val="0"/>
        <w:spacing w:after="120"/>
        <w:rPr>
          <w:snapToGrid/>
          <w:color w:val="010101"/>
          <w:kern w:val="0"/>
          <w:sz w:val="20"/>
        </w:rPr>
      </w:pPr>
      <w:r w:rsidRPr="001D02D4">
        <w:rPr>
          <w:rStyle w:val="FootnoteReference"/>
          <w:sz w:val="20"/>
        </w:rPr>
        <w:footnoteRef/>
      </w:r>
      <w:r w:rsidRPr="001D02D4">
        <w:rPr>
          <w:sz w:val="20"/>
        </w:rPr>
        <w:t xml:space="preserve"> </w:t>
      </w:r>
      <w:r w:rsidRPr="001D02D4">
        <w:rPr>
          <w:i/>
          <w:sz w:val="20"/>
        </w:rPr>
        <w:t>Id.  See, e.g.</w:t>
      </w:r>
      <w:r w:rsidRPr="001D02D4">
        <w:rPr>
          <w:sz w:val="20"/>
        </w:rPr>
        <w:t xml:space="preserve">, </w:t>
      </w:r>
      <w:r w:rsidRPr="001D02D4">
        <w:rPr>
          <w:i/>
          <w:sz w:val="20"/>
        </w:rPr>
        <w:t>Pac. Empire Radio Corp.</w:t>
      </w:r>
      <w:r w:rsidRPr="001D02D4">
        <w:rPr>
          <w:sz w:val="20"/>
        </w:rPr>
        <w:t>, Forfeiture Order, DA 14-155</w:t>
      </w:r>
      <w:r w:rsidR="003B3BB8" w:rsidRPr="001D02D4">
        <w:rPr>
          <w:sz w:val="20"/>
        </w:rPr>
        <w:t>,</w:t>
      </w:r>
      <w:r w:rsidR="002D0CC1">
        <w:rPr>
          <w:sz w:val="20"/>
        </w:rPr>
        <w:t xml:space="preserve"> </w:t>
      </w:r>
      <w:r w:rsidR="002D0CC1" w:rsidRPr="002D0CC1">
        <w:rPr>
          <w:sz w:val="20"/>
        </w:rPr>
        <w:t>2014 WL 495201</w:t>
      </w:r>
      <w:r w:rsidR="002D0CC1">
        <w:rPr>
          <w:sz w:val="20"/>
        </w:rPr>
        <w:t>,</w:t>
      </w:r>
      <w:r w:rsidR="002D0CC1" w:rsidRPr="002D0CC1">
        <w:rPr>
          <w:sz w:val="20"/>
        </w:rPr>
        <w:t xml:space="preserve"> </w:t>
      </w:r>
      <w:r w:rsidR="003B3BB8" w:rsidRPr="001D02D4">
        <w:rPr>
          <w:sz w:val="20"/>
        </w:rPr>
        <w:t>at 3, para. 6</w:t>
      </w:r>
      <w:r w:rsidRPr="001D02D4">
        <w:rPr>
          <w:sz w:val="20"/>
        </w:rPr>
        <w:t xml:space="preserve"> (Enf. Bur. </w:t>
      </w:r>
      <w:r w:rsidR="003B3BB8" w:rsidRPr="001D02D4">
        <w:rPr>
          <w:sz w:val="20"/>
        </w:rPr>
        <w:t>Feb</w:t>
      </w:r>
      <w:r w:rsidR="000103DA">
        <w:rPr>
          <w:sz w:val="20"/>
        </w:rPr>
        <w:t>.</w:t>
      </w:r>
      <w:r w:rsidR="003B3BB8" w:rsidRPr="001D02D4">
        <w:rPr>
          <w:sz w:val="20"/>
        </w:rPr>
        <w:t xml:space="preserve"> 7, 2014) (</w:t>
      </w:r>
      <w:r w:rsidR="003B3BB8" w:rsidRPr="001D02D4">
        <w:rPr>
          <w:snapToGrid/>
          <w:color w:val="010101"/>
          <w:kern w:val="0"/>
          <w:sz w:val="20"/>
        </w:rPr>
        <w:t xml:space="preserve">assessment of $25,000 forfeiture against a small radio licensee for failing to </w:t>
      </w:r>
      <w:r w:rsidR="003B3BB8" w:rsidRPr="003B3BB8">
        <w:rPr>
          <w:snapToGrid/>
          <w:color w:val="010101"/>
          <w:kern w:val="0"/>
          <w:sz w:val="20"/>
        </w:rPr>
        <w:t>maintain a complete public</w:t>
      </w:r>
      <w:r w:rsidR="003B3BB8">
        <w:rPr>
          <w:snapToGrid/>
          <w:color w:val="010101"/>
          <w:kern w:val="0"/>
          <w:sz w:val="20"/>
        </w:rPr>
        <w:t xml:space="preserve"> </w:t>
      </w:r>
      <w:r w:rsidR="003B3BB8" w:rsidRPr="001D02D4">
        <w:rPr>
          <w:snapToGrid/>
          <w:color w:val="010101"/>
          <w:kern w:val="0"/>
          <w:sz w:val="20"/>
        </w:rPr>
        <w:t>inspection file that took into account the broadcaster’s history of compliance and ability to</w:t>
      </w:r>
      <w:r w:rsidR="003B3BB8">
        <w:rPr>
          <w:snapToGrid/>
          <w:color w:val="010101"/>
          <w:kern w:val="0"/>
          <w:sz w:val="20"/>
        </w:rPr>
        <w:t xml:space="preserve"> </w:t>
      </w:r>
      <w:r w:rsidR="003B3BB8" w:rsidRPr="001D02D4">
        <w:rPr>
          <w:color w:val="010101"/>
          <w:sz w:val="20"/>
        </w:rPr>
        <w:t>pay</w:t>
      </w:r>
      <w:r w:rsidR="003B3BB8" w:rsidRPr="001D02D4">
        <w:rPr>
          <w:snapToGrid/>
          <w:color w:val="010101"/>
          <w:kern w:val="0"/>
          <w:sz w:val="20"/>
        </w:rPr>
        <w:t xml:space="preserve"> is consistent with the SBREFA</w:t>
      </w:r>
      <w:r w:rsidR="003B3BB8" w:rsidRPr="001D02D4">
        <w:rPr>
          <w:color w:val="010101"/>
          <w:sz w:val="20"/>
        </w:rPr>
        <w:t>).</w:t>
      </w:r>
      <w:r>
        <w:rPr>
          <w:i/>
        </w:rPr>
        <w:t xml:space="preserve">  </w:t>
      </w:r>
    </w:p>
  </w:footnote>
  <w:footnote w:id="13">
    <w:p w:rsidR="00152776" w:rsidRPr="004E71DC" w:rsidRDefault="00152776" w:rsidP="003B3BB8">
      <w:pPr>
        <w:pStyle w:val="FootnoteText"/>
      </w:pPr>
      <w:r w:rsidRPr="001D02D4">
        <w:rPr>
          <w:rStyle w:val="FootnoteReference"/>
          <w:sz w:val="20"/>
        </w:rPr>
        <w:footnoteRef/>
      </w:r>
      <w:r w:rsidR="00886BBE" w:rsidRPr="004E71DC">
        <w:t xml:space="preserve"> The Region noted that </w:t>
      </w:r>
      <w:r w:rsidRPr="004E71DC">
        <w:t>NCBC state</w:t>
      </w:r>
      <w:r w:rsidR="00886BBE" w:rsidRPr="004E71DC">
        <w:t>d</w:t>
      </w:r>
      <w:r w:rsidRPr="004E71DC">
        <w:t xml:space="preserve"> in the </w:t>
      </w:r>
      <w:r w:rsidR="00886BBE" w:rsidRPr="004E71DC">
        <w:rPr>
          <w:i/>
        </w:rPr>
        <w:t xml:space="preserve">NAL </w:t>
      </w:r>
      <w:r w:rsidRPr="004E71DC">
        <w:rPr>
          <w:i/>
        </w:rPr>
        <w:t>Response</w:t>
      </w:r>
      <w:r w:rsidRPr="004E71DC">
        <w:t xml:space="preserve"> that “NCBC’s tax returns which were sent directly to the Field Office on May 17, 2010, along with a letter asking that the forfeiture proposed in the NAL be canceled based on NCBC’s inability to pay [sic] establish that NCBC is a small entity.” </w:t>
      </w:r>
      <w:r w:rsidR="003B3BB8">
        <w:t xml:space="preserve"> </w:t>
      </w:r>
      <w:r w:rsidR="00886BBE" w:rsidRPr="004E71DC">
        <w:rPr>
          <w:i/>
        </w:rPr>
        <w:t>Forfeiture Order</w:t>
      </w:r>
      <w:r w:rsidR="00886BBE" w:rsidRPr="004E71DC">
        <w:t>,</w:t>
      </w:r>
      <w:r w:rsidR="00886BBE" w:rsidRPr="004E71DC">
        <w:rPr>
          <w:i/>
        </w:rPr>
        <w:t xml:space="preserve"> </w:t>
      </w:r>
      <w:r w:rsidR="00886BBE" w:rsidRPr="004E71DC">
        <w:t xml:space="preserve">28 FCC Rcd at 1210, n.26 </w:t>
      </w:r>
      <w:r w:rsidR="003B3BB8">
        <w:t>(</w:t>
      </w:r>
      <w:r w:rsidR="00886BBE" w:rsidRPr="004E71DC">
        <w:t xml:space="preserve">quoting </w:t>
      </w:r>
      <w:r w:rsidR="00886BBE" w:rsidRPr="004E71DC">
        <w:rPr>
          <w:i/>
        </w:rPr>
        <w:t xml:space="preserve">NAL </w:t>
      </w:r>
      <w:r w:rsidRPr="004E71DC">
        <w:rPr>
          <w:i/>
        </w:rPr>
        <w:t>Response</w:t>
      </w:r>
      <w:r w:rsidRPr="004E71DC">
        <w:t xml:space="preserve"> at 2 n.1</w:t>
      </w:r>
      <w:r w:rsidR="003B3BB8">
        <w:t>)</w:t>
      </w:r>
      <w:r w:rsidRPr="004E71DC">
        <w:t xml:space="preserve">.  </w:t>
      </w:r>
      <w:r w:rsidR="00886BBE" w:rsidRPr="004E71DC">
        <w:t>The Region stated that i</w:t>
      </w:r>
      <w:r w:rsidR="0048402D">
        <w:t>t</w:t>
      </w:r>
      <w:r w:rsidR="00886BBE" w:rsidRPr="004E71DC">
        <w:t xml:space="preserve"> was</w:t>
      </w:r>
      <w:r w:rsidRPr="004E71DC">
        <w:t xml:space="preserve"> </w:t>
      </w:r>
      <w:r w:rsidR="00886BBE" w:rsidRPr="004E71DC">
        <w:t>“</w:t>
      </w:r>
      <w:r w:rsidRPr="004E71DC">
        <w:t>unable to consider this claim because our records indicate that no such letter or tax returns were ever received by the San Diego Office</w:t>
      </w:r>
      <w:r w:rsidR="003B3BB8">
        <w:t xml:space="preserve"> . . . .</w:t>
      </w:r>
      <w:r w:rsidR="00886BBE" w:rsidRPr="004E71DC">
        <w:t>”</w:t>
      </w:r>
      <w:r w:rsidRPr="004E71DC">
        <w:t xml:space="preserve">  </w:t>
      </w:r>
      <w:r w:rsidR="00886BBE" w:rsidRPr="004E71DC">
        <w:rPr>
          <w:i/>
        </w:rPr>
        <w:t>Forfeiture Order</w:t>
      </w:r>
      <w:r w:rsidR="00886BBE" w:rsidRPr="004E71DC">
        <w:t>,</w:t>
      </w:r>
      <w:r w:rsidR="00886BBE" w:rsidRPr="004E71DC">
        <w:rPr>
          <w:i/>
        </w:rPr>
        <w:t xml:space="preserve"> </w:t>
      </w:r>
      <w:r w:rsidR="00886BBE" w:rsidRPr="004E71DC">
        <w:t>28 FCC Rcd at 1210, n.26</w:t>
      </w:r>
      <w:r w:rsidR="0048402D">
        <w:t>.</w:t>
      </w:r>
    </w:p>
  </w:footnote>
  <w:footnote w:id="14">
    <w:p w:rsidR="00152776" w:rsidRPr="004E71DC" w:rsidRDefault="00152776" w:rsidP="003B3BB8">
      <w:pPr>
        <w:pStyle w:val="FootnoteText"/>
      </w:pPr>
      <w:r w:rsidRPr="001D02D4">
        <w:rPr>
          <w:rStyle w:val="FootnoteReference"/>
          <w:sz w:val="20"/>
        </w:rPr>
        <w:footnoteRef/>
      </w:r>
      <w:r w:rsidR="00886BBE" w:rsidRPr="004E71DC">
        <w:rPr>
          <w:i/>
        </w:rPr>
        <w:t xml:space="preserve"> </w:t>
      </w:r>
      <w:r w:rsidR="003B3BB8">
        <w:rPr>
          <w:i/>
        </w:rPr>
        <w:t xml:space="preserve">Id. </w:t>
      </w:r>
      <w:r w:rsidR="00886BBE" w:rsidRPr="004E71DC">
        <w:t>at 1210, para 11.</w:t>
      </w:r>
    </w:p>
  </w:footnote>
  <w:footnote w:id="15">
    <w:p w:rsidR="00E83124" w:rsidRPr="00E83124" w:rsidRDefault="00E83124">
      <w:pPr>
        <w:pStyle w:val="FootnoteText"/>
      </w:pPr>
      <w:r>
        <w:rPr>
          <w:rStyle w:val="FootnoteReference"/>
        </w:rPr>
        <w:footnoteRef/>
      </w:r>
      <w:r>
        <w:t xml:space="preserve"> </w:t>
      </w:r>
      <w:r>
        <w:rPr>
          <w:i/>
        </w:rPr>
        <w:t xml:space="preserve">Id. </w:t>
      </w:r>
      <w:r>
        <w:t>at 1210, para. 12.</w:t>
      </w:r>
    </w:p>
  </w:footnote>
  <w:footnote w:id="16">
    <w:p w:rsidR="001A21C3" w:rsidRPr="004E71DC" w:rsidRDefault="001A21C3" w:rsidP="003B3BB8">
      <w:pPr>
        <w:pStyle w:val="FootnoteText"/>
      </w:pPr>
      <w:r w:rsidRPr="004E71DC">
        <w:rPr>
          <w:rStyle w:val="FootnoteReference"/>
          <w:sz w:val="20"/>
        </w:rPr>
        <w:footnoteRef/>
      </w:r>
      <w:r w:rsidRPr="004E71DC">
        <w:rPr>
          <w:i/>
        </w:rPr>
        <w:t xml:space="preserve"> See </w:t>
      </w:r>
      <w:r w:rsidRPr="004E71DC">
        <w:t>47 C.F.R. § 1.1</w:t>
      </w:r>
      <w:r w:rsidR="007729EA" w:rsidRPr="004E71DC">
        <w:t>06(</w:t>
      </w:r>
      <w:r w:rsidR="000C269E" w:rsidRPr="004E71DC">
        <w:t>c</w:t>
      </w:r>
      <w:r w:rsidRPr="004E71DC">
        <w:t xml:space="preserve">); </w:t>
      </w:r>
      <w:r w:rsidR="007729EA" w:rsidRPr="004E71DC">
        <w:rPr>
          <w:i/>
        </w:rPr>
        <w:t>EZ Sacramento, Inc.</w:t>
      </w:r>
      <w:r w:rsidR="007729EA" w:rsidRPr="004E71DC">
        <w:t>,</w:t>
      </w:r>
      <w:r w:rsidRPr="004E71DC">
        <w:rPr>
          <w:i/>
        </w:rPr>
        <w:t xml:space="preserve"> </w:t>
      </w:r>
      <w:r w:rsidRPr="004E71DC">
        <w:t xml:space="preserve">Memorandum Opinion and Order, 15 </w:t>
      </w:r>
      <w:r w:rsidR="007729EA" w:rsidRPr="004E71DC">
        <w:t>FCC Rcd 18257 (Enf. Bur. 2000) (</w:t>
      </w:r>
      <w:r w:rsidRPr="004E71DC">
        <w:t xml:space="preserve">citing </w:t>
      </w:r>
      <w:r w:rsidR="007729EA" w:rsidRPr="004E71DC">
        <w:rPr>
          <w:i/>
        </w:rPr>
        <w:t>WWIZ, Inc.</w:t>
      </w:r>
      <w:r w:rsidR="007729EA" w:rsidRPr="004E71DC">
        <w:t>,</w:t>
      </w:r>
      <w:r w:rsidRPr="004E71DC">
        <w:rPr>
          <w:i/>
        </w:rPr>
        <w:t xml:space="preserve"> </w:t>
      </w:r>
      <w:r w:rsidRPr="004E71DC">
        <w:t xml:space="preserve">37 FCC 685, 686 (1964), </w:t>
      </w:r>
      <w:r w:rsidRPr="004E71DC">
        <w:rPr>
          <w:i/>
        </w:rPr>
        <w:t>aff’d sub.</w:t>
      </w:r>
      <w:r w:rsidR="007729EA" w:rsidRPr="004E71DC">
        <w:rPr>
          <w:i/>
        </w:rPr>
        <w:t xml:space="preserve"> nom. Lorain Journal Co. v. FCC</w:t>
      </w:r>
      <w:r w:rsidR="007729EA" w:rsidRPr="004E71DC">
        <w:t>,</w:t>
      </w:r>
      <w:r w:rsidRPr="004E71DC">
        <w:rPr>
          <w:i/>
        </w:rPr>
        <w:t xml:space="preserve"> </w:t>
      </w:r>
      <w:r w:rsidRPr="004E71DC">
        <w:t xml:space="preserve">351 F.2d 824 (D.C. Cir. 1965), </w:t>
      </w:r>
      <w:r w:rsidR="00D66DC1" w:rsidRPr="004E71DC">
        <w:rPr>
          <w:i/>
        </w:rPr>
        <w:t>cert. denied</w:t>
      </w:r>
      <w:r w:rsidR="00D66DC1" w:rsidRPr="004E71DC">
        <w:t>,</w:t>
      </w:r>
      <w:r w:rsidRPr="004E71DC">
        <w:rPr>
          <w:i/>
        </w:rPr>
        <w:t xml:space="preserve"> </w:t>
      </w:r>
      <w:r w:rsidRPr="004E71DC">
        <w:t>383 U.S. 967 (1966)</w:t>
      </w:r>
      <w:r w:rsidR="007729EA" w:rsidRPr="004E71DC">
        <w:t>)</w:t>
      </w:r>
      <w:r w:rsidRPr="004E71DC">
        <w:t xml:space="preserve">.   </w:t>
      </w:r>
    </w:p>
  </w:footnote>
  <w:footnote w:id="17">
    <w:p w:rsidR="001A21C3" w:rsidRPr="004E71DC" w:rsidRDefault="001A21C3" w:rsidP="003B3BB8">
      <w:pPr>
        <w:pStyle w:val="FootnoteText"/>
      </w:pPr>
      <w:r w:rsidRPr="004E71DC">
        <w:rPr>
          <w:rStyle w:val="FootnoteReference"/>
          <w:sz w:val="20"/>
        </w:rPr>
        <w:footnoteRef/>
      </w:r>
      <w:r w:rsidR="00D66DC1" w:rsidRPr="004E71DC">
        <w:rPr>
          <w:i/>
        </w:rPr>
        <w:t xml:space="preserve"> EZ Sacramento, Inc.</w:t>
      </w:r>
      <w:r w:rsidR="00D66DC1" w:rsidRPr="004E71DC">
        <w:t>,</w:t>
      </w:r>
      <w:r w:rsidRPr="004E71DC">
        <w:rPr>
          <w:i/>
        </w:rPr>
        <w:t xml:space="preserve"> </w:t>
      </w:r>
      <w:r w:rsidRPr="004E71DC">
        <w:t>15 FCC Rcd at 18257</w:t>
      </w:r>
      <w:r w:rsidR="000C269E" w:rsidRPr="004E71DC">
        <w:t>, para. 2</w:t>
      </w:r>
      <w:r w:rsidRPr="004E71DC">
        <w:t>.</w:t>
      </w:r>
    </w:p>
  </w:footnote>
  <w:footnote w:id="18">
    <w:p w:rsidR="001A21C3" w:rsidRPr="004E71DC" w:rsidRDefault="001A21C3" w:rsidP="003B3BB8">
      <w:pPr>
        <w:pStyle w:val="FootnoteText"/>
      </w:pPr>
      <w:r w:rsidRPr="004E71DC">
        <w:rPr>
          <w:rStyle w:val="FootnoteReference"/>
          <w:sz w:val="20"/>
        </w:rPr>
        <w:footnoteRef/>
      </w:r>
      <w:r w:rsidRPr="004E71DC">
        <w:t xml:space="preserve"> </w:t>
      </w:r>
      <w:r w:rsidR="00D66DC1" w:rsidRPr="004E71DC">
        <w:rPr>
          <w:i/>
        </w:rPr>
        <w:t>Forfeiture Order</w:t>
      </w:r>
      <w:r w:rsidR="00D66DC1" w:rsidRPr="004E71DC">
        <w:t>,</w:t>
      </w:r>
      <w:r w:rsidRPr="004E71DC">
        <w:rPr>
          <w:i/>
        </w:rPr>
        <w:t xml:space="preserve"> </w:t>
      </w:r>
      <w:r w:rsidR="007F2CD0" w:rsidRPr="004E71DC">
        <w:t>28</w:t>
      </w:r>
      <w:r w:rsidRPr="004E71DC">
        <w:t xml:space="preserve"> FCC Rcd at </w:t>
      </w:r>
      <w:r w:rsidR="007F2CD0" w:rsidRPr="004E71DC">
        <w:t>1208</w:t>
      </w:r>
      <w:r w:rsidR="00D66DC1" w:rsidRPr="004E71DC">
        <w:t>–</w:t>
      </w:r>
      <w:r w:rsidR="007F2CD0" w:rsidRPr="004E71DC">
        <w:t>10</w:t>
      </w:r>
      <w:r w:rsidR="00D66DC1" w:rsidRPr="004E71DC">
        <w:t xml:space="preserve">, paras. </w:t>
      </w:r>
      <w:r w:rsidR="007F2CD0" w:rsidRPr="004E71DC">
        <w:t>6</w:t>
      </w:r>
      <w:r w:rsidR="00D66DC1" w:rsidRPr="004E71DC">
        <w:t>–</w:t>
      </w:r>
      <w:r w:rsidR="000C269E" w:rsidRPr="004E71DC">
        <w:t>1</w:t>
      </w:r>
      <w:r w:rsidR="007F2CD0" w:rsidRPr="004E71DC">
        <w:t>3</w:t>
      </w:r>
      <w:r w:rsidRPr="004E71DC">
        <w:t>.</w:t>
      </w:r>
    </w:p>
  </w:footnote>
  <w:footnote w:id="19">
    <w:p w:rsidR="0001460C" w:rsidRPr="004E71DC" w:rsidRDefault="0001460C" w:rsidP="003B3BB8">
      <w:pPr>
        <w:pStyle w:val="FootnoteText"/>
      </w:pPr>
      <w:r w:rsidRPr="00014A7B">
        <w:rPr>
          <w:rStyle w:val="FootnoteReference"/>
          <w:sz w:val="20"/>
        </w:rPr>
        <w:footnoteRef/>
      </w:r>
      <w:r w:rsidRPr="004E71DC">
        <w:t xml:space="preserve"> Petition at 1. </w:t>
      </w:r>
    </w:p>
  </w:footnote>
  <w:footnote w:id="20">
    <w:p w:rsidR="00A5322F" w:rsidRPr="004E71DC" w:rsidRDefault="00A5322F" w:rsidP="003B3BB8">
      <w:pPr>
        <w:pStyle w:val="FootnoteText"/>
      </w:pPr>
      <w:r w:rsidRPr="00014A7B">
        <w:rPr>
          <w:rStyle w:val="FootnoteReference"/>
          <w:sz w:val="20"/>
        </w:rPr>
        <w:footnoteRef/>
      </w:r>
      <w:r w:rsidRPr="004E71DC">
        <w:t xml:space="preserve"> </w:t>
      </w:r>
      <w:r w:rsidR="00886BBE" w:rsidRPr="004E71DC">
        <w:rPr>
          <w:i/>
        </w:rPr>
        <w:t>Forfeiture Order</w:t>
      </w:r>
      <w:r w:rsidR="00886BBE" w:rsidRPr="004E71DC">
        <w:t>,</w:t>
      </w:r>
      <w:r w:rsidR="00886BBE" w:rsidRPr="004E71DC">
        <w:rPr>
          <w:i/>
        </w:rPr>
        <w:t xml:space="preserve"> </w:t>
      </w:r>
      <w:r w:rsidR="00886BBE" w:rsidRPr="004E71DC">
        <w:t xml:space="preserve">28 FCC Rcd at 1210, para. 10; </w:t>
      </w:r>
      <w:r w:rsidR="00886BBE" w:rsidRPr="004E71DC">
        <w:rPr>
          <w:i/>
        </w:rPr>
        <w:t>see Forfeiture Policy Statement</w:t>
      </w:r>
      <w:r w:rsidR="00886BBE" w:rsidRPr="004E71DC">
        <w:t>, 12 FCC Rcd at 17109</w:t>
      </w:r>
      <w:r w:rsidR="007F2CD0" w:rsidRPr="004E71DC">
        <w:t>, para. 52 (“Our existing policies, as reflected in our precedent, and as retained here, comply with Section 223 of SBREFA. Warnings, rather than forfeitures, may continue to be appropriate in particular cases involving small businesses or others. . . . Under Section 503(b)(2)(D) of the Communications Act and section 1.80(b)(4) of our rules, we will continue to consider inability to pay a relevant factor in assessing forfeitures. . . . Our other upward and downward adjustment factors, which are reflective of existing policy, encompass many of the conditions and exclusions listed and Section 223 of SBREFA</w:t>
      </w:r>
      <w:r w:rsidR="007A7E25">
        <w:t xml:space="preserve">. . . . </w:t>
      </w:r>
      <w:r w:rsidR="007F2CD0" w:rsidRPr="004E71DC">
        <w:t>These factors will continue to be applied in cases of violations involving small entities (as well as others) to determine whether a waiver or reduction of a forfeiture is warranted.”).</w:t>
      </w:r>
      <w:r w:rsidR="00F963E0" w:rsidRPr="004E71DC">
        <w:t xml:space="preserve"> </w:t>
      </w:r>
      <w:r w:rsidR="007F2CD0" w:rsidRPr="004E71DC">
        <w:t xml:space="preserve"> </w:t>
      </w:r>
      <w:r w:rsidR="007F2CD0" w:rsidRPr="004E71DC">
        <w:rPr>
          <w:i/>
        </w:rPr>
        <w:t>See also U.S. v. Neely</w:t>
      </w:r>
      <w:r w:rsidR="007A7E25">
        <w:t>,</w:t>
      </w:r>
      <w:r w:rsidR="007F2CD0" w:rsidRPr="004E71DC">
        <w:rPr>
          <w:i/>
        </w:rPr>
        <w:t xml:space="preserve"> </w:t>
      </w:r>
      <w:r w:rsidR="007F2CD0" w:rsidRPr="004E71DC">
        <w:t>595 F. Supp. 2d 662 (D.S.C.</w:t>
      </w:r>
      <w:r w:rsidR="00F963E0" w:rsidRPr="004E71DC">
        <w:t xml:space="preserve"> </w:t>
      </w:r>
      <w:r w:rsidR="007F2CD0" w:rsidRPr="004E71DC">
        <w:t>2009) (SBREFA</w:t>
      </w:r>
      <w:r w:rsidR="00677906" w:rsidRPr="004E71DC">
        <w:t xml:space="preserve"> does not require reduction of a forfeiture assessed by the FCC </w:t>
      </w:r>
      <w:r w:rsidR="00677906" w:rsidRPr="004E71DC">
        <w:rPr>
          <w:color w:val="000000"/>
        </w:rPr>
        <w:t xml:space="preserve">where </w:t>
      </w:r>
      <w:r w:rsidR="00F963E0" w:rsidRPr="004E71DC">
        <w:rPr>
          <w:color w:val="000000"/>
        </w:rPr>
        <w:t xml:space="preserve">the </w:t>
      </w:r>
      <w:r w:rsidR="007A7E25" w:rsidRPr="00886BBE">
        <w:rPr>
          <w:i/>
          <w:spacing w:val="-2"/>
        </w:rPr>
        <w:t>Forfeiture Policy Statement</w:t>
      </w:r>
      <w:r w:rsidR="007A7E25" w:rsidRPr="004E71DC" w:rsidDel="007A7E25">
        <w:rPr>
          <w:color w:val="000000"/>
        </w:rPr>
        <w:t xml:space="preserve"> </w:t>
      </w:r>
      <w:r w:rsidR="00677906" w:rsidRPr="004E71DC">
        <w:rPr>
          <w:color w:val="000000"/>
        </w:rPr>
        <w:t xml:space="preserve">established procedures and guidelines through which the FCC could consider whether small entities had </w:t>
      </w:r>
      <w:r w:rsidR="00F963E0" w:rsidRPr="004E71DC">
        <w:rPr>
          <w:color w:val="000000"/>
        </w:rPr>
        <w:t xml:space="preserve">the </w:t>
      </w:r>
      <w:r w:rsidR="00677906" w:rsidRPr="004E71DC">
        <w:rPr>
          <w:color w:val="000000"/>
        </w:rPr>
        <w:t xml:space="preserve">ability to pay a particular forfeiture amount or </w:t>
      </w:r>
      <w:r w:rsidR="00F963E0" w:rsidRPr="004E71DC">
        <w:rPr>
          <w:color w:val="000000"/>
        </w:rPr>
        <w:t xml:space="preserve">the </w:t>
      </w:r>
      <w:r w:rsidR="00677906" w:rsidRPr="004E71DC">
        <w:rPr>
          <w:color w:val="000000"/>
        </w:rPr>
        <w:t>ability to submit</w:t>
      </w:r>
      <w:r w:rsidR="00F963E0" w:rsidRPr="004E71DC">
        <w:rPr>
          <w:color w:val="000000"/>
        </w:rPr>
        <w:t xml:space="preserve"> the </w:t>
      </w:r>
      <w:r w:rsidR="00677906" w:rsidRPr="004E71DC">
        <w:rPr>
          <w:color w:val="000000"/>
        </w:rPr>
        <w:t>same kind of documentation as larger entities to corroborate their inability to pay, and expressly acknowledged</w:t>
      </w:r>
      <w:r w:rsidR="00F963E0" w:rsidRPr="004E71DC">
        <w:rPr>
          <w:color w:val="000000"/>
        </w:rPr>
        <w:t xml:space="preserve"> the</w:t>
      </w:r>
      <w:r w:rsidR="00677906" w:rsidRPr="004E71DC">
        <w:rPr>
          <w:color w:val="000000"/>
        </w:rPr>
        <w:t xml:space="preserve"> requirements imposed by the SBREFA</w:t>
      </w:r>
      <w:r w:rsidR="00F963E0" w:rsidRPr="004E71DC">
        <w:rPr>
          <w:color w:val="000000"/>
        </w:rPr>
        <w:t>,</w:t>
      </w:r>
      <w:r w:rsidR="00677906" w:rsidRPr="004E71DC">
        <w:rPr>
          <w:color w:val="000000"/>
        </w:rPr>
        <w:t xml:space="preserve"> and explained how its existing policies complied with them)</w:t>
      </w:r>
      <w:r w:rsidR="007A7E25">
        <w:rPr>
          <w:color w:val="000000"/>
        </w:rPr>
        <w:t>.</w:t>
      </w:r>
    </w:p>
  </w:footnote>
  <w:footnote w:id="21">
    <w:p w:rsidR="00A5322F" w:rsidRPr="004E71DC" w:rsidRDefault="00A5322F" w:rsidP="003B3BB8">
      <w:pPr>
        <w:pStyle w:val="FootnoteText"/>
      </w:pPr>
      <w:r w:rsidRPr="00014A7B">
        <w:rPr>
          <w:rStyle w:val="FootnoteReference"/>
          <w:sz w:val="20"/>
        </w:rPr>
        <w:footnoteRef/>
      </w:r>
      <w:r w:rsidRPr="004E71DC">
        <w:t xml:space="preserve"> </w:t>
      </w:r>
      <w:r w:rsidR="00677906" w:rsidRPr="004E71DC">
        <w:rPr>
          <w:i/>
        </w:rPr>
        <w:t>See Forfeiture Order</w:t>
      </w:r>
      <w:r w:rsidR="00677906" w:rsidRPr="004E71DC">
        <w:t>,</w:t>
      </w:r>
      <w:r w:rsidR="00677906" w:rsidRPr="004E71DC">
        <w:rPr>
          <w:i/>
        </w:rPr>
        <w:t xml:space="preserve"> </w:t>
      </w:r>
      <w:r w:rsidR="00677906" w:rsidRPr="004E71DC">
        <w:t xml:space="preserve">28 FCC Rcd at 1210, n.26.  </w:t>
      </w:r>
      <w:r w:rsidR="00677906" w:rsidRPr="004E71DC">
        <w:rPr>
          <w:i/>
        </w:rPr>
        <w:t>See also Callais Cablevision</w:t>
      </w:r>
      <w:r w:rsidR="00677906" w:rsidRPr="004E71DC">
        <w:t>, Forfeiture Order, 17 FCC Rcd 22626 (2002)</w:t>
      </w:r>
      <w:r w:rsidR="00677906" w:rsidRPr="004E71DC">
        <w:rPr>
          <w:color w:val="000000"/>
        </w:rPr>
        <w:t xml:space="preserve"> </w:t>
      </w:r>
      <w:r w:rsidR="0038706A" w:rsidRPr="004E71DC">
        <w:rPr>
          <w:color w:val="000000"/>
        </w:rPr>
        <w:t xml:space="preserve">(Commission </w:t>
      </w:r>
      <w:r w:rsidR="00677906" w:rsidRPr="004E71DC">
        <w:t>acknowledg</w:t>
      </w:r>
      <w:r w:rsidR="0038706A" w:rsidRPr="004E71DC">
        <w:t>ed</w:t>
      </w:r>
      <w:r w:rsidR="00677906" w:rsidRPr="004E71DC">
        <w:t xml:space="preserve"> that the</w:t>
      </w:r>
      <w:r w:rsidR="0038706A" w:rsidRPr="004E71DC">
        <w:t xml:space="preserve"> SBREFA r</w:t>
      </w:r>
      <w:r w:rsidR="00677906" w:rsidRPr="004E71DC">
        <w:t>equires federal agencies to establish policies providing for the reduction of forfeitures imposed on small businesses,</w:t>
      </w:r>
      <w:r w:rsidR="0038706A" w:rsidRPr="004E71DC">
        <w:t xml:space="preserve"> and</w:t>
      </w:r>
      <w:r w:rsidR="00677906" w:rsidRPr="004E71DC">
        <w:t xml:space="preserve"> stated that under appropriate circumstances, </w:t>
      </w:r>
      <w:r w:rsidR="0038706A" w:rsidRPr="004E71DC">
        <w:t xml:space="preserve">the Commission </w:t>
      </w:r>
      <w:r w:rsidR="00677906" w:rsidRPr="004E71DC">
        <w:t>w</w:t>
      </w:r>
      <w:r w:rsidR="0038706A" w:rsidRPr="004E71DC">
        <w:t>ould</w:t>
      </w:r>
      <w:r w:rsidR="00677906" w:rsidRPr="004E71DC">
        <w:t xml:space="preserve"> consider ability to pay in determining penalty assessments on small entities</w:t>
      </w:r>
      <w:r w:rsidR="0038706A" w:rsidRPr="004E71DC">
        <w:t>, but the entit</w:t>
      </w:r>
      <w:r w:rsidR="007A7E25">
        <w:t>ies</w:t>
      </w:r>
      <w:r w:rsidR="0038706A" w:rsidRPr="004E71DC">
        <w:t xml:space="preserve"> must present </w:t>
      </w:r>
      <w:r w:rsidR="00677906" w:rsidRPr="004E71DC">
        <w:t xml:space="preserve">information indicating that </w:t>
      </w:r>
      <w:r w:rsidR="007A7E25">
        <w:t>they</w:t>
      </w:r>
      <w:r w:rsidR="00677906" w:rsidRPr="004E71DC">
        <w:t xml:space="preserve"> </w:t>
      </w:r>
      <w:r w:rsidR="00405571">
        <w:t xml:space="preserve">are </w:t>
      </w:r>
      <w:r w:rsidR="00677906" w:rsidRPr="004E71DC">
        <w:t>unable to pay the proposed forfeiture</w:t>
      </w:r>
      <w:r w:rsidR="007A7E25">
        <w:t>s</w:t>
      </w:r>
      <w:r w:rsidR="0038706A" w:rsidRPr="004E71DC">
        <w:t>)</w:t>
      </w:r>
      <w:r w:rsidR="00677906" w:rsidRPr="004E71DC">
        <w:t>.</w:t>
      </w:r>
    </w:p>
  </w:footnote>
  <w:footnote w:id="22">
    <w:p w:rsidR="001A21C3" w:rsidRPr="004E71DC" w:rsidRDefault="001A21C3" w:rsidP="003B3BB8">
      <w:pPr>
        <w:pStyle w:val="FootnoteText"/>
      </w:pPr>
      <w:r w:rsidRPr="004E71DC">
        <w:rPr>
          <w:rStyle w:val="FootnoteCharacters"/>
        </w:rPr>
        <w:footnoteRef/>
      </w:r>
      <w:r w:rsidRPr="004E71DC">
        <w:rPr>
          <w:rStyle w:val="Footnote"/>
        </w:rPr>
        <w:t xml:space="preserve"> 47 U.S.C. § 405</w:t>
      </w:r>
      <w:r w:rsidRPr="004E71DC">
        <w:t>.</w:t>
      </w:r>
    </w:p>
  </w:footnote>
  <w:footnote w:id="23">
    <w:p w:rsidR="001A21C3" w:rsidRPr="004E71DC" w:rsidRDefault="001A21C3" w:rsidP="003B3BB8">
      <w:pPr>
        <w:pStyle w:val="FootnoteText"/>
      </w:pPr>
      <w:r w:rsidRPr="004E71DC">
        <w:rPr>
          <w:rStyle w:val="FootnoteCharacters"/>
        </w:rPr>
        <w:footnoteRef/>
      </w:r>
      <w:r w:rsidRPr="004E71DC">
        <w:t xml:space="preserve"> 47 C.F.R. § 1.106.</w:t>
      </w:r>
    </w:p>
  </w:footnote>
  <w:footnote w:id="24">
    <w:p w:rsidR="001A21C3" w:rsidRPr="004E71DC" w:rsidRDefault="001A21C3" w:rsidP="003B3BB8">
      <w:pPr>
        <w:pStyle w:val="FootnoteText"/>
      </w:pPr>
      <w:r w:rsidRPr="004E71DC">
        <w:rPr>
          <w:rStyle w:val="FootnoteReference"/>
          <w:sz w:val="20"/>
        </w:rPr>
        <w:footnoteRef/>
      </w:r>
      <w:r w:rsidRPr="004E71DC">
        <w:t xml:space="preserve"> 47 U.S.C. §503(b); 47 C.F.R. §§ 0.111, 0.204, 0.311, 1.80, </w:t>
      </w:r>
      <w:r w:rsidR="00A5322F" w:rsidRPr="004E71DC">
        <w:t>11.35</w:t>
      </w:r>
      <w:r w:rsidRPr="004E71DC">
        <w:t>.</w:t>
      </w:r>
    </w:p>
  </w:footnote>
  <w:footnote w:id="25">
    <w:p w:rsidR="001A21C3" w:rsidRPr="004E71DC" w:rsidRDefault="001A21C3" w:rsidP="003B3BB8">
      <w:pPr>
        <w:pStyle w:val="FootnoteText"/>
      </w:pPr>
      <w:r w:rsidRPr="004E71DC">
        <w:rPr>
          <w:rStyle w:val="FootnoteReference"/>
          <w:sz w:val="20"/>
        </w:rPr>
        <w:footnoteRef/>
      </w:r>
      <w:r w:rsidRPr="004E71DC">
        <w:t xml:space="preserve"> 47 C.F.R. § 1.80.</w:t>
      </w:r>
    </w:p>
  </w:footnote>
  <w:footnote w:id="26">
    <w:p w:rsidR="001A21C3" w:rsidRPr="004E71DC" w:rsidRDefault="001A21C3" w:rsidP="003B3BB8">
      <w:pPr>
        <w:pStyle w:val="FootnoteText"/>
      </w:pPr>
      <w:r w:rsidRPr="004E71DC">
        <w:rPr>
          <w:rStyle w:val="FootnoteReference"/>
          <w:sz w:val="20"/>
        </w:rPr>
        <w:footnoteRef/>
      </w:r>
      <w:r w:rsidRPr="004E71DC">
        <w:t xml:space="preserve"> 47 U.S.C. § 504(a).</w:t>
      </w:r>
    </w:p>
  </w:footnote>
  <w:footnote w:id="27">
    <w:p w:rsidR="001A21C3" w:rsidRPr="004E71DC" w:rsidRDefault="001A21C3" w:rsidP="003B3BB8">
      <w:pPr>
        <w:pStyle w:val="FootnoteText"/>
      </w:pPr>
      <w:r w:rsidRPr="004E71DC">
        <w:rPr>
          <w:rStyle w:val="FootnoteReference"/>
          <w:sz w:val="20"/>
        </w:rPr>
        <w:footnoteRef/>
      </w:r>
      <w:r w:rsidRPr="004E71DC">
        <w:t xml:space="preserve"> </w:t>
      </w:r>
      <w:r w:rsidRPr="004E71DC">
        <w:rPr>
          <w:rFonts w:eastAsia="MS Mincho" w:cs="Arial"/>
        </w:rPr>
        <w:t>An FCC Form 159 and detailed instructions for completing the form may be obtained at http://www.fcc.gov/Forms/Form159/159.pdf.</w:t>
      </w:r>
    </w:p>
  </w:footnote>
  <w:footnote w:id="28">
    <w:p w:rsidR="001A21C3" w:rsidRPr="004E71DC" w:rsidRDefault="001A21C3" w:rsidP="003B3BB8">
      <w:pPr>
        <w:pStyle w:val="FootnoteText"/>
      </w:pPr>
      <w:r w:rsidRPr="004E71DC">
        <w:rPr>
          <w:rStyle w:val="FootnoteReference"/>
          <w:sz w:val="20"/>
        </w:rPr>
        <w:footnoteRef/>
      </w:r>
      <w:r w:rsidRPr="004E71DC">
        <w:t xml:space="preserve"> </w:t>
      </w:r>
      <w:r w:rsidRPr="004E71DC">
        <w:rPr>
          <w:i/>
        </w:rPr>
        <w:t>See</w:t>
      </w:r>
      <w:r w:rsidRPr="004E71DC">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68" w:rsidRDefault="00410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C3" w:rsidRDefault="001A21C3" w:rsidP="00873B07">
    <w:pPr>
      <w:pStyle w:val="Header"/>
      <w:pBdr>
        <w:bottom w:val="single" w:sz="12" w:space="1" w:color="auto"/>
      </w:pBdr>
      <w:rPr>
        <w:b w:val="0"/>
      </w:rPr>
    </w:pPr>
    <w:r>
      <w:tab/>
      <w:t>Federal Communications Commission</w:t>
    </w:r>
    <w:r>
      <w:tab/>
    </w:r>
    <w:r w:rsidR="00737ADE">
      <w:rPr>
        <w:spacing w:val="-2"/>
      </w:rPr>
      <w:t>DA 14</w:t>
    </w:r>
    <w:r>
      <w:rPr>
        <w:spacing w:val="-2"/>
      </w:rPr>
      <w:t>-</w:t>
    </w:r>
    <w:r w:rsidR="003F1196">
      <w:rPr>
        <w:spacing w:val="-2"/>
      </w:rPr>
      <w:t>314</w:t>
    </w:r>
  </w:p>
  <w:p w:rsidR="001A21C3" w:rsidRDefault="001A21C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C3" w:rsidRDefault="001A21C3">
    <w:pPr>
      <w:pStyle w:val="Header"/>
      <w:pBdr>
        <w:bottom w:val="single" w:sz="12" w:space="1" w:color="auto"/>
      </w:pBdr>
      <w:rPr>
        <w:b w:val="0"/>
      </w:rPr>
    </w:pPr>
    <w:r>
      <w:tab/>
      <w:t>Federal Communications Commission</w:t>
    </w:r>
    <w:r>
      <w:tab/>
    </w:r>
    <w:r>
      <w:rPr>
        <w:spacing w:val="-2"/>
      </w:rPr>
      <w:t>DA 1</w:t>
    </w:r>
    <w:r w:rsidR="00737ADE">
      <w:rPr>
        <w:spacing w:val="-2"/>
      </w:rPr>
      <w:t>4-</w:t>
    </w:r>
    <w:r w:rsidR="003F1196">
      <w:rPr>
        <w:spacing w:val="-2"/>
      </w:rPr>
      <w:t>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070BBF"/>
    <w:multiLevelType w:val="singleLevel"/>
    <w:tmpl w:val="8A4E7E60"/>
    <w:lvl w:ilvl="0">
      <w:start w:val="1"/>
      <w:numFmt w:val="decimal"/>
      <w:lvlText w:val="%1."/>
      <w:lvlJc w:val="left"/>
      <w:pPr>
        <w:tabs>
          <w:tab w:val="num" w:pos="1515"/>
        </w:tabs>
        <w:ind w:left="1515" w:hanging="795"/>
      </w:pPr>
      <w:rPr>
        <w:rFonts w:hint="default"/>
        <w:b w:val="0"/>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127E7E"/>
    <w:multiLevelType w:val="hybridMultilevel"/>
    <w:tmpl w:val="EDD0E9C6"/>
    <w:lvl w:ilvl="0" w:tplc="DCE251F6">
      <w:start w:val="1"/>
      <w:numFmt w:val="bullet"/>
      <w:lvlText w:val=""/>
      <w:lvlJc w:val="left"/>
      <w:pPr>
        <w:tabs>
          <w:tab w:val="num" w:pos="1080"/>
        </w:tabs>
        <w:ind w:left="1080" w:hanging="360"/>
      </w:pPr>
      <w:rPr>
        <w:rFonts w:ascii="Wingdings" w:hAnsi="Wingdings" w:hint="default"/>
        <w:color w:val="auto"/>
        <w:sz w:val="16"/>
      </w:rPr>
    </w:lvl>
    <w:lvl w:ilvl="1" w:tplc="DBAE39C2" w:tentative="1">
      <w:start w:val="1"/>
      <w:numFmt w:val="lowerLetter"/>
      <w:lvlText w:val="%2."/>
      <w:lvlJc w:val="left"/>
      <w:pPr>
        <w:tabs>
          <w:tab w:val="num" w:pos="0"/>
        </w:tabs>
        <w:ind w:left="0" w:hanging="360"/>
      </w:pPr>
    </w:lvl>
    <w:lvl w:ilvl="2" w:tplc="57C0C664" w:tentative="1">
      <w:start w:val="1"/>
      <w:numFmt w:val="lowerRoman"/>
      <w:lvlText w:val="%3."/>
      <w:lvlJc w:val="right"/>
      <w:pPr>
        <w:tabs>
          <w:tab w:val="num" w:pos="720"/>
        </w:tabs>
        <w:ind w:left="720" w:hanging="180"/>
      </w:pPr>
    </w:lvl>
    <w:lvl w:ilvl="3" w:tplc="9B96623C" w:tentative="1">
      <w:start w:val="1"/>
      <w:numFmt w:val="decimal"/>
      <w:lvlText w:val="%4."/>
      <w:lvlJc w:val="left"/>
      <w:pPr>
        <w:tabs>
          <w:tab w:val="num" w:pos="1440"/>
        </w:tabs>
        <w:ind w:left="1440" w:hanging="360"/>
      </w:pPr>
    </w:lvl>
    <w:lvl w:ilvl="4" w:tplc="1EBC5BC4" w:tentative="1">
      <w:start w:val="1"/>
      <w:numFmt w:val="lowerLetter"/>
      <w:lvlText w:val="%5."/>
      <w:lvlJc w:val="left"/>
      <w:pPr>
        <w:tabs>
          <w:tab w:val="num" w:pos="2160"/>
        </w:tabs>
        <w:ind w:left="2160" w:hanging="360"/>
      </w:pPr>
    </w:lvl>
    <w:lvl w:ilvl="5" w:tplc="08502E04" w:tentative="1">
      <w:start w:val="1"/>
      <w:numFmt w:val="lowerRoman"/>
      <w:lvlText w:val="%6."/>
      <w:lvlJc w:val="right"/>
      <w:pPr>
        <w:tabs>
          <w:tab w:val="num" w:pos="2880"/>
        </w:tabs>
        <w:ind w:left="2880" w:hanging="180"/>
      </w:pPr>
    </w:lvl>
    <w:lvl w:ilvl="6" w:tplc="A9D02DE2" w:tentative="1">
      <w:start w:val="1"/>
      <w:numFmt w:val="decimal"/>
      <w:lvlText w:val="%7."/>
      <w:lvlJc w:val="left"/>
      <w:pPr>
        <w:tabs>
          <w:tab w:val="num" w:pos="3600"/>
        </w:tabs>
        <w:ind w:left="3600" w:hanging="360"/>
      </w:pPr>
    </w:lvl>
    <w:lvl w:ilvl="7" w:tplc="8F762DAA" w:tentative="1">
      <w:start w:val="1"/>
      <w:numFmt w:val="lowerLetter"/>
      <w:lvlText w:val="%8."/>
      <w:lvlJc w:val="left"/>
      <w:pPr>
        <w:tabs>
          <w:tab w:val="num" w:pos="4320"/>
        </w:tabs>
        <w:ind w:left="4320" w:hanging="360"/>
      </w:pPr>
    </w:lvl>
    <w:lvl w:ilvl="8" w:tplc="2B0CB6A4" w:tentative="1">
      <w:start w:val="1"/>
      <w:numFmt w:val="lowerRoman"/>
      <w:lvlText w:val="%9."/>
      <w:lvlJc w:val="right"/>
      <w:pPr>
        <w:tabs>
          <w:tab w:val="num" w:pos="5040"/>
        </w:tabs>
        <w:ind w:left="5040" w:hanging="180"/>
      </w:pPr>
    </w:lvl>
  </w:abstractNum>
  <w:abstractNum w:abstractNumId="6">
    <w:nsid w:val="432817C4"/>
    <w:multiLevelType w:val="singleLevel"/>
    <w:tmpl w:val="ED3E1CDA"/>
    <w:lvl w:ilvl="0">
      <w:start w:val="1"/>
      <w:numFmt w:val="decimal"/>
      <w:lvlText w:val="%1."/>
      <w:lvlJc w:val="left"/>
      <w:pPr>
        <w:tabs>
          <w:tab w:val="num" w:pos="990"/>
        </w:tabs>
        <w:ind w:left="-90" w:firstLine="720"/>
      </w:pPr>
      <w:rPr>
        <w:rFonts w:ascii="Times New Roman" w:hAnsi="Times New Roman" w:hint="default"/>
        <w:b w:val="0"/>
        <w:i w:val="0"/>
        <w:color w:val="auto"/>
        <w:sz w:val="22"/>
        <w:szCs w:val="22"/>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6"/>
  </w:num>
  <w:num w:numId="8">
    <w:abstractNumId w:val="1"/>
  </w:num>
  <w:num w:numId="9">
    <w:abstractNumId w:val="5"/>
  </w:num>
  <w:num w:numId="1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72"/>
    <w:rsid w:val="00003CA5"/>
    <w:rsid w:val="000103DA"/>
    <w:rsid w:val="0001460C"/>
    <w:rsid w:val="00014A7B"/>
    <w:rsid w:val="00021353"/>
    <w:rsid w:val="00022952"/>
    <w:rsid w:val="00022D9D"/>
    <w:rsid w:val="0004181F"/>
    <w:rsid w:val="0004315E"/>
    <w:rsid w:val="00044EA2"/>
    <w:rsid w:val="000554DA"/>
    <w:rsid w:val="00062366"/>
    <w:rsid w:val="000756C9"/>
    <w:rsid w:val="00086A0B"/>
    <w:rsid w:val="00087D7C"/>
    <w:rsid w:val="000A4032"/>
    <w:rsid w:val="000A5D3E"/>
    <w:rsid w:val="000A6292"/>
    <w:rsid w:val="000A6E5A"/>
    <w:rsid w:val="000B3329"/>
    <w:rsid w:val="000B3A2D"/>
    <w:rsid w:val="000C269E"/>
    <w:rsid w:val="000F37D1"/>
    <w:rsid w:val="000F649C"/>
    <w:rsid w:val="00104F5E"/>
    <w:rsid w:val="001128C0"/>
    <w:rsid w:val="001150BA"/>
    <w:rsid w:val="00135318"/>
    <w:rsid w:val="00135759"/>
    <w:rsid w:val="00152776"/>
    <w:rsid w:val="0016298E"/>
    <w:rsid w:val="001641B0"/>
    <w:rsid w:val="0016485E"/>
    <w:rsid w:val="00165A69"/>
    <w:rsid w:val="00183D6B"/>
    <w:rsid w:val="001A21C3"/>
    <w:rsid w:val="001A6E2B"/>
    <w:rsid w:val="001A750E"/>
    <w:rsid w:val="001A7C71"/>
    <w:rsid w:val="001B1F11"/>
    <w:rsid w:val="001C629E"/>
    <w:rsid w:val="001D02D4"/>
    <w:rsid w:val="001D342B"/>
    <w:rsid w:val="001D5086"/>
    <w:rsid w:val="001D7910"/>
    <w:rsid w:val="001E7AD3"/>
    <w:rsid w:val="00201F44"/>
    <w:rsid w:val="00202F7F"/>
    <w:rsid w:val="0020753F"/>
    <w:rsid w:val="002305F8"/>
    <w:rsid w:val="00234185"/>
    <w:rsid w:val="00237264"/>
    <w:rsid w:val="0024028C"/>
    <w:rsid w:val="00247D08"/>
    <w:rsid w:val="00277825"/>
    <w:rsid w:val="00281879"/>
    <w:rsid w:val="00281B61"/>
    <w:rsid w:val="00287EE3"/>
    <w:rsid w:val="002A0F63"/>
    <w:rsid w:val="002A619C"/>
    <w:rsid w:val="002B5DA2"/>
    <w:rsid w:val="002D0CC1"/>
    <w:rsid w:val="002D530E"/>
    <w:rsid w:val="002E3339"/>
    <w:rsid w:val="002E3EFD"/>
    <w:rsid w:val="003058BB"/>
    <w:rsid w:val="00305BC8"/>
    <w:rsid w:val="003207D1"/>
    <w:rsid w:val="00321DC6"/>
    <w:rsid w:val="003220DD"/>
    <w:rsid w:val="003338FC"/>
    <w:rsid w:val="00352C4C"/>
    <w:rsid w:val="00356EEB"/>
    <w:rsid w:val="003623E0"/>
    <w:rsid w:val="00362A11"/>
    <w:rsid w:val="0037432F"/>
    <w:rsid w:val="00380689"/>
    <w:rsid w:val="00380A63"/>
    <w:rsid w:val="0038706A"/>
    <w:rsid w:val="00392DCC"/>
    <w:rsid w:val="00396034"/>
    <w:rsid w:val="003B3BB8"/>
    <w:rsid w:val="003C65FE"/>
    <w:rsid w:val="003D0C8C"/>
    <w:rsid w:val="003D5A6D"/>
    <w:rsid w:val="003E238A"/>
    <w:rsid w:val="003F1196"/>
    <w:rsid w:val="00401918"/>
    <w:rsid w:val="00402AFA"/>
    <w:rsid w:val="00403612"/>
    <w:rsid w:val="00405571"/>
    <w:rsid w:val="00410B68"/>
    <w:rsid w:val="00413E3B"/>
    <w:rsid w:val="00420C89"/>
    <w:rsid w:val="00421860"/>
    <w:rsid w:val="0043160F"/>
    <w:rsid w:val="00445860"/>
    <w:rsid w:val="00447F1B"/>
    <w:rsid w:val="00457432"/>
    <w:rsid w:val="0048402D"/>
    <w:rsid w:val="004876C9"/>
    <w:rsid w:val="004C2E83"/>
    <w:rsid w:val="004C4B50"/>
    <w:rsid w:val="004D038A"/>
    <w:rsid w:val="004D3460"/>
    <w:rsid w:val="004D6110"/>
    <w:rsid w:val="004E71DC"/>
    <w:rsid w:val="00503D36"/>
    <w:rsid w:val="005254F4"/>
    <w:rsid w:val="005308D8"/>
    <w:rsid w:val="00547272"/>
    <w:rsid w:val="00552F77"/>
    <w:rsid w:val="00563B17"/>
    <w:rsid w:val="0056705F"/>
    <w:rsid w:val="00592215"/>
    <w:rsid w:val="0059651D"/>
    <w:rsid w:val="005A4B45"/>
    <w:rsid w:val="005C12AF"/>
    <w:rsid w:val="005D119B"/>
    <w:rsid w:val="005D17BE"/>
    <w:rsid w:val="005D2226"/>
    <w:rsid w:val="005E23BB"/>
    <w:rsid w:val="005F777E"/>
    <w:rsid w:val="00610569"/>
    <w:rsid w:val="00612A07"/>
    <w:rsid w:val="00615668"/>
    <w:rsid w:val="006349C8"/>
    <w:rsid w:val="006540BD"/>
    <w:rsid w:val="00661F3A"/>
    <w:rsid w:val="00667A3C"/>
    <w:rsid w:val="00677906"/>
    <w:rsid w:val="00681845"/>
    <w:rsid w:val="00683578"/>
    <w:rsid w:val="006A6EF8"/>
    <w:rsid w:val="006C021A"/>
    <w:rsid w:val="006C2D77"/>
    <w:rsid w:val="006D519B"/>
    <w:rsid w:val="006E0548"/>
    <w:rsid w:val="006F08D2"/>
    <w:rsid w:val="00710BB5"/>
    <w:rsid w:val="00711140"/>
    <w:rsid w:val="00722C2D"/>
    <w:rsid w:val="007233A9"/>
    <w:rsid w:val="00735624"/>
    <w:rsid w:val="00737ADE"/>
    <w:rsid w:val="00742B14"/>
    <w:rsid w:val="007729EA"/>
    <w:rsid w:val="00775EA4"/>
    <w:rsid w:val="007828DA"/>
    <w:rsid w:val="00782942"/>
    <w:rsid w:val="00783AA9"/>
    <w:rsid w:val="0078795D"/>
    <w:rsid w:val="007A62EE"/>
    <w:rsid w:val="007A7E25"/>
    <w:rsid w:val="007C1B49"/>
    <w:rsid w:val="007D0B1D"/>
    <w:rsid w:val="007F2CD0"/>
    <w:rsid w:val="00801A15"/>
    <w:rsid w:val="00806727"/>
    <w:rsid w:val="008167B1"/>
    <w:rsid w:val="008328A0"/>
    <w:rsid w:val="00833759"/>
    <w:rsid w:val="008356CE"/>
    <w:rsid w:val="00836742"/>
    <w:rsid w:val="00841271"/>
    <w:rsid w:val="00841A82"/>
    <w:rsid w:val="00842B5A"/>
    <w:rsid w:val="0085126C"/>
    <w:rsid w:val="008527E8"/>
    <w:rsid w:val="0085433D"/>
    <w:rsid w:val="00861D97"/>
    <w:rsid w:val="00873378"/>
    <w:rsid w:val="00873B07"/>
    <w:rsid w:val="008742EB"/>
    <w:rsid w:val="00883534"/>
    <w:rsid w:val="00886BBE"/>
    <w:rsid w:val="008875CD"/>
    <w:rsid w:val="00897BA3"/>
    <w:rsid w:val="008A63FF"/>
    <w:rsid w:val="008A6F70"/>
    <w:rsid w:val="008C7404"/>
    <w:rsid w:val="008C794C"/>
    <w:rsid w:val="008D293F"/>
    <w:rsid w:val="008D347D"/>
    <w:rsid w:val="008F105F"/>
    <w:rsid w:val="008F6F39"/>
    <w:rsid w:val="0090581A"/>
    <w:rsid w:val="0091554B"/>
    <w:rsid w:val="00916E2B"/>
    <w:rsid w:val="00920B8C"/>
    <w:rsid w:val="00921415"/>
    <w:rsid w:val="00922A49"/>
    <w:rsid w:val="00924B32"/>
    <w:rsid w:val="009366E6"/>
    <w:rsid w:val="00972910"/>
    <w:rsid w:val="00977848"/>
    <w:rsid w:val="009823A7"/>
    <w:rsid w:val="00987802"/>
    <w:rsid w:val="00995AA1"/>
    <w:rsid w:val="009B2BC0"/>
    <w:rsid w:val="009C70C9"/>
    <w:rsid w:val="009E54D9"/>
    <w:rsid w:val="009F274D"/>
    <w:rsid w:val="00A1202D"/>
    <w:rsid w:val="00A24A97"/>
    <w:rsid w:val="00A31082"/>
    <w:rsid w:val="00A36A3B"/>
    <w:rsid w:val="00A463EC"/>
    <w:rsid w:val="00A50EB5"/>
    <w:rsid w:val="00A519A1"/>
    <w:rsid w:val="00A5322F"/>
    <w:rsid w:val="00A57968"/>
    <w:rsid w:val="00A8085E"/>
    <w:rsid w:val="00A918F4"/>
    <w:rsid w:val="00AA7FA8"/>
    <w:rsid w:val="00AC3508"/>
    <w:rsid w:val="00AE6D7E"/>
    <w:rsid w:val="00AF6346"/>
    <w:rsid w:val="00B073BB"/>
    <w:rsid w:val="00B076B4"/>
    <w:rsid w:val="00B12A83"/>
    <w:rsid w:val="00B23784"/>
    <w:rsid w:val="00B35D9C"/>
    <w:rsid w:val="00B37274"/>
    <w:rsid w:val="00B4317E"/>
    <w:rsid w:val="00B5083D"/>
    <w:rsid w:val="00B61E74"/>
    <w:rsid w:val="00BA3EFB"/>
    <w:rsid w:val="00BB0392"/>
    <w:rsid w:val="00BB67FA"/>
    <w:rsid w:val="00BD5A91"/>
    <w:rsid w:val="00BD7902"/>
    <w:rsid w:val="00BD797D"/>
    <w:rsid w:val="00BF3E80"/>
    <w:rsid w:val="00BF6ADE"/>
    <w:rsid w:val="00BF7A70"/>
    <w:rsid w:val="00C0337A"/>
    <w:rsid w:val="00C069A3"/>
    <w:rsid w:val="00C47D3E"/>
    <w:rsid w:val="00C52509"/>
    <w:rsid w:val="00C52C5B"/>
    <w:rsid w:val="00C62F4A"/>
    <w:rsid w:val="00C63258"/>
    <w:rsid w:val="00C65EEA"/>
    <w:rsid w:val="00C77107"/>
    <w:rsid w:val="00C84B02"/>
    <w:rsid w:val="00CA4A01"/>
    <w:rsid w:val="00CA58EE"/>
    <w:rsid w:val="00CB2FB7"/>
    <w:rsid w:val="00CB7487"/>
    <w:rsid w:val="00CD5277"/>
    <w:rsid w:val="00CE75E7"/>
    <w:rsid w:val="00CF2BF5"/>
    <w:rsid w:val="00CF5580"/>
    <w:rsid w:val="00CF5726"/>
    <w:rsid w:val="00D01166"/>
    <w:rsid w:val="00D03E47"/>
    <w:rsid w:val="00D04AF3"/>
    <w:rsid w:val="00D06C9D"/>
    <w:rsid w:val="00D14E14"/>
    <w:rsid w:val="00D31D7F"/>
    <w:rsid w:val="00D34D75"/>
    <w:rsid w:val="00D3751E"/>
    <w:rsid w:val="00D4174E"/>
    <w:rsid w:val="00D47962"/>
    <w:rsid w:val="00D53C45"/>
    <w:rsid w:val="00D54702"/>
    <w:rsid w:val="00D66DC1"/>
    <w:rsid w:val="00D71462"/>
    <w:rsid w:val="00D97AE5"/>
    <w:rsid w:val="00DB28DB"/>
    <w:rsid w:val="00DB4C6D"/>
    <w:rsid w:val="00DD146B"/>
    <w:rsid w:val="00DF3076"/>
    <w:rsid w:val="00DF483C"/>
    <w:rsid w:val="00DF7557"/>
    <w:rsid w:val="00E02429"/>
    <w:rsid w:val="00E03C0A"/>
    <w:rsid w:val="00E10CF9"/>
    <w:rsid w:val="00E121FF"/>
    <w:rsid w:val="00E13B42"/>
    <w:rsid w:val="00E17434"/>
    <w:rsid w:val="00E3229E"/>
    <w:rsid w:val="00E36DFD"/>
    <w:rsid w:val="00E46328"/>
    <w:rsid w:val="00E57937"/>
    <w:rsid w:val="00E8170F"/>
    <w:rsid w:val="00E83124"/>
    <w:rsid w:val="00E83EFF"/>
    <w:rsid w:val="00E84B71"/>
    <w:rsid w:val="00E93DAB"/>
    <w:rsid w:val="00EA4DB2"/>
    <w:rsid w:val="00EA6590"/>
    <w:rsid w:val="00EB075C"/>
    <w:rsid w:val="00EB4449"/>
    <w:rsid w:val="00EC2E08"/>
    <w:rsid w:val="00EC53FB"/>
    <w:rsid w:val="00EC6BBA"/>
    <w:rsid w:val="00ED0302"/>
    <w:rsid w:val="00ED15B3"/>
    <w:rsid w:val="00ED63CE"/>
    <w:rsid w:val="00EE7082"/>
    <w:rsid w:val="00F05620"/>
    <w:rsid w:val="00F1283F"/>
    <w:rsid w:val="00F13180"/>
    <w:rsid w:val="00F23B88"/>
    <w:rsid w:val="00F24362"/>
    <w:rsid w:val="00F25BFC"/>
    <w:rsid w:val="00F36578"/>
    <w:rsid w:val="00F5195E"/>
    <w:rsid w:val="00F519B8"/>
    <w:rsid w:val="00F5521B"/>
    <w:rsid w:val="00F642D0"/>
    <w:rsid w:val="00F72DBD"/>
    <w:rsid w:val="00F83BF8"/>
    <w:rsid w:val="00F849BA"/>
    <w:rsid w:val="00F85104"/>
    <w:rsid w:val="00F92BCE"/>
    <w:rsid w:val="00F963E0"/>
    <w:rsid w:val="00FA14EE"/>
    <w:rsid w:val="00FA5DEB"/>
    <w:rsid w:val="00FC39D4"/>
    <w:rsid w:val="00FD7A72"/>
    <w:rsid w:val="00FF1DEB"/>
    <w:rsid w:val="00FF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rrfootnote,Footnote Text Char1,Footnote Text Char Char,rrfootnote Char Char,rrfootnote Char1,rrfootnote Char1 Char Char,Footnote Text Char1 Char Char,ALTS FOOTNOTE Char Char Char,fn Char Char Char,Footnote Text Char Char Char Char,f,fn"/>
    <w:link w:val="FootnoteTextChar"/>
    <w:semiHidden/>
    <w:pPr>
      <w:spacing w:after="120"/>
    </w:pPr>
  </w:style>
  <w:style w:type="character" w:styleId="FootnoteReference">
    <w:name w:val="footnote reference"/>
    <w:aliases w:val="Style 4,Appel note de bas de p,Style 12,(NECG) Footnote Reference,Style 124,Style 13,o,fr,Style 3"/>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
    <w:name w:val="Footnote Text Char"/>
    <w:aliases w:val="rrfootnote Char,Footnote Text Char1 Char,Footnote Text Char Char Char,rrfootnote Char Char Char,rrfootnote Char1 Char,rrfootnote Char1 Char Char Char,Footnote Text Char1 Char Char Char,ALTS FOOTNOTE Char Char Char Char,f Char,fn Char"/>
    <w:link w:val="FootnoteText"/>
    <w:semiHidden/>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pPr>
      <w:autoSpaceDE w:val="0"/>
      <w:autoSpaceDN w:val="0"/>
      <w:adjustRightInd w:val="0"/>
    </w:pPr>
    <w:rPr>
      <w:snapToGrid/>
      <w:kern w:val="0"/>
      <w:sz w:val="20"/>
    </w:rPr>
  </w:style>
  <w:style w:type="paragraph" w:styleId="BalloonText">
    <w:name w:val="Balloon Text"/>
    <w:basedOn w:val="Normal"/>
    <w:semiHidden/>
    <w:rPr>
      <w:rFonts w:ascii="Tahoma" w:hAnsi="Tahoma" w:cs="Tahoma"/>
      <w:sz w:val="16"/>
      <w:szCs w:val="16"/>
    </w:rPr>
  </w:style>
  <w:style w:type="character" w:customStyle="1" w:styleId="FootnoteCharacters">
    <w:name w:val="Footnote Characters"/>
    <w:rPr>
      <w:rFonts w:ascii="Times New Roman" w:hAnsi="Times New Roman"/>
      <w:strike w:val="0"/>
      <w:dstrike w:val="0"/>
      <w:color w:val="auto"/>
      <w:sz w:val="20"/>
      <w:vertAlign w:val="superscript"/>
    </w:rPr>
  </w:style>
  <w:style w:type="character" w:customStyle="1" w:styleId="Footnote">
    <w:name w:val="Footnote"/>
    <w:rPr>
      <w:rFonts w:ascii="Times New Roman" w:hAnsi="Times New Roman"/>
      <w:sz w:val="20"/>
    </w:rPr>
  </w:style>
  <w:style w:type="character" w:customStyle="1" w:styleId="documentbody1">
    <w:name w:val="documentbody1"/>
    <w:rsid w:val="00420C89"/>
    <w:rPr>
      <w:rFonts w:ascii="Verdana" w:hAnsi="Verdana" w:hint="default"/>
      <w:sz w:val="19"/>
      <w:szCs w:val="19"/>
    </w:rPr>
  </w:style>
  <w:style w:type="paragraph" w:styleId="CommentSubject">
    <w:name w:val="annotation subject"/>
    <w:basedOn w:val="CommentText"/>
    <w:next w:val="CommentText"/>
    <w:semiHidden/>
    <w:rsid w:val="00183D6B"/>
    <w:pPr>
      <w:autoSpaceDE/>
      <w:autoSpaceDN/>
      <w:adjustRightInd/>
    </w:pPr>
    <w:rPr>
      <w:b/>
      <w:bCs/>
      <w:snapToGrid w:val="0"/>
      <w:kern w:val="28"/>
    </w:rPr>
  </w:style>
  <w:style w:type="character" w:customStyle="1" w:styleId="ParaNumChar">
    <w:name w:val="ParaNum Char"/>
    <w:link w:val="ParaNum"/>
    <w:rsid w:val="00592215"/>
    <w:rPr>
      <w:snapToGrid w:val="0"/>
      <w:kern w:val="28"/>
      <w:sz w:val="22"/>
      <w:lang w:val="en-US" w:eastAsia="en-US" w:bidi="ar-SA"/>
    </w:rPr>
  </w:style>
  <w:style w:type="character" w:customStyle="1" w:styleId="FooterChar">
    <w:name w:val="Footer Char"/>
    <w:link w:val="Footer"/>
    <w:rsid w:val="00737ADE"/>
    <w:rPr>
      <w:snapToGrid w:val="0"/>
      <w:kern w:val="28"/>
      <w:sz w:val="22"/>
    </w:rPr>
  </w:style>
  <w:style w:type="paragraph" w:styleId="Revision">
    <w:name w:val="Revision"/>
    <w:hidden/>
    <w:uiPriority w:val="99"/>
    <w:semiHidden/>
    <w:rsid w:val="004E71D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rrfootnote,Footnote Text Char1,Footnote Text Char Char,rrfootnote Char Char,rrfootnote Char1,rrfootnote Char1 Char Char,Footnote Text Char1 Char Char,ALTS FOOTNOTE Char Char Char,fn Char Char Char,Footnote Text Char Char Char Char,f,fn"/>
    <w:link w:val="FootnoteTextChar"/>
    <w:semiHidden/>
    <w:pPr>
      <w:spacing w:after="120"/>
    </w:pPr>
  </w:style>
  <w:style w:type="character" w:styleId="FootnoteReference">
    <w:name w:val="footnote reference"/>
    <w:aliases w:val="Style 4,Appel note de bas de p,Style 12,(NECG) Footnote Reference,Style 124,Style 13,o,fr,Style 3"/>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
    <w:name w:val="Footnote Text Char"/>
    <w:aliases w:val="rrfootnote Char,Footnote Text Char1 Char,Footnote Text Char Char Char,rrfootnote Char Char Char,rrfootnote Char1 Char,rrfootnote Char1 Char Char Char,Footnote Text Char1 Char Char Char,ALTS FOOTNOTE Char Char Char Char,f Char,fn Char"/>
    <w:link w:val="FootnoteText"/>
    <w:semiHidden/>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pPr>
      <w:autoSpaceDE w:val="0"/>
      <w:autoSpaceDN w:val="0"/>
      <w:adjustRightInd w:val="0"/>
    </w:pPr>
    <w:rPr>
      <w:snapToGrid/>
      <w:kern w:val="0"/>
      <w:sz w:val="20"/>
    </w:rPr>
  </w:style>
  <w:style w:type="paragraph" w:styleId="BalloonText">
    <w:name w:val="Balloon Text"/>
    <w:basedOn w:val="Normal"/>
    <w:semiHidden/>
    <w:rPr>
      <w:rFonts w:ascii="Tahoma" w:hAnsi="Tahoma" w:cs="Tahoma"/>
      <w:sz w:val="16"/>
      <w:szCs w:val="16"/>
    </w:rPr>
  </w:style>
  <w:style w:type="character" w:customStyle="1" w:styleId="FootnoteCharacters">
    <w:name w:val="Footnote Characters"/>
    <w:rPr>
      <w:rFonts w:ascii="Times New Roman" w:hAnsi="Times New Roman"/>
      <w:strike w:val="0"/>
      <w:dstrike w:val="0"/>
      <w:color w:val="auto"/>
      <w:sz w:val="20"/>
      <w:vertAlign w:val="superscript"/>
    </w:rPr>
  </w:style>
  <w:style w:type="character" w:customStyle="1" w:styleId="Footnote">
    <w:name w:val="Footnote"/>
    <w:rPr>
      <w:rFonts w:ascii="Times New Roman" w:hAnsi="Times New Roman"/>
      <w:sz w:val="20"/>
    </w:rPr>
  </w:style>
  <w:style w:type="character" w:customStyle="1" w:styleId="documentbody1">
    <w:name w:val="documentbody1"/>
    <w:rsid w:val="00420C89"/>
    <w:rPr>
      <w:rFonts w:ascii="Verdana" w:hAnsi="Verdana" w:hint="default"/>
      <w:sz w:val="19"/>
      <w:szCs w:val="19"/>
    </w:rPr>
  </w:style>
  <w:style w:type="paragraph" w:styleId="CommentSubject">
    <w:name w:val="annotation subject"/>
    <w:basedOn w:val="CommentText"/>
    <w:next w:val="CommentText"/>
    <w:semiHidden/>
    <w:rsid w:val="00183D6B"/>
    <w:pPr>
      <w:autoSpaceDE/>
      <w:autoSpaceDN/>
      <w:adjustRightInd/>
    </w:pPr>
    <w:rPr>
      <w:b/>
      <w:bCs/>
      <w:snapToGrid w:val="0"/>
      <w:kern w:val="28"/>
    </w:rPr>
  </w:style>
  <w:style w:type="character" w:customStyle="1" w:styleId="ParaNumChar">
    <w:name w:val="ParaNum Char"/>
    <w:link w:val="ParaNum"/>
    <w:rsid w:val="00592215"/>
    <w:rPr>
      <w:snapToGrid w:val="0"/>
      <w:kern w:val="28"/>
      <w:sz w:val="22"/>
      <w:lang w:val="en-US" w:eastAsia="en-US" w:bidi="ar-SA"/>
    </w:rPr>
  </w:style>
  <w:style w:type="character" w:customStyle="1" w:styleId="FooterChar">
    <w:name w:val="Footer Char"/>
    <w:link w:val="Footer"/>
    <w:rsid w:val="00737ADE"/>
    <w:rPr>
      <w:snapToGrid w:val="0"/>
      <w:kern w:val="28"/>
      <w:sz w:val="22"/>
    </w:rPr>
  </w:style>
  <w:style w:type="paragraph" w:styleId="Revision">
    <w:name w:val="Revision"/>
    <w:hidden/>
    <w:uiPriority w:val="99"/>
    <w:semiHidden/>
    <w:rsid w:val="004E71D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1195</Words>
  <Characters>6471</Characters>
  <Application>Microsoft Office Word</Application>
  <DocSecurity>0</DocSecurity>
  <Lines>124</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2013-05-03T04:05:00Z</cp:lastPrinted>
  <dcterms:created xsi:type="dcterms:W3CDTF">2014-03-07T18:31:00Z</dcterms:created>
  <dcterms:modified xsi:type="dcterms:W3CDTF">2014-03-07T18:31:00Z</dcterms:modified>
  <cp:category> </cp:category>
  <cp:contentStatus> </cp:contentStatus>
</cp:coreProperties>
</file>