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BC" w:rsidRDefault="004658BC">
      <w:pPr>
        <w:pStyle w:val="Header"/>
        <w:tabs>
          <w:tab w:val="clear" w:pos="4320"/>
          <w:tab w:val="clear" w:pos="8640"/>
        </w:tabs>
        <w:sectPr w:rsidR="004658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1440" w:left="720" w:header="720" w:footer="1440" w:gutter="0"/>
          <w:cols w:space="720"/>
          <w:titlePg/>
        </w:sectPr>
      </w:pPr>
      <w:bookmarkStart w:id="1" w:name="_GoBack"/>
      <w:bookmarkEnd w:id="1"/>
      <w:r>
        <w:t xml:space="preserve"> </w:t>
      </w:r>
    </w:p>
    <w:p w:rsidR="004658BC" w:rsidRDefault="004658BC">
      <w:pPr>
        <w:tabs>
          <w:tab w:val="right" w:pos="9360"/>
        </w:tabs>
        <w:suppressAutoHyphens/>
        <w:spacing w:line="227" w:lineRule="auto"/>
        <w:jc w:val="right"/>
        <w:rPr>
          <w:rFonts w:ascii="Times" w:hAnsi="Times"/>
          <w:b/>
          <w:spacing w:val="-2"/>
          <w:sz w:val="22"/>
        </w:rPr>
      </w:pPr>
      <w:r>
        <w:rPr>
          <w:rFonts w:ascii="Times" w:hAnsi="Times"/>
          <w:b/>
          <w:spacing w:val="-2"/>
          <w:sz w:val="22"/>
        </w:rPr>
        <w:lastRenderedPageBreak/>
        <w:tab/>
        <w:t xml:space="preserve">DA </w:t>
      </w:r>
      <w:r w:rsidR="00654F14">
        <w:rPr>
          <w:rFonts w:ascii="Times" w:hAnsi="Times"/>
          <w:b/>
          <w:spacing w:val="-2"/>
          <w:sz w:val="22"/>
        </w:rPr>
        <w:t>14-327</w:t>
      </w:r>
      <w:r>
        <w:rPr>
          <w:rFonts w:ascii="Times" w:hAnsi="Times"/>
          <w:b/>
          <w:spacing w:val="-2"/>
          <w:sz w:val="22"/>
        </w:rPr>
        <w:tab/>
      </w:r>
    </w:p>
    <w:p w:rsidR="004658BC" w:rsidRDefault="004658BC">
      <w:pPr>
        <w:tabs>
          <w:tab w:val="right" w:pos="9360"/>
        </w:tabs>
        <w:suppressAutoHyphens/>
        <w:spacing w:line="227" w:lineRule="auto"/>
        <w:rPr>
          <w:rFonts w:ascii="Times" w:hAnsi="Times"/>
          <w:b/>
          <w:spacing w:val="-2"/>
          <w:sz w:val="22"/>
        </w:rPr>
      </w:pPr>
      <w:r>
        <w:rPr>
          <w:rFonts w:ascii="Times" w:hAnsi="Times"/>
          <w:b/>
          <w:spacing w:val="-2"/>
          <w:sz w:val="22"/>
        </w:rPr>
        <w:tab/>
      </w:r>
    </w:p>
    <w:p w:rsidR="004658BC" w:rsidRDefault="004658BC">
      <w:pPr>
        <w:tabs>
          <w:tab w:val="right" w:pos="9360"/>
        </w:tabs>
        <w:suppressAutoHyphens/>
        <w:spacing w:line="227" w:lineRule="auto"/>
        <w:rPr>
          <w:rFonts w:ascii="Times" w:hAnsi="Times"/>
          <w:spacing w:val="-2"/>
          <w:sz w:val="22"/>
        </w:rPr>
      </w:pPr>
      <w:r>
        <w:rPr>
          <w:rFonts w:ascii="Times" w:hAnsi="Times"/>
          <w:b/>
          <w:spacing w:val="-2"/>
          <w:sz w:val="22"/>
        </w:rPr>
        <w:tab/>
        <w:t xml:space="preserve">Released:  </w:t>
      </w:r>
      <w:r w:rsidR="00276871">
        <w:rPr>
          <w:rFonts w:ascii="Times" w:hAnsi="Times"/>
          <w:b/>
          <w:spacing w:val="-2"/>
          <w:sz w:val="22"/>
        </w:rPr>
        <w:t>March</w:t>
      </w:r>
      <w:r>
        <w:rPr>
          <w:rFonts w:ascii="Times" w:hAnsi="Times"/>
          <w:b/>
          <w:spacing w:val="-2"/>
          <w:sz w:val="22"/>
        </w:rPr>
        <w:t xml:space="preserve"> </w:t>
      </w:r>
      <w:r w:rsidR="00654F14">
        <w:rPr>
          <w:rFonts w:ascii="Times" w:hAnsi="Times"/>
          <w:b/>
          <w:spacing w:val="-2"/>
          <w:sz w:val="22"/>
        </w:rPr>
        <w:t>10</w:t>
      </w:r>
      <w:r>
        <w:rPr>
          <w:rFonts w:ascii="Times" w:hAnsi="Times"/>
          <w:b/>
          <w:spacing w:val="-2"/>
          <w:sz w:val="22"/>
        </w:rPr>
        <w:t>, 201</w:t>
      </w:r>
      <w:r w:rsidR="00D37B7E">
        <w:rPr>
          <w:rFonts w:ascii="Times" w:hAnsi="Times"/>
          <w:b/>
          <w:spacing w:val="-2"/>
          <w:sz w:val="22"/>
        </w:rPr>
        <w:t>4</w:t>
      </w:r>
      <w:r>
        <w:rPr>
          <w:rFonts w:ascii="Times" w:hAnsi="Times"/>
          <w:b/>
          <w:spacing w:val="-2"/>
          <w:sz w:val="22"/>
        </w:rPr>
        <w:t xml:space="preserve">        </w:t>
      </w:r>
    </w:p>
    <w:p w:rsidR="004658BC" w:rsidRDefault="004658BC">
      <w:pPr>
        <w:tabs>
          <w:tab w:val="left" w:pos="-720"/>
        </w:tabs>
        <w:suppressAutoHyphens/>
        <w:spacing w:line="227" w:lineRule="auto"/>
        <w:jc w:val="both"/>
        <w:rPr>
          <w:rFonts w:ascii="Times" w:hAnsi="Times"/>
          <w:spacing w:val="-2"/>
          <w:sz w:val="22"/>
        </w:rPr>
      </w:pPr>
    </w:p>
    <w:p w:rsidR="004658BC" w:rsidRDefault="00D3752A">
      <w:pPr>
        <w:pStyle w:val="BodyText"/>
      </w:pPr>
      <w:r>
        <w:t>WIRELESS TELECOMMUNICATIONS BUREAU EXTENDS PERIOD TO FILE REPLY COMMENTS ON PROPOSED RULES TO EXPAND</w:t>
      </w:r>
      <w:r w:rsidRPr="00D3752A">
        <w:t xml:space="preserve"> ACCESS TO MOBILE WIRELESS SERVICES ONBOARD AIRCRAFT</w:t>
      </w:r>
    </w:p>
    <w:p w:rsidR="004658BC" w:rsidRDefault="004658BC">
      <w:pPr>
        <w:pStyle w:val="BodyText"/>
      </w:pPr>
    </w:p>
    <w:p w:rsidR="004658BC" w:rsidRDefault="004658BC">
      <w:pPr>
        <w:pStyle w:val="BodyText"/>
        <w:shd w:val="clear" w:color="auto" w:fill="FFFFFF"/>
      </w:pPr>
      <w:r>
        <w:t xml:space="preserve">WT Docket No. </w:t>
      </w:r>
      <w:r w:rsidR="00D37B7E">
        <w:t>13-301</w:t>
      </w:r>
    </w:p>
    <w:p w:rsidR="004658BC" w:rsidRDefault="004658BC">
      <w:pPr>
        <w:pStyle w:val="BodyText"/>
      </w:pPr>
    </w:p>
    <w:p w:rsidR="004658BC" w:rsidRDefault="004658BC">
      <w:pPr>
        <w:pStyle w:val="Heading2"/>
        <w:numPr>
          <w:ilvl w:val="0"/>
          <w:numId w:val="0"/>
        </w:numPr>
        <w:jc w:val="left"/>
        <w:rPr>
          <w:szCs w:val="22"/>
        </w:rPr>
      </w:pPr>
      <w:r>
        <w:rPr>
          <w:szCs w:val="22"/>
        </w:rPr>
        <w:t xml:space="preserve">Reply Comment Date:  </w:t>
      </w:r>
      <w:r w:rsidR="00D37B7E" w:rsidRPr="00D37B7E">
        <w:rPr>
          <w:szCs w:val="22"/>
        </w:rPr>
        <w:t>May 16, 2014</w:t>
      </w:r>
    </w:p>
    <w:p w:rsidR="004658BC" w:rsidRDefault="004658BC" w:rsidP="00D37B7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By this </w:t>
      </w:r>
      <w:r w:rsidRPr="00E5386E">
        <w:rPr>
          <w:i/>
          <w:sz w:val="22"/>
          <w:szCs w:val="22"/>
        </w:rPr>
        <w:t>Public Notice</w:t>
      </w:r>
      <w:r>
        <w:rPr>
          <w:sz w:val="22"/>
          <w:szCs w:val="22"/>
        </w:rPr>
        <w:t>, we extend the deadline for filing reply comments</w:t>
      </w:r>
      <w:r w:rsidR="00D37B7E">
        <w:rPr>
          <w:sz w:val="22"/>
          <w:szCs w:val="22"/>
        </w:rPr>
        <w:t xml:space="preserve"> in response to the</w:t>
      </w:r>
      <w:r w:rsidR="00323349" w:rsidRPr="00323349">
        <w:t xml:space="preserve"> </w:t>
      </w:r>
      <w:r w:rsidR="00323349" w:rsidRPr="00CA27F7">
        <w:rPr>
          <w:i/>
          <w:sz w:val="22"/>
          <w:szCs w:val="22"/>
        </w:rPr>
        <w:t>Notice of Proposed Rulemaking</w:t>
      </w:r>
      <w:r>
        <w:rPr>
          <w:sz w:val="22"/>
          <w:szCs w:val="22"/>
        </w:rPr>
        <w:t xml:space="preserve"> </w:t>
      </w:r>
      <w:r w:rsidR="00D37B7E" w:rsidRPr="00D37B7E">
        <w:rPr>
          <w:sz w:val="22"/>
          <w:szCs w:val="22"/>
        </w:rPr>
        <w:t>in the above-captioned proceeding</w:t>
      </w:r>
      <w:r w:rsidR="003F46A8">
        <w:rPr>
          <w:sz w:val="22"/>
          <w:szCs w:val="22"/>
        </w:rPr>
        <w:t xml:space="preserve"> to allow parties to more thoroughly address the technical issues raised in the </w:t>
      </w:r>
      <w:r w:rsidR="003F46A8">
        <w:rPr>
          <w:i/>
          <w:sz w:val="22"/>
          <w:szCs w:val="22"/>
        </w:rPr>
        <w:t xml:space="preserve">Notice </w:t>
      </w:r>
      <w:r w:rsidR="003F46A8">
        <w:rPr>
          <w:sz w:val="22"/>
          <w:szCs w:val="22"/>
        </w:rPr>
        <w:t xml:space="preserve">and </w:t>
      </w:r>
      <w:r w:rsidR="008C51A4">
        <w:rPr>
          <w:sz w:val="22"/>
          <w:szCs w:val="22"/>
        </w:rPr>
        <w:t>i</w:t>
      </w:r>
      <w:r w:rsidR="003F46A8">
        <w:rPr>
          <w:sz w:val="22"/>
          <w:szCs w:val="22"/>
        </w:rPr>
        <w:t>n the record</w:t>
      </w:r>
      <w:r w:rsidR="00D37B7E" w:rsidRPr="00D37B7E">
        <w:rPr>
          <w:sz w:val="22"/>
          <w:szCs w:val="22"/>
        </w:rPr>
        <w:t>.</w:t>
      </w:r>
      <w:r>
        <w:rPr>
          <w:rStyle w:val="FootnoteReference"/>
          <w:sz w:val="22"/>
          <w:szCs w:val="22"/>
        </w:rPr>
        <w:footnoteReference w:id="1"/>
      </w:r>
      <w:r w:rsidR="00493744">
        <w:rPr>
          <w:sz w:val="22"/>
          <w:szCs w:val="22"/>
        </w:rPr>
        <w:t xml:space="preserve">  Interested parties </w:t>
      </w:r>
      <w:r>
        <w:rPr>
          <w:sz w:val="22"/>
          <w:szCs w:val="22"/>
        </w:rPr>
        <w:t xml:space="preserve">now </w:t>
      </w:r>
      <w:r w:rsidR="00493744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have until </w:t>
      </w:r>
      <w:r w:rsidR="00D37B7E" w:rsidRPr="00D37B7E">
        <w:rPr>
          <w:sz w:val="22"/>
          <w:szCs w:val="22"/>
        </w:rPr>
        <w:t>May 16, 2014</w:t>
      </w:r>
      <w:r w:rsidR="00D37B7E">
        <w:rPr>
          <w:sz w:val="22"/>
          <w:szCs w:val="22"/>
        </w:rPr>
        <w:t xml:space="preserve">, </w:t>
      </w:r>
      <w:r>
        <w:rPr>
          <w:sz w:val="22"/>
          <w:szCs w:val="22"/>
        </w:rPr>
        <w:t>to file reply comments</w:t>
      </w:r>
      <w:r w:rsidR="003F46A8">
        <w:rPr>
          <w:sz w:val="22"/>
          <w:szCs w:val="22"/>
        </w:rPr>
        <w:t>.</w:t>
      </w:r>
      <w:r>
        <w:rPr>
          <w:rStyle w:val="FootnoteReference"/>
          <w:sz w:val="22"/>
          <w:szCs w:val="22"/>
        </w:rPr>
        <w:footnoteReference w:id="2"/>
      </w:r>
    </w:p>
    <w:p w:rsidR="004658BC" w:rsidRDefault="004658BC">
      <w:pPr>
        <w:ind w:firstLine="720"/>
        <w:rPr>
          <w:sz w:val="22"/>
          <w:szCs w:val="22"/>
        </w:rPr>
      </w:pPr>
    </w:p>
    <w:p w:rsidR="0021067B" w:rsidRDefault="004658BC" w:rsidP="00D9508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On February </w:t>
      </w:r>
      <w:r w:rsidR="001D21E4">
        <w:rPr>
          <w:sz w:val="22"/>
          <w:szCs w:val="22"/>
        </w:rPr>
        <w:t>28</w:t>
      </w:r>
      <w:r>
        <w:rPr>
          <w:sz w:val="22"/>
          <w:szCs w:val="22"/>
        </w:rPr>
        <w:t>, 201</w:t>
      </w:r>
      <w:r w:rsidR="001D21E4">
        <w:rPr>
          <w:sz w:val="22"/>
          <w:szCs w:val="22"/>
        </w:rPr>
        <w:t>4</w:t>
      </w:r>
      <w:r>
        <w:rPr>
          <w:sz w:val="22"/>
          <w:szCs w:val="22"/>
        </w:rPr>
        <w:t xml:space="preserve">, </w:t>
      </w:r>
      <w:r w:rsidR="00645FB0" w:rsidRPr="00645FB0">
        <w:rPr>
          <w:sz w:val="22"/>
          <w:szCs w:val="22"/>
        </w:rPr>
        <w:t xml:space="preserve">AeroMobile Communications Limited </w:t>
      </w:r>
      <w:r w:rsidR="00955656">
        <w:rPr>
          <w:sz w:val="22"/>
          <w:szCs w:val="22"/>
        </w:rPr>
        <w:t xml:space="preserve">(“AeroMobile”) </w:t>
      </w:r>
      <w:r w:rsidR="00645FB0" w:rsidRPr="00645FB0">
        <w:rPr>
          <w:sz w:val="22"/>
          <w:szCs w:val="22"/>
        </w:rPr>
        <w:t>and Panasonic</w:t>
      </w:r>
      <w:r w:rsidR="00645FB0">
        <w:rPr>
          <w:sz w:val="22"/>
          <w:szCs w:val="22"/>
        </w:rPr>
        <w:t xml:space="preserve"> </w:t>
      </w:r>
      <w:r w:rsidR="00645FB0" w:rsidRPr="00645FB0">
        <w:rPr>
          <w:sz w:val="22"/>
          <w:szCs w:val="22"/>
        </w:rPr>
        <w:t>Avionics Corporation</w:t>
      </w:r>
      <w:r w:rsidR="00955656">
        <w:rPr>
          <w:sz w:val="22"/>
          <w:szCs w:val="22"/>
        </w:rPr>
        <w:t xml:space="preserve"> (“Panasonic”)</w:t>
      </w:r>
      <w:r w:rsidR="00645FB0">
        <w:rPr>
          <w:sz w:val="22"/>
          <w:szCs w:val="22"/>
        </w:rPr>
        <w:t xml:space="preserve">, jointly, and </w:t>
      </w:r>
      <w:r>
        <w:rPr>
          <w:sz w:val="22"/>
          <w:szCs w:val="22"/>
        </w:rPr>
        <w:t xml:space="preserve">CTIA – The Wireless Association </w:t>
      </w:r>
      <w:r w:rsidR="00955656">
        <w:rPr>
          <w:sz w:val="22"/>
          <w:szCs w:val="22"/>
        </w:rPr>
        <w:t xml:space="preserve">(“CTIA”) </w:t>
      </w:r>
      <w:r>
        <w:rPr>
          <w:sz w:val="22"/>
          <w:szCs w:val="22"/>
        </w:rPr>
        <w:t>filed</w:t>
      </w:r>
      <w:r w:rsidR="00645FB0">
        <w:rPr>
          <w:sz w:val="22"/>
          <w:szCs w:val="22"/>
        </w:rPr>
        <w:t xml:space="preserve"> requests to extend the</w:t>
      </w:r>
      <w:r w:rsidR="00645FB0" w:rsidRPr="00645FB0">
        <w:rPr>
          <w:sz w:val="22"/>
          <w:szCs w:val="22"/>
        </w:rPr>
        <w:t xml:space="preserve"> reply comment deadline in response to the </w:t>
      </w:r>
      <w:r w:rsidR="00645FB0" w:rsidRPr="00645FB0">
        <w:rPr>
          <w:i/>
          <w:sz w:val="22"/>
          <w:szCs w:val="22"/>
        </w:rPr>
        <w:t xml:space="preserve">Notice </w:t>
      </w:r>
      <w:r w:rsidR="00645FB0" w:rsidRPr="00645FB0">
        <w:rPr>
          <w:sz w:val="22"/>
          <w:szCs w:val="22"/>
        </w:rPr>
        <w:t>by 60 days</w:t>
      </w:r>
      <w:r w:rsidR="00822AE8">
        <w:rPr>
          <w:sz w:val="22"/>
          <w:szCs w:val="22"/>
        </w:rPr>
        <w:t>,</w:t>
      </w:r>
      <w:r w:rsidR="00645FB0" w:rsidRPr="00645FB0">
        <w:rPr>
          <w:sz w:val="22"/>
          <w:szCs w:val="22"/>
        </w:rPr>
        <w:t xml:space="preserve"> to May 16, 2014</w:t>
      </w:r>
      <w:r>
        <w:rPr>
          <w:sz w:val="22"/>
          <w:szCs w:val="22"/>
        </w:rPr>
        <w:t>.</w:t>
      </w:r>
      <w:r>
        <w:rPr>
          <w:rStyle w:val="FootnoteReference"/>
          <w:sz w:val="22"/>
          <w:szCs w:val="22"/>
        </w:rPr>
        <w:footnoteReference w:id="3"/>
      </w:r>
      <w:r>
        <w:rPr>
          <w:sz w:val="22"/>
          <w:szCs w:val="22"/>
        </w:rPr>
        <w:t xml:space="preserve">  The </w:t>
      </w:r>
      <w:r w:rsidR="00D95086">
        <w:rPr>
          <w:sz w:val="22"/>
          <w:szCs w:val="22"/>
        </w:rPr>
        <w:t>Joint Motion and the CTIA Request</w:t>
      </w:r>
      <w:r w:rsidR="00C716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contend that this extension is warranted </w:t>
      </w:r>
      <w:r w:rsidR="00D95086">
        <w:rPr>
          <w:sz w:val="22"/>
          <w:szCs w:val="22"/>
        </w:rPr>
        <w:t xml:space="preserve">for parties </w:t>
      </w:r>
      <w:r>
        <w:rPr>
          <w:sz w:val="22"/>
          <w:szCs w:val="22"/>
        </w:rPr>
        <w:t xml:space="preserve">to </w:t>
      </w:r>
      <w:r w:rsidR="00425CA6">
        <w:rPr>
          <w:sz w:val="22"/>
          <w:szCs w:val="22"/>
        </w:rPr>
        <w:t>properly</w:t>
      </w:r>
      <w:r w:rsidR="00425CA6" w:rsidRPr="00425CA6">
        <w:rPr>
          <w:sz w:val="22"/>
          <w:szCs w:val="22"/>
        </w:rPr>
        <w:t xml:space="preserve"> address the complicated technological, </w:t>
      </w:r>
      <w:r w:rsidR="00425CA6">
        <w:rPr>
          <w:sz w:val="22"/>
          <w:szCs w:val="22"/>
        </w:rPr>
        <w:t xml:space="preserve">legal, </w:t>
      </w:r>
      <w:r w:rsidR="00D95086">
        <w:rPr>
          <w:sz w:val="22"/>
          <w:szCs w:val="22"/>
        </w:rPr>
        <w:t xml:space="preserve">and policy issues raised </w:t>
      </w:r>
      <w:r w:rsidR="00425CA6" w:rsidRPr="00425CA6">
        <w:rPr>
          <w:sz w:val="22"/>
          <w:szCs w:val="22"/>
        </w:rPr>
        <w:t xml:space="preserve">by the </w:t>
      </w:r>
      <w:r w:rsidR="00425CA6" w:rsidRPr="00425CA6">
        <w:rPr>
          <w:i/>
          <w:sz w:val="22"/>
          <w:szCs w:val="22"/>
        </w:rPr>
        <w:t>Notice</w:t>
      </w:r>
      <w:r w:rsidR="00425CA6" w:rsidRPr="00425CA6">
        <w:rPr>
          <w:sz w:val="22"/>
          <w:szCs w:val="22"/>
        </w:rPr>
        <w:t xml:space="preserve"> and the initial comments</w:t>
      </w:r>
      <w:r w:rsidR="003F46A8">
        <w:rPr>
          <w:sz w:val="22"/>
          <w:szCs w:val="22"/>
        </w:rPr>
        <w:t>.</w:t>
      </w:r>
      <w:r>
        <w:rPr>
          <w:rStyle w:val="FootnoteReference"/>
          <w:sz w:val="22"/>
          <w:szCs w:val="22"/>
        </w:rPr>
        <w:footnoteReference w:id="4"/>
      </w:r>
      <w:r w:rsidR="003F46A8">
        <w:rPr>
          <w:sz w:val="22"/>
          <w:szCs w:val="22"/>
        </w:rPr>
        <w:t xml:space="preserve">  The Joint Motion and </w:t>
      </w:r>
      <w:r w:rsidR="007E065F">
        <w:rPr>
          <w:sz w:val="22"/>
          <w:szCs w:val="22"/>
        </w:rPr>
        <w:t xml:space="preserve">the </w:t>
      </w:r>
      <w:r w:rsidR="003F46A8">
        <w:rPr>
          <w:sz w:val="22"/>
          <w:szCs w:val="22"/>
        </w:rPr>
        <w:t>CTIA request also assert</w:t>
      </w:r>
      <w:r w:rsidR="00D95086">
        <w:rPr>
          <w:sz w:val="22"/>
          <w:szCs w:val="22"/>
        </w:rPr>
        <w:t xml:space="preserve"> that </w:t>
      </w:r>
      <w:r w:rsidR="00193701">
        <w:rPr>
          <w:sz w:val="22"/>
          <w:szCs w:val="22"/>
        </w:rPr>
        <w:t xml:space="preserve">the additional time will provide </w:t>
      </w:r>
      <w:r w:rsidR="00D95086">
        <w:rPr>
          <w:sz w:val="22"/>
          <w:szCs w:val="22"/>
        </w:rPr>
        <w:t>various</w:t>
      </w:r>
      <w:r w:rsidR="009E7850">
        <w:rPr>
          <w:sz w:val="22"/>
          <w:szCs w:val="22"/>
        </w:rPr>
        <w:t xml:space="preserve"> stakeholders </w:t>
      </w:r>
      <w:r w:rsidR="00955656">
        <w:rPr>
          <w:sz w:val="22"/>
          <w:szCs w:val="22"/>
        </w:rPr>
        <w:t>– including AeroMobile, Panasonic, and CTIA –</w:t>
      </w:r>
      <w:r w:rsidR="00193701">
        <w:rPr>
          <w:sz w:val="22"/>
          <w:szCs w:val="22"/>
        </w:rPr>
        <w:t xml:space="preserve"> </w:t>
      </w:r>
      <w:r w:rsidR="005C3ECA">
        <w:rPr>
          <w:sz w:val="22"/>
          <w:szCs w:val="22"/>
        </w:rPr>
        <w:t>am</w:t>
      </w:r>
      <w:r w:rsidR="000C30F2">
        <w:rPr>
          <w:sz w:val="22"/>
          <w:szCs w:val="22"/>
        </w:rPr>
        <w:t>ple</w:t>
      </w:r>
      <w:r w:rsidR="00C71635">
        <w:rPr>
          <w:sz w:val="22"/>
          <w:szCs w:val="22"/>
        </w:rPr>
        <w:t xml:space="preserve"> opportunity to consult with each other</w:t>
      </w:r>
      <w:r w:rsidR="00193701">
        <w:rPr>
          <w:sz w:val="22"/>
          <w:szCs w:val="22"/>
        </w:rPr>
        <w:t xml:space="preserve"> on technical issues</w:t>
      </w:r>
      <w:r w:rsidR="00C71635">
        <w:rPr>
          <w:sz w:val="22"/>
          <w:szCs w:val="22"/>
        </w:rPr>
        <w:t>.</w:t>
      </w:r>
      <w:r w:rsidR="00D95086">
        <w:rPr>
          <w:rStyle w:val="FootnoteReference"/>
          <w:sz w:val="22"/>
          <w:szCs w:val="22"/>
        </w:rPr>
        <w:footnoteReference w:id="5"/>
      </w:r>
    </w:p>
    <w:p w:rsidR="0021067B" w:rsidRDefault="0021067B" w:rsidP="007140D7">
      <w:pPr>
        <w:ind w:firstLine="720"/>
        <w:rPr>
          <w:sz w:val="22"/>
          <w:szCs w:val="22"/>
        </w:rPr>
      </w:pPr>
    </w:p>
    <w:p w:rsidR="007140D7" w:rsidRDefault="00D95086" w:rsidP="0021067B">
      <w:pPr>
        <w:ind w:firstLine="720"/>
        <w:rPr>
          <w:sz w:val="22"/>
          <w:szCs w:val="22"/>
        </w:rPr>
      </w:pPr>
      <w:r>
        <w:rPr>
          <w:sz w:val="22"/>
          <w:szCs w:val="22"/>
        </w:rPr>
        <w:t>Specifically, t</w:t>
      </w:r>
      <w:r w:rsidR="00425CA6">
        <w:rPr>
          <w:sz w:val="22"/>
          <w:szCs w:val="22"/>
        </w:rPr>
        <w:t xml:space="preserve">he </w:t>
      </w:r>
      <w:r w:rsidR="007140D7">
        <w:rPr>
          <w:sz w:val="22"/>
          <w:szCs w:val="22"/>
        </w:rPr>
        <w:t>Joint Motion</w:t>
      </w:r>
      <w:r w:rsidR="00425CA6">
        <w:rPr>
          <w:sz w:val="22"/>
          <w:szCs w:val="22"/>
        </w:rPr>
        <w:t xml:space="preserve"> states that</w:t>
      </w:r>
      <w:r w:rsidR="007140D7">
        <w:rPr>
          <w:sz w:val="22"/>
          <w:szCs w:val="22"/>
        </w:rPr>
        <w:t xml:space="preserve"> more time is necessary </w:t>
      </w:r>
      <w:r w:rsidR="007140D7" w:rsidRPr="007140D7">
        <w:rPr>
          <w:sz w:val="22"/>
          <w:szCs w:val="22"/>
        </w:rPr>
        <w:t xml:space="preserve">for consultations </w:t>
      </w:r>
      <w:r w:rsidR="007140D7">
        <w:rPr>
          <w:sz w:val="22"/>
          <w:szCs w:val="22"/>
        </w:rPr>
        <w:t>regarding</w:t>
      </w:r>
      <w:r w:rsidR="007140D7" w:rsidRPr="007140D7">
        <w:rPr>
          <w:sz w:val="22"/>
          <w:szCs w:val="22"/>
        </w:rPr>
        <w:t xml:space="preserve"> </w:t>
      </w:r>
      <w:r w:rsidR="007140D7">
        <w:rPr>
          <w:sz w:val="22"/>
          <w:szCs w:val="22"/>
        </w:rPr>
        <w:t>“</w:t>
      </w:r>
      <w:r w:rsidR="00955656">
        <w:rPr>
          <w:sz w:val="22"/>
          <w:szCs w:val="22"/>
        </w:rPr>
        <w:t>t</w:t>
      </w:r>
      <w:r w:rsidR="007140D7" w:rsidRPr="007140D7">
        <w:rPr>
          <w:sz w:val="22"/>
          <w:szCs w:val="22"/>
        </w:rPr>
        <w:t>he technical studies and authorization regime supporting</w:t>
      </w:r>
      <w:r w:rsidR="007140D7">
        <w:rPr>
          <w:sz w:val="22"/>
          <w:szCs w:val="22"/>
        </w:rPr>
        <w:t xml:space="preserve"> </w:t>
      </w:r>
      <w:r w:rsidR="007140D7" w:rsidRPr="007140D7">
        <w:rPr>
          <w:sz w:val="22"/>
          <w:szCs w:val="22"/>
        </w:rPr>
        <w:t xml:space="preserve">in-flight mobile communications </w:t>
      </w:r>
      <w:r w:rsidR="007140D7">
        <w:rPr>
          <w:sz w:val="22"/>
          <w:szCs w:val="22"/>
        </w:rPr>
        <w:t xml:space="preserve">in Europe and </w:t>
      </w:r>
      <w:r w:rsidR="007140D7">
        <w:rPr>
          <w:sz w:val="22"/>
          <w:szCs w:val="22"/>
        </w:rPr>
        <w:lastRenderedPageBreak/>
        <w:t>elsewhere</w:t>
      </w:r>
      <w:r w:rsidR="00E07CC2">
        <w:rPr>
          <w:sz w:val="22"/>
          <w:szCs w:val="22"/>
        </w:rPr>
        <w:t>.</w:t>
      </w:r>
      <w:r w:rsidR="007140D7">
        <w:rPr>
          <w:sz w:val="22"/>
          <w:szCs w:val="22"/>
        </w:rPr>
        <w:t>”</w:t>
      </w:r>
      <w:r w:rsidR="00425CA6">
        <w:rPr>
          <w:rStyle w:val="FootnoteReference"/>
          <w:sz w:val="22"/>
          <w:szCs w:val="22"/>
        </w:rPr>
        <w:footnoteReference w:id="6"/>
      </w:r>
      <w:r w:rsidR="007140D7">
        <w:rPr>
          <w:sz w:val="22"/>
          <w:szCs w:val="22"/>
        </w:rPr>
        <w:t xml:space="preserve">  </w:t>
      </w:r>
      <w:r w:rsidR="0021067B">
        <w:rPr>
          <w:sz w:val="22"/>
          <w:szCs w:val="22"/>
        </w:rPr>
        <w:t xml:space="preserve">The Joint Motion also notes that </w:t>
      </w:r>
      <w:r w:rsidR="0021067B" w:rsidRPr="0021067B">
        <w:rPr>
          <w:sz w:val="22"/>
          <w:szCs w:val="22"/>
        </w:rPr>
        <w:t xml:space="preserve">an extension of time would </w:t>
      </w:r>
      <w:r w:rsidR="0021067B">
        <w:rPr>
          <w:sz w:val="22"/>
          <w:szCs w:val="22"/>
        </w:rPr>
        <w:t>“</w:t>
      </w:r>
      <w:r w:rsidR="0021067B" w:rsidRPr="0021067B">
        <w:rPr>
          <w:sz w:val="22"/>
          <w:szCs w:val="22"/>
        </w:rPr>
        <w:t>enable interested parties to consider comments</w:t>
      </w:r>
      <w:r w:rsidR="0021067B">
        <w:rPr>
          <w:sz w:val="22"/>
          <w:szCs w:val="22"/>
        </w:rPr>
        <w:t xml:space="preserve"> </w:t>
      </w:r>
      <w:r w:rsidR="0021067B" w:rsidRPr="0021067B">
        <w:rPr>
          <w:sz w:val="22"/>
          <w:szCs w:val="22"/>
        </w:rPr>
        <w:t>submitted in other proceedings, including the Department of Transportation Advance</w:t>
      </w:r>
      <w:r w:rsidR="0021067B">
        <w:rPr>
          <w:sz w:val="22"/>
          <w:szCs w:val="22"/>
        </w:rPr>
        <w:t xml:space="preserve"> </w:t>
      </w:r>
      <w:r w:rsidR="0021067B" w:rsidRPr="0021067B">
        <w:rPr>
          <w:sz w:val="22"/>
          <w:szCs w:val="22"/>
        </w:rPr>
        <w:t>Notice of Proposed Rulemaking seeking comment on voice services onboard</w:t>
      </w:r>
      <w:r w:rsidR="0021067B">
        <w:rPr>
          <w:sz w:val="22"/>
          <w:szCs w:val="22"/>
        </w:rPr>
        <w:t xml:space="preserve"> aircraft.”</w:t>
      </w:r>
      <w:r w:rsidR="0021067B" w:rsidRPr="0021067B">
        <w:rPr>
          <w:rStyle w:val="FootnoteReference"/>
          <w:sz w:val="22"/>
          <w:szCs w:val="22"/>
        </w:rPr>
        <w:t xml:space="preserve"> </w:t>
      </w:r>
      <w:r w:rsidR="0021067B">
        <w:rPr>
          <w:rStyle w:val="FootnoteReference"/>
          <w:sz w:val="22"/>
          <w:szCs w:val="22"/>
        </w:rPr>
        <w:footnoteReference w:id="7"/>
      </w:r>
    </w:p>
    <w:p w:rsidR="007140D7" w:rsidRDefault="007140D7" w:rsidP="007140D7">
      <w:pPr>
        <w:ind w:firstLine="720"/>
        <w:rPr>
          <w:sz w:val="22"/>
          <w:szCs w:val="22"/>
        </w:rPr>
      </w:pPr>
    </w:p>
    <w:p w:rsidR="004658BC" w:rsidRDefault="00E07CC2" w:rsidP="0096009C">
      <w:pPr>
        <w:ind w:firstLine="720"/>
        <w:rPr>
          <w:sz w:val="22"/>
          <w:szCs w:val="22"/>
        </w:rPr>
      </w:pPr>
      <w:r>
        <w:rPr>
          <w:sz w:val="22"/>
          <w:szCs w:val="22"/>
        </w:rPr>
        <w:t>T</w:t>
      </w:r>
      <w:r w:rsidR="007140D7">
        <w:rPr>
          <w:sz w:val="22"/>
          <w:szCs w:val="22"/>
        </w:rPr>
        <w:t xml:space="preserve">he CTIA Request </w:t>
      </w:r>
      <w:r>
        <w:rPr>
          <w:sz w:val="22"/>
          <w:szCs w:val="22"/>
        </w:rPr>
        <w:t xml:space="preserve">similarly </w:t>
      </w:r>
      <w:r w:rsidR="007140D7">
        <w:rPr>
          <w:sz w:val="22"/>
          <w:szCs w:val="22"/>
        </w:rPr>
        <w:t>states that an extension i</w:t>
      </w:r>
      <w:r w:rsidR="00D84E1E">
        <w:rPr>
          <w:sz w:val="22"/>
          <w:szCs w:val="22"/>
        </w:rPr>
        <w:t>s</w:t>
      </w:r>
      <w:r w:rsidR="007140D7">
        <w:rPr>
          <w:sz w:val="22"/>
          <w:szCs w:val="22"/>
        </w:rPr>
        <w:t xml:space="preserve"> needed so that parties can</w:t>
      </w:r>
      <w:r w:rsidR="007140D7" w:rsidRPr="00425CA6">
        <w:rPr>
          <w:sz w:val="22"/>
          <w:szCs w:val="22"/>
        </w:rPr>
        <w:t xml:space="preserve"> </w:t>
      </w:r>
      <w:r w:rsidR="00C71635">
        <w:rPr>
          <w:sz w:val="22"/>
          <w:szCs w:val="22"/>
        </w:rPr>
        <w:t>“</w:t>
      </w:r>
      <w:r w:rsidR="007140D7" w:rsidRPr="00425CA6">
        <w:rPr>
          <w:sz w:val="22"/>
          <w:szCs w:val="22"/>
        </w:rPr>
        <w:t xml:space="preserve">conduct much needed interference and other technological analyses, consider other existing studies beyond those discussed in the </w:t>
      </w:r>
      <w:r w:rsidR="007140D7" w:rsidRPr="00425CA6">
        <w:rPr>
          <w:i/>
          <w:sz w:val="22"/>
          <w:szCs w:val="22"/>
        </w:rPr>
        <w:t>Notice</w:t>
      </w:r>
      <w:r w:rsidR="007140D7" w:rsidRPr="00425CA6">
        <w:rPr>
          <w:sz w:val="22"/>
          <w:szCs w:val="22"/>
        </w:rPr>
        <w:t>, and follow up on questions and issues sparked by commenters who discussed the inflight systems that have been deployed abroad.</w:t>
      </w:r>
      <w:r w:rsidR="007140D7">
        <w:rPr>
          <w:sz w:val="22"/>
          <w:szCs w:val="22"/>
        </w:rPr>
        <w:t>”</w:t>
      </w:r>
      <w:r w:rsidR="007140D7">
        <w:rPr>
          <w:rStyle w:val="FootnoteReference"/>
          <w:sz w:val="22"/>
          <w:szCs w:val="22"/>
        </w:rPr>
        <w:footnoteReference w:id="8"/>
      </w:r>
      <w:r w:rsidR="007140D7">
        <w:rPr>
          <w:sz w:val="22"/>
          <w:szCs w:val="22"/>
        </w:rPr>
        <w:t xml:space="preserve">  </w:t>
      </w:r>
      <w:r w:rsidR="0021067B">
        <w:rPr>
          <w:sz w:val="22"/>
          <w:szCs w:val="22"/>
        </w:rPr>
        <w:t>The CTIA Request also notes the large number of comments tha</w:t>
      </w:r>
      <w:r w:rsidR="007C03C2">
        <w:rPr>
          <w:sz w:val="22"/>
          <w:szCs w:val="22"/>
        </w:rPr>
        <w:t>t have been filed in the docket,</w:t>
      </w:r>
      <w:r w:rsidR="0096009C">
        <w:rPr>
          <w:sz w:val="22"/>
          <w:szCs w:val="22"/>
        </w:rPr>
        <w:t xml:space="preserve"> stating that</w:t>
      </w:r>
      <w:r w:rsidR="0096009C" w:rsidRPr="0096009C">
        <w:t xml:space="preserve"> </w:t>
      </w:r>
      <w:r w:rsidR="0096009C">
        <w:t>“</w:t>
      </w:r>
      <w:r w:rsidR="0096009C">
        <w:rPr>
          <w:sz w:val="22"/>
          <w:szCs w:val="22"/>
        </w:rPr>
        <w:t>[t]</w:t>
      </w:r>
      <w:r w:rsidR="0096009C" w:rsidRPr="0096009C">
        <w:rPr>
          <w:sz w:val="22"/>
          <w:szCs w:val="22"/>
        </w:rPr>
        <w:t>he Commission should</w:t>
      </w:r>
      <w:r w:rsidR="0096009C">
        <w:rPr>
          <w:sz w:val="22"/>
          <w:szCs w:val="22"/>
        </w:rPr>
        <w:t xml:space="preserve"> </w:t>
      </w:r>
      <w:r w:rsidR="0096009C" w:rsidRPr="0096009C">
        <w:rPr>
          <w:sz w:val="22"/>
          <w:szCs w:val="22"/>
        </w:rPr>
        <w:t>strive to ensure that the record contains a meaningful opportunity to contribute input into this</w:t>
      </w:r>
      <w:r w:rsidR="0096009C">
        <w:rPr>
          <w:sz w:val="22"/>
          <w:szCs w:val="22"/>
        </w:rPr>
        <w:t xml:space="preserve"> highly watched rulemaking</w:t>
      </w:r>
      <w:r w:rsidR="0021067B">
        <w:rPr>
          <w:sz w:val="22"/>
          <w:szCs w:val="22"/>
        </w:rPr>
        <w:t>.</w:t>
      </w:r>
      <w:r w:rsidR="0096009C">
        <w:rPr>
          <w:sz w:val="22"/>
          <w:szCs w:val="22"/>
        </w:rPr>
        <w:t>”</w:t>
      </w:r>
      <w:r w:rsidR="0021067B">
        <w:rPr>
          <w:rStyle w:val="FootnoteReference"/>
          <w:sz w:val="22"/>
          <w:szCs w:val="22"/>
        </w:rPr>
        <w:footnoteReference w:id="9"/>
      </w:r>
      <w:r w:rsidR="0021067B">
        <w:rPr>
          <w:sz w:val="22"/>
          <w:szCs w:val="22"/>
        </w:rPr>
        <w:t xml:space="preserve"> </w:t>
      </w:r>
    </w:p>
    <w:p w:rsidR="004658BC" w:rsidRDefault="004658BC">
      <w:pPr>
        <w:ind w:firstLine="720"/>
        <w:rPr>
          <w:sz w:val="22"/>
          <w:szCs w:val="22"/>
        </w:rPr>
      </w:pPr>
    </w:p>
    <w:p w:rsidR="004658BC" w:rsidRDefault="004658BC">
      <w:pPr>
        <w:ind w:firstLine="720"/>
        <w:rPr>
          <w:sz w:val="22"/>
          <w:szCs w:val="22"/>
        </w:rPr>
      </w:pPr>
      <w:r>
        <w:rPr>
          <w:sz w:val="22"/>
          <w:szCs w:val="22"/>
        </w:rPr>
        <w:t>It is the general policy of the Commission that extensions of time shall not be routinely granted.</w:t>
      </w:r>
      <w:r>
        <w:rPr>
          <w:rStyle w:val="FootnoteReference"/>
          <w:sz w:val="22"/>
          <w:szCs w:val="22"/>
        </w:rPr>
        <w:footnoteReference w:id="10"/>
      </w:r>
      <w:r>
        <w:rPr>
          <w:sz w:val="22"/>
          <w:szCs w:val="22"/>
        </w:rPr>
        <w:t xml:space="preserve">  However, under these</w:t>
      </w:r>
      <w:r w:rsidR="0096009C">
        <w:rPr>
          <w:sz w:val="22"/>
          <w:szCs w:val="22"/>
        </w:rPr>
        <w:t xml:space="preserve"> circumstances, we agree that an </w:t>
      </w:r>
      <w:r>
        <w:rPr>
          <w:sz w:val="22"/>
          <w:szCs w:val="22"/>
        </w:rPr>
        <w:t xml:space="preserve">extension of time to file reply comments is warranted to ensure that the Commission obtains a complete and thorough </w:t>
      </w:r>
      <w:r w:rsidR="00E07CC2">
        <w:rPr>
          <w:sz w:val="22"/>
          <w:szCs w:val="22"/>
        </w:rPr>
        <w:t xml:space="preserve">technical </w:t>
      </w:r>
      <w:r>
        <w:rPr>
          <w:sz w:val="22"/>
          <w:szCs w:val="22"/>
        </w:rPr>
        <w:t xml:space="preserve">record in response to the </w:t>
      </w:r>
      <w:r w:rsidR="0096009C">
        <w:rPr>
          <w:i/>
          <w:sz w:val="22"/>
          <w:szCs w:val="22"/>
        </w:rPr>
        <w:t>Notice</w:t>
      </w:r>
      <w:r>
        <w:rPr>
          <w:sz w:val="22"/>
          <w:szCs w:val="22"/>
        </w:rPr>
        <w:t xml:space="preserve">.  </w:t>
      </w:r>
      <w:r w:rsidR="00640A3C" w:rsidRPr="00953B3B">
        <w:rPr>
          <w:sz w:val="22"/>
          <w:szCs w:val="22"/>
        </w:rPr>
        <w:t xml:space="preserve">The </w:t>
      </w:r>
      <w:r w:rsidR="00640A3C" w:rsidRPr="00953B3B">
        <w:rPr>
          <w:i/>
          <w:sz w:val="22"/>
          <w:szCs w:val="22"/>
        </w:rPr>
        <w:t>Notice</w:t>
      </w:r>
      <w:r w:rsidR="00640A3C" w:rsidRPr="00953B3B">
        <w:rPr>
          <w:sz w:val="22"/>
          <w:szCs w:val="22"/>
        </w:rPr>
        <w:t xml:space="preserve"> specifically sought comment on technological solutions that may enable interference-free operation of wireless devices aboard airborne aircraft, and requested that commenters provide technical </w:t>
      </w:r>
      <w:r w:rsidR="00640A3C">
        <w:rPr>
          <w:sz w:val="22"/>
          <w:szCs w:val="22"/>
        </w:rPr>
        <w:t>analysis</w:t>
      </w:r>
      <w:r w:rsidR="00640A3C" w:rsidRPr="00953B3B">
        <w:rPr>
          <w:sz w:val="22"/>
          <w:szCs w:val="22"/>
        </w:rPr>
        <w:t xml:space="preserve"> in support of their comments.  We conclude that a short extension of time is warranted to enable interested parties sufficient opportunity to review </w:t>
      </w:r>
      <w:r w:rsidR="00640A3C">
        <w:rPr>
          <w:sz w:val="22"/>
          <w:szCs w:val="22"/>
        </w:rPr>
        <w:t xml:space="preserve">and respond to </w:t>
      </w:r>
      <w:r w:rsidR="00640A3C" w:rsidRPr="00953B3B">
        <w:rPr>
          <w:sz w:val="22"/>
          <w:szCs w:val="22"/>
        </w:rPr>
        <w:t xml:space="preserve">the complex </w:t>
      </w:r>
      <w:r w:rsidR="00640A3C">
        <w:rPr>
          <w:sz w:val="22"/>
          <w:szCs w:val="22"/>
        </w:rPr>
        <w:t xml:space="preserve">technical </w:t>
      </w:r>
      <w:r w:rsidR="00640A3C" w:rsidRPr="00953B3B">
        <w:rPr>
          <w:sz w:val="22"/>
          <w:szCs w:val="22"/>
        </w:rPr>
        <w:t xml:space="preserve">issues raised by the </w:t>
      </w:r>
      <w:r w:rsidR="00640A3C" w:rsidRPr="00953B3B">
        <w:rPr>
          <w:i/>
          <w:sz w:val="22"/>
          <w:szCs w:val="22"/>
        </w:rPr>
        <w:t>Notice</w:t>
      </w:r>
      <w:r w:rsidR="00640A3C">
        <w:rPr>
          <w:i/>
          <w:sz w:val="22"/>
          <w:szCs w:val="22"/>
        </w:rPr>
        <w:t xml:space="preserve">.  </w:t>
      </w:r>
      <w:r>
        <w:rPr>
          <w:sz w:val="22"/>
          <w:szCs w:val="22"/>
        </w:rPr>
        <w:t>Accordingly,</w:t>
      </w:r>
      <w:r w:rsidR="0021067B">
        <w:rPr>
          <w:sz w:val="22"/>
          <w:szCs w:val="22"/>
        </w:rPr>
        <w:t xml:space="preserve"> pursuant to</w:t>
      </w:r>
      <w:r>
        <w:rPr>
          <w:sz w:val="22"/>
          <w:szCs w:val="22"/>
        </w:rPr>
        <w:t xml:space="preserve"> </w:t>
      </w:r>
      <w:r w:rsidR="00E81537">
        <w:rPr>
          <w:sz w:val="22"/>
          <w:szCs w:val="22"/>
        </w:rPr>
        <w:t>S</w:t>
      </w:r>
      <w:r w:rsidR="00E81537" w:rsidRPr="00E81537">
        <w:rPr>
          <w:sz w:val="22"/>
          <w:szCs w:val="22"/>
        </w:rPr>
        <w:t>ection 4(i) of the Communications Act of 1934, as amended,</w:t>
      </w:r>
      <w:r w:rsidR="00E81537">
        <w:rPr>
          <w:rStyle w:val="FootnoteReference"/>
          <w:sz w:val="22"/>
          <w:szCs w:val="22"/>
        </w:rPr>
        <w:footnoteReference w:id="11"/>
      </w:r>
      <w:r w:rsidR="00E81537">
        <w:rPr>
          <w:sz w:val="22"/>
          <w:szCs w:val="22"/>
        </w:rPr>
        <w:t xml:space="preserve"> and S</w:t>
      </w:r>
      <w:r w:rsidR="00E81537" w:rsidRPr="00E81537">
        <w:rPr>
          <w:sz w:val="22"/>
          <w:szCs w:val="22"/>
        </w:rPr>
        <w:t>ection 1.46 of the Commission's rules,</w:t>
      </w:r>
      <w:r w:rsidR="00E81537">
        <w:rPr>
          <w:rStyle w:val="FootnoteReference"/>
          <w:sz w:val="22"/>
          <w:szCs w:val="22"/>
        </w:rPr>
        <w:footnoteReference w:id="12"/>
      </w:r>
      <w:r w:rsidR="00E81537" w:rsidRPr="00E815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 extend the deadline for filing reply comments until </w:t>
      </w:r>
      <w:r w:rsidR="0096009C" w:rsidRPr="0096009C">
        <w:rPr>
          <w:sz w:val="22"/>
          <w:szCs w:val="22"/>
        </w:rPr>
        <w:t>May 16, 2014</w:t>
      </w:r>
      <w:r>
        <w:rPr>
          <w:sz w:val="22"/>
          <w:szCs w:val="22"/>
        </w:rPr>
        <w:t>.</w:t>
      </w:r>
    </w:p>
    <w:p w:rsidR="004658BC" w:rsidRDefault="004658BC">
      <w:pPr>
        <w:ind w:firstLine="720"/>
        <w:rPr>
          <w:sz w:val="22"/>
          <w:szCs w:val="22"/>
        </w:rPr>
      </w:pPr>
    </w:p>
    <w:p w:rsidR="004658BC" w:rsidRDefault="004658BC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For further information, please contact </w:t>
      </w:r>
      <w:r w:rsidR="0021067B">
        <w:rPr>
          <w:sz w:val="22"/>
          <w:szCs w:val="22"/>
        </w:rPr>
        <w:t>Amanda Huetinck</w:t>
      </w:r>
      <w:r>
        <w:rPr>
          <w:sz w:val="22"/>
          <w:szCs w:val="22"/>
        </w:rPr>
        <w:t xml:space="preserve"> of the Wireless Telecommunications Bureau, Mobility Division, at (202) 418-</w:t>
      </w:r>
      <w:r w:rsidR="0021067B">
        <w:rPr>
          <w:sz w:val="22"/>
          <w:szCs w:val="22"/>
        </w:rPr>
        <w:t>7090</w:t>
      </w:r>
      <w:r>
        <w:rPr>
          <w:sz w:val="22"/>
          <w:szCs w:val="22"/>
        </w:rPr>
        <w:t xml:space="preserve"> or </w:t>
      </w:r>
      <w:r w:rsidR="0021067B">
        <w:rPr>
          <w:sz w:val="22"/>
          <w:szCs w:val="22"/>
        </w:rPr>
        <w:t>Amanda.</w:t>
      </w:r>
      <w:r w:rsidR="002620EF">
        <w:rPr>
          <w:sz w:val="22"/>
          <w:szCs w:val="22"/>
        </w:rPr>
        <w:t>H</w:t>
      </w:r>
      <w:r w:rsidR="0021067B">
        <w:rPr>
          <w:sz w:val="22"/>
          <w:szCs w:val="22"/>
        </w:rPr>
        <w:t>uetinck</w:t>
      </w:r>
      <w:r>
        <w:rPr>
          <w:sz w:val="22"/>
          <w:szCs w:val="22"/>
        </w:rPr>
        <w:t xml:space="preserve">@fcc.gov. </w:t>
      </w:r>
    </w:p>
    <w:p w:rsidR="004658BC" w:rsidRDefault="004658BC">
      <w:pPr>
        <w:ind w:firstLine="720"/>
        <w:rPr>
          <w:sz w:val="22"/>
          <w:szCs w:val="22"/>
        </w:rPr>
      </w:pPr>
    </w:p>
    <w:p w:rsidR="004658BC" w:rsidRDefault="004658BC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Action by the Chief, Mobility Division, Wireless Telecommunications Bureau.  </w:t>
      </w:r>
    </w:p>
    <w:p w:rsidR="004658BC" w:rsidRDefault="004658BC">
      <w:pPr>
        <w:pStyle w:val="BodyText2"/>
        <w:spacing w:line="228" w:lineRule="auto"/>
        <w:ind w:firstLine="720"/>
        <w:jc w:val="left"/>
        <w:rPr>
          <w:szCs w:val="22"/>
        </w:rPr>
      </w:pPr>
    </w:p>
    <w:p w:rsidR="004658BC" w:rsidRDefault="004658BC">
      <w:pPr>
        <w:pStyle w:val="BodyText2"/>
        <w:spacing w:line="228" w:lineRule="auto"/>
        <w:jc w:val="center"/>
        <w:rPr>
          <w:szCs w:val="22"/>
        </w:rPr>
      </w:pPr>
      <w:r>
        <w:rPr>
          <w:szCs w:val="22"/>
        </w:rPr>
        <w:t>- FCC -</w:t>
      </w:r>
    </w:p>
    <w:p w:rsidR="004658BC" w:rsidRDefault="004658BC">
      <w:pPr>
        <w:pStyle w:val="BodyText2"/>
        <w:tabs>
          <w:tab w:val="clear" w:pos="9360"/>
        </w:tabs>
        <w:spacing w:line="228" w:lineRule="auto"/>
        <w:ind w:firstLine="720"/>
        <w:jc w:val="left"/>
      </w:pPr>
    </w:p>
    <w:sectPr w:rsidR="004658BC">
      <w:type w:val="continuous"/>
      <w:pgSz w:w="12240" w:h="15840" w:code="1"/>
      <w:pgMar w:top="1368" w:right="1440" w:bottom="1368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35" w:rsidRDefault="00B21235">
      <w:r>
        <w:separator/>
      </w:r>
    </w:p>
  </w:endnote>
  <w:endnote w:type="continuationSeparator" w:id="0">
    <w:p w:rsidR="00B21235" w:rsidRDefault="00B2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6C" w:rsidRDefault="00593B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3B6C" w:rsidRDefault="00593B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6C" w:rsidRDefault="00593B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F14">
      <w:rPr>
        <w:rStyle w:val="PageNumber"/>
        <w:noProof/>
      </w:rPr>
      <w:t>2</w:t>
    </w:r>
    <w:r>
      <w:rPr>
        <w:rStyle w:val="PageNumber"/>
      </w:rPr>
      <w:fldChar w:fldCharType="end"/>
    </w:r>
  </w:p>
  <w:p w:rsidR="00593B6C" w:rsidRDefault="00593B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47" w:rsidRDefault="00F85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35" w:rsidRDefault="00B21235">
      <w:r>
        <w:separator/>
      </w:r>
    </w:p>
  </w:footnote>
  <w:footnote w:type="continuationSeparator" w:id="0">
    <w:p w:rsidR="00B21235" w:rsidRDefault="00B21235">
      <w:r>
        <w:continuationSeparator/>
      </w:r>
    </w:p>
  </w:footnote>
  <w:footnote w:id="1">
    <w:p w:rsidR="00593B6C" w:rsidRPr="00E81537" w:rsidRDefault="00593B6C" w:rsidP="00E81537">
      <w:pPr>
        <w:pStyle w:val="FootnoteText"/>
        <w:spacing w:after="120"/>
        <w:rPr>
          <w:sz w:val="20"/>
        </w:rPr>
      </w:pPr>
      <w:r w:rsidRPr="00E81537">
        <w:rPr>
          <w:rStyle w:val="FootnoteReference"/>
          <w:sz w:val="20"/>
        </w:rPr>
        <w:footnoteRef/>
      </w:r>
      <w:r w:rsidRPr="00E81537">
        <w:rPr>
          <w:sz w:val="20"/>
        </w:rPr>
        <w:t xml:space="preserve"> Expanding Access to Mobile Wireless Services Onboard Aircraft, Notice of Proposed Rulemaking, 28 FCC Rcd 17132 (2013) (</w:t>
      </w:r>
      <w:r w:rsidR="00B078BF">
        <w:rPr>
          <w:sz w:val="20"/>
        </w:rPr>
        <w:t>“</w:t>
      </w:r>
      <w:r w:rsidRPr="00E81537">
        <w:rPr>
          <w:i/>
          <w:sz w:val="20"/>
        </w:rPr>
        <w:t>Notice</w:t>
      </w:r>
      <w:r w:rsidR="00B078BF">
        <w:rPr>
          <w:sz w:val="20"/>
        </w:rPr>
        <w:t>”</w:t>
      </w:r>
      <w:r w:rsidRPr="00E81537">
        <w:rPr>
          <w:sz w:val="20"/>
        </w:rPr>
        <w:t xml:space="preserve">).  </w:t>
      </w:r>
    </w:p>
  </w:footnote>
  <w:footnote w:id="2">
    <w:p w:rsidR="00593B6C" w:rsidRPr="00E81537" w:rsidRDefault="00593B6C" w:rsidP="00E81537">
      <w:pPr>
        <w:pStyle w:val="FootnoteText"/>
        <w:spacing w:after="120"/>
        <w:rPr>
          <w:sz w:val="20"/>
        </w:rPr>
      </w:pPr>
      <w:r w:rsidRPr="00E81537">
        <w:rPr>
          <w:rStyle w:val="FootnoteReference"/>
          <w:sz w:val="20"/>
        </w:rPr>
        <w:footnoteRef/>
      </w:r>
      <w:r w:rsidRPr="00E81537">
        <w:rPr>
          <w:sz w:val="20"/>
        </w:rPr>
        <w:t xml:space="preserve"> The Notice sets forth a reply-comment date of 60 days after date of publication in the Federal Register.  </w:t>
      </w:r>
      <w:r w:rsidRPr="00E81537">
        <w:rPr>
          <w:i/>
          <w:sz w:val="20"/>
        </w:rPr>
        <w:t>Id</w:t>
      </w:r>
      <w:r w:rsidRPr="00E81537">
        <w:rPr>
          <w:sz w:val="20"/>
        </w:rPr>
        <w:t xml:space="preserve">.  The </w:t>
      </w:r>
      <w:r w:rsidRPr="00E81537">
        <w:rPr>
          <w:i/>
          <w:sz w:val="20"/>
        </w:rPr>
        <w:t>Notice</w:t>
      </w:r>
      <w:r w:rsidRPr="00E81537">
        <w:rPr>
          <w:sz w:val="20"/>
        </w:rPr>
        <w:t xml:space="preserve"> was published on January 15, 2014</w:t>
      </w:r>
      <w:r w:rsidR="003F46A8">
        <w:rPr>
          <w:sz w:val="20"/>
        </w:rPr>
        <w:t>, and reply comments were originally due on March 17, 2014</w:t>
      </w:r>
      <w:r w:rsidRPr="00E81537">
        <w:rPr>
          <w:sz w:val="20"/>
        </w:rPr>
        <w:t xml:space="preserve">.  </w:t>
      </w:r>
      <w:r w:rsidRPr="00E81537">
        <w:rPr>
          <w:i/>
          <w:sz w:val="20"/>
        </w:rPr>
        <w:t xml:space="preserve">See </w:t>
      </w:r>
      <w:r w:rsidRPr="00E81537">
        <w:rPr>
          <w:sz w:val="20"/>
        </w:rPr>
        <w:t>https://www.federalregister.gov/articles/2014/01/15/2013-31203/expanding-access-to-mobile-wireless-services-onboard-aircraft.</w:t>
      </w:r>
    </w:p>
  </w:footnote>
  <w:footnote w:id="3">
    <w:p w:rsidR="00593B6C" w:rsidRPr="00E81537" w:rsidRDefault="00593B6C" w:rsidP="00E81537">
      <w:pPr>
        <w:pStyle w:val="FootnoteText"/>
        <w:spacing w:after="120"/>
        <w:rPr>
          <w:sz w:val="20"/>
        </w:rPr>
      </w:pPr>
      <w:r w:rsidRPr="00E81537">
        <w:rPr>
          <w:rStyle w:val="FootnoteReference"/>
          <w:sz w:val="20"/>
        </w:rPr>
        <w:footnoteRef/>
      </w:r>
      <w:r w:rsidRPr="00E81537">
        <w:rPr>
          <w:sz w:val="20"/>
        </w:rPr>
        <w:t xml:space="preserve"> AeroMobile Communications Limited and Panasonic Avionics Corporation, Joint Motion for Extension of Time, WT Docket No. 13-301 (filed Feb. 28, 2014) (“Joint Motion”); CTIA – The Wireless Association, Request for Extension of Reply Comment Deadline, WT Docket No. 13-301 (filed Feb. 28, 2014) (“CTIA Request”).</w:t>
      </w:r>
    </w:p>
  </w:footnote>
  <w:footnote w:id="4">
    <w:p w:rsidR="00593B6C" w:rsidRPr="00E81537" w:rsidRDefault="00593B6C" w:rsidP="00E81537">
      <w:pPr>
        <w:pStyle w:val="FootnoteText"/>
        <w:spacing w:after="120"/>
        <w:rPr>
          <w:sz w:val="20"/>
        </w:rPr>
      </w:pPr>
      <w:r w:rsidRPr="00E81537">
        <w:rPr>
          <w:rStyle w:val="FootnoteReference"/>
          <w:sz w:val="20"/>
        </w:rPr>
        <w:footnoteRef/>
      </w:r>
      <w:r w:rsidRPr="00E81537">
        <w:rPr>
          <w:sz w:val="20"/>
        </w:rPr>
        <w:t xml:space="preserve"> </w:t>
      </w:r>
      <w:r w:rsidRPr="00E81537">
        <w:rPr>
          <w:i/>
          <w:sz w:val="20"/>
        </w:rPr>
        <w:t>See</w:t>
      </w:r>
      <w:r w:rsidRPr="00E81537">
        <w:rPr>
          <w:sz w:val="20"/>
        </w:rPr>
        <w:t xml:space="preserve"> Joint Motion at 1; CTIA Request 1.</w:t>
      </w:r>
    </w:p>
  </w:footnote>
  <w:footnote w:id="5">
    <w:p w:rsidR="00593B6C" w:rsidRPr="005C6A09" w:rsidRDefault="00593B6C" w:rsidP="00E81537">
      <w:pPr>
        <w:pStyle w:val="FootnoteText"/>
        <w:spacing w:after="120"/>
        <w:rPr>
          <w:sz w:val="20"/>
        </w:rPr>
      </w:pPr>
      <w:r w:rsidRPr="005C6A09">
        <w:rPr>
          <w:rStyle w:val="FootnoteReference"/>
          <w:sz w:val="20"/>
        </w:rPr>
        <w:footnoteRef/>
      </w:r>
      <w:r w:rsidRPr="005C6A09">
        <w:rPr>
          <w:sz w:val="20"/>
        </w:rPr>
        <w:t xml:space="preserve"> </w:t>
      </w:r>
      <w:r w:rsidRPr="00E81537">
        <w:rPr>
          <w:i/>
          <w:sz w:val="20"/>
        </w:rPr>
        <w:t>See</w:t>
      </w:r>
      <w:r w:rsidRPr="00E81537">
        <w:rPr>
          <w:sz w:val="20"/>
        </w:rPr>
        <w:t xml:space="preserve"> Joint Motion at 1</w:t>
      </w:r>
      <w:r w:rsidRPr="005C6A09">
        <w:rPr>
          <w:sz w:val="20"/>
        </w:rPr>
        <w:t>-2; CTIA Request 2.</w:t>
      </w:r>
    </w:p>
  </w:footnote>
  <w:footnote w:id="6">
    <w:p w:rsidR="00593B6C" w:rsidRPr="005C6A09" w:rsidRDefault="00593B6C" w:rsidP="005C6A09">
      <w:pPr>
        <w:pStyle w:val="FootnoteText"/>
        <w:spacing w:after="120"/>
        <w:rPr>
          <w:sz w:val="20"/>
        </w:rPr>
      </w:pPr>
      <w:r w:rsidRPr="00E81537">
        <w:rPr>
          <w:rStyle w:val="FootnoteReference"/>
          <w:sz w:val="20"/>
        </w:rPr>
        <w:footnoteRef/>
      </w:r>
      <w:r w:rsidRPr="00E81537">
        <w:rPr>
          <w:sz w:val="20"/>
        </w:rPr>
        <w:t xml:space="preserve"> Joint Mot</w:t>
      </w:r>
      <w:r w:rsidRPr="005C6A09">
        <w:rPr>
          <w:sz w:val="20"/>
        </w:rPr>
        <w:t>ion at 2.</w:t>
      </w:r>
    </w:p>
  </w:footnote>
  <w:footnote w:id="7">
    <w:p w:rsidR="00593B6C" w:rsidRPr="00E81537" w:rsidRDefault="00593B6C" w:rsidP="005C6A09">
      <w:pPr>
        <w:pStyle w:val="FootnoteText"/>
        <w:spacing w:after="120"/>
        <w:rPr>
          <w:sz w:val="20"/>
        </w:rPr>
      </w:pPr>
      <w:r w:rsidRPr="00E81537">
        <w:rPr>
          <w:rStyle w:val="FootnoteReference"/>
          <w:sz w:val="20"/>
        </w:rPr>
        <w:footnoteRef/>
      </w:r>
      <w:r w:rsidRPr="00E81537">
        <w:rPr>
          <w:sz w:val="20"/>
        </w:rPr>
        <w:t xml:space="preserve"> Joint Motion at 2.</w:t>
      </w:r>
    </w:p>
  </w:footnote>
  <w:footnote w:id="8">
    <w:p w:rsidR="00593B6C" w:rsidRPr="00E81537" w:rsidRDefault="00593B6C" w:rsidP="005C6A09">
      <w:pPr>
        <w:pStyle w:val="FootnoteText"/>
        <w:spacing w:after="120"/>
        <w:rPr>
          <w:sz w:val="20"/>
        </w:rPr>
      </w:pPr>
      <w:r w:rsidRPr="00E81537">
        <w:rPr>
          <w:rStyle w:val="FootnoteReference"/>
          <w:sz w:val="20"/>
        </w:rPr>
        <w:footnoteRef/>
      </w:r>
      <w:r w:rsidRPr="00E81537">
        <w:rPr>
          <w:sz w:val="20"/>
        </w:rPr>
        <w:t xml:space="preserve"> CTIA Request 2.</w:t>
      </w:r>
    </w:p>
  </w:footnote>
  <w:footnote w:id="9">
    <w:p w:rsidR="00593B6C" w:rsidRPr="005C6A09" w:rsidRDefault="00593B6C" w:rsidP="005C6A09">
      <w:pPr>
        <w:pStyle w:val="FootnoteText"/>
        <w:spacing w:after="120"/>
        <w:rPr>
          <w:i/>
          <w:sz w:val="20"/>
        </w:rPr>
      </w:pPr>
      <w:r w:rsidRPr="00E81537">
        <w:rPr>
          <w:rStyle w:val="FootnoteReference"/>
          <w:sz w:val="20"/>
        </w:rPr>
        <w:footnoteRef/>
      </w:r>
      <w:r w:rsidRPr="00E81537">
        <w:rPr>
          <w:sz w:val="20"/>
        </w:rPr>
        <w:t xml:space="preserve"> </w:t>
      </w:r>
      <w:r w:rsidRPr="00E81537">
        <w:rPr>
          <w:i/>
          <w:sz w:val="20"/>
        </w:rPr>
        <w:t>Id</w:t>
      </w:r>
      <w:r w:rsidRPr="005C6A09">
        <w:rPr>
          <w:sz w:val="20"/>
        </w:rPr>
        <w:t>.</w:t>
      </w:r>
    </w:p>
  </w:footnote>
  <w:footnote w:id="10">
    <w:p w:rsidR="00593B6C" w:rsidRPr="00E81537" w:rsidRDefault="00593B6C" w:rsidP="005C6A09">
      <w:pPr>
        <w:pStyle w:val="FootnoteText"/>
        <w:spacing w:after="120"/>
        <w:rPr>
          <w:sz w:val="20"/>
        </w:rPr>
      </w:pPr>
      <w:r w:rsidRPr="00E81537">
        <w:rPr>
          <w:rStyle w:val="FootnoteReference"/>
          <w:sz w:val="20"/>
        </w:rPr>
        <w:footnoteRef/>
      </w:r>
      <w:r w:rsidRPr="00E81537">
        <w:rPr>
          <w:sz w:val="20"/>
        </w:rPr>
        <w:t xml:space="preserve"> 47 C.F.R. § 1.46(a).</w:t>
      </w:r>
    </w:p>
  </w:footnote>
  <w:footnote w:id="11">
    <w:p w:rsidR="00E81537" w:rsidRPr="00E81537" w:rsidRDefault="00E81537" w:rsidP="00E81537">
      <w:pPr>
        <w:pStyle w:val="FootnoteText"/>
        <w:spacing w:after="120"/>
        <w:rPr>
          <w:sz w:val="20"/>
        </w:rPr>
      </w:pPr>
      <w:r w:rsidRPr="00E81537">
        <w:rPr>
          <w:rStyle w:val="FootnoteReference"/>
          <w:sz w:val="20"/>
        </w:rPr>
        <w:footnoteRef/>
      </w:r>
      <w:r w:rsidRPr="00E81537">
        <w:rPr>
          <w:sz w:val="20"/>
        </w:rPr>
        <w:t xml:space="preserve"> 47 U.S.C. § 154(i).</w:t>
      </w:r>
    </w:p>
  </w:footnote>
  <w:footnote w:id="12">
    <w:p w:rsidR="00E81537" w:rsidRPr="00E81537" w:rsidRDefault="00E81537" w:rsidP="00E81537">
      <w:pPr>
        <w:pStyle w:val="FootnoteText"/>
        <w:spacing w:after="120"/>
        <w:rPr>
          <w:sz w:val="20"/>
        </w:rPr>
      </w:pPr>
      <w:r w:rsidRPr="00E81537">
        <w:rPr>
          <w:rStyle w:val="FootnoteReference"/>
          <w:sz w:val="20"/>
        </w:rPr>
        <w:footnoteRef/>
      </w:r>
      <w:r w:rsidRPr="00E81537">
        <w:rPr>
          <w:sz w:val="20"/>
        </w:rPr>
        <w:t xml:space="preserve"> 47 C.F.R. § 1.46</w:t>
      </w:r>
      <w:r w:rsidR="0054735F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47" w:rsidRDefault="00F854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47" w:rsidRDefault="00F854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6C" w:rsidRDefault="00654F14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B6C" w:rsidRDefault="00593B6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593B6C" w:rsidRDefault="00593B6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593B6C" w:rsidRDefault="00593B6C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" o:allowincell="f" stroked="f">
              <v:textbox>
                <w:txbxContent>
                  <w:p w:rsidR="00593B6C" w:rsidRDefault="00593B6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593B6C" w:rsidRDefault="00593B6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593B6C" w:rsidRDefault="00593B6C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593B6C">
      <w:rPr>
        <w:rFonts w:ascii="News Gothic MT" w:hAnsi="News Gothic MT"/>
        <w:b/>
        <w:kern w:val="28"/>
        <w:sz w:val="96"/>
      </w:rPr>
      <w:t>PUBLIC NOTICE</w:t>
    </w:r>
  </w:p>
  <w:p w:rsidR="00593B6C" w:rsidRDefault="00654F14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zF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e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Kv17M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B6C" w:rsidRDefault="00593B6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593B6C" w:rsidRDefault="00593B6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593B6C" w:rsidRDefault="00593B6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593B6C" w:rsidRDefault="00593B6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T/ga&#10;2Y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593B6C" w:rsidRDefault="00593B6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593B6C" w:rsidRDefault="00593B6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593B6C" w:rsidRDefault="00593B6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593B6C" w:rsidRDefault="00593B6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593B6C" w:rsidRDefault="00593B6C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D5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370266C"/>
    <w:multiLevelType w:val="hybridMultilevel"/>
    <w:tmpl w:val="930A4E2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17"/>
    <w:rsid w:val="00027D69"/>
    <w:rsid w:val="00030B81"/>
    <w:rsid w:val="0006219A"/>
    <w:rsid w:val="000C30F2"/>
    <w:rsid w:val="00144B79"/>
    <w:rsid w:val="0017497C"/>
    <w:rsid w:val="00176722"/>
    <w:rsid w:val="00193701"/>
    <w:rsid w:val="001C324B"/>
    <w:rsid w:val="001D1453"/>
    <w:rsid w:val="001D21E4"/>
    <w:rsid w:val="0021067B"/>
    <w:rsid w:val="002620EF"/>
    <w:rsid w:val="00276871"/>
    <w:rsid w:val="00313729"/>
    <w:rsid w:val="00323349"/>
    <w:rsid w:val="00393F82"/>
    <w:rsid w:val="003F46A8"/>
    <w:rsid w:val="00425CA6"/>
    <w:rsid w:val="004658BC"/>
    <w:rsid w:val="00493744"/>
    <w:rsid w:val="00525738"/>
    <w:rsid w:val="0054735F"/>
    <w:rsid w:val="00593B6C"/>
    <w:rsid w:val="005C3ECA"/>
    <w:rsid w:val="005C6A09"/>
    <w:rsid w:val="005F2CAE"/>
    <w:rsid w:val="005F7BEC"/>
    <w:rsid w:val="00640A3C"/>
    <w:rsid w:val="00645FB0"/>
    <w:rsid w:val="00654F14"/>
    <w:rsid w:val="00663754"/>
    <w:rsid w:val="006F6E21"/>
    <w:rsid w:val="007140D7"/>
    <w:rsid w:val="007C00A5"/>
    <w:rsid w:val="007C03C2"/>
    <w:rsid w:val="007E065F"/>
    <w:rsid w:val="00822AE8"/>
    <w:rsid w:val="00877AFB"/>
    <w:rsid w:val="008C51A4"/>
    <w:rsid w:val="008F15F2"/>
    <w:rsid w:val="00953B3B"/>
    <w:rsid w:val="00955656"/>
    <w:rsid w:val="0096009C"/>
    <w:rsid w:val="009E7850"/>
    <w:rsid w:val="00A63BEC"/>
    <w:rsid w:val="00A8413D"/>
    <w:rsid w:val="00AC7D0D"/>
    <w:rsid w:val="00B078BF"/>
    <w:rsid w:val="00B21235"/>
    <w:rsid w:val="00B41417"/>
    <w:rsid w:val="00B9635F"/>
    <w:rsid w:val="00C70222"/>
    <w:rsid w:val="00C71635"/>
    <w:rsid w:val="00CA27F7"/>
    <w:rsid w:val="00D3752A"/>
    <w:rsid w:val="00D37B7E"/>
    <w:rsid w:val="00D5425B"/>
    <w:rsid w:val="00D84E1E"/>
    <w:rsid w:val="00D95086"/>
    <w:rsid w:val="00DE3FA9"/>
    <w:rsid w:val="00E07CC2"/>
    <w:rsid w:val="00E5386E"/>
    <w:rsid w:val="00E81537"/>
    <w:rsid w:val="00EB0118"/>
    <w:rsid w:val="00F01ED4"/>
    <w:rsid w:val="00F1494E"/>
    <w:rsid w:val="00F8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link w:val="BlockTextChar"/>
    <w:pPr>
      <w:widowControl w:val="0"/>
      <w:spacing w:after="220"/>
      <w:ind w:left="1440" w:right="1440"/>
      <w:jc w:val="both"/>
    </w:pPr>
    <w:rPr>
      <w:sz w:val="22"/>
    </w:r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widowControl w:val="0"/>
      <w:tabs>
        <w:tab w:val="center" w:pos="4680"/>
      </w:tabs>
      <w:suppressAutoHyphens/>
      <w:spacing w:line="227" w:lineRule="auto"/>
      <w:jc w:val="center"/>
    </w:pPr>
    <w:rPr>
      <w:rFonts w:ascii="Times" w:hAnsi="Times"/>
      <w:b/>
      <w:snapToGrid w:val="0"/>
      <w:spacing w:val="-2"/>
      <w:sz w:val="22"/>
    </w:rPr>
  </w:style>
  <w:style w:type="paragraph" w:styleId="BodyText2">
    <w:name w:val="Body Text 2"/>
    <w:basedOn w:val="Normal"/>
    <w:pPr>
      <w:widowControl w:val="0"/>
      <w:tabs>
        <w:tab w:val="right" w:pos="9360"/>
      </w:tabs>
      <w:suppressAutoHyphens/>
      <w:spacing w:line="227" w:lineRule="auto"/>
      <w:jc w:val="both"/>
    </w:pPr>
    <w:rPr>
      <w:snapToGrid w:val="0"/>
      <w:spacing w:val="-2"/>
      <w:sz w:val="22"/>
    </w:rPr>
  </w:style>
  <w:style w:type="character" w:customStyle="1" w:styleId="StyleTimesNewRoman11ptCharCharChar">
    <w:name w:val="Style Times New Roman 11 pt Char Char Char"/>
    <w:rPr>
      <w:rFonts w:ascii="Times New Roman" w:hAnsi="Times New Roman"/>
      <w:noProof w:val="0"/>
      <w:snapToGrid w:val="0"/>
      <w:sz w:val="22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2">
    <w:name w:val="index 2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1440" w:right="720" w:hanging="720"/>
      <w:jc w:val="both"/>
    </w:pPr>
    <w:rPr>
      <w:snapToGrid w:val="0"/>
      <w:kern w:val="28"/>
      <w:sz w:val="22"/>
    </w:rPr>
  </w:style>
  <w:style w:type="character" w:customStyle="1" w:styleId="BlockTextChar">
    <w:name w:val="Block Text Char"/>
    <w:link w:val="BlockText"/>
    <w:rPr>
      <w:sz w:val="22"/>
      <w:lang w:val="en-US" w:eastAsia="en-US" w:bidi="ar-S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96009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6009C"/>
    <w:rPr>
      <w:szCs w:val="24"/>
    </w:rPr>
  </w:style>
  <w:style w:type="character" w:customStyle="1" w:styleId="CommentTextChar">
    <w:name w:val="Comment Text Char"/>
    <w:link w:val="CommentText"/>
    <w:rsid w:val="0096009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6009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6009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link w:val="BlockTextChar"/>
    <w:pPr>
      <w:widowControl w:val="0"/>
      <w:spacing w:after="220"/>
      <w:ind w:left="1440" w:right="1440"/>
      <w:jc w:val="both"/>
    </w:pPr>
    <w:rPr>
      <w:sz w:val="22"/>
    </w:r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widowControl w:val="0"/>
      <w:tabs>
        <w:tab w:val="center" w:pos="4680"/>
      </w:tabs>
      <w:suppressAutoHyphens/>
      <w:spacing w:line="227" w:lineRule="auto"/>
      <w:jc w:val="center"/>
    </w:pPr>
    <w:rPr>
      <w:rFonts w:ascii="Times" w:hAnsi="Times"/>
      <w:b/>
      <w:snapToGrid w:val="0"/>
      <w:spacing w:val="-2"/>
      <w:sz w:val="22"/>
    </w:rPr>
  </w:style>
  <w:style w:type="paragraph" w:styleId="BodyText2">
    <w:name w:val="Body Text 2"/>
    <w:basedOn w:val="Normal"/>
    <w:pPr>
      <w:widowControl w:val="0"/>
      <w:tabs>
        <w:tab w:val="right" w:pos="9360"/>
      </w:tabs>
      <w:suppressAutoHyphens/>
      <w:spacing w:line="227" w:lineRule="auto"/>
      <w:jc w:val="both"/>
    </w:pPr>
    <w:rPr>
      <w:snapToGrid w:val="0"/>
      <w:spacing w:val="-2"/>
      <w:sz w:val="22"/>
    </w:rPr>
  </w:style>
  <w:style w:type="character" w:customStyle="1" w:styleId="StyleTimesNewRoman11ptCharCharChar">
    <w:name w:val="Style Times New Roman 11 pt Char Char Char"/>
    <w:rPr>
      <w:rFonts w:ascii="Times New Roman" w:hAnsi="Times New Roman"/>
      <w:noProof w:val="0"/>
      <w:snapToGrid w:val="0"/>
      <w:sz w:val="22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2">
    <w:name w:val="index 2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1440" w:right="720" w:hanging="720"/>
      <w:jc w:val="both"/>
    </w:pPr>
    <w:rPr>
      <w:snapToGrid w:val="0"/>
      <w:kern w:val="28"/>
      <w:sz w:val="22"/>
    </w:rPr>
  </w:style>
  <w:style w:type="character" w:customStyle="1" w:styleId="BlockTextChar">
    <w:name w:val="Block Text Char"/>
    <w:link w:val="BlockText"/>
    <w:rPr>
      <w:sz w:val="22"/>
      <w:lang w:val="en-US" w:eastAsia="en-US" w:bidi="ar-S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96009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6009C"/>
    <w:rPr>
      <w:szCs w:val="24"/>
    </w:rPr>
  </w:style>
  <w:style w:type="character" w:customStyle="1" w:styleId="CommentTextChar">
    <w:name w:val="Comment Text Char"/>
    <w:link w:val="CommentText"/>
    <w:rsid w:val="0096009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6009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6009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3051</Characters>
  <Application>Microsoft Office Word</Application>
  <DocSecurity>0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Manager/>
  <Company/>
  <LinksUpToDate>false</LinksUpToDate>
  <CharactersWithSpaces>3597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2010-01-05T16:13:00Z</cp:lastPrinted>
  <dcterms:created xsi:type="dcterms:W3CDTF">2014-03-10T14:20:00Z</dcterms:created>
  <dcterms:modified xsi:type="dcterms:W3CDTF">2014-03-10T14:20:00Z</dcterms:modified>
  <cp:category> </cp:category>
  <cp:contentStatus> </cp:contentStatus>
</cp:coreProperties>
</file>