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08" w:rsidRPr="005649B8" w:rsidRDefault="00B50108" w:rsidP="0053744C">
      <w:pPr>
        <w:jc w:val="center"/>
        <w:rPr>
          <w:b/>
        </w:rPr>
      </w:pPr>
      <w:bookmarkStart w:id="0" w:name="_GoBack"/>
      <w:bookmarkEnd w:id="0"/>
      <w:r w:rsidRPr="005649B8">
        <w:rPr>
          <w:b/>
        </w:rPr>
        <w:t>Before the</w:t>
      </w:r>
    </w:p>
    <w:p w:rsidR="00B50108" w:rsidRPr="005649B8" w:rsidRDefault="00B50108" w:rsidP="0053744C">
      <w:pPr>
        <w:jc w:val="center"/>
        <w:rPr>
          <w:b/>
        </w:rPr>
      </w:pPr>
      <w:r w:rsidRPr="005649B8">
        <w:rPr>
          <w:b/>
        </w:rPr>
        <w:t>Federal Communications Commission</w:t>
      </w:r>
    </w:p>
    <w:p w:rsidR="00B50108" w:rsidRPr="005649B8" w:rsidRDefault="00B50108" w:rsidP="0053744C">
      <w:pPr>
        <w:jc w:val="center"/>
        <w:rPr>
          <w:b/>
        </w:rPr>
      </w:pPr>
      <w:r w:rsidRPr="005649B8">
        <w:rPr>
          <w:b/>
        </w:rPr>
        <w:t>Washington, D.C. 20554</w:t>
      </w:r>
    </w:p>
    <w:p w:rsidR="00B50108" w:rsidRPr="005649B8" w:rsidRDefault="00B50108" w:rsidP="0053744C"/>
    <w:tbl>
      <w:tblPr>
        <w:tblW w:w="9648" w:type="dxa"/>
        <w:tblLayout w:type="fixed"/>
        <w:tblLook w:val="0000" w:firstRow="0" w:lastRow="0" w:firstColumn="0" w:lastColumn="0" w:noHBand="0" w:noVBand="0"/>
      </w:tblPr>
      <w:tblGrid>
        <w:gridCol w:w="4698"/>
        <w:gridCol w:w="720"/>
        <w:gridCol w:w="4230"/>
      </w:tblGrid>
      <w:tr w:rsidR="00854BEA" w:rsidRPr="005649B8" w:rsidTr="00854BEA">
        <w:tc>
          <w:tcPr>
            <w:tcW w:w="4698" w:type="dxa"/>
          </w:tcPr>
          <w:p w:rsidR="00854BEA" w:rsidRPr="005649B8" w:rsidRDefault="00854BEA" w:rsidP="0053744C">
            <w:pPr>
              <w:rPr>
                <w:color w:val="000000"/>
                <w:spacing w:val="-2"/>
                <w:szCs w:val="22"/>
              </w:rPr>
            </w:pPr>
            <w:r w:rsidRPr="005649B8">
              <w:rPr>
                <w:color w:val="000000"/>
                <w:spacing w:val="-2"/>
                <w:szCs w:val="22"/>
              </w:rPr>
              <w:t>In the Matter of</w:t>
            </w:r>
          </w:p>
          <w:p w:rsidR="0085204A" w:rsidRPr="005649B8" w:rsidRDefault="0085204A" w:rsidP="0053744C">
            <w:pPr>
              <w:rPr>
                <w:color w:val="000000"/>
                <w:spacing w:val="-2"/>
                <w:szCs w:val="22"/>
              </w:rPr>
            </w:pPr>
          </w:p>
          <w:p w:rsidR="000F29FA" w:rsidRPr="00FB39D5" w:rsidRDefault="00FB39D5" w:rsidP="000F29FA">
            <w:pPr>
              <w:rPr>
                <w:color w:val="000000"/>
                <w:spacing w:val="-2"/>
                <w:szCs w:val="22"/>
              </w:rPr>
            </w:pPr>
            <w:r w:rsidRPr="00FB39D5">
              <w:rPr>
                <w:color w:val="000000"/>
                <w:spacing w:val="-2"/>
                <w:szCs w:val="22"/>
              </w:rPr>
              <w:t>Telecommunications Relay Services and Speech-to-Speech Services for Individuals with Hearing and Speech Disabilities</w:t>
            </w:r>
          </w:p>
          <w:p w:rsidR="001B3009" w:rsidRPr="005649B8" w:rsidRDefault="001B3009" w:rsidP="0053744C">
            <w:pPr>
              <w:autoSpaceDE w:val="0"/>
              <w:autoSpaceDN w:val="0"/>
              <w:adjustRightInd w:val="0"/>
              <w:rPr>
                <w:szCs w:val="22"/>
              </w:rPr>
            </w:pPr>
          </w:p>
          <w:p w:rsidR="00360B85" w:rsidRPr="005649B8" w:rsidRDefault="004A31F5" w:rsidP="0053744C">
            <w:pPr>
              <w:autoSpaceDE w:val="0"/>
              <w:autoSpaceDN w:val="0"/>
              <w:adjustRightInd w:val="0"/>
              <w:rPr>
                <w:szCs w:val="22"/>
              </w:rPr>
            </w:pPr>
            <w:r>
              <w:rPr>
                <w:szCs w:val="22"/>
              </w:rPr>
              <w:t>Sprint</w:t>
            </w:r>
            <w:r w:rsidR="00360B85" w:rsidRPr="005649B8">
              <w:rPr>
                <w:szCs w:val="22"/>
              </w:rPr>
              <w:t xml:space="preserve"> Communications, Inc.</w:t>
            </w:r>
          </w:p>
          <w:p w:rsidR="00360B85" w:rsidRPr="005649B8" w:rsidRDefault="00360B85" w:rsidP="0053744C">
            <w:pPr>
              <w:autoSpaceDE w:val="0"/>
              <w:autoSpaceDN w:val="0"/>
              <w:adjustRightInd w:val="0"/>
              <w:rPr>
                <w:szCs w:val="22"/>
              </w:rPr>
            </w:pPr>
          </w:p>
          <w:p w:rsidR="00360B85" w:rsidRPr="005649B8" w:rsidRDefault="00360B85" w:rsidP="0053744C">
            <w:pPr>
              <w:autoSpaceDE w:val="0"/>
              <w:autoSpaceDN w:val="0"/>
              <w:adjustRightInd w:val="0"/>
              <w:rPr>
                <w:szCs w:val="22"/>
              </w:rPr>
            </w:pPr>
            <w:r w:rsidRPr="005649B8">
              <w:rPr>
                <w:szCs w:val="22"/>
              </w:rPr>
              <w:t xml:space="preserve">Request for Review of the Decision of the </w:t>
            </w:r>
          </w:p>
          <w:p w:rsidR="00360B85" w:rsidRPr="005649B8" w:rsidRDefault="00360B85" w:rsidP="0053744C">
            <w:pPr>
              <w:autoSpaceDE w:val="0"/>
              <w:autoSpaceDN w:val="0"/>
              <w:adjustRightInd w:val="0"/>
              <w:rPr>
                <w:szCs w:val="22"/>
              </w:rPr>
            </w:pPr>
            <w:r w:rsidRPr="005649B8">
              <w:rPr>
                <w:szCs w:val="22"/>
              </w:rPr>
              <w:t xml:space="preserve">TRS Administrator to </w:t>
            </w:r>
            <w:r w:rsidR="00ED6B75" w:rsidRPr="005649B8">
              <w:rPr>
                <w:szCs w:val="22"/>
              </w:rPr>
              <w:t>Withhold</w:t>
            </w:r>
            <w:r w:rsidRPr="005649B8">
              <w:rPr>
                <w:szCs w:val="22"/>
              </w:rPr>
              <w:t xml:space="preserve"> TRS Payments </w:t>
            </w:r>
          </w:p>
          <w:p w:rsidR="00854BEA" w:rsidRPr="005649B8" w:rsidRDefault="00854BEA" w:rsidP="0053744C">
            <w:pPr>
              <w:rPr>
                <w:color w:val="000000"/>
                <w:spacing w:val="-2"/>
                <w:szCs w:val="22"/>
              </w:rPr>
            </w:pPr>
          </w:p>
          <w:p w:rsidR="00854BEA" w:rsidRPr="005649B8" w:rsidRDefault="00854BEA" w:rsidP="0053744C">
            <w:pPr>
              <w:jc w:val="center"/>
              <w:rPr>
                <w:color w:val="000000"/>
                <w:spacing w:val="-2"/>
                <w:szCs w:val="22"/>
              </w:rPr>
            </w:pPr>
          </w:p>
        </w:tc>
        <w:tc>
          <w:tcPr>
            <w:tcW w:w="720" w:type="dxa"/>
          </w:tcPr>
          <w:p w:rsidR="00854BEA" w:rsidRPr="005649B8" w:rsidRDefault="00854BEA" w:rsidP="0053744C">
            <w:pPr>
              <w:rPr>
                <w:b/>
              </w:rPr>
            </w:pPr>
            <w:r w:rsidRPr="005649B8">
              <w:rPr>
                <w:b/>
              </w:rPr>
              <w:t>)</w:t>
            </w:r>
          </w:p>
          <w:p w:rsidR="00854BEA" w:rsidRPr="005649B8" w:rsidRDefault="00854BEA" w:rsidP="0053744C">
            <w:pPr>
              <w:rPr>
                <w:b/>
              </w:rPr>
            </w:pPr>
            <w:r w:rsidRPr="005649B8">
              <w:rPr>
                <w:b/>
              </w:rPr>
              <w:t>)</w:t>
            </w:r>
          </w:p>
          <w:p w:rsidR="00854BEA" w:rsidRPr="005649B8" w:rsidRDefault="00854BEA" w:rsidP="0053744C">
            <w:pPr>
              <w:rPr>
                <w:b/>
              </w:rPr>
            </w:pPr>
            <w:r w:rsidRPr="005649B8">
              <w:rPr>
                <w:b/>
              </w:rPr>
              <w:t>)</w:t>
            </w:r>
          </w:p>
          <w:p w:rsidR="00854BEA" w:rsidRPr="005649B8" w:rsidRDefault="00854BEA" w:rsidP="0053744C">
            <w:pPr>
              <w:rPr>
                <w:b/>
              </w:rPr>
            </w:pPr>
            <w:r w:rsidRPr="005649B8">
              <w:rPr>
                <w:b/>
              </w:rPr>
              <w:t>)</w:t>
            </w:r>
          </w:p>
          <w:p w:rsidR="00854BEA" w:rsidRPr="005649B8" w:rsidRDefault="00854BEA" w:rsidP="0053744C">
            <w:pPr>
              <w:rPr>
                <w:b/>
              </w:rPr>
            </w:pPr>
            <w:r w:rsidRPr="005649B8">
              <w:rPr>
                <w:b/>
              </w:rPr>
              <w:t>)</w:t>
            </w:r>
          </w:p>
          <w:p w:rsidR="00854BEA" w:rsidRPr="005649B8" w:rsidRDefault="00854BEA" w:rsidP="0053744C">
            <w:pPr>
              <w:rPr>
                <w:b/>
              </w:rPr>
            </w:pPr>
            <w:r w:rsidRPr="005649B8">
              <w:rPr>
                <w:b/>
              </w:rPr>
              <w:t>)</w:t>
            </w:r>
          </w:p>
          <w:p w:rsidR="0085204A" w:rsidRPr="005649B8" w:rsidRDefault="0085204A" w:rsidP="0053744C">
            <w:pPr>
              <w:rPr>
                <w:b/>
              </w:rPr>
            </w:pPr>
            <w:r w:rsidRPr="005649B8">
              <w:rPr>
                <w:b/>
              </w:rPr>
              <w:t>)</w:t>
            </w:r>
          </w:p>
          <w:p w:rsidR="0085204A" w:rsidRPr="005649B8" w:rsidRDefault="0085204A" w:rsidP="0053744C">
            <w:pPr>
              <w:rPr>
                <w:b/>
              </w:rPr>
            </w:pPr>
            <w:r w:rsidRPr="005649B8">
              <w:rPr>
                <w:b/>
              </w:rPr>
              <w:t>)</w:t>
            </w:r>
          </w:p>
          <w:p w:rsidR="00854BEA" w:rsidRPr="005649B8" w:rsidRDefault="00854BEA" w:rsidP="0053744C">
            <w:pPr>
              <w:rPr>
                <w:b/>
              </w:rPr>
            </w:pPr>
            <w:r w:rsidRPr="005649B8">
              <w:rPr>
                <w:b/>
              </w:rPr>
              <w:t>)</w:t>
            </w:r>
          </w:p>
          <w:p w:rsidR="00D264F3" w:rsidRPr="005649B8" w:rsidRDefault="00D264F3" w:rsidP="0053744C">
            <w:pPr>
              <w:rPr>
                <w:b/>
              </w:rPr>
            </w:pPr>
            <w:r w:rsidRPr="005649B8">
              <w:rPr>
                <w:b/>
              </w:rPr>
              <w:t>)</w:t>
            </w:r>
          </w:p>
        </w:tc>
        <w:tc>
          <w:tcPr>
            <w:tcW w:w="4230" w:type="dxa"/>
          </w:tcPr>
          <w:p w:rsidR="00854BEA" w:rsidRPr="005649B8" w:rsidRDefault="00854BEA" w:rsidP="0053744C"/>
          <w:p w:rsidR="001B3009" w:rsidRPr="005649B8" w:rsidRDefault="001B3009" w:rsidP="0053744C"/>
          <w:p w:rsidR="00854BEA" w:rsidRPr="005649B8" w:rsidRDefault="001B3009" w:rsidP="00FB39D5">
            <w:r w:rsidRPr="005649B8">
              <w:t xml:space="preserve">CG Docket No. </w:t>
            </w:r>
            <w:r w:rsidR="00FB39D5">
              <w:t>03-123</w:t>
            </w:r>
          </w:p>
        </w:tc>
      </w:tr>
    </w:tbl>
    <w:p w:rsidR="00B50108" w:rsidRPr="005649B8" w:rsidRDefault="00B50108" w:rsidP="0053744C">
      <w:pPr>
        <w:spacing w:before="120"/>
        <w:jc w:val="center"/>
        <w:rPr>
          <w:b/>
          <w:spacing w:val="-2"/>
        </w:rPr>
      </w:pPr>
      <w:r w:rsidRPr="005649B8">
        <w:rPr>
          <w:b/>
          <w:spacing w:val="-2"/>
        </w:rPr>
        <w:t>ORDER</w:t>
      </w:r>
    </w:p>
    <w:p w:rsidR="00871424" w:rsidRPr="005649B8" w:rsidRDefault="00871424" w:rsidP="0053744C">
      <w:pPr>
        <w:spacing w:before="120"/>
        <w:jc w:val="center"/>
        <w:rPr>
          <w:b/>
          <w:spacing w:val="-2"/>
        </w:rPr>
      </w:pPr>
    </w:p>
    <w:p w:rsidR="00DC551F" w:rsidRPr="005649B8" w:rsidRDefault="00DC551F" w:rsidP="0053744C">
      <w:pPr>
        <w:spacing w:before="120"/>
        <w:jc w:val="center"/>
        <w:rPr>
          <w:b/>
        </w:rPr>
      </w:pPr>
    </w:p>
    <w:p w:rsidR="00B50108" w:rsidRPr="005649B8" w:rsidRDefault="00B50108" w:rsidP="0053744C"/>
    <w:p w:rsidR="00B50108" w:rsidRPr="005649B8" w:rsidRDefault="00B50108" w:rsidP="0053744C">
      <w:pPr>
        <w:tabs>
          <w:tab w:val="left" w:pos="5760"/>
        </w:tabs>
        <w:rPr>
          <w:b/>
        </w:rPr>
      </w:pPr>
      <w:r w:rsidRPr="005649B8">
        <w:rPr>
          <w:b/>
        </w:rPr>
        <w:t xml:space="preserve">Adopted:  </w:t>
      </w:r>
      <w:r w:rsidR="00EA5F0E">
        <w:rPr>
          <w:b/>
          <w:spacing w:val="-2"/>
        </w:rPr>
        <w:t>March 11,</w:t>
      </w:r>
      <w:r w:rsidRPr="005649B8">
        <w:rPr>
          <w:b/>
          <w:spacing w:val="-2"/>
        </w:rPr>
        <w:t xml:space="preserve"> </w:t>
      </w:r>
      <w:r w:rsidR="00EC41A3" w:rsidRPr="005649B8">
        <w:rPr>
          <w:b/>
          <w:spacing w:val="-2"/>
        </w:rPr>
        <w:t>201</w:t>
      </w:r>
      <w:r w:rsidR="00EC41A3">
        <w:rPr>
          <w:b/>
          <w:spacing w:val="-2"/>
        </w:rPr>
        <w:t>4</w:t>
      </w:r>
      <w:r w:rsidRPr="005649B8">
        <w:rPr>
          <w:b/>
        </w:rPr>
        <w:tab/>
        <w:t xml:space="preserve">Released:  </w:t>
      </w:r>
      <w:r w:rsidR="00EA5F0E">
        <w:rPr>
          <w:b/>
          <w:spacing w:val="-2"/>
        </w:rPr>
        <w:t xml:space="preserve">March 11, </w:t>
      </w:r>
      <w:r w:rsidR="00EC41A3" w:rsidRPr="005649B8">
        <w:rPr>
          <w:b/>
          <w:spacing w:val="-2"/>
        </w:rPr>
        <w:t>201</w:t>
      </w:r>
      <w:r w:rsidR="00EC41A3">
        <w:rPr>
          <w:b/>
          <w:spacing w:val="-2"/>
        </w:rPr>
        <w:t>4</w:t>
      </w:r>
    </w:p>
    <w:p w:rsidR="00B50108" w:rsidRPr="005649B8" w:rsidRDefault="00B50108" w:rsidP="0053744C">
      <w:pPr>
        <w:tabs>
          <w:tab w:val="left" w:pos="5760"/>
        </w:tabs>
        <w:rPr>
          <w:b/>
        </w:rPr>
      </w:pPr>
    </w:p>
    <w:p w:rsidR="00B50108" w:rsidRPr="005649B8" w:rsidRDefault="00B50108" w:rsidP="0053744C">
      <w:pPr>
        <w:tabs>
          <w:tab w:val="left" w:pos="5760"/>
        </w:tabs>
        <w:rPr>
          <w:spacing w:val="-2"/>
        </w:rPr>
      </w:pPr>
      <w:r w:rsidRPr="005649B8">
        <w:t xml:space="preserve">By the </w:t>
      </w:r>
      <w:r w:rsidR="00360B85" w:rsidRPr="005649B8">
        <w:t xml:space="preserve">Acting </w:t>
      </w:r>
      <w:r w:rsidRPr="005649B8">
        <w:rPr>
          <w:spacing w:val="-2"/>
        </w:rPr>
        <w:t xml:space="preserve">Chief, </w:t>
      </w:r>
      <w:r w:rsidR="00360B85" w:rsidRPr="005649B8">
        <w:rPr>
          <w:spacing w:val="-2"/>
        </w:rPr>
        <w:t>C</w:t>
      </w:r>
      <w:r w:rsidR="005649B8" w:rsidRPr="005649B8">
        <w:rPr>
          <w:spacing w:val="-2"/>
        </w:rPr>
        <w:t>onsumer and Governmental Affairs</w:t>
      </w:r>
      <w:r w:rsidRPr="005649B8">
        <w:rPr>
          <w:spacing w:val="-2"/>
        </w:rPr>
        <w:t xml:space="preserve"> Bureau:</w:t>
      </w:r>
    </w:p>
    <w:p w:rsidR="00B50108" w:rsidRPr="005649B8" w:rsidRDefault="00B50108" w:rsidP="0053744C">
      <w:pPr>
        <w:tabs>
          <w:tab w:val="left" w:pos="5760"/>
        </w:tabs>
        <w:rPr>
          <w:spacing w:val="-2"/>
        </w:rPr>
      </w:pPr>
    </w:p>
    <w:p w:rsidR="00BB20E6" w:rsidRPr="005649B8" w:rsidRDefault="00BB20E6" w:rsidP="00C32DE7">
      <w:pPr>
        <w:pStyle w:val="Heading1"/>
      </w:pPr>
      <w:r w:rsidRPr="005649B8">
        <w:t>INTRODUCTION</w:t>
      </w:r>
    </w:p>
    <w:p w:rsidR="006362BB" w:rsidRDefault="00D61649" w:rsidP="00D3728A">
      <w:pPr>
        <w:pStyle w:val="ParaNum"/>
      </w:pPr>
      <w:r w:rsidRPr="005649B8">
        <w:t>In</w:t>
      </w:r>
      <w:r w:rsidR="004F088D" w:rsidRPr="005649B8">
        <w:t xml:space="preserve"> this </w:t>
      </w:r>
      <w:r w:rsidRPr="005649B8">
        <w:t>O</w:t>
      </w:r>
      <w:r w:rsidR="004F088D" w:rsidRPr="005649B8">
        <w:t>rder</w:t>
      </w:r>
      <w:r w:rsidRPr="005649B8">
        <w:t>, the Consumer and Governmental Affairs Bureau (Bureau)</w:t>
      </w:r>
      <w:r w:rsidR="002465F5">
        <w:t xml:space="preserve"> of the Federal Communications Commission (FCC or Commission)</w:t>
      </w:r>
      <w:r w:rsidRPr="005649B8">
        <w:t>, acting on delegated authority,</w:t>
      </w:r>
      <w:r w:rsidRPr="005649B8">
        <w:rPr>
          <w:rStyle w:val="FootnoteReference"/>
        </w:rPr>
        <w:footnoteReference w:id="2"/>
      </w:r>
      <w:r w:rsidR="004F088D" w:rsidRPr="005649B8">
        <w:t xml:space="preserve"> </w:t>
      </w:r>
      <w:r w:rsidR="00720607" w:rsidRPr="005649B8">
        <w:t>grants in part and denies in part</w:t>
      </w:r>
      <w:r w:rsidR="000238A4" w:rsidRPr="005649B8">
        <w:t xml:space="preserve"> </w:t>
      </w:r>
      <w:r w:rsidR="00E7205C">
        <w:t>Sprint Nextel Communications</w:t>
      </w:r>
      <w:r w:rsidR="00C827CF" w:rsidRPr="005649B8">
        <w:t>’ (</w:t>
      </w:r>
      <w:r w:rsidR="00991A8C">
        <w:t>Sprint</w:t>
      </w:r>
      <w:r w:rsidR="00C827CF" w:rsidRPr="005649B8">
        <w:t xml:space="preserve">) </w:t>
      </w:r>
      <w:r w:rsidR="004F088D" w:rsidRPr="005649B8">
        <w:t>request for review</w:t>
      </w:r>
      <w:r w:rsidR="004F088D" w:rsidRPr="005649B8">
        <w:rPr>
          <w:rStyle w:val="FootnoteReference"/>
        </w:rPr>
        <w:footnoteReference w:id="3"/>
      </w:r>
      <w:r w:rsidR="004F088D" w:rsidRPr="005649B8">
        <w:rPr>
          <w:rStyle w:val="FootnoteReference"/>
        </w:rPr>
        <w:t xml:space="preserve"> </w:t>
      </w:r>
      <w:r w:rsidR="004F088D" w:rsidRPr="005649B8">
        <w:t xml:space="preserve">of </w:t>
      </w:r>
      <w:r w:rsidR="003D5B15">
        <w:t xml:space="preserve">the withholding of compensation payments for Sprint’s </w:t>
      </w:r>
      <w:r w:rsidR="00E943BD" w:rsidRPr="005649B8">
        <w:t>Internet Protocol Relay Service (IP Relay)</w:t>
      </w:r>
      <w:r w:rsidR="00E943BD">
        <w:rPr>
          <w:rStyle w:val="FootnoteReference"/>
        </w:rPr>
        <w:footnoteReference w:id="4"/>
      </w:r>
      <w:r w:rsidR="00E943BD">
        <w:t xml:space="preserve"> </w:t>
      </w:r>
      <w:r w:rsidR="003D5B15">
        <w:t>service</w:t>
      </w:r>
      <w:r w:rsidR="008B697D">
        <w:t>.  T</w:t>
      </w:r>
      <w:r w:rsidR="00C63FB4" w:rsidRPr="005649B8">
        <w:t xml:space="preserve">he </w:t>
      </w:r>
      <w:r w:rsidR="008B697D">
        <w:t>Telecommunications Relay Services (</w:t>
      </w:r>
      <w:r w:rsidR="00C63FB4" w:rsidRPr="005649B8">
        <w:t>TRS</w:t>
      </w:r>
      <w:r w:rsidR="008B697D">
        <w:t>)</w:t>
      </w:r>
      <w:r w:rsidR="00C63FB4" w:rsidRPr="005649B8">
        <w:t xml:space="preserve"> Fund </w:t>
      </w:r>
      <w:r w:rsidR="008B697D" w:rsidRPr="008B697D">
        <w:t>(TRS Fund, or</w:t>
      </w:r>
      <w:r w:rsidR="008B697D">
        <w:t xml:space="preserve"> </w:t>
      </w:r>
      <w:r w:rsidR="008B697D" w:rsidRPr="008B697D">
        <w:t xml:space="preserve">Fund) </w:t>
      </w:r>
      <w:r w:rsidRPr="005649B8">
        <w:t>a</w:t>
      </w:r>
      <w:r w:rsidR="00C63FB4" w:rsidRPr="005649B8">
        <w:t>dministrator, Rolka Loube Saltzer Associates</w:t>
      </w:r>
      <w:r w:rsidR="002A52ED">
        <w:t>, Inc.</w:t>
      </w:r>
      <w:r w:rsidR="00C63FB4" w:rsidRPr="005649B8">
        <w:t xml:space="preserve"> (RLSA)</w:t>
      </w:r>
      <w:r w:rsidR="003B0383" w:rsidRPr="005649B8">
        <w:t xml:space="preserve">, </w:t>
      </w:r>
      <w:r w:rsidR="004F088D" w:rsidRPr="005649B8">
        <w:t>withh</w:t>
      </w:r>
      <w:r w:rsidR="003B0383" w:rsidRPr="005649B8">
        <w:t>e</w:t>
      </w:r>
      <w:r w:rsidR="004F088D" w:rsidRPr="005649B8">
        <w:t xml:space="preserve">ld payment </w:t>
      </w:r>
      <w:r w:rsidR="003B0383" w:rsidRPr="005649B8">
        <w:t xml:space="preserve">to </w:t>
      </w:r>
      <w:r w:rsidR="00991A8C">
        <w:t>Sprint</w:t>
      </w:r>
      <w:r w:rsidR="003B0383" w:rsidRPr="005649B8">
        <w:t xml:space="preserve"> </w:t>
      </w:r>
      <w:r w:rsidR="00F8574C" w:rsidRPr="005649B8">
        <w:t xml:space="preserve">from the TRS Fund </w:t>
      </w:r>
      <w:r w:rsidR="004F088D" w:rsidRPr="005649B8">
        <w:t xml:space="preserve">for </w:t>
      </w:r>
      <w:r w:rsidR="00ED6B75" w:rsidRPr="005649B8">
        <w:t xml:space="preserve">the provision of </w:t>
      </w:r>
      <w:r w:rsidR="00C63FB4" w:rsidRPr="005649B8">
        <w:t xml:space="preserve">IP Relay </w:t>
      </w:r>
      <w:r w:rsidR="004C131A">
        <w:t>from January 2012 through Septemb</w:t>
      </w:r>
      <w:r w:rsidR="004C131A" w:rsidRPr="005649B8">
        <w:t>er 201</w:t>
      </w:r>
      <w:r w:rsidR="004C131A">
        <w:t>2</w:t>
      </w:r>
      <w:r w:rsidR="00757BA9">
        <w:t>,</w:t>
      </w:r>
      <w:r w:rsidR="004C131A">
        <w:t xml:space="preserve"> </w:t>
      </w:r>
      <w:r w:rsidR="00D82690" w:rsidRPr="005649B8">
        <w:t xml:space="preserve">based on its determination that </w:t>
      </w:r>
      <w:r w:rsidR="004A31F5">
        <w:t>Sprint</w:t>
      </w:r>
      <w:r w:rsidR="003B0383" w:rsidRPr="005649B8">
        <w:t xml:space="preserve"> </w:t>
      </w:r>
      <w:r w:rsidR="00F8574C" w:rsidRPr="005649B8">
        <w:t xml:space="preserve">did not comply with </w:t>
      </w:r>
      <w:r w:rsidR="00991A8C">
        <w:t xml:space="preserve">RLSA’s </w:t>
      </w:r>
      <w:r w:rsidR="00531D6D">
        <w:t xml:space="preserve">filing </w:t>
      </w:r>
      <w:r w:rsidR="00991A8C">
        <w:t xml:space="preserve">instructions implementing </w:t>
      </w:r>
      <w:r w:rsidR="004F088D" w:rsidRPr="005649B8">
        <w:t>t</w:t>
      </w:r>
      <w:r w:rsidR="00C62106" w:rsidRPr="005649B8">
        <w:t xml:space="preserve">he </w:t>
      </w:r>
      <w:r w:rsidR="00F8574C" w:rsidRPr="005649B8">
        <w:t xml:space="preserve">Commission’s </w:t>
      </w:r>
      <w:r w:rsidR="00991A8C">
        <w:t xml:space="preserve">data submission </w:t>
      </w:r>
      <w:r w:rsidR="00F8574C" w:rsidRPr="005649B8">
        <w:t>rule</w:t>
      </w:r>
      <w:r w:rsidR="006F66A4" w:rsidRPr="005649B8">
        <w:rPr>
          <w:rStyle w:val="FootnoteReference"/>
        </w:rPr>
        <w:footnoteReference w:id="5"/>
      </w:r>
      <w:r w:rsidR="003B0383" w:rsidRPr="005649B8">
        <w:t xml:space="preserve"> </w:t>
      </w:r>
      <w:r w:rsidR="007B48D8">
        <w:t>for</w:t>
      </w:r>
      <w:r w:rsidR="00F9339F">
        <w:t xml:space="preserve"> </w:t>
      </w:r>
      <w:r w:rsidR="004C131A">
        <w:t>that</w:t>
      </w:r>
      <w:r w:rsidR="001A40FF" w:rsidRPr="005649B8">
        <w:t xml:space="preserve"> period</w:t>
      </w:r>
      <w:r w:rsidR="00C63FB4" w:rsidRPr="005649B8">
        <w:t>.</w:t>
      </w:r>
      <w:r w:rsidR="004F088D" w:rsidRPr="005649B8">
        <w:rPr>
          <w:rStyle w:val="FootnoteReference"/>
        </w:rPr>
        <w:footnoteReference w:id="6"/>
      </w:r>
      <w:r w:rsidR="003B0383" w:rsidRPr="005649B8">
        <w:t xml:space="preserve">  </w:t>
      </w:r>
      <w:r w:rsidR="004D3971" w:rsidRPr="005649B8">
        <w:lastRenderedPageBreak/>
        <w:t>W</w:t>
      </w:r>
      <w:r w:rsidR="000238A4" w:rsidRPr="005649B8">
        <w:t xml:space="preserve">e </w:t>
      </w:r>
      <w:r w:rsidR="004C131A">
        <w:t>affirm RLSA’s finding</w:t>
      </w:r>
      <w:r w:rsidR="004D3971" w:rsidRPr="005649B8">
        <w:t xml:space="preserve"> that </w:t>
      </w:r>
      <w:r w:rsidR="004A31F5">
        <w:t>Sprint</w:t>
      </w:r>
      <w:r w:rsidR="004D3971" w:rsidRPr="005649B8">
        <w:t xml:space="preserve"> failed to comply with the Commission’s </w:t>
      </w:r>
      <w:r w:rsidR="004A31F5">
        <w:t>data submission</w:t>
      </w:r>
      <w:r w:rsidR="00F9339F">
        <w:t xml:space="preserve"> rule during that period</w:t>
      </w:r>
      <w:r w:rsidR="00453832">
        <w:t>.</w:t>
      </w:r>
      <w:r w:rsidR="004C131A">
        <w:t xml:space="preserve"> </w:t>
      </w:r>
    </w:p>
    <w:p w:rsidR="00BB20E6" w:rsidRPr="005649B8" w:rsidRDefault="006362BB" w:rsidP="001D5880">
      <w:pPr>
        <w:pStyle w:val="ParaNum"/>
      </w:pPr>
      <w:r>
        <w:t xml:space="preserve">However, we find good cause to waive the application of the data submission rule </w:t>
      </w:r>
      <w:r w:rsidR="00DF067D" w:rsidRPr="00DF067D">
        <w:t>with respect to the submission of individual call detail for abandoned calls</w:t>
      </w:r>
      <w:r>
        <w:t xml:space="preserve"> for service provided during the period from January through </w:t>
      </w:r>
      <w:r w:rsidR="00BE27B1">
        <w:t xml:space="preserve">July </w:t>
      </w:r>
      <w:r>
        <w:t xml:space="preserve">2012. </w:t>
      </w:r>
      <w:r w:rsidR="001D5880">
        <w:t xml:space="preserve"> </w:t>
      </w:r>
      <w:r w:rsidR="00D025A1">
        <w:t xml:space="preserve">A </w:t>
      </w:r>
      <w:r w:rsidR="00F9339F">
        <w:t>waiv</w:t>
      </w:r>
      <w:r w:rsidR="004C131A">
        <w:t>e</w:t>
      </w:r>
      <w:r w:rsidR="00D025A1">
        <w:t>r of</w:t>
      </w:r>
      <w:r w:rsidR="00F9339F">
        <w:t xml:space="preserve"> </w:t>
      </w:r>
      <w:r w:rsidR="004B634B">
        <w:t xml:space="preserve">the </w:t>
      </w:r>
      <w:r w:rsidR="004C131A">
        <w:t xml:space="preserve">application of the data submission </w:t>
      </w:r>
      <w:r w:rsidR="00E7571F">
        <w:t xml:space="preserve">rule </w:t>
      </w:r>
      <w:r w:rsidR="00BE27B1">
        <w:t>is</w:t>
      </w:r>
      <w:r w:rsidR="00D025A1">
        <w:t xml:space="preserve"> justified</w:t>
      </w:r>
      <w:r>
        <w:t xml:space="preserve"> </w:t>
      </w:r>
      <w:r w:rsidR="00F9339F">
        <w:t xml:space="preserve">for the months of January through </w:t>
      </w:r>
      <w:r w:rsidR="00E7571F">
        <w:t xml:space="preserve">May </w:t>
      </w:r>
      <w:r w:rsidR="00F9339F">
        <w:t>2012</w:t>
      </w:r>
      <w:r w:rsidR="00BE27B1">
        <w:t xml:space="preserve"> </w:t>
      </w:r>
      <w:r w:rsidR="00D025A1">
        <w:t>based on</w:t>
      </w:r>
      <w:r w:rsidR="004C131A">
        <w:t xml:space="preserve"> </w:t>
      </w:r>
      <w:r w:rsidR="00E7571F">
        <w:t>Sprint’s</w:t>
      </w:r>
      <w:r w:rsidR="004E1231">
        <w:t xml:space="preserve"> practical</w:t>
      </w:r>
      <w:r w:rsidR="00E7571F">
        <w:t xml:space="preserve"> inability</w:t>
      </w:r>
      <w:r w:rsidR="004B634B">
        <w:t>,</w:t>
      </w:r>
      <w:r w:rsidR="004E1231">
        <w:t xml:space="preserve"> given the systems it </w:t>
      </w:r>
      <w:r w:rsidR="00FF43CE">
        <w:t>was using at the time</w:t>
      </w:r>
      <w:r w:rsidR="004B634B">
        <w:t>,</w:t>
      </w:r>
      <w:r w:rsidR="00531D6D">
        <w:t xml:space="preserve"> to</w:t>
      </w:r>
      <w:r w:rsidR="004C131A">
        <w:t xml:space="preserve"> comply with the rule </w:t>
      </w:r>
      <w:r w:rsidR="00F16899">
        <w:t>in that respect</w:t>
      </w:r>
      <w:r w:rsidR="00F9339F">
        <w:t xml:space="preserve">.  </w:t>
      </w:r>
      <w:r w:rsidR="00D025A1">
        <w:t>Application of</w:t>
      </w:r>
      <w:r w:rsidR="001D5880">
        <w:t xml:space="preserve"> the data submission rule for </w:t>
      </w:r>
      <w:r w:rsidR="001D5880" w:rsidRPr="002460F4">
        <w:t>June through September 2012</w:t>
      </w:r>
      <w:r w:rsidR="00D025A1">
        <w:t xml:space="preserve"> is a more complicated question</w:t>
      </w:r>
      <w:r w:rsidR="001D5880">
        <w:t xml:space="preserve">.  </w:t>
      </w:r>
      <w:r w:rsidR="00BE27B1">
        <w:t xml:space="preserve">We find that </w:t>
      </w:r>
      <w:r w:rsidR="00E7571F">
        <w:t xml:space="preserve">Sprint </w:t>
      </w:r>
      <w:r w:rsidR="00BE27B1">
        <w:t xml:space="preserve">failed </w:t>
      </w:r>
      <w:r w:rsidR="00E7571F">
        <w:t xml:space="preserve">to take timely measures to comply with RLSA’s </w:t>
      </w:r>
      <w:r w:rsidR="00981445">
        <w:t xml:space="preserve">revised </w:t>
      </w:r>
      <w:r w:rsidR="00531D6D">
        <w:t xml:space="preserve">filing </w:t>
      </w:r>
      <w:r w:rsidR="00E7571F">
        <w:t xml:space="preserve">instructions </w:t>
      </w:r>
      <w:r w:rsidR="00BA4C80">
        <w:t xml:space="preserve">for </w:t>
      </w:r>
      <w:r w:rsidR="00E7571F">
        <w:t>service provided from June through September 2012</w:t>
      </w:r>
      <w:r w:rsidR="00BE27B1">
        <w:t xml:space="preserve">.  On the other hand, </w:t>
      </w:r>
      <w:r w:rsidR="00981445">
        <w:t>the information Sprint did submit</w:t>
      </w:r>
      <w:r w:rsidR="00445DE4">
        <w:t xml:space="preserve"> for that period</w:t>
      </w:r>
      <w:r w:rsidR="00981445">
        <w:t xml:space="preserve"> appears to </w:t>
      </w:r>
      <w:r w:rsidR="00445DE4">
        <w:t>be in accordance</w:t>
      </w:r>
      <w:r w:rsidR="00981445">
        <w:t xml:space="preserve"> with RLSA’s </w:t>
      </w:r>
      <w:r w:rsidR="00445DE4">
        <w:t xml:space="preserve">previous </w:t>
      </w:r>
      <w:r w:rsidR="00981445">
        <w:t xml:space="preserve">instructions that were in effect prior to February 2012, </w:t>
      </w:r>
      <w:r w:rsidR="00445DE4">
        <w:t xml:space="preserve">and we are unable to find that Sprint’s submission </w:t>
      </w:r>
      <w:r w:rsidR="00981445">
        <w:t>misrepresented Sprint’s speed-of-answer performance or that Sprint committed</w:t>
      </w:r>
      <w:r w:rsidR="002646B8">
        <w:t xml:space="preserve"> a</w:t>
      </w:r>
      <w:r w:rsidR="00981445">
        <w:t>ny</w:t>
      </w:r>
      <w:r w:rsidR="00E7571F">
        <w:t xml:space="preserve"> substantive violation</w:t>
      </w:r>
      <w:r w:rsidR="00981445">
        <w:t>s</w:t>
      </w:r>
      <w:r w:rsidR="00E7571F">
        <w:t xml:space="preserve"> of the SOA rule</w:t>
      </w:r>
      <w:r w:rsidR="001D5880">
        <w:t>.</w:t>
      </w:r>
      <w:r w:rsidR="008B697D">
        <w:rPr>
          <w:rStyle w:val="FootnoteReference"/>
        </w:rPr>
        <w:footnoteReference w:id="7"/>
      </w:r>
      <w:r w:rsidR="00E7571F">
        <w:t xml:space="preserve"> </w:t>
      </w:r>
      <w:r w:rsidR="00D025A1">
        <w:t xml:space="preserve"> </w:t>
      </w:r>
      <w:r w:rsidR="001D5880">
        <w:t>B</w:t>
      </w:r>
      <w:r w:rsidR="00E7571F">
        <w:t>ased on considerations of hardship, equity</w:t>
      </w:r>
      <w:r w:rsidR="00981445">
        <w:t>,</w:t>
      </w:r>
      <w:r w:rsidR="00E7571F">
        <w:t xml:space="preserve"> and effective implementation of overall policy, we allow payment to Sprint of </w:t>
      </w:r>
      <w:r w:rsidR="00E7571F" w:rsidRPr="002460F4">
        <w:t xml:space="preserve">the amounts otherwise due for service provided from June </w:t>
      </w:r>
      <w:r w:rsidR="00D025A1">
        <w:t>and July</w:t>
      </w:r>
      <w:r w:rsidR="00E7571F" w:rsidRPr="002460F4">
        <w:t xml:space="preserve"> 2012</w:t>
      </w:r>
      <w:r w:rsidR="00D025A1">
        <w:t>, while denying payment of the amounts otherwise due for August and September 2012</w:t>
      </w:r>
      <w:r w:rsidR="00E7571F" w:rsidRPr="002460F4">
        <w:t>.</w:t>
      </w:r>
      <w:r w:rsidR="00E7571F">
        <w:t xml:space="preserve">  </w:t>
      </w:r>
      <w:r w:rsidR="00F9339F">
        <w:t xml:space="preserve">  </w:t>
      </w:r>
    </w:p>
    <w:p w:rsidR="00BB20E6" w:rsidRPr="005649B8" w:rsidRDefault="00BB20E6" w:rsidP="00C32DE7">
      <w:pPr>
        <w:pStyle w:val="Heading1"/>
      </w:pPr>
      <w:r w:rsidRPr="005649B8">
        <w:t>BACKGROUND</w:t>
      </w:r>
    </w:p>
    <w:p w:rsidR="004077F5" w:rsidRDefault="00D95539" w:rsidP="00D3728A">
      <w:pPr>
        <w:pStyle w:val="ParaNum"/>
      </w:pPr>
      <w:r>
        <w:t>In 2011, t</w:t>
      </w:r>
      <w:r w:rsidR="00320B86">
        <w:t>he Commission</w:t>
      </w:r>
      <w:r>
        <w:t xml:space="preserve"> amended its</w:t>
      </w:r>
      <w:r w:rsidR="00320B86">
        <w:t xml:space="preserve"> rules </w:t>
      </w:r>
      <w:r>
        <w:t xml:space="preserve">to </w:t>
      </w:r>
      <w:r w:rsidR="0051745D">
        <w:t xml:space="preserve">formally </w:t>
      </w:r>
      <w:r w:rsidR="003928C4">
        <w:t xml:space="preserve">require TRS providers to submit certain kinds of </w:t>
      </w:r>
      <w:r w:rsidR="00320B86">
        <w:t>data</w:t>
      </w:r>
      <w:r w:rsidR="003928C4">
        <w:t xml:space="preserve"> to the TRS Fund administrator</w:t>
      </w:r>
      <w:r w:rsidR="00320B86">
        <w:t xml:space="preserve"> on a monthly basis</w:t>
      </w:r>
      <w:r w:rsidR="000D7EB7">
        <w:t xml:space="preserve"> regarding the calls processed by the provider.</w:t>
      </w:r>
      <w:r w:rsidR="003928C4">
        <w:rPr>
          <w:rStyle w:val="FootnoteReference"/>
        </w:rPr>
        <w:footnoteReference w:id="8"/>
      </w:r>
      <w:r w:rsidR="000D7EB7">
        <w:t xml:space="preserve">  </w:t>
      </w:r>
      <w:r w:rsidR="00EF14A8" w:rsidRPr="00EF14A8">
        <w:t xml:space="preserve">Two types of </w:t>
      </w:r>
      <w:r w:rsidR="00D27E5D">
        <w:t xml:space="preserve">call </w:t>
      </w:r>
      <w:r w:rsidR="00EF14A8" w:rsidRPr="00EF14A8">
        <w:t xml:space="preserve">data </w:t>
      </w:r>
      <w:r w:rsidR="00777C55">
        <w:t>were specified</w:t>
      </w:r>
      <w:r w:rsidR="0066760A">
        <w:t xml:space="preserve"> in the amendments</w:t>
      </w:r>
      <w:r w:rsidR="00EF14A8" w:rsidRPr="00EF14A8">
        <w:t xml:space="preserve">.  </w:t>
      </w:r>
      <w:r w:rsidR="000D7EB7">
        <w:t xml:space="preserve">First, </w:t>
      </w:r>
      <w:r w:rsidR="0066760A">
        <w:t xml:space="preserve">under section </w:t>
      </w:r>
      <w:r w:rsidR="0066760A" w:rsidRPr="0066760A">
        <w:t>64.604(c)(5)(iii)(D)(</w:t>
      </w:r>
      <w:r w:rsidR="0066760A" w:rsidRPr="0066760A">
        <w:rPr>
          <w:i/>
        </w:rPr>
        <w:t>2</w:t>
      </w:r>
      <w:r w:rsidR="0066760A" w:rsidRPr="0066760A">
        <w:t>)</w:t>
      </w:r>
      <w:r w:rsidR="0066760A">
        <w:t xml:space="preserve">, </w:t>
      </w:r>
      <w:r w:rsidR="00EF14A8">
        <w:t>TRS providers</w:t>
      </w:r>
      <w:r w:rsidR="00320B86">
        <w:t xml:space="preserve"> must submit data regarding </w:t>
      </w:r>
      <w:r w:rsidR="009C3685">
        <w:t>each call</w:t>
      </w:r>
      <w:r w:rsidR="00320B86">
        <w:t xml:space="preserve"> that </w:t>
      </w:r>
      <w:r w:rsidR="009C3685">
        <w:t>is</w:t>
      </w:r>
      <w:r w:rsidR="00320B86">
        <w:t xml:space="preserve"> completed using </w:t>
      </w:r>
      <w:r w:rsidR="00EF14A8">
        <w:t>a</w:t>
      </w:r>
      <w:r w:rsidR="00320B86">
        <w:t xml:space="preserve"> relay service </w:t>
      </w:r>
      <w:r w:rsidR="000D7EB7">
        <w:t>and for which the provider claims compensation from the TRS Fund.</w:t>
      </w:r>
      <w:r w:rsidR="000D7EB7">
        <w:rPr>
          <w:rStyle w:val="FootnoteReference"/>
        </w:rPr>
        <w:footnoteReference w:id="9"/>
      </w:r>
      <w:r w:rsidR="000D7EB7">
        <w:t xml:space="preserve">  Second, </w:t>
      </w:r>
      <w:r w:rsidR="0066760A" w:rsidRPr="0066760A">
        <w:t>under section 64.604(c)(5)(iii)(D)(</w:t>
      </w:r>
      <w:r w:rsidR="0066760A">
        <w:rPr>
          <w:i/>
        </w:rPr>
        <w:t>3</w:t>
      </w:r>
      <w:r w:rsidR="0066760A" w:rsidRPr="0066760A">
        <w:t xml:space="preserve">), </w:t>
      </w:r>
      <w:r w:rsidR="00EF14A8">
        <w:t xml:space="preserve">Internet-based </w:t>
      </w:r>
      <w:r w:rsidR="000D7EB7">
        <w:t>TRS providers must submit data regarding their compliance with the SOA standards specified in the Commission’s rules.</w:t>
      </w:r>
      <w:r w:rsidR="000D7EB7">
        <w:rPr>
          <w:rStyle w:val="FootnoteReference"/>
        </w:rPr>
        <w:footnoteReference w:id="10"/>
      </w:r>
      <w:r w:rsidR="000D7EB7">
        <w:t xml:space="preserve">  </w:t>
      </w:r>
      <w:r w:rsidR="00D477CC">
        <w:t xml:space="preserve">At issue in this order is </w:t>
      </w:r>
      <w:r w:rsidR="00EF14A8">
        <w:t xml:space="preserve">Sprint’s compliance with instructions issued by the Fund Administrator </w:t>
      </w:r>
      <w:r w:rsidR="00D477CC">
        <w:t xml:space="preserve">for </w:t>
      </w:r>
      <w:r w:rsidR="00BA5196">
        <w:t xml:space="preserve">the </w:t>
      </w:r>
      <w:r w:rsidR="00D477CC">
        <w:t>submission of data supporting SOA compliance.</w:t>
      </w:r>
      <w:r w:rsidR="004077F5">
        <w:t xml:space="preserve">  </w:t>
      </w:r>
    </w:p>
    <w:p w:rsidR="0079023C" w:rsidRDefault="0051745D" w:rsidP="00D3728A">
      <w:pPr>
        <w:pStyle w:val="ParaNum"/>
      </w:pPr>
      <w:r>
        <w:t xml:space="preserve">The </w:t>
      </w:r>
      <w:r w:rsidR="008B697D">
        <w:t xml:space="preserve">data submission rule, as amended, </w:t>
      </w:r>
      <w:r>
        <w:t>require</w:t>
      </w:r>
      <w:r w:rsidR="008B697D">
        <w:t>s</w:t>
      </w:r>
      <w:r>
        <w:t xml:space="preserve"> that </w:t>
      </w:r>
      <w:r w:rsidR="00F5260D">
        <w:t>both kinds of</w:t>
      </w:r>
      <w:r w:rsidR="00981445">
        <w:t xml:space="preserve"> </w:t>
      </w:r>
      <w:r>
        <w:t>data be submitted electronically and in a standard</w:t>
      </w:r>
      <w:r w:rsidR="008E3CD8">
        <w:t>ized</w:t>
      </w:r>
      <w:r>
        <w:t xml:space="preserve"> format.</w:t>
      </w:r>
      <w:r>
        <w:rPr>
          <w:rStyle w:val="FootnoteReference"/>
        </w:rPr>
        <w:footnoteReference w:id="11"/>
      </w:r>
      <w:r>
        <w:t xml:space="preserve">  </w:t>
      </w:r>
      <w:r w:rsidR="004077F5">
        <w:t xml:space="preserve">The TRS Fund administrator has </w:t>
      </w:r>
      <w:r w:rsidR="00A93FB1">
        <w:t>phased in the</w:t>
      </w:r>
      <w:r w:rsidR="004077F5">
        <w:t xml:space="preserve"> </w:t>
      </w:r>
      <w:r w:rsidR="007711E5">
        <w:t xml:space="preserve">formulation </w:t>
      </w:r>
      <w:r w:rsidR="007711E5">
        <w:lastRenderedPageBreak/>
        <w:t xml:space="preserve">and </w:t>
      </w:r>
      <w:r w:rsidR="004077F5">
        <w:t xml:space="preserve">implementation of </w:t>
      </w:r>
      <w:r>
        <w:t xml:space="preserve">such standardized formats </w:t>
      </w:r>
      <w:r w:rsidR="006A4CDC">
        <w:t>over time</w:t>
      </w:r>
      <w:r w:rsidR="00A93FB1">
        <w:t xml:space="preserve">, successively </w:t>
      </w:r>
      <w:r w:rsidR="006A4CDC">
        <w:t>issuing instructions to providers</w:t>
      </w:r>
      <w:r w:rsidR="004077F5">
        <w:t xml:space="preserve"> </w:t>
      </w:r>
      <w:r w:rsidR="006A4CDC">
        <w:t xml:space="preserve">on call data submissions </w:t>
      </w:r>
      <w:r w:rsidR="004077F5">
        <w:t xml:space="preserve">for each type of Internet-based relay service.  </w:t>
      </w:r>
    </w:p>
    <w:p w:rsidR="00CC1941" w:rsidRDefault="00757BA9" w:rsidP="00D3728A">
      <w:pPr>
        <w:pStyle w:val="ParaNum"/>
      </w:pPr>
      <w:r>
        <w:t>O</w:t>
      </w:r>
      <w:r w:rsidR="00F9339F">
        <w:t xml:space="preserve">n February 13, 2012, RLSA </w:t>
      </w:r>
      <w:r w:rsidR="00F9339F" w:rsidRPr="00F9339F">
        <w:t xml:space="preserve">modified its </w:t>
      </w:r>
      <w:r w:rsidR="00F31737">
        <w:t xml:space="preserve">filing </w:t>
      </w:r>
      <w:r w:rsidR="00F9339F" w:rsidRPr="00F9339F">
        <w:t xml:space="preserve">instructions to </w:t>
      </w:r>
      <w:r w:rsidR="00A93FB1">
        <w:t xml:space="preserve">specify the </w:t>
      </w:r>
      <w:r w:rsidR="00461BA9">
        <w:t xml:space="preserve">format and categories for </w:t>
      </w:r>
      <w:r w:rsidR="007D5E04">
        <w:t xml:space="preserve">call </w:t>
      </w:r>
      <w:r w:rsidR="00D27E5D">
        <w:t>data</w:t>
      </w:r>
      <w:r w:rsidR="006A4CDC">
        <w:t xml:space="preserve"> submitted by</w:t>
      </w:r>
      <w:r w:rsidR="00F9339F" w:rsidRPr="00F9339F">
        <w:t xml:space="preserve"> </w:t>
      </w:r>
      <w:r w:rsidR="00A93FB1">
        <w:t xml:space="preserve">IP Relay </w:t>
      </w:r>
      <w:r w:rsidR="00F31737">
        <w:t>providers</w:t>
      </w:r>
      <w:r w:rsidR="00F9339F" w:rsidRPr="00F9339F">
        <w:t>.</w:t>
      </w:r>
      <w:r w:rsidR="00072C63">
        <w:rPr>
          <w:rStyle w:val="FootnoteReference"/>
        </w:rPr>
        <w:footnoteReference w:id="12"/>
      </w:r>
      <w:r w:rsidR="00F9339F" w:rsidRPr="00F9339F">
        <w:t xml:space="preserve">  </w:t>
      </w:r>
      <w:r w:rsidR="00D27E5D">
        <w:t>T</w:t>
      </w:r>
      <w:r w:rsidR="00AD4CF9" w:rsidRPr="00AD4CF9">
        <w:t xml:space="preserve">he instructions stated that </w:t>
      </w:r>
      <w:r w:rsidR="00AD4CF9">
        <w:t>IP Relay</w:t>
      </w:r>
      <w:r w:rsidR="00AD4CF9" w:rsidRPr="00AD4CF9">
        <w:t xml:space="preserve"> providers must </w:t>
      </w:r>
      <w:r w:rsidR="003027E5">
        <w:t>submit</w:t>
      </w:r>
      <w:r w:rsidR="00AD4CF9" w:rsidRPr="00AD4CF9">
        <w:t xml:space="preserve"> </w:t>
      </w:r>
      <w:r w:rsidR="00D27E5D">
        <w:t xml:space="preserve">individual </w:t>
      </w:r>
      <w:r w:rsidR="00AD4CF9" w:rsidRPr="00AD4CF9">
        <w:t>call detail</w:t>
      </w:r>
      <w:r w:rsidR="00D27E5D">
        <w:t xml:space="preserve"> records (CDRs), not only for calls submitted for compensation, but also</w:t>
      </w:r>
      <w:r w:rsidR="00AD4CF9" w:rsidRPr="00AD4CF9">
        <w:t xml:space="preserve"> for “abandoned calls</w:t>
      </w:r>
      <w:r w:rsidR="00D27E5D">
        <w:t>,</w:t>
      </w:r>
      <w:r w:rsidR="00AD4CF9" w:rsidRPr="00AD4CF9">
        <w:t>”</w:t>
      </w:r>
      <w:r w:rsidR="00D27E5D">
        <w:t xml:space="preserve"> which are not compensable but are relevant to the determination of speed of answer compliance</w:t>
      </w:r>
      <w:r w:rsidR="00AD4CF9" w:rsidRPr="00AD4CF9">
        <w:t>.</w:t>
      </w:r>
      <w:r w:rsidR="00AD4CF9" w:rsidRPr="00AD4CF9">
        <w:rPr>
          <w:vertAlign w:val="superscript"/>
        </w:rPr>
        <w:footnoteReference w:id="13"/>
      </w:r>
      <w:r w:rsidR="00AD4CF9">
        <w:t xml:space="preserve">  </w:t>
      </w:r>
      <w:r w:rsidR="003027E5">
        <w:t>For such calls, which are not eligible for compensation, the instructions had previously required only the submission of daily totals.</w:t>
      </w:r>
      <w:r w:rsidR="003027E5">
        <w:rPr>
          <w:rStyle w:val="FootnoteReference"/>
        </w:rPr>
        <w:footnoteReference w:id="14"/>
      </w:r>
      <w:r w:rsidR="003027E5">
        <w:t xml:space="preserve">  </w:t>
      </w:r>
      <w:r w:rsidR="00E63BC5">
        <w:t>On the same day, RLSA notified all providers, including Sprint</w:t>
      </w:r>
      <w:r w:rsidR="000259C7">
        <w:t>,</w:t>
      </w:r>
      <w:r w:rsidR="00E63BC5">
        <w:t xml:space="preserve"> of the changed </w:t>
      </w:r>
      <w:r w:rsidR="00CC1941">
        <w:t xml:space="preserve">filing </w:t>
      </w:r>
      <w:r w:rsidR="00E63BC5">
        <w:t>instructions</w:t>
      </w:r>
      <w:r w:rsidR="00CC1941">
        <w:t xml:space="preserve"> for IP Relay.</w:t>
      </w:r>
      <w:r w:rsidR="00461BA9">
        <w:rPr>
          <w:rStyle w:val="FootnoteReference"/>
        </w:rPr>
        <w:footnoteReference w:id="15"/>
      </w:r>
      <w:r w:rsidR="00461BA9" w:rsidRPr="00E63BC5">
        <w:t> </w:t>
      </w:r>
      <w:r w:rsidR="00A93FB1">
        <w:t xml:space="preserve"> S</w:t>
      </w:r>
      <w:r w:rsidR="00D84472">
        <w:t xml:space="preserve">tarting with </w:t>
      </w:r>
      <w:r w:rsidR="00CC1941">
        <w:t xml:space="preserve">the </w:t>
      </w:r>
      <w:r w:rsidR="00D84472">
        <w:t>calls placed in January 2012,</w:t>
      </w:r>
      <w:r w:rsidR="00E63BC5">
        <w:t xml:space="preserve"> </w:t>
      </w:r>
      <w:r w:rsidR="00A93FB1" w:rsidRPr="00A93FB1">
        <w:t xml:space="preserve">RLSA </w:t>
      </w:r>
      <w:r w:rsidR="00A93FB1">
        <w:t>explained,</w:t>
      </w:r>
      <w:r w:rsidR="00A93FB1" w:rsidRPr="00A93FB1">
        <w:t xml:space="preserve"> </w:t>
      </w:r>
      <w:r w:rsidR="00E63BC5">
        <w:t>“</w:t>
      </w:r>
      <w:r w:rsidR="00E63BC5" w:rsidRPr="00E63BC5">
        <w:t>any requests for reimbursement from the Interstate TRS fund for IP Relay services must now be accompanied by an upload of the IP Relay CDR data as specified within the filing instructions.</w:t>
      </w:r>
      <w:r w:rsidR="00E63BC5">
        <w:t>”</w:t>
      </w:r>
      <w:r w:rsidR="00E63BC5">
        <w:rPr>
          <w:rStyle w:val="FootnoteReference"/>
        </w:rPr>
        <w:footnoteReference w:id="16"/>
      </w:r>
      <w:r w:rsidR="00E63BC5" w:rsidRPr="00E63BC5">
        <w:t> </w:t>
      </w:r>
      <w:r w:rsidR="00DE18D6">
        <w:t xml:space="preserve">  </w:t>
      </w:r>
    </w:p>
    <w:p w:rsidR="00F915D4" w:rsidRDefault="00DE18D6" w:rsidP="00D3728A">
      <w:pPr>
        <w:pStyle w:val="ParaNum"/>
      </w:pPr>
      <w:r>
        <w:t xml:space="preserve">In </w:t>
      </w:r>
      <w:r w:rsidR="0079023C">
        <w:t>response to the new instructions for IP Relay,</w:t>
      </w:r>
      <w:r>
        <w:t xml:space="preserve"> Sprint</w:t>
      </w:r>
      <w:r w:rsidR="0079023C">
        <w:t>’s</w:t>
      </w:r>
      <w:r>
        <w:t xml:space="preserve"> submi</w:t>
      </w:r>
      <w:r w:rsidR="0079023C">
        <w:t>ssion</w:t>
      </w:r>
      <w:r>
        <w:t xml:space="preserve"> for </w:t>
      </w:r>
      <w:r w:rsidR="0079023C">
        <w:t xml:space="preserve">January 2012 included </w:t>
      </w:r>
      <w:r w:rsidR="00630CF7">
        <w:t xml:space="preserve">CDRs </w:t>
      </w:r>
      <w:r w:rsidR="0079023C">
        <w:t xml:space="preserve">for </w:t>
      </w:r>
      <w:r>
        <w:t>the calls for which it requested compensation, but</w:t>
      </w:r>
      <w:r w:rsidR="0040358C">
        <w:t xml:space="preserve"> Sprint acknowledges that</w:t>
      </w:r>
      <w:r>
        <w:t xml:space="preserve"> </w:t>
      </w:r>
      <w:r w:rsidR="009C3A42">
        <w:t xml:space="preserve">it </w:t>
      </w:r>
      <w:r>
        <w:t xml:space="preserve">did not include </w:t>
      </w:r>
      <w:r w:rsidR="00630CF7">
        <w:t>CDRs</w:t>
      </w:r>
      <w:r w:rsidR="0079023C">
        <w:t xml:space="preserve"> for </w:t>
      </w:r>
      <w:r>
        <w:t>abandoned calls.</w:t>
      </w:r>
      <w:r w:rsidR="002526CD">
        <w:rPr>
          <w:rStyle w:val="FootnoteReference"/>
        </w:rPr>
        <w:footnoteReference w:id="17"/>
      </w:r>
    </w:p>
    <w:p w:rsidR="0075771E" w:rsidRPr="00F915D4" w:rsidRDefault="0075771E" w:rsidP="00D3728A">
      <w:pPr>
        <w:pStyle w:val="ParaNum"/>
      </w:pPr>
      <w:r w:rsidRPr="00F915D4">
        <w:t xml:space="preserve"> </w:t>
      </w:r>
      <w:r w:rsidR="009C3A42">
        <w:t>After reviewing providers’ submissions</w:t>
      </w:r>
      <w:r w:rsidR="002526CD">
        <w:t xml:space="preserve">, RLSA determined that the CDR </w:t>
      </w:r>
      <w:r w:rsidR="00534892">
        <w:t xml:space="preserve">categories and </w:t>
      </w:r>
      <w:r w:rsidR="002526CD">
        <w:t xml:space="preserve">format specified in the </w:t>
      </w:r>
      <w:r w:rsidR="002526CD" w:rsidRPr="00D3728A">
        <w:rPr>
          <w:i/>
        </w:rPr>
        <w:t xml:space="preserve">February 2012 </w:t>
      </w:r>
      <w:r w:rsidR="00757BA9" w:rsidRPr="00D3728A">
        <w:rPr>
          <w:i/>
        </w:rPr>
        <w:t>Filing I</w:t>
      </w:r>
      <w:r w:rsidR="002526CD" w:rsidRPr="00D3728A">
        <w:rPr>
          <w:i/>
        </w:rPr>
        <w:t>nstructions</w:t>
      </w:r>
      <w:r w:rsidR="002526CD">
        <w:t xml:space="preserve"> </w:t>
      </w:r>
      <w:r w:rsidR="00534892">
        <w:t>were</w:t>
      </w:r>
      <w:r w:rsidR="002526CD">
        <w:t xml:space="preserve"> not eliciting the information needed to validate IP Relay calls, due to differences in the ways that VRS and IP Relay </w:t>
      </w:r>
      <w:r w:rsidR="009C3A42">
        <w:t xml:space="preserve">calls </w:t>
      </w:r>
      <w:r w:rsidR="002526CD">
        <w:t xml:space="preserve">are </w:t>
      </w:r>
      <w:r w:rsidR="009C3A42">
        <w:t>processed</w:t>
      </w:r>
      <w:r w:rsidR="002526CD">
        <w:t xml:space="preserve">.  </w:t>
      </w:r>
      <w:r w:rsidR="001A79AE" w:rsidRPr="001A79AE">
        <w:rPr>
          <w:bCs/>
        </w:rPr>
        <w:t>On April 12, 2012</w:t>
      </w:r>
      <w:r w:rsidR="001A79AE" w:rsidRPr="001A79AE">
        <w:rPr>
          <w:b/>
          <w:bCs/>
        </w:rPr>
        <w:t>,</w:t>
      </w:r>
      <w:r w:rsidR="001A79AE" w:rsidRPr="001A79AE">
        <w:t xml:space="preserve"> </w:t>
      </w:r>
      <w:r w:rsidRPr="00F915D4">
        <w:t xml:space="preserve">RLSA revised the instructions regarding </w:t>
      </w:r>
      <w:r w:rsidR="00534892">
        <w:t xml:space="preserve">the format and categories for </w:t>
      </w:r>
      <w:r w:rsidRPr="00F915D4">
        <w:t xml:space="preserve">CDR </w:t>
      </w:r>
      <w:r w:rsidR="009C3A42">
        <w:t>submissions</w:t>
      </w:r>
      <w:r w:rsidRPr="00F915D4">
        <w:t xml:space="preserve"> for IP </w:t>
      </w:r>
      <w:r w:rsidR="002526CD">
        <w:t>R</w:t>
      </w:r>
      <w:r w:rsidRPr="00F915D4">
        <w:t>elay.</w:t>
      </w:r>
      <w:r w:rsidR="00406474">
        <w:rPr>
          <w:rStyle w:val="FootnoteReference"/>
        </w:rPr>
        <w:footnoteReference w:id="18"/>
      </w:r>
      <w:r w:rsidRPr="00F915D4">
        <w:t xml:space="preserve"> </w:t>
      </w:r>
      <w:r w:rsidR="001A79AE">
        <w:t xml:space="preserve"> RLSA notified providers</w:t>
      </w:r>
      <w:r w:rsidR="00D84472" w:rsidRPr="00D84472">
        <w:t> </w:t>
      </w:r>
      <w:r w:rsidR="002526CD">
        <w:t xml:space="preserve">of the change </w:t>
      </w:r>
      <w:r w:rsidR="001A79AE">
        <w:t>and</w:t>
      </w:r>
      <w:r w:rsidR="00D84472" w:rsidRPr="00D84472">
        <w:t xml:space="preserve"> </w:t>
      </w:r>
      <w:r w:rsidR="002526CD">
        <w:t>requested that</w:t>
      </w:r>
      <w:r w:rsidR="009C3A42">
        <w:t xml:space="preserve">, in addition to following the new format on a going-forward basis, providers should </w:t>
      </w:r>
      <w:r w:rsidR="001A79AE" w:rsidRPr="00F915D4">
        <w:t>revise the CDR</w:t>
      </w:r>
      <w:r w:rsidR="009C3A42">
        <w:t>s</w:t>
      </w:r>
      <w:r w:rsidR="001A79AE" w:rsidRPr="00F915D4">
        <w:t xml:space="preserve"> </w:t>
      </w:r>
      <w:r w:rsidR="002526CD">
        <w:t xml:space="preserve">they had </w:t>
      </w:r>
      <w:r w:rsidR="001A79AE" w:rsidRPr="00F915D4">
        <w:t xml:space="preserve">previously </w:t>
      </w:r>
      <w:r w:rsidR="009C3A42">
        <w:t xml:space="preserve">submitted for IP Relay calls </w:t>
      </w:r>
      <w:r w:rsidR="002526CD">
        <w:t>in order to conform to the new format</w:t>
      </w:r>
      <w:r w:rsidR="001A79AE" w:rsidRPr="00F915D4">
        <w:t>.</w:t>
      </w:r>
      <w:r w:rsidR="002526CD" w:rsidRPr="002526CD">
        <w:rPr>
          <w:vertAlign w:val="superscript"/>
        </w:rPr>
        <w:footnoteReference w:id="19"/>
      </w:r>
      <w:r w:rsidR="001A79AE">
        <w:t xml:space="preserve">  </w:t>
      </w:r>
      <w:r w:rsidRPr="00F915D4">
        <w:t xml:space="preserve">IP Relay payments were withheld from all providers pending RLSA’s analysis of the resubmitted CDRs. </w:t>
      </w:r>
    </w:p>
    <w:p w:rsidR="0091234F" w:rsidRDefault="00DE18D6" w:rsidP="00D3728A">
      <w:pPr>
        <w:pStyle w:val="ParaNum"/>
      </w:pPr>
      <w:r>
        <w:t xml:space="preserve">Sprint </w:t>
      </w:r>
      <w:r w:rsidR="00954312" w:rsidRPr="00954312">
        <w:t xml:space="preserve">used the new </w:t>
      </w:r>
      <w:r w:rsidR="00954312">
        <w:t xml:space="preserve">CDR </w:t>
      </w:r>
      <w:r w:rsidR="00954312" w:rsidRPr="00954312">
        <w:t>format</w:t>
      </w:r>
      <w:r w:rsidR="00954312">
        <w:t xml:space="preserve"> in revised</w:t>
      </w:r>
      <w:r>
        <w:t xml:space="preserve"> </w:t>
      </w:r>
      <w:r w:rsidR="00417018">
        <w:t xml:space="preserve">data </w:t>
      </w:r>
      <w:r w:rsidR="00954312">
        <w:t xml:space="preserve">submissions </w:t>
      </w:r>
      <w:r>
        <w:t xml:space="preserve">for its January, February, and March </w:t>
      </w:r>
      <w:r w:rsidR="009C3A42">
        <w:t xml:space="preserve">2012 </w:t>
      </w:r>
      <w:r w:rsidR="004F1903">
        <w:t xml:space="preserve">IP Relay </w:t>
      </w:r>
      <w:r>
        <w:t>calls</w:t>
      </w:r>
      <w:r w:rsidR="00954312">
        <w:t xml:space="preserve"> and in subsequent </w:t>
      </w:r>
      <w:r w:rsidR="00417018">
        <w:t xml:space="preserve">data </w:t>
      </w:r>
      <w:r w:rsidR="00954312">
        <w:t>submissions going forward</w:t>
      </w:r>
      <w:r w:rsidR="0040358C">
        <w:t xml:space="preserve">.  Again, </w:t>
      </w:r>
      <w:r>
        <w:t xml:space="preserve">however, </w:t>
      </w:r>
      <w:r w:rsidR="00C0113A">
        <w:t xml:space="preserve">neither </w:t>
      </w:r>
      <w:r w:rsidR="009C3A42">
        <w:t>Sprint</w:t>
      </w:r>
      <w:r w:rsidR="00406474">
        <w:t>’s</w:t>
      </w:r>
      <w:r w:rsidR="009C3A42">
        <w:t xml:space="preserve"> </w:t>
      </w:r>
      <w:r w:rsidR="00C0113A">
        <w:t xml:space="preserve">resubmitted CDRs nor </w:t>
      </w:r>
      <w:r w:rsidR="009C3A42">
        <w:t>its subsequently submitted</w:t>
      </w:r>
      <w:r w:rsidR="00C0113A">
        <w:t xml:space="preserve"> </w:t>
      </w:r>
      <w:r w:rsidR="009C3A42">
        <w:t>CDRs included</w:t>
      </w:r>
      <w:r>
        <w:t xml:space="preserve"> </w:t>
      </w:r>
      <w:r w:rsidR="00C0113A">
        <w:t xml:space="preserve">data on </w:t>
      </w:r>
      <w:r>
        <w:t>abandoned calls</w:t>
      </w:r>
      <w:r w:rsidR="00C0113A">
        <w:t>.</w:t>
      </w:r>
      <w:r w:rsidR="007F7151">
        <w:rPr>
          <w:rStyle w:val="FootnoteReference"/>
        </w:rPr>
        <w:footnoteReference w:id="20"/>
      </w:r>
      <w:r w:rsidR="00C0113A">
        <w:t xml:space="preserve"> </w:t>
      </w:r>
      <w:r>
        <w:t xml:space="preserve"> </w:t>
      </w:r>
      <w:r w:rsidR="005A3947">
        <w:t>As a result, the CDRs submitted by Sprint did not validate its speed-of-answer reports</w:t>
      </w:r>
      <w:r w:rsidR="005A3947" w:rsidRPr="005A3947">
        <w:rPr>
          <w:color w:val="auto"/>
          <w:szCs w:val="20"/>
        </w:rPr>
        <w:t xml:space="preserve"> </w:t>
      </w:r>
      <w:r w:rsidR="005A3947" w:rsidRPr="005A3947">
        <w:t>for January through April 2012</w:t>
      </w:r>
      <w:r w:rsidR="005A3947">
        <w:t xml:space="preserve">.  </w:t>
      </w:r>
      <w:r w:rsidR="00C9128F">
        <w:t xml:space="preserve">On </w:t>
      </w:r>
      <w:r w:rsidR="00F915D4" w:rsidRPr="00C9128F">
        <w:rPr>
          <w:bCs/>
        </w:rPr>
        <w:t>June 11, 2012</w:t>
      </w:r>
      <w:r w:rsidR="00C9128F" w:rsidRPr="00C9128F">
        <w:rPr>
          <w:bCs/>
        </w:rPr>
        <w:t>,</w:t>
      </w:r>
      <w:r w:rsidR="00F915D4" w:rsidRPr="00F915D4">
        <w:t xml:space="preserve"> </w:t>
      </w:r>
      <w:r w:rsidR="00E16727" w:rsidRPr="00E16727">
        <w:t xml:space="preserve">RLSA notified Sprint </w:t>
      </w:r>
      <w:r w:rsidR="005A3947">
        <w:t xml:space="preserve">of the inconsistency </w:t>
      </w:r>
      <w:r w:rsidR="00D02F97">
        <w:t>and requested that the CDRs be corrected and replaced</w:t>
      </w:r>
      <w:r w:rsidR="00E16727" w:rsidRPr="00E16727">
        <w:t>.</w:t>
      </w:r>
      <w:r w:rsidR="00D02F97">
        <w:rPr>
          <w:rStyle w:val="FootnoteReference"/>
        </w:rPr>
        <w:footnoteReference w:id="21"/>
      </w:r>
      <w:r w:rsidR="00E16727" w:rsidRPr="00E16727">
        <w:t xml:space="preserve"> </w:t>
      </w:r>
    </w:p>
    <w:p w:rsidR="00F915D4" w:rsidRPr="00F915D4" w:rsidRDefault="00C9128F" w:rsidP="00AF52FA">
      <w:pPr>
        <w:pStyle w:val="ParaNum"/>
      </w:pPr>
      <w:r>
        <w:t xml:space="preserve">On </w:t>
      </w:r>
      <w:r w:rsidR="00F915D4" w:rsidRPr="00406474">
        <w:rPr>
          <w:bCs/>
        </w:rPr>
        <w:t>July 5, 2012</w:t>
      </w:r>
      <w:r w:rsidRPr="00406474">
        <w:rPr>
          <w:bCs/>
        </w:rPr>
        <w:t>,</w:t>
      </w:r>
      <w:r w:rsidR="00F915D4" w:rsidRPr="00F915D4">
        <w:t xml:space="preserve"> </w:t>
      </w:r>
      <w:r>
        <w:t>a</w:t>
      </w:r>
      <w:r w:rsidR="00F915D4" w:rsidRPr="00F915D4">
        <w:t xml:space="preserve"> conference call with Sprint personnel and RLSA took place </w:t>
      </w:r>
      <w:r>
        <w:t>to explain</w:t>
      </w:r>
      <w:r w:rsidR="00F915D4" w:rsidRPr="00F915D4">
        <w:t xml:space="preserve"> </w:t>
      </w:r>
      <w:r w:rsidR="000A1063">
        <w:t xml:space="preserve">further </w:t>
      </w:r>
      <w:r>
        <w:t>the</w:t>
      </w:r>
      <w:r w:rsidR="00F915D4" w:rsidRPr="00F915D4">
        <w:t xml:space="preserve"> </w:t>
      </w:r>
      <w:r w:rsidR="006F3029">
        <w:t xml:space="preserve">deficiency of Sprint’s </w:t>
      </w:r>
      <w:r w:rsidR="00F915D4" w:rsidRPr="00F915D4">
        <w:t>CDR</w:t>
      </w:r>
      <w:r w:rsidR="006F3029">
        <w:t>s</w:t>
      </w:r>
      <w:r>
        <w:t>.</w:t>
      </w:r>
      <w:r w:rsidR="007F7151">
        <w:rPr>
          <w:rStyle w:val="FootnoteReference"/>
        </w:rPr>
        <w:footnoteReference w:id="22"/>
      </w:r>
      <w:r>
        <w:t xml:space="preserve"> </w:t>
      </w:r>
      <w:r w:rsidR="00F915D4" w:rsidRPr="00F915D4">
        <w:t xml:space="preserve"> </w:t>
      </w:r>
      <w:r w:rsidR="00406474">
        <w:t xml:space="preserve">According to </w:t>
      </w:r>
      <w:r w:rsidR="0091234F" w:rsidRPr="0091234F">
        <w:t>Sprint</w:t>
      </w:r>
      <w:r w:rsidR="00406474">
        <w:t>, after this conference call it</w:t>
      </w:r>
      <w:r w:rsidR="0091234F" w:rsidRPr="0091234F">
        <w:t xml:space="preserve"> requested its switch provider to make </w:t>
      </w:r>
      <w:r w:rsidR="00406474">
        <w:t>call detail for abandoned calls</w:t>
      </w:r>
      <w:r w:rsidR="0091234F" w:rsidRPr="0091234F">
        <w:t xml:space="preserve"> available on a going-forward basis. </w:t>
      </w:r>
      <w:r w:rsidR="002465F5">
        <w:t xml:space="preserve"> </w:t>
      </w:r>
      <w:r w:rsidR="00991A74">
        <w:t>The supplier</w:t>
      </w:r>
      <w:r w:rsidR="0091234F" w:rsidRPr="00F915D4">
        <w:t xml:space="preserve"> was able </w:t>
      </w:r>
      <w:r w:rsidR="0091234F">
        <w:t xml:space="preserve">to </w:t>
      </w:r>
      <w:r w:rsidR="0091234F" w:rsidRPr="00F915D4">
        <w:t>make the necessary upgrades</w:t>
      </w:r>
      <w:r w:rsidR="0091234F">
        <w:t xml:space="preserve">, conduct testing, and </w:t>
      </w:r>
      <w:r w:rsidR="0091234F" w:rsidRPr="00F915D4">
        <w:t xml:space="preserve">install the upgraded system </w:t>
      </w:r>
      <w:r w:rsidR="0091234F">
        <w:t>enabling</w:t>
      </w:r>
      <w:r w:rsidR="0091234F" w:rsidRPr="00F915D4">
        <w:t xml:space="preserve"> Sprint to produce </w:t>
      </w:r>
      <w:r w:rsidR="00406474">
        <w:t xml:space="preserve">abandoned call </w:t>
      </w:r>
      <w:r w:rsidR="0091234F" w:rsidRPr="00F915D4">
        <w:t xml:space="preserve">data </w:t>
      </w:r>
      <w:r w:rsidR="0091234F">
        <w:t xml:space="preserve">on an ongoing basis beginning in October </w:t>
      </w:r>
      <w:r w:rsidR="00D57695">
        <w:t>2012</w:t>
      </w:r>
      <w:r w:rsidR="0091234F" w:rsidRPr="00F915D4">
        <w:t>.</w:t>
      </w:r>
      <w:r w:rsidR="0091234F">
        <w:rPr>
          <w:rStyle w:val="FootnoteReference"/>
        </w:rPr>
        <w:footnoteReference w:id="23"/>
      </w:r>
      <w:r w:rsidR="0091234F" w:rsidRPr="0091234F">
        <w:t xml:space="preserve"> </w:t>
      </w:r>
      <w:r w:rsidR="0091234F">
        <w:t xml:space="preserve"> </w:t>
      </w:r>
      <w:r w:rsidR="0091234F" w:rsidRPr="0091234F">
        <w:t>Sprint states</w:t>
      </w:r>
      <w:r w:rsidR="0029365E">
        <w:t>, however,</w:t>
      </w:r>
      <w:r w:rsidR="0091234F" w:rsidRPr="0091234F">
        <w:t xml:space="preserve"> that </w:t>
      </w:r>
      <w:r w:rsidR="00991A74">
        <w:t>its supplier</w:t>
      </w:r>
      <w:r w:rsidR="0091234F" w:rsidRPr="0091234F">
        <w:t xml:space="preserve"> was not able to provide CDR data retrospectively for abandoned calls, because the </w:t>
      </w:r>
      <w:r w:rsidR="00991A74">
        <w:t>supplier’s</w:t>
      </w:r>
      <w:r w:rsidR="0091234F" w:rsidRPr="0091234F">
        <w:t xml:space="preserve"> data service that Sprint </w:t>
      </w:r>
      <w:r w:rsidR="002460F4">
        <w:t>utilized</w:t>
      </w:r>
      <w:r w:rsidR="0091234F" w:rsidRPr="0091234F">
        <w:t xml:space="preserve"> during the Jan</w:t>
      </w:r>
      <w:r w:rsidR="00361700">
        <w:t>uary</w:t>
      </w:r>
      <w:r w:rsidR="0091234F" w:rsidRPr="0091234F">
        <w:t>-Sept</w:t>
      </w:r>
      <w:r w:rsidR="00361700">
        <w:t>ember</w:t>
      </w:r>
      <w:r w:rsidR="0091234F" w:rsidRPr="0091234F">
        <w:t xml:space="preserve"> 2012 period did not </w:t>
      </w:r>
      <w:r w:rsidR="002460F4">
        <w:t>include</w:t>
      </w:r>
      <w:r w:rsidR="005078F9">
        <w:t xml:space="preserve"> the provision of </w:t>
      </w:r>
      <w:r w:rsidR="0091234F" w:rsidRPr="0091234F">
        <w:t>individual call detail for abandoned calls.</w:t>
      </w:r>
      <w:r w:rsidR="00361700">
        <w:rPr>
          <w:rStyle w:val="FootnoteReference"/>
        </w:rPr>
        <w:footnoteReference w:id="24"/>
      </w:r>
      <w:r w:rsidR="0091234F" w:rsidRPr="0091234F">
        <w:t xml:space="preserve"> </w:t>
      </w:r>
    </w:p>
    <w:p w:rsidR="00900FFA" w:rsidRPr="00361700" w:rsidRDefault="0091234F" w:rsidP="00AF52FA">
      <w:pPr>
        <w:pStyle w:val="ParaNum"/>
      </w:pPr>
      <w:r w:rsidRPr="0091234F">
        <w:t>On Sept</w:t>
      </w:r>
      <w:r w:rsidR="00305594">
        <w:t>ember</w:t>
      </w:r>
      <w:r w:rsidRPr="0091234F">
        <w:t xml:space="preserve"> 24, 2012, Sprint sent a letter to the FCC General Counsel protesting the withholding of payments.</w:t>
      </w:r>
      <w:r>
        <w:rPr>
          <w:rStyle w:val="FootnoteReference"/>
        </w:rPr>
        <w:footnoteReference w:id="25"/>
      </w:r>
      <w:r w:rsidRPr="0091234F">
        <w:t xml:space="preserve"> </w:t>
      </w:r>
      <w:r w:rsidR="00515D98">
        <w:t xml:space="preserve"> </w:t>
      </w:r>
      <w:r w:rsidR="00866A86" w:rsidRPr="00866A86">
        <w:t>We deem Sprint</w:t>
      </w:r>
      <w:r w:rsidR="00866A86">
        <w:t xml:space="preserve">’s letter to </w:t>
      </w:r>
      <w:r w:rsidR="00EC4852">
        <w:t xml:space="preserve">the General Counsel to </w:t>
      </w:r>
      <w:r w:rsidR="00866A86">
        <w:t xml:space="preserve">be a request for review of the administrator’s decision, </w:t>
      </w:r>
      <w:r w:rsidR="00CD777A">
        <w:t>although such requests are ordinarily directed to the Bureau</w:t>
      </w:r>
      <w:r w:rsidR="00866A86">
        <w:t>.</w:t>
      </w:r>
      <w:r w:rsidR="00CD777A">
        <w:rPr>
          <w:rStyle w:val="FootnoteReference"/>
        </w:rPr>
        <w:footnoteReference w:id="26"/>
      </w:r>
      <w:r w:rsidR="00866A86" w:rsidRPr="00866A86">
        <w:t xml:space="preserve"> </w:t>
      </w:r>
      <w:r w:rsidR="00866A86">
        <w:t xml:space="preserve"> </w:t>
      </w:r>
      <w:r w:rsidRPr="0091234F">
        <w:t xml:space="preserve">Sprint provided additional information </w:t>
      </w:r>
      <w:r w:rsidR="00900FFA">
        <w:t xml:space="preserve">and arguments in support of its position in </w:t>
      </w:r>
      <w:r w:rsidR="00E465D7">
        <w:t xml:space="preserve">various </w:t>
      </w:r>
      <w:r w:rsidR="00900FFA">
        <w:t xml:space="preserve">emails </w:t>
      </w:r>
      <w:r w:rsidR="00D5664D">
        <w:t xml:space="preserve">and </w:t>
      </w:r>
      <w:r w:rsidR="00E465D7">
        <w:t xml:space="preserve">in </w:t>
      </w:r>
      <w:r w:rsidR="00D5664D">
        <w:t xml:space="preserve">letters </w:t>
      </w:r>
      <w:r w:rsidR="00900FFA">
        <w:t xml:space="preserve">to </w:t>
      </w:r>
      <w:r w:rsidR="00D5664D">
        <w:t xml:space="preserve">the Bureau </w:t>
      </w:r>
      <w:r w:rsidR="00900FFA">
        <w:t>dated</w:t>
      </w:r>
      <w:r w:rsidRPr="0091234F">
        <w:t xml:space="preserve"> Feb</w:t>
      </w:r>
      <w:r w:rsidR="00402E97">
        <w:t>ruary</w:t>
      </w:r>
      <w:r w:rsidRPr="0091234F">
        <w:t xml:space="preserve"> 11, 2013</w:t>
      </w:r>
      <w:r w:rsidR="00C8689B">
        <w:t>, and May 20, 2013</w:t>
      </w:r>
      <w:r w:rsidRPr="0091234F">
        <w:t>.</w:t>
      </w:r>
      <w:r w:rsidR="00900FFA">
        <w:rPr>
          <w:rStyle w:val="FootnoteReference"/>
        </w:rPr>
        <w:footnoteReference w:id="27"/>
      </w:r>
      <w:r w:rsidR="00402E97" w:rsidRPr="00402E97">
        <w:rPr>
          <w:color w:val="auto"/>
          <w:szCs w:val="20"/>
        </w:rPr>
        <w:t xml:space="preserve"> </w:t>
      </w:r>
      <w:r w:rsidR="00900FFA">
        <w:rPr>
          <w:color w:val="auto"/>
          <w:szCs w:val="20"/>
        </w:rPr>
        <w:t xml:space="preserve"> </w:t>
      </w:r>
    </w:p>
    <w:p w:rsidR="00361700" w:rsidRPr="00900FFA" w:rsidRDefault="00064E6A" w:rsidP="00AF52FA">
      <w:pPr>
        <w:pStyle w:val="ParaNum"/>
      </w:pPr>
      <w:r>
        <w:t>Subsequently</w:t>
      </w:r>
      <w:r w:rsidR="00361700" w:rsidRPr="00361700">
        <w:t xml:space="preserve">, the </w:t>
      </w:r>
      <w:r w:rsidR="00D5664D">
        <w:t>Bureau</w:t>
      </w:r>
      <w:r w:rsidR="00233CB4">
        <w:t xml:space="preserve"> directed RLSA </w:t>
      </w:r>
      <w:r w:rsidR="00A43A1D">
        <w:t xml:space="preserve">that </w:t>
      </w:r>
      <w:r w:rsidR="007D3BDC">
        <w:t xml:space="preserve">payment </w:t>
      </w:r>
      <w:r w:rsidR="00361700">
        <w:t>should no</w:t>
      </w:r>
      <w:r w:rsidR="007D3BDC">
        <w:t>t</w:t>
      </w:r>
      <w:r w:rsidR="00361700">
        <w:t xml:space="preserve"> </w:t>
      </w:r>
      <w:r w:rsidR="007D3BDC">
        <w:t xml:space="preserve">be </w:t>
      </w:r>
      <w:r w:rsidR="00361700">
        <w:t>withh</w:t>
      </w:r>
      <w:r w:rsidR="008103F5">
        <w:t>e</w:t>
      </w:r>
      <w:r w:rsidR="00361700">
        <w:t xml:space="preserve">ld </w:t>
      </w:r>
      <w:r w:rsidR="007D3BDC">
        <w:t xml:space="preserve">from Sprint for the months of January, February, March, April, and May </w:t>
      </w:r>
      <w:r w:rsidR="00D57695">
        <w:t xml:space="preserve">2012 </w:t>
      </w:r>
      <w:r w:rsidR="00361700">
        <w:t>on the basis of noncomplian</w:t>
      </w:r>
      <w:r w:rsidR="007D3BDC">
        <w:t xml:space="preserve">ce with </w:t>
      </w:r>
      <w:r w:rsidR="00361700">
        <w:t xml:space="preserve">SOA call data </w:t>
      </w:r>
      <w:r w:rsidR="007D3BDC">
        <w:t>instructions</w:t>
      </w:r>
      <w:r w:rsidR="00361700">
        <w:t xml:space="preserve">.  The Bureau continued to review the </w:t>
      </w:r>
      <w:r w:rsidR="007D3BDC">
        <w:t xml:space="preserve">issue of whether, and to what extent, </w:t>
      </w:r>
      <w:r w:rsidR="00361700">
        <w:t xml:space="preserve">payment </w:t>
      </w:r>
      <w:r w:rsidR="007D3BDC">
        <w:t xml:space="preserve">should be withheld </w:t>
      </w:r>
      <w:r w:rsidR="00361700">
        <w:t xml:space="preserve">on that basis for the months of June, July, August, and September </w:t>
      </w:r>
      <w:r w:rsidR="00D57695">
        <w:t>2012</w:t>
      </w:r>
      <w:r w:rsidR="00361700">
        <w:t xml:space="preserve">. </w:t>
      </w:r>
    </w:p>
    <w:p w:rsidR="00886583" w:rsidRPr="005649B8" w:rsidRDefault="004A31F5" w:rsidP="00C32DE7">
      <w:pPr>
        <w:pStyle w:val="Heading1"/>
      </w:pPr>
      <w:r>
        <w:t>Sprint</w:t>
      </w:r>
      <w:r w:rsidR="00886583" w:rsidRPr="005649B8">
        <w:t>’s Request for Review</w:t>
      </w:r>
    </w:p>
    <w:p w:rsidR="00C0113A" w:rsidRDefault="004A31F5" w:rsidP="00D3728A">
      <w:pPr>
        <w:pStyle w:val="ParaNum"/>
      </w:pPr>
      <w:r>
        <w:t>Sprint</w:t>
      </w:r>
      <w:r w:rsidR="008E7940" w:rsidRPr="005649B8">
        <w:t xml:space="preserve"> claims that</w:t>
      </w:r>
      <w:r w:rsidR="00E97805" w:rsidRPr="005649B8">
        <w:t xml:space="preserve"> </w:t>
      </w:r>
      <w:r w:rsidR="00305594">
        <w:t xml:space="preserve">payment was wrongfully withheld because: (1) </w:t>
      </w:r>
      <w:r w:rsidR="00755C45">
        <w:t>i</w:t>
      </w:r>
      <w:r w:rsidR="00755C45" w:rsidRPr="00F915D4">
        <w:t>t was not notified of the abandoned call CDR requirement until June 11, 2012;</w:t>
      </w:r>
      <w:r w:rsidR="00755C45">
        <w:t xml:space="preserve"> (2) </w:t>
      </w:r>
      <w:r w:rsidR="00755C45" w:rsidRPr="00F915D4">
        <w:t xml:space="preserve">due to the nature of the </w:t>
      </w:r>
      <w:r w:rsidR="00FB729B">
        <w:t>call data processing</w:t>
      </w:r>
      <w:r w:rsidR="00755C45" w:rsidRPr="00F915D4">
        <w:t xml:space="preserve"> service </w:t>
      </w:r>
      <w:r w:rsidR="00FB729B">
        <w:t xml:space="preserve">to which </w:t>
      </w:r>
      <w:r w:rsidR="00755C45" w:rsidRPr="00F915D4">
        <w:t>Sprint subscribed, it was not possible for Sprint to provide the data on a retrospective basis;</w:t>
      </w:r>
      <w:r w:rsidR="00755C45" w:rsidRPr="00755C45">
        <w:t xml:space="preserve"> </w:t>
      </w:r>
      <w:r w:rsidR="005078F9">
        <w:t xml:space="preserve">and </w:t>
      </w:r>
      <w:r w:rsidR="00B90D67">
        <w:t xml:space="preserve">(3) </w:t>
      </w:r>
      <w:r w:rsidR="00755C45" w:rsidRPr="00F915D4">
        <w:t xml:space="preserve">once it understood what RLSA required, it </w:t>
      </w:r>
      <w:r w:rsidR="002460F4">
        <w:t>acted</w:t>
      </w:r>
      <w:r w:rsidR="00755C45" w:rsidRPr="00F915D4">
        <w:t xml:space="preserve"> to ensure reporting of the required CDR information on a going-forward basis</w:t>
      </w:r>
      <w:r w:rsidR="00D16F52">
        <w:t>.</w:t>
      </w:r>
      <w:r w:rsidR="00EE1399">
        <w:rPr>
          <w:rStyle w:val="FootnoteReference"/>
        </w:rPr>
        <w:footnoteReference w:id="28"/>
      </w:r>
      <w:r w:rsidR="00755C45">
        <w:t xml:space="preserve">  </w:t>
      </w:r>
      <w:r w:rsidR="00D8580C" w:rsidRPr="00D8580C">
        <w:t xml:space="preserve">  </w:t>
      </w:r>
    </w:p>
    <w:p w:rsidR="00305594" w:rsidRDefault="00755C45" w:rsidP="00D3728A">
      <w:pPr>
        <w:pStyle w:val="ParaNum"/>
      </w:pPr>
      <w:r>
        <w:t xml:space="preserve">Sprint </w:t>
      </w:r>
      <w:r w:rsidR="00D16F52">
        <w:t xml:space="preserve">further </w:t>
      </w:r>
      <w:r w:rsidR="00E16727" w:rsidRPr="00C0113A">
        <w:t>contend</w:t>
      </w:r>
      <w:r w:rsidR="00C0113A">
        <w:t>s that, all along,</w:t>
      </w:r>
      <w:r w:rsidR="00E16727" w:rsidRPr="00C0113A">
        <w:t xml:space="preserve"> abandoned calls </w:t>
      </w:r>
      <w:r w:rsidR="00C0113A">
        <w:t xml:space="preserve">have been accurately counted </w:t>
      </w:r>
      <w:r w:rsidR="00A4579E">
        <w:t xml:space="preserve">by its system </w:t>
      </w:r>
      <w:r w:rsidR="00C0113A">
        <w:t xml:space="preserve">and are included in the daily totals shown in Sprint’s </w:t>
      </w:r>
      <w:r w:rsidR="00E16727" w:rsidRPr="00C0113A">
        <w:t>SOA reports.</w:t>
      </w:r>
      <w:r w:rsidR="007D3BDC">
        <w:rPr>
          <w:rStyle w:val="FootnoteReference"/>
        </w:rPr>
        <w:footnoteReference w:id="29"/>
      </w:r>
      <w:r w:rsidR="00E16727" w:rsidRPr="00C0113A">
        <w:t xml:space="preserve"> </w:t>
      </w:r>
      <w:r w:rsidR="007D3BDC">
        <w:t xml:space="preserve"> In addition, Sprint </w:t>
      </w:r>
      <w:r>
        <w:t>points out that an</w:t>
      </w:r>
      <w:r w:rsidR="00305594" w:rsidRPr="00F915D4">
        <w:t xml:space="preserve"> audit report for the year ending June 30, 2012, concluded that</w:t>
      </w:r>
      <w:r>
        <w:t xml:space="preserve"> Sprint’s call processing and data recording system </w:t>
      </w:r>
      <w:r w:rsidR="002646B8">
        <w:t xml:space="preserve">accurately captured speed of answer data as well as call data required by </w:t>
      </w:r>
      <w:r>
        <w:t>the Commission’s rules</w:t>
      </w:r>
      <w:r w:rsidR="002646B8">
        <w:t xml:space="preserve"> for compensable calls</w:t>
      </w:r>
      <w:r>
        <w:t>.</w:t>
      </w:r>
      <w:r>
        <w:rPr>
          <w:rStyle w:val="FootnoteReference"/>
        </w:rPr>
        <w:footnoteReference w:id="30"/>
      </w:r>
      <w:r>
        <w:t xml:space="preserve">  This finding, Sprint suggests, undermines RLSA’s conclusion that Sprint’s call reporting was noncompliant.</w:t>
      </w:r>
    </w:p>
    <w:p w:rsidR="00335D15" w:rsidRPr="00F915D4" w:rsidRDefault="00335D15" w:rsidP="00D3728A">
      <w:pPr>
        <w:pStyle w:val="ParaNum"/>
      </w:pPr>
      <w:r>
        <w:t>Finally, Sprint urges us to consider that non-payment for the relay services it has rendered has a negative impact on its ability to provide high quality relay services and that a number of IP Relay providers have exited the business, leaving Sprint as one of only two current IP Relay providers.</w:t>
      </w:r>
      <w:r>
        <w:rPr>
          <w:rStyle w:val="FootnoteReference"/>
        </w:rPr>
        <w:footnoteReference w:id="31"/>
      </w:r>
    </w:p>
    <w:p w:rsidR="00886583" w:rsidRDefault="00886583" w:rsidP="00C32DE7">
      <w:pPr>
        <w:pStyle w:val="Heading1"/>
      </w:pPr>
      <w:r w:rsidRPr="005649B8">
        <w:t>Discussion</w:t>
      </w:r>
    </w:p>
    <w:p w:rsidR="003F6319" w:rsidRDefault="00FB3E37" w:rsidP="00DE4DB8">
      <w:pPr>
        <w:pStyle w:val="Heading2"/>
      </w:pPr>
      <w:r>
        <w:t>Sprint’s Failure to Comply with the Data Submission Rule</w:t>
      </w:r>
    </w:p>
    <w:p w:rsidR="00056583" w:rsidRDefault="00FB3E37" w:rsidP="002818FF">
      <w:pPr>
        <w:pStyle w:val="ParaNum"/>
      </w:pPr>
      <w:r>
        <w:t xml:space="preserve">We find that, in failing to include abandoned call data in its CDRs in accordance with RLSA’s instructions, </w:t>
      </w:r>
      <w:r w:rsidR="00576687">
        <w:t xml:space="preserve">Sprint failed to comply with the Commission’s data submission rule.  </w:t>
      </w:r>
      <w:r w:rsidR="00B82DBF" w:rsidRPr="002460F4">
        <w:t xml:space="preserve">At the outset, we </w:t>
      </w:r>
      <w:r w:rsidR="00651E57">
        <w:t xml:space="preserve">note that, contrary to </w:t>
      </w:r>
      <w:r w:rsidR="00B82DBF" w:rsidRPr="002460F4">
        <w:t xml:space="preserve">Sprint’s </w:t>
      </w:r>
      <w:r w:rsidR="00651E57">
        <w:t xml:space="preserve">suggestion, </w:t>
      </w:r>
      <w:r w:rsidR="00203B9E" w:rsidRPr="00203B9E">
        <w:t>the Fund administrator</w:t>
      </w:r>
      <w:r w:rsidR="00B82DBF">
        <w:t xml:space="preserve"> </w:t>
      </w:r>
      <w:r w:rsidR="00A61F22">
        <w:t>i</w:t>
      </w:r>
      <w:r w:rsidR="002818FF">
        <w:t xml:space="preserve">s authorized by that rule </w:t>
      </w:r>
      <w:r w:rsidR="00B82DBF">
        <w:t>to require the submission of monthly call detail on abandoned calls.  T</w:t>
      </w:r>
      <w:r w:rsidR="00B82DBF" w:rsidRPr="00B82DBF">
        <w:t>he rule states</w:t>
      </w:r>
      <w:r w:rsidR="002818FF">
        <w:t>:</w:t>
      </w:r>
      <w:r w:rsidR="00B82DBF" w:rsidRPr="00B82DBF">
        <w:t xml:space="preserve">  “Internet-based Relay Providers seeking compensation from the Fund shall submit speed of answer compliance data</w:t>
      </w:r>
      <w:r w:rsidR="00B82DBF">
        <w:t>.</w:t>
      </w:r>
      <w:r w:rsidR="00B82DBF" w:rsidRPr="00B82DBF">
        <w:t>”</w:t>
      </w:r>
      <w:r w:rsidR="00B90D67">
        <w:rPr>
          <w:rStyle w:val="FootnoteReference"/>
        </w:rPr>
        <w:footnoteReference w:id="32"/>
      </w:r>
      <w:r w:rsidR="00B82DBF" w:rsidRPr="00B82DBF">
        <w:t xml:space="preserve"> </w:t>
      </w:r>
      <w:r w:rsidR="00145FB0">
        <w:t xml:space="preserve"> </w:t>
      </w:r>
    </w:p>
    <w:p w:rsidR="009A7525" w:rsidRDefault="00D8580C" w:rsidP="002818FF">
      <w:pPr>
        <w:pStyle w:val="ParaNum"/>
      </w:pPr>
      <w:r w:rsidRPr="00E471AA">
        <w:t xml:space="preserve">Although </w:t>
      </w:r>
      <w:r w:rsidR="002818FF">
        <w:t>the rule</w:t>
      </w:r>
      <w:r w:rsidR="00552ACE" w:rsidRPr="00E471AA">
        <w:t xml:space="preserve"> does </w:t>
      </w:r>
      <w:r w:rsidR="00DA7CB3">
        <w:t>not specify the exact type of “speed of answer compliance data” th</w:t>
      </w:r>
      <w:r w:rsidR="008B414B">
        <w:t>at TRS providers are to submit to th</w:t>
      </w:r>
      <w:r w:rsidR="00DA7CB3">
        <w:t>e Fund administrator,</w:t>
      </w:r>
      <w:r w:rsidR="006A50DB">
        <w:rPr>
          <w:rStyle w:val="FootnoteReference"/>
        </w:rPr>
        <w:footnoteReference w:id="33"/>
      </w:r>
      <w:r w:rsidR="00DA7CB3">
        <w:t xml:space="preserve"> neither does it limit the Fund administrator to the collection of </w:t>
      </w:r>
      <w:r w:rsidR="008B414B">
        <w:t xml:space="preserve">only </w:t>
      </w:r>
      <w:r w:rsidR="00DA7CB3">
        <w:t xml:space="preserve">aggregate data.  We conclude that the Commission intended to allow the Fund administrator to determine </w:t>
      </w:r>
      <w:r w:rsidR="00AE26AC">
        <w:t>the minimum data set</w:t>
      </w:r>
      <w:r w:rsidR="00AE26AC" w:rsidRPr="00EC01F2">
        <w:t xml:space="preserve"> </w:t>
      </w:r>
      <w:r w:rsidR="00AE26AC">
        <w:t xml:space="preserve">needed for effective review </w:t>
      </w:r>
      <w:r w:rsidR="00056583">
        <w:t xml:space="preserve">of </w:t>
      </w:r>
      <w:r w:rsidR="00AE26AC">
        <w:t>speed-of-</w:t>
      </w:r>
      <w:r w:rsidR="00DA7CB3">
        <w:t>answer compliance</w:t>
      </w:r>
      <w:r w:rsidR="00056583">
        <w:t>.</w:t>
      </w:r>
      <w:r w:rsidR="00497DA4" w:rsidRPr="00E471AA">
        <w:rPr>
          <w:rStyle w:val="FootnoteReference"/>
        </w:rPr>
        <w:footnoteReference w:id="34"/>
      </w:r>
      <w:r w:rsidR="0084043C" w:rsidRPr="00E471AA">
        <w:t xml:space="preserve"> </w:t>
      </w:r>
      <w:r w:rsidR="00203B9E" w:rsidRPr="00E471AA">
        <w:t xml:space="preserve"> </w:t>
      </w:r>
      <w:r w:rsidR="00056583">
        <w:t>In this regard, w</w:t>
      </w:r>
      <w:r w:rsidR="004A05D3">
        <w:t>e find it</w:t>
      </w:r>
      <w:r w:rsidR="005347F9">
        <w:t xml:space="preserve"> significant</w:t>
      </w:r>
      <w:r w:rsidR="00DA7CB3">
        <w:t xml:space="preserve"> that</w:t>
      </w:r>
      <w:r w:rsidR="005347F9">
        <w:t>,</w:t>
      </w:r>
      <w:r w:rsidR="00DA7CB3">
        <w:t xml:space="preserve"> </w:t>
      </w:r>
      <w:r w:rsidR="005347F9">
        <w:t xml:space="preserve">in amending </w:t>
      </w:r>
      <w:r w:rsidR="00DA7CB3">
        <w:t xml:space="preserve">the data submission rule, </w:t>
      </w:r>
      <w:r w:rsidR="005347F9" w:rsidRPr="005347F9">
        <w:t xml:space="preserve">the Commission </w:t>
      </w:r>
      <w:r w:rsidR="00DA7CB3">
        <w:t>left undisturbed the pre-existing, more general provision requiring providers to “provide the administrator with true and adequate data . . . reasonably requested to determine the TRS Fund revenue requirements and payments</w:t>
      </w:r>
      <w:r w:rsidR="005347F9">
        <w:t>,”</w:t>
      </w:r>
      <w:r w:rsidR="005347F9" w:rsidRPr="00D42FC9">
        <w:rPr>
          <w:color w:val="auto"/>
          <w:szCs w:val="20"/>
        </w:rPr>
        <w:t xml:space="preserve"> </w:t>
      </w:r>
      <w:r w:rsidR="005347F9" w:rsidRPr="005347F9">
        <w:t>under which the administrator had previously collected call data to verify SOA compliance</w:t>
      </w:r>
      <w:r w:rsidR="005347F9">
        <w:t>.</w:t>
      </w:r>
      <w:r w:rsidR="00203B9E" w:rsidRPr="00E471AA">
        <w:rPr>
          <w:rStyle w:val="FootnoteReference"/>
        </w:rPr>
        <w:footnoteReference w:id="35"/>
      </w:r>
      <w:r w:rsidR="00497DA4" w:rsidRPr="00E471AA">
        <w:t xml:space="preserve">  </w:t>
      </w:r>
    </w:p>
    <w:p w:rsidR="002460F4" w:rsidRPr="00E471AA" w:rsidRDefault="006A50DB" w:rsidP="002818FF">
      <w:pPr>
        <w:pStyle w:val="ParaNum"/>
      </w:pPr>
      <w:r>
        <w:t xml:space="preserve">In summary, </w:t>
      </w:r>
      <w:r w:rsidR="00DA7CB3">
        <w:t>RLSA’s instructions requiring providers to include individual detail for abandoned calls in their monthly CDR submissions are a reasonable implementation of section 64.604(c)(5)(iii)(D)(3</w:t>
      </w:r>
      <w:r w:rsidR="00497DA4" w:rsidRPr="00E471AA">
        <w:t>)</w:t>
      </w:r>
      <w:r w:rsidR="004873F4">
        <w:t>’s requirement</w:t>
      </w:r>
      <w:r w:rsidR="00D57858" w:rsidRPr="00D42FC9">
        <w:rPr>
          <w:color w:val="auto"/>
          <w:szCs w:val="20"/>
        </w:rPr>
        <w:t xml:space="preserve"> </w:t>
      </w:r>
      <w:r w:rsidR="00D57858" w:rsidRPr="00D57858">
        <w:t>that providers submit “speed of answer compliance data</w:t>
      </w:r>
      <w:r w:rsidR="00497DA4" w:rsidRPr="00E471AA">
        <w:t>.</w:t>
      </w:r>
      <w:r w:rsidR="004873F4">
        <w:t>”</w:t>
      </w:r>
      <w:r w:rsidR="00984E59">
        <w:rPr>
          <w:rStyle w:val="FootnoteReference"/>
        </w:rPr>
        <w:footnoteReference w:id="36"/>
      </w:r>
      <w:r w:rsidR="00604EDA" w:rsidRPr="00E471AA">
        <w:t xml:space="preserve">  </w:t>
      </w:r>
      <w:r w:rsidR="00DA7CB3">
        <w:t>We therefore conclude further that, in failing to submit call detail for abandoned calls in accordance with RLSA’s filing instructions for the period from January through September 2012, Sprint failed to comply with section 64.604(c)(5)(iii)(D)</w:t>
      </w:r>
      <w:r w:rsidR="00D57858">
        <w:t>.</w:t>
      </w:r>
      <w:r w:rsidR="00604EDA" w:rsidRPr="00E471AA">
        <w:t xml:space="preserve">  </w:t>
      </w:r>
    </w:p>
    <w:p w:rsidR="00576687" w:rsidRDefault="00576687" w:rsidP="00576687">
      <w:pPr>
        <w:pStyle w:val="Heading2"/>
      </w:pPr>
      <w:r>
        <w:t>The Data Submission Rule Is Waived for the Months of January Through May 2012 Due to Sprint’s Excusable Inability to Comply</w:t>
      </w:r>
    </w:p>
    <w:p w:rsidR="00D3728A" w:rsidRDefault="00E61221" w:rsidP="002460F4">
      <w:pPr>
        <w:pStyle w:val="ParaNum"/>
      </w:pPr>
      <w:r>
        <w:t>Notwithstanding our conclusion</w:t>
      </w:r>
      <w:r w:rsidR="005619B8">
        <w:t>s</w:t>
      </w:r>
      <w:r w:rsidR="00576687">
        <w:t xml:space="preserve"> above</w:t>
      </w:r>
      <w:r w:rsidR="00560219">
        <w:t xml:space="preserve">, </w:t>
      </w:r>
      <w:r w:rsidR="00BA5DD9">
        <w:t xml:space="preserve">we recognize that </w:t>
      </w:r>
      <w:r w:rsidR="00D3728A" w:rsidRPr="00FB729B">
        <w:t>the Commission’s rules may be waived</w:t>
      </w:r>
      <w:r w:rsidR="00D42FC9">
        <w:t>, in whole or in part,</w:t>
      </w:r>
      <w:r w:rsidR="00D3728A" w:rsidRPr="00FB729B">
        <w:t xml:space="preserve"> for good cause shown</w:t>
      </w:r>
      <w:r w:rsidR="00D42FC9">
        <w:t>, on petition or on the Commission’s own motion</w:t>
      </w:r>
      <w:r w:rsidR="00D3728A" w:rsidRPr="00FB729B">
        <w:t>.</w:t>
      </w:r>
      <w:r w:rsidR="00D3728A" w:rsidRPr="00FB729B">
        <w:rPr>
          <w:vertAlign w:val="superscript"/>
        </w:rPr>
        <w:footnoteReference w:id="37"/>
      </w:r>
      <w:r w:rsidR="00D3728A" w:rsidRPr="00FB729B">
        <w:t xml:space="preserve">  The Commission may exercise its discretion to waive a rule where the particular facts make strict compliance inconsistent with the public interest.</w:t>
      </w:r>
      <w:r w:rsidR="00D3728A" w:rsidRPr="00FB729B">
        <w:rPr>
          <w:vertAlign w:val="superscript"/>
        </w:rPr>
        <w:footnoteReference w:id="38"/>
      </w:r>
      <w:r w:rsidR="00560219">
        <w:t xml:space="preserve">  </w:t>
      </w:r>
      <w:r w:rsidR="00D3728A" w:rsidRPr="00FB729B">
        <w:t>In addition, the Commission may take into account considerations of hardship, equity, or more effective implementation of overall policy on an individual basis.</w:t>
      </w:r>
      <w:r w:rsidR="00D3728A" w:rsidRPr="00FB729B">
        <w:rPr>
          <w:vertAlign w:val="superscript"/>
        </w:rPr>
        <w:footnoteReference w:id="39"/>
      </w:r>
      <w:r w:rsidR="00D3728A" w:rsidRPr="00FB729B">
        <w:t xml:space="preserve">  Waiver of the Commission’s rules is therefore appropriate only if special circumstances warrant a deviation from the general rule, and such a deviation will serve the public interest.</w:t>
      </w:r>
      <w:r w:rsidR="00D3728A" w:rsidRPr="00FB729B">
        <w:rPr>
          <w:vertAlign w:val="superscript"/>
        </w:rPr>
        <w:footnoteReference w:id="40"/>
      </w:r>
      <w:r w:rsidR="00D3728A" w:rsidRPr="00FB729B">
        <w:t xml:space="preserve">   The Commission must take a “hard look” at applications for waiver</w:t>
      </w:r>
      <w:r w:rsidR="004D0EB1">
        <w:rPr>
          <w:rStyle w:val="FootnoteReference"/>
        </w:rPr>
        <w:footnoteReference w:id="41"/>
      </w:r>
      <w:r w:rsidR="00D3728A" w:rsidRPr="00FB729B">
        <w:t xml:space="preserve"> and must consider all relevant factors when determining if good cause exists.</w:t>
      </w:r>
      <w:r w:rsidR="00D3728A" w:rsidRPr="00FB729B">
        <w:rPr>
          <w:vertAlign w:val="superscript"/>
        </w:rPr>
        <w:footnoteReference w:id="42"/>
      </w:r>
      <w:r w:rsidR="00D3728A" w:rsidRPr="00F915D4">
        <w:t xml:space="preserve"> </w:t>
      </w:r>
    </w:p>
    <w:p w:rsidR="00B82DBF" w:rsidRDefault="00D3728A" w:rsidP="00261EFE">
      <w:pPr>
        <w:pStyle w:val="ParaNum"/>
      </w:pPr>
      <w:r>
        <w:t xml:space="preserve">In considering whether to waive </w:t>
      </w:r>
      <w:r w:rsidR="002628DD">
        <w:t>the data submission rule in these circumstances</w:t>
      </w:r>
      <w:r>
        <w:t xml:space="preserve">, </w:t>
      </w:r>
      <w:r w:rsidR="00261EFE">
        <w:t>we find</w:t>
      </w:r>
      <w:r w:rsidR="002646B8">
        <w:t xml:space="preserve">, based on </w:t>
      </w:r>
      <w:r w:rsidR="004F568D">
        <w:t>evidence submitted by Sprint</w:t>
      </w:r>
      <w:r w:rsidR="002646B8">
        <w:t xml:space="preserve">, </w:t>
      </w:r>
      <w:r w:rsidR="004F568D">
        <w:t xml:space="preserve">that </w:t>
      </w:r>
      <w:r w:rsidR="002646B8">
        <w:t xml:space="preserve">it is </w:t>
      </w:r>
      <w:r w:rsidR="00261EFE" w:rsidRPr="00261EFE">
        <w:t xml:space="preserve">reasonable to conclude that some lead time was necessary for Sprint to address the new requirements with its supplier and to obtain an upgrade to its call processing system.  Further, </w:t>
      </w:r>
      <w:r w:rsidR="00497DA4">
        <w:t xml:space="preserve">we find no </w:t>
      </w:r>
      <w:r w:rsidR="005653A6">
        <w:t xml:space="preserve">evidence </w:t>
      </w:r>
      <w:r w:rsidR="00DE77A7">
        <w:t xml:space="preserve">on which </w:t>
      </w:r>
      <w:r w:rsidR="005653A6">
        <w:t xml:space="preserve">to dispute </w:t>
      </w:r>
      <w:r w:rsidR="00AA064B">
        <w:t>Sprint’s claim that</w:t>
      </w:r>
      <w:r w:rsidR="00D8580C">
        <w:t>,</w:t>
      </w:r>
      <w:r w:rsidR="00AA064B">
        <w:t xml:space="preserve"> </w:t>
      </w:r>
      <w:r w:rsidR="00AA064B" w:rsidRPr="00AA064B">
        <w:t xml:space="preserve">due to the nature of the </w:t>
      </w:r>
      <w:r w:rsidR="00991A74">
        <w:t>call data</w:t>
      </w:r>
      <w:r w:rsidR="00AA064B" w:rsidRPr="00AA064B">
        <w:t xml:space="preserve"> service </w:t>
      </w:r>
      <w:r w:rsidR="00497DA4">
        <w:t xml:space="preserve">to which </w:t>
      </w:r>
      <w:r w:rsidR="00AA064B" w:rsidRPr="00AA064B">
        <w:t xml:space="preserve">Sprint subscribed, it was not </w:t>
      </w:r>
      <w:r w:rsidR="00497DA4">
        <w:t>feasible</w:t>
      </w:r>
      <w:r w:rsidR="00AA064B" w:rsidRPr="00AA064B">
        <w:t xml:space="preserve"> for Sprint to provide </w:t>
      </w:r>
      <w:r w:rsidR="007D4A75">
        <w:t xml:space="preserve">the requested call detail for </w:t>
      </w:r>
      <w:r w:rsidR="00AA064B">
        <w:t>abandoned call</w:t>
      </w:r>
      <w:r w:rsidR="007D4A75">
        <w:t>s</w:t>
      </w:r>
      <w:r w:rsidR="00AA064B" w:rsidRPr="00AA064B">
        <w:t xml:space="preserve"> on a retrospective basis</w:t>
      </w:r>
      <w:r w:rsidR="00AA064B">
        <w:t xml:space="preserve">.  </w:t>
      </w:r>
      <w:r w:rsidR="00AA064B" w:rsidRPr="00AA064B">
        <w:t xml:space="preserve"> </w:t>
      </w:r>
      <w:r w:rsidR="00261EFE" w:rsidRPr="00AA064B">
        <w:t xml:space="preserve"> </w:t>
      </w:r>
    </w:p>
    <w:p w:rsidR="00114061" w:rsidRDefault="002E231A" w:rsidP="00D3728A">
      <w:pPr>
        <w:pStyle w:val="ParaNum"/>
      </w:pPr>
      <w:r>
        <w:t xml:space="preserve">Based on these considerations, </w:t>
      </w:r>
      <w:r w:rsidR="007871D9">
        <w:t xml:space="preserve">Sprint’s noncompliance was </w:t>
      </w:r>
      <w:r w:rsidR="00913A7F">
        <w:t xml:space="preserve">excusable </w:t>
      </w:r>
      <w:r w:rsidR="007871D9">
        <w:t>with respect to the period from January through May 2012 and, based on</w:t>
      </w:r>
      <w:r w:rsidR="007871D9" w:rsidRPr="00FB729B">
        <w:t xml:space="preserve"> considerations of hardship, equity, </w:t>
      </w:r>
      <w:r w:rsidR="007871D9">
        <w:t>and</w:t>
      </w:r>
      <w:r w:rsidR="007871D9" w:rsidRPr="00FB729B">
        <w:t xml:space="preserve"> more effective implementation </w:t>
      </w:r>
      <w:r w:rsidR="007871D9">
        <w:t xml:space="preserve">of the Commission’s rules, </w:t>
      </w:r>
      <w:r w:rsidR="000F7CE9">
        <w:t xml:space="preserve">the circumstances of such noncompliance gave rise to </w:t>
      </w:r>
      <w:r w:rsidR="007871D9">
        <w:t xml:space="preserve">good cause </w:t>
      </w:r>
      <w:r w:rsidR="000F7CE9">
        <w:t xml:space="preserve">justifying </w:t>
      </w:r>
      <w:r w:rsidR="007871D9">
        <w:t>waive</w:t>
      </w:r>
      <w:r w:rsidR="000F7CE9">
        <w:t>r of</w:t>
      </w:r>
      <w:r w:rsidR="007871D9">
        <w:t xml:space="preserve"> the data submission rule </w:t>
      </w:r>
      <w:r w:rsidR="00913A7F">
        <w:t xml:space="preserve">with respect to </w:t>
      </w:r>
      <w:r w:rsidR="000F7CE9">
        <w:t xml:space="preserve">the submission of individual </w:t>
      </w:r>
      <w:r w:rsidR="00913A7F">
        <w:t xml:space="preserve">call detail on abandoned calls </w:t>
      </w:r>
      <w:r>
        <w:t xml:space="preserve">for the months of January through May 2012.  </w:t>
      </w:r>
      <w:r w:rsidR="00D3728A">
        <w:t xml:space="preserve">As noted, the </w:t>
      </w:r>
      <w:r w:rsidR="00DE77A7">
        <w:t xml:space="preserve">Bureau </w:t>
      </w:r>
      <w:r w:rsidR="00064E6A">
        <w:t xml:space="preserve">previously </w:t>
      </w:r>
      <w:r w:rsidR="00D3728A">
        <w:t xml:space="preserve">directed RLSA not to continue withholding amounts due for the January-May 2012 period on that basis.  </w:t>
      </w:r>
    </w:p>
    <w:p w:rsidR="00576687" w:rsidRDefault="00576687" w:rsidP="00576687">
      <w:pPr>
        <w:pStyle w:val="Heading2"/>
      </w:pPr>
      <w:r>
        <w:t xml:space="preserve">Based on Other Considerations, a Waiver of the Data Submission Rule Is </w:t>
      </w:r>
      <w:r w:rsidR="004B634B">
        <w:t xml:space="preserve">Granted for the Months of June and July and </w:t>
      </w:r>
      <w:r>
        <w:t xml:space="preserve">Denied for the Months of </w:t>
      </w:r>
      <w:r w:rsidR="004B634B">
        <w:t>August and</w:t>
      </w:r>
      <w:r>
        <w:t xml:space="preserve"> September 2012 </w:t>
      </w:r>
    </w:p>
    <w:p w:rsidR="00261EFE" w:rsidRDefault="00B82DBF" w:rsidP="002460F4">
      <w:pPr>
        <w:pStyle w:val="ParaNum"/>
      </w:pPr>
      <w:r>
        <w:t xml:space="preserve">Our remaining task </w:t>
      </w:r>
      <w:r w:rsidR="00382500">
        <w:t xml:space="preserve">is </w:t>
      </w:r>
      <w:r>
        <w:t xml:space="preserve">to determine </w:t>
      </w:r>
      <w:r w:rsidR="00261EFE">
        <w:t xml:space="preserve">to what extent, if any, </w:t>
      </w:r>
      <w:r w:rsidR="00F66C22">
        <w:t xml:space="preserve">waiver of the data submission rule </w:t>
      </w:r>
      <w:r w:rsidR="002E231A">
        <w:t xml:space="preserve">for the months of June 2012 through September 2012 should be </w:t>
      </w:r>
      <w:r w:rsidR="00F66C22">
        <w:t>granted based on other considerations.</w:t>
      </w:r>
      <w:r w:rsidR="00114061">
        <w:t xml:space="preserve"> </w:t>
      </w:r>
      <w:r w:rsidR="002460F4">
        <w:t xml:space="preserve"> </w:t>
      </w:r>
      <w:r w:rsidR="00261EFE">
        <w:t xml:space="preserve">We reject Sprint’s claim that it did not receive notice </w:t>
      </w:r>
      <w:r w:rsidR="00913A7F">
        <w:t>of the</w:t>
      </w:r>
      <w:r w:rsidR="00261EFE">
        <w:t xml:space="preserve"> abandoned call</w:t>
      </w:r>
      <w:r w:rsidR="00913A7F">
        <w:t xml:space="preserve"> CDR requirement</w:t>
      </w:r>
      <w:r w:rsidR="00261EFE">
        <w:t xml:space="preserve"> until Sprint’s </w:t>
      </w:r>
      <w:r w:rsidR="00261EFE" w:rsidRPr="00402E97">
        <w:t xml:space="preserve">conference call with </w:t>
      </w:r>
      <w:r w:rsidR="00261EFE">
        <w:t>RLSA</w:t>
      </w:r>
      <w:r w:rsidR="00261EFE" w:rsidRPr="00497DA4">
        <w:rPr>
          <w:bCs/>
        </w:rPr>
        <w:t xml:space="preserve"> </w:t>
      </w:r>
      <w:r w:rsidR="00261EFE">
        <w:rPr>
          <w:bCs/>
        </w:rPr>
        <w:t xml:space="preserve">on </w:t>
      </w:r>
      <w:r w:rsidR="00864673">
        <w:rPr>
          <w:bCs/>
        </w:rPr>
        <w:t>June 11,</w:t>
      </w:r>
      <w:r w:rsidR="00261EFE" w:rsidRPr="00402E97">
        <w:rPr>
          <w:bCs/>
        </w:rPr>
        <w:t xml:space="preserve"> 2012</w:t>
      </w:r>
      <w:r w:rsidR="00261EFE">
        <w:t xml:space="preserve">.  RLSA </w:t>
      </w:r>
      <w:r w:rsidR="006B5738">
        <w:t xml:space="preserve">notified Sprint on </w:t>
      </w:r>
      <w:r w:rsidR="006B5738" w:rsidRPr="006B5738">
        <w:t>February 13, 2012</w:t>
      </w:r>
      <w:r w:rsidR="006B5738">
        <w:t xml:space="preserve">, regarding its </w:t>
      </w:r>
      <w:r w:rsidR="00913A7F">
        <w:t>revised filing instructions</w:t>
      </w:r>
      <w:r w:rsidR="006B5738">
        <w:t xml:space="preserve">, which clearly stated that providers must </w:t>
      </w:r>
      <w:r w:rsidR="00261EFE">
        <w:t>submit call detail on abandoned calls</w:t>
      </w:r>
      <w:r w:rsidR="006B5738">
        <w:t>.</w:t>
      </w:r>
      <w:r w:rsidR="006B5738" w:rsidRPr="006B5738">
        <w:rPr>
          <w:vertAlign w:val="superscript"/>
        </w:rPr>
        <w:footnoteReference w:id="43"/>
      </w:r>
      <w:r w:rsidR="006B5738">
        <w:t xml:space="preserve">  O</w:t>
      </w:r>
      <w:r w:rsidR="006B5738" w:rsidRPr="006B5738">
        <w:t>n April 12, 2012</w:t>
      </w:r>
      <w:r w:rsidR="006B5738">
        <w:t>, RLSA</w:t>
      </w:r>
      <w:r w:rsidR="002108E8">
        <w:t xml:space="preserve"> </w:t>
      </w:r>
      <w:r w:rsidR="006B5738">
        <w:t xml:space="preserve">notified Sprint of the further revisions to the instructions, which </w:t>
      </w:r>
      <w:r w:rsidR="002108E8">
        <w:t xml:space="preserve">provided </w:t>
      </w:r>
      <w:r w:rsidR="00261EFE">
        <w:t>a corrected format for the submission of such call detail</w:t>
      </w:r>
      <w:r w:rsidR="006B5738">
        <w:t>.</w:t>
      </w:r>
      <w:r w:rsidR="006B5738" w:rsidRPr="006B5738">
        <w:rPr>
          <w:vertAlign w:val="superscript"/>
        </w:rPr>
        <w:footnoteReference w:id="44"/>
      </w:r>
      <w:r w:rsidR="006B5738">
        <w:t xml:space="preserve">  </w:t>
      </w:r>
      <w:r w:rsidR="002108E8">
        <w:t xml:space="preserve">Thus, </w:t>
      </w:r>
      <w:r w:rsidR="006B5738">
        <w:t xml:space="preserve">Sprint was on notice by </w:t>
      </w:r>
      <w:r w:rsidR="006B5738" w:rsidRPr="006B5738">
        <w:t xml:space="preserve">February 13, 2012, </w:t>
      </w:r>
      <w:r w:rsidR="006B5738">
        <w:t xml:space="preserve">that it must provide call detail for abandoned IP Relay calls, and </w:t>
      </w:r>
      <w:r w:rsidR="002108E8">
        <w:t>b</w:t>
      </w:r>
      <w:r w:rsidR="00261EFE">
        <w:t xml:space="preserve">y </w:t>
      </w:r>
      <w:r w:rsidR="006B5738" w:rsidRPr="006B5738">
        <w:t>April 12, 2012</w:t>
      </w:r>
      <w:r w:rsidR="00261EFE">
        <w:t xml:space="preserve">, Sprint </w:t>
      </w:r>
      <w:r w:rsidR="002108E8">
        <w:t>was</w:t>
      </w:r>
      <w:r w:rsidR="00261EFE">
        <w:t xml:space="preserve"> </w:t>
      </w:r>
      <w:r w:rsidR="002108E8">
        <w:t xml:space="preserve">fully </w:t>
      </w:r>
      <w:r w:rsidR="00261EFE">
        <w:t xml:space="preserve">informed of what RLSA required with respect to the submission of call detail for abandoned IP Relay calls.  </w:t>
      </w:r>
    </w:p>
    <w:p w:rsidR="00FB729B" w:rsidRDefault="00B04425">
      <w:pPr>
        <w:pStyle w:val="ParaNum"/>
      </w:pPr>
      <w:r>
        <w:t>H</w:t>
      </w:r>
      <w:r w:rsidR="00371218" w:rsidRPr="00371218">
        <w:t xml:space="preserve">ad it taken timely measures to comply, </w:t>
      </w:r>
      <w:r w:rsidR="000776E2">
        <w:t xml:space="preserve">it </w:t>
      </w:r>
      <w:r>
        <w:t>is reasonable to conclude that</w:t>
      </w:r>
      <w:r w:rsidR="000776E2">
        <w:t xml:space="preserve"> </w:t>
      </w:r>
      <w:r w:rsidR="00371218" w:rsidRPr="00371218">
        <w:t xml:space="preserve">Sprint </w:t>
      </w:r>
      <w:r w:rsidR="004873F4">
        <w:t>could have</w:t>
      </w:r>
      <w:r w:rsidR="00371218" w:rsidRPr="00371218">
        <w:t xml:space="preserve"> generate</w:t>
      </w:r>
      <w:r w:rsidR="004873F4">
        <w:t>d</w:t>
      </w:r>
      <w:r w:rsidR="00371218" w:rsidRPr="00371218">
        <w:t xml:space="preserve"> CDRs for abandoned calls beginning with calls placed </w:t>
      </w:r>
      <w:r w:rsidR="004873F4">
        <w:t>as early as</w:t>
      </w:r>
      <w:r w:rsidR="004873F4" w:rsidRPr="00371218">
        <w:t xml:space="preserve"> </w:t>
      </w:r>
      <w:r w:rsidR="00371218" w:rsidRPr="00371218">
        <w:t xml:space="preserve">June 1, 2012.  </w:t>
      </w:r>
      <w:r w:rsidR="002E231A">
        <w:t xml:space="preserve">We note that </w:t>
      </w:r>
      <w:r w:rsidR="00800829">
        <w:t>less than</w:t>
      </w:r>
      <w:r w:rsidR="00F915D4" w:rsidRPr="00F915D4">
        <w:t xml:space="preserve"> three months</w:t>
      </w:r>
      <w:r w:rsidR="00800829">
        <w:t xml:space="preserve"> </w:t>
      </w:r>
      <w:r w:rsidR="00427069">
        <w:t xml:space="preserve">(88 days) </w:t>
      </w:r>
      <w:r w:rsidR="00800829">
        <w:t>elapsed</w:t>
      </w:r>
      <w:r w:rsidR="00F915D4" w:rsidRPr="00F915D4">
        <w:t xml:space="preserve"> </w:t>
      </w:r>
      <w:r w:rsidR="00800829">
        <w:t>from</w:t>
      </w:r>
      <w:r w:rsidR="00F915D4" w:rsidRPr="00F915D4">
        <w:t xml:space="preserve"> </w:t>
      </w:r>
      <w:r w:rsidR="00800829">
        <w:t xml:space="preserve">the date (July 5, 2012) when Sprint says it actually </w:t>
      </w:r>
      <w:r w:rsidR="00864673">
        <w:t>understood the content of</w:t>
      </w:r>
      <w:r w:rsidR="00F915D4" w:rsidRPr="00F915D4">
        <w:t xml:space="preserve"> the </w:t>
      </w:r>
      <w:r w:rsidR="00800829">
        <w:t>abandoned call CDR requirement until the date (October 1, 2012) when Sprint was able to begin generat</w:t>
      </w:r>
      <w:r w:rsidR="00F915D4" w:rsidRPr="00F915D4">
        <w:t xml:space="preserve">ing the </w:t>
      </w:r>
      <w:r w:rsidR="00800829">
        <w:t>required data</w:t>
      </w:r>
      <w:r w:rsidR="00F915D4" w:rsidRPr="00F915D4">
        <w:t xml:space="preserve">. </w:t>
      </w:r>
      <w:r w:rsidR="00ED20CC">
        <w:t xml:space="preserve"> </w:t>
      </w:r>
      <w:r w:rsidR="00F915D4" w:rsidRPr="00F915D4">
        <w:t xml:space="preserve">If Sprint had acted </w:t>
      </w:r>
      <w:r w:rsidR="00800829">
        <w:t xml:space="preserve">promptly </w:t>
      </w:r>
      <w:r w:rsidR="00F915D4" w:rsidRPr="00F915D4">
        <w:t xml:space="preserve">upon receiving RLSA’s </w:t>
      </w:r>
      <w:r w:rsidR="00991A74">
        <w:t>initial</w:t>
      </w:r>
      <w:r w:rsidR="00F915D4" w:rsidRPr="00F915D4">
        <w:t xml:space="preserve"> instructions on </w:t>
      </w:r>
      <w:r w:rsidR="00991A74" w:rsidRPr="00402E97">
        <w:t xml:space="preserve">February 13, 2012, </w:t>
      </w:r>
      <w:r w:rsidR="00F915D4" w:rsidRPr="00F915D4">
        <w:t xml:space="preserve">it </w:t>
      </w:r>
      <w:r w:rsidR="00334CE7">
        <w:t xml:space="preserve">is </w:t>
      </w:r>
      <w:r w:rsidR="00800829">
        <w:t>reasonable to conclude</w:t>
      </w:r>
      <w:r w:rsidR="00F915D4" w:rsidRPr="00F915D4">
        <w:t xml:space="preserve"> that Sprint</w:t>
      </w:r>
      <w:r w:rsidR="003D4812">
        <w:t>’s call processing system</w:t>
      </w:r>
      <w:r w:rsidR="00F915D4" w:rsidRPr="00F915D4">
        <w:t xml:space="preserve"> </w:t>
      </w:r>
      <w:r w:rsidR="003D4812">
        <w:t>sh</w:t>
      </w:r>
      <w:r w:rsidR="003D4812" w:rsidRPr="00F915D4">
        <w:t xml:space="preserve">ould </w:t>
      </w:r>
      <w:r w:rsidR="00F915D4" w:rsidRPr="00F915D4">
        <w:t xml:space="preserve">have been </w:t>
      </w:r>
      <w:r w:rsidR="003D4812">
        <w:t xml:space="preserve">able </w:t>
      </w:r>
      <w:r w:rsidR="00800829">
        <w:t xml:space="preserve">to </w:t>
      </w:r>
      <w:r w:rsidR="00FB3E37">
        <w:t xml:space="preserve">record call detail </w:t>
      </w:r>
      <w:r w:rsidR="00800829">
        <w:t xml:space="preserve">for abandoned calls by </w:t>
      </w:r>
      <w:r w:rsidR="00991A74">
        <w:t xml:space="preserve">June </w:t>
      </w:r>
      <w:r w:rsidR="003D4812">
        <w:t xml:space="preserve">1, </w:t>
      </w:r>
      <w:r w:rsidR="00991A74">
        <w:t>2012</w:t>
      </w:r>
      <w:r w:rsidR="00F915D4" w:rsidRPr="00F915D4">
        <w:t>.</w:t>
      </w:r>
      <w:r w:rsidR="00991A74">
        <w:rPr>
          <w:rStyle w:val="FootnoteReference"/>
        </w:rPr>
        <w:footnoteReference w:id="45"/>
      </w:r>
      <w:r w:rsidR="00F915D4" w:rsidRPr="00F915D4">
        <w:t xml:space="preserve"> </w:t>
      </w:r>
      <w:r w:rsidR="00800829">
        <w:t xml:space="preserve"> </w:t>
      </w:r>
      <w:r w:rsidR="00FB3E37">
        <w:t>T</w:t>
      </w:r>
      <w:r w:rsidR="00FB729B">
        <w:t xml:space="preserve">herefore, </w:t>
      </w:r>
      <w:r w:rsidR="00FB3E37">
        <w:t>with respect to the months of</w:t>
      </w:r>
      <w:r w:rsidR="00FB3E37" w:rsidRPr="00FB3E37">
        <w:t xml:space="preserve"> June, July, August, and September 2012</w:t>
      </w:r>
      <w:r w:rsidR="00FB3E37">
        <w:t>, we cannot</w:t>
      </w:r>
      <w:r w:rsidR="00FB729B">
        <w:t xml:space="preserve"> justify </w:t>
      </w:r>
      <w:r w:rsidR="00FB3E37">
        <w:t xml:space="preserve">grant of a waiver of the data submission rule on the basis of </w:t>
      </w:r>
      <w:r>
        <w:t xml:space="preserve">clear </w:t>
      </w:r>
      <w:r w:rsidR="00FB3E37">
        <w:t>inability to comply</w:t>
      </w:r>
      <w:r w:rsidR="00FB729B">
        <w:t xml:space="preserve">.  </w:t>
      </w:r>
    </w:p>
    <w:p w:rsidR="008E652C" w:rsidRDefault="00C9071A" w:rsidP="00AF52FA">
      <w:pPr>
        <w:pStyle w:val="ParaNum"/>
      </w:pPr>
      <w:r>
        <w:t>There are a number of other factors to be weighed in these circumstances</w:t>
      </w:r>
      <w:r w:rsidR="00335D15">
        <w:t xml:space="preserve">, </w:t>
      </w:r>
      <w:r w:rsidR="00C97E35">
        <w:t xml:space="preserve">however, </w:t>
      </w:r>
      <w:r w:rsidR="00F65813">
        <w:t xml:space="preserve">including </w:t>
      </w:r>
      <w:r w:rsidR="00335D15">
        <w:t xml:space="preserve">the </w:t>
      </w:r>
      <w:r>
        <w:t xml:space="preserve">traditional waiver </w:t>
      </w:r>
      <w:r w:rsidR="00F65813">
        <w:t xml:space="preserve">considerations of hardship, equity, and </w:t>
      </w:r>
      <w:r w:rsidR="00BB7F73">
        <w:t xml:space="preserve">the </w:t>
      </w:r>
      <w:r w:rsidR="00335D15" w:rsidRPr="00FB729B">
        <w:t>more effective implementation of overall policy on an individual basis</w:t>
      </w:r>
      <w:r w:rsidR="00F65813">
        <w:t xml:space="preserve">.  </w:t>
      </w:r>
      <w:r w:rsidR="00C97E35">
        <w:t>In this regard, each waiver case must be evaluated on its individual merits.  In this instance, the relevant factors include, o</w:t>
      </w:r>
      <w:r w:rsidR="00F65813">
        <w:t>n</w:t>
      </w:r>
      <w:r w:rsidR="00335D15">
        <w:t xml:space="preserve"> the one hand, the need</w:t>
      </w:r>
      <w:r w:rsidR="00F65813">
        <w:t xml:space="preserve"> to </w:t>
      </w:r>
      <w:r w:rsidR="00335D15">
        <w:t xml:space="preserve">ensure that providers </w:t>
      </w:r>
      <w:r w:rsidR="001E7882">
        <w:t xml:space="preserve">are not dilatory in </w:t>
      </w:r>
      <w:r w:rsidR="00335D15">
        <w:t>comply</w:t>
      </w:r>
      <w:r w:rsidR="001E7882">
        <w:t>ing</w:t>
      </w:r>
      <w:r w:rsidR="00335D15">
        <w:t xml:space="preserve"> with </w:t>
      </w:r>
      <w:r w:rsidR="00C97E35">
        <w:t>TRS regulations and</w:t>
      </w:r>
      <w:r w:rsidR="00335D15">
        <w:t xml:space="preserve"> instructions and that the administrator has all the data </w:t>
      </w:r>
      <w:r w:rsidR="00E656B1">
        <w:t xml:space="preserve">it </w:t>
      </w:r>
      <w:r w:rsidR="00335D15">
        <w:t>need</w:t>
      </w:r>
      <w:r w:rsidR="00E656B1">
        <w:t>s</w:t>
      </w:r>
      <w:r w:rsidR="00335D15">
        <w:t xml:space="preserve"> to verify compliance with TRS minimum standards</w:t>
      </w:r>
      <w:r w:rsidR="00C97E35">
        <w:t>, and, o</w:t>
      </w:r>
      <w:r w:rsidR="00F65813">
        <w:t>n the other hand,</w:t>
      </w:r>
      <w:r w:rsidR="00F65813" w:rsidRPr="00121DDD">
        <w:t xml:space="preserve"> </w:t>
      </w:r>
      <w:r w:rsidR="00C77E35" w:rsidRPr="00121DDD">
        <w:t xml:space="preserve">the hardship imposed by nonpayment, Sprint’s apparent inability to cure its reporting violation by providing the missing data, </w:t>
      </w:r>
      <w:r w:rsidR="00A9345A">
        <w:t xml:space="preserve">the recent issuance of the instructions at issue, Sprint’s apparent diligence in </w:t>
      </w:r>
      <w:r w:rsidR="00660143">
        <w:t>modifying its call processing systems to become compliant</w:t>
      </w:r>
      <w:r w:rsidR="00A9345A">
        <w:t xml:space="preserve"> once it became aware of the abandoned call CDR requirement, </w:t>
      </w:r>
      <w:r w:rsidR="00C77E35" w:rsidRPr="00121DDD">
        <w:t>and</w:t>
      </w:r>
      <w:r w:rsidR="005540FF" w:rsidRPr="00121DDD">
        <w:t xml:space="preserve"> the </w:t>
      </w:r>
      <w:r w:rsidR="00892DAC">
        <w:t xml:space="preserve">apparent absence </w:t>
      </w:r>
      <w:r w:rsidR="00C97E35">
        <w:t xml:space="preserve">in this case </w:t>
      </w:r>
      <w:r w:rsidR="00892DAC">
        <w:t>of any</w:t>
      </w:r>
      <w:r w:rsidR="00AF14DE">
        <w:t xml:space="preserve"> violation of the substantive SOA standard</w:t>
      </w:r>
      <w:r w:rsidR="003F166B">
        <w:t>.</w:t>
      </w:r>
      <w:r w:rsidR="005540FF">
        <w:t xml:space="preserve">  </w:t>
      </w:r>
      <w:r w:rsidR="00892DAC">
        <w:t xml:space="preserve"> </w:t>
      </w:r>
      <w:r w:rsidR="00F65813">
        <w:t xml:space="preserve"> </w:t>
      </w:r>
    </w:p>
    <w:p w:rsidR="00620542" w:rsidRDefault="00AF14DE" w:rsidP="00AF52FA">
      <w:pPr>
        <w:pStyle w:val="ParaNum"/>
      </w:pPr>
      <w:r>
        <w:t>After weighing</w:t>
      </w:r>
      <w:r w:rsidR="008E652C">
        <w:t xml:space="preserve"> all the</w:t>
      </w:r>
      <w:r w:rsidR="00C97E35">
        <w:t xml:space="preserve"> relevant</w:t>
      </w:r>
      <w:r w:rsidR="008E652C">
        <w:t xml:space="preserve"> factors, we conclude that</w:t>
      </w:r>
      <w:r w:rsidR="00C97E35">
        <w:t>, in the particular circumstances of this case,</w:t>
      </w:r>
      <w:r w:rsidR="008E652C">
        <w:t xml:space="preserve"> Sprint should be denied payment </w:t>
      </w:r>
      <w:r w:rsidR="00A4240E">
        <w:t xml:space="preserve">of </w:t>
      </w:r>
      <w:r w:rsidR="00C97E35">
        <w:t xml:space="preserve">some but not </w:t>
      </w:r>
      <w:r w:rsidR="008E652C">
        <w:t xml:space="preserve">all </w:t>
      </w:r>
      <w:r w:rsidR="00C97E35">
        <w:t>of the compensation it would otherwise receive for the June-September 2012 period</w:t>
      </w:r>
      <w:r w:rsidR="008E652C">
        <w:t xml:space="preserve">.  </w:t>
      </w:r>
    </w:p>
    <w:p w:rsidR="00C83C11" w:rsidRDefault="00620542" w:rsidP="00AF52FA">
      <w:pPr>
        <w:pStyle w:val="ParaNum"/>
      </w:pPr>
      <w:r>
        <w:t>On the one hand, w</w:t>
      </w:r>
      <w:r w:rsidR="00AF14DE">
        <w:t xml:space="preserve">e do not excuse Sprint’s failure to </w:t>
      </w:r>
      <w:r w:rsidR="00A84FD9">
        <w:t xml:space="preserve">monitor and </w:t>
      </w:r>
      <w:r w:rsidR="00E656B1">
        <w:t>respond</w:t>
      </w:r>
      <w:r w:rsidR="00A84FD9">
        <w:t xml:space="preserve"> to </w:t>
      </w:r>
      <w:r w:rsidR="00AF14DE">
        <w:t xml:space="preserve">the Fund administrator’s amended filing instructions, which </w:t>
      </w:r>
      <w:r w:rsidR="0081455B">
        <w:t xml:space="preserve">in turn </w:t>
      </w:r>
      <w:r w:rsidR="00AF14DE">
        <w:t>resulted in a failure to comply with such instructions</w:t>
      </w:r>
      <w:r w:rsidR="00E656B1">
        <w:t>.  Further, we stress that providers have the burden of demonstrating that their calls are compensable and that they have fully complied with all minimum TRS standards.  The Fund administrator must not be denied the information necessary to verify compliance with such standards</w:t>
      </w:r>
      <w:r w:rsidR="002646B8">
        <w:t>.</w:t>
      </w:r>
      <w:r w:rsidR="00AF14DE">
        <w:t xml:space="preserve"> </w:t>
      </w:r>
      <w:r>
        <w:t>T</w:t>
      </w:r>
      <w:r w:rsidRPr="00620542">
        <w:t xml:space="preserve">o grant a full waiver allowing full payment for all amounts due for the June-September period would inappropriately </w:t>
      </w:r>
      <w:r w:rsidR="00AC04F3">
        <w:t>disregard</w:t>
      </w:r>
      <w:r w:rsidRPr="00620542">
        <w:t xml:space="preserve"> </w:t>
      </w:r>
      <w:r>
        <w:t>these factors.</w:t>
      </w:r>
    </w:p>
    <w:p w:rsidR="004661A8" w:rsidRDefault="002646B8" w:rsidP="00892DAC">
      <w:pPr>
        <w:pStyle w:val="ParaNum"/>
      </w:pPr>
      <w:r>
        <w:t xml:space="preserve">On the other hand, we consider it significant that, as far as it can be determined, there is no indication that Sprint committed a substantive violation of the SOA rule during the period in question, and there was no apparent inaccuracy in the aggregate SOA data reported by Sprint for that period.  While we do not conclude, as Sprint asserts, that the </w:t>
      </w:r>
      <w:r w:rsidRPr="005A3947">
        <w:rPr>
          <w:i/>
        </w:rPr>
        <w:t>Sprint Audit Report</w:t>
      </w:r>
      <w:r>
        <w:rPr>
          <w:i/>
        </w:rPr>
        <w:t xml:space="preserve"> </w:t>
      </w:r>
      <w:r>
        <w:t>findings undermine RLSA’s finding that Sprint’s call reporting was noncompliant, we do agree that the findings support Sprint’s assertions that it did not commit a substantive violation of the SOA rule.</w:t>
      </w:r>
      <w:r>
        <w:rPr>
          <w:rStyle w:val="FootnoteReference"/>
        </w:rPr>
        <w:footnoteReference w:id="46"/>
      </w:r>
      <w:r>
        <w:t xml:space="preserve">  Although</w:t>
      </w:r>
      <w:r w:rsidR="00651E1A">
        <w:t xml:space="preserve"> the </w:t>
      </w:r>
      <w:r w:rsidR="00C83C11">
        <w:t>submission of complete and accurate data</w:t>
      </w:r>
      <w:r w:rsidR="00651E1A">
        <w:t xml:space="preserve"> by providers is an </w:t>
      </w:r>
      <w:r w:rsidR="00C83C11">
        <w:t xml:space="preserve">essential </w:t>
      </w:r>
      <w:r w:rsidR="00651E1A">
        <w:t xml:space="preserve">tool for verifying the integrity of SOA compliance, in this instance </w:t>
      </w:r>
      <w:r w:rsidR="00C77E35">
        <w:t xml:space="preserve">Sprint’s failure to report </w:t>
      </w:r>
      <w:r w:rsidR="00C83C11">
        <w:t xml:space="preserve">certain </w:t>
      </w:r>
      <w:r w:rsidR="00651E1A">
        <w:t>data</w:t>
      </w:r>
      <w:r w:rsidR="00C77E35">
        <w:t xml:space="preserve"> (which apparently could not be cured because the data was not recorded)</w:t>
      </w:r>
      <w:r w:rsidR="00651E1A">
        <w:t xml:space="preserve"> does not appear to have masked noncompliance with </w:t>
      </w:r>
      <w:r w:rsidR="00D559F6">
        <w:t xml:space="preserve">the underlying </w:t>
      </w:r>
      <w:r w:rsidR="00651E1A">
        <w:t>substantive TRS rules or caused other harm</w:t>
      </w:r>
      <w:r w:rsidR="00D559F6">
        <w:t>s</w:t>
      </w:r>
      <w:r w:rsidR="00651E1A">
        <w:t xml:space="preserve"> to the TRS program or the payment process.  </w:t>
      </w:r>
    </w:p>
    <w:p w:rsidR="00892DAC" w:rsidRDefault="00D15CEC" w:rsidP="00892DAC">
      <w:pPr>
        <w:pStyle w:val="ParaNum"/>
      </w:pPr>
      <w:r>
        <w:t xml:space="preserve">We also consider the facts that the requirement to include abandoned calls in CDRs had only recently been announced to IP </w:t>
      </w:r>
      <w:r w:rsidR="00892A7D">
        <w:t>R</w:t>
      </w:r>
      <w:r>
        <w:t>elay providers and that</w:t>
      </w:r>
      <w:r w:rsidRPr="00D15CEC">
        <w:t xml:space="preserve">, once Sprint understood what data was required, it acted with apparent diligence to bring its call processing system into compliance </w:t>
      </w:r>
      <w:r>
        <w:t xml:space="preserve">to generate the required data </w:t>
      </w:r>
      <w:r w:rsidRPr="00D15CEC">
        <w:t xml:space="preserve">on a going-forward basis.  Finally, </w:t>
      </w:r>
      <w:r>
        <w:t xml:space="preserve">we consider </w:t>
      </w:r>
      <w:r w:rsidR="00A50E65">
        <w:t>the hardship imposed by nonpayment</w:t>
      </w:r>
      <w:r w:rsidRPr="00D15CEC">
        <w:t>.</w:t>
      </w:r>
      <w:r w:rsidRPr="00D15CEC">
        <w:rPr>
          <w:vertAlign w:val="superscript"/>
        </w:rPr>
        <w:footnoteReference w:id="47"/>
      </w:r>
    </w:p>
    <w:p w:rsidR="00A9345A" w:rsidRDefault="003F166B" w:rsidP="00A9345A">
      <w:pPr>
        <w:pStyle w:val="ParaNum"/>
      </w:pPr>
      <w:r w:rsidRPr="00C77E35">
        <w:t>A</w:t>
      </w:r>
      <w:r w:rsidR="00C97E35" w:rsidRPr="00C77E35">
        <w:t>s noted</w:t>
      </w:r>
      <w:r w:rsidRPr="00C77E35">
        <w:t xml:space="preserve"> above</w:t>
      </w:r>
      <w:r w:rsidR="00C97E35" w:rsidRPr="00C77E35">
        <w:t>,</w:t>
      </w:r>
      <w:r w:rsidR="00C97E35">
        <w:t xml:space="preserve"> </w:t>
      </w:r>
      <w:r w:rsidR="00197EE0">
        <w:t>e</w:t>
      </w:r>
      <w:r w:rsidR="00197EE0" w:rsidRPr="00197EE0">
        <w:t xml:space="preserve">ach waiver </w:t>
      </w:r>
      <w:r w:rsidR="0038225D">
        <w:t>case</w:t>
      </w:r>
      <w:r w:rsidR="0038225D" w:rsidRPr="00197EE0">
        <w:t xml:space="preserve"> </w:t>
      </w:r>
      <w:r w:rsidR="00197EE0" w:rsidRPr="00197EE0">
        <w:t>must be evaluated on its own individual merits</w:t>
      </w:r>
      <w:r w:rsidR="00197EE0">
        <w:t xml:space="preserve">.  </w:t>
      </w:r>
      <w:r w:rsidR="00D15CEC">
        <w:t xml:space="preserve">The balance of these equities is not an exact science.  </w:t>
      </w:r>
      <w:r w:rsidR="00660143">
        <w:t>H</w:t>
      </w:r>
      <w:r w:rsidR="00D15CEC">
        <w:t xml:space="preserve">owever, </w:t>
      </w:r>
      <w:r w:rsidR="000E6D6F">
        <w:t xml:space="preserve">we find that </w:t>
      </w:r>
      <w:r w:rsidR="00D15CEC">
        <w:t xml:space="preserve">Sprint’s </w:t>
      </w:r>
      <w:r w:rsidR="00660143">
        <w:t xml:space="preserve">dilatory </w:t>
      </w:r>
      <w:r w:rsidR="000E6D6F">
        <w:t>response to</w:t>
      </w:r>
      <w:r w:rsidR="00FC071A">
        <w:t xml:space="preserve"> RLSA’s</w:t>
      </w:r>
      <w:r w:rsidR="00D15CEC">
        <w:t xml:space="preserve"> instructions </w:t>
      </w:r>
      <w:r w:rsidR="000E6D6F">
        <w:t xml:space="preserve">takes on greater weight the longer Sprint delayed its compliance.  </w:t>
      </w:r>
      <w:r w:rsidR="00FC071A" w:rsidRPr="00FC071A">
        <w:t xml:space="preserve">For example, </w:t>
      </w:r>
      <w:r w:rsidR="000E1C2C">
        <w:t xml:space="preserve">even if it would have been reasonable for Sprint to delay beginning </w:t>
      </w:r>
      <w:r w:rsidR="00FC071A" w:rsidRPr="00FC071A">
        <w:t>its preparations to comply</w:t>
      </w:r>
      <w:r w:rsidR="00FC071A">
        <w:t xml:space="preserve"> </w:t>
      </w:r>
      <w:r w:rsidR="000E1C2C">
        <w:t>until it received</w:t>
      </w:r>
      <w:r w:rsidR="00FC071A">
        <w:t xml:space="preserve"> RLSA’s revised </w:t>
      </w:r>
      <w:r w:rsidR="00FC071A" w:rsidRPr="00FC071A">
        <w:rPr>
          <w:i/>
        </w:rPr>
        <w:t>April 2012 Filing Instructions</w:t>
      </w:r>
      <w:r w:rsidR="00FC071A">
        <w:t xml:space="preserve">, </w:t>
      </w:r>
      <w:r w:rsidR="00427069">
        <w:t xml:space="preserve">which finalized the CDR </w:t>
      </w:r>
      <w:r w:rsidR="000E1C2C">
        <w:t xml:space="preserve">format standard </w:t>
      </w:r>
      <w:r w:rsidR="00D77B9C">
        <w:t>on April 12, 2012</w:t>
      </w:r>
      <w:r w:rsidR="00427069">
        <w:t>,</w:t>
      </w:r>
      <w:r w:rsidR="00FC071A">
        <w:t xml:space="preserve"> </w:t>
      </w:r>
      <w:r w:rsidR="000E1C2C">
        <w:t>Sprint presumptively c</w:t>
      </w:r>
      <w:r w:rsidR="00FC071A">
        <w:t xml:space="preserve">ould have been in </w:t>
      </w:r>
      <w:r w:rsidR="00427069">
        <w:t>a position to comply fully with those instructions as early as July 9, 2012, 88 days later.</w:t>
      </w:r>
      <w:r w:rsidR="000E1C2C">
        <w:rPr>
          <w:rStyle w:val="FootnoteReference"/>
        </w:rPr>
        <w:footnoteReference w:id="48"/>
      </w:r>
      <w:r w:rsidR="00013DA4">
        <w:t xml:space="preserve">  </w:t>
      </w:r>
      <w:r w:rsidR="00AC04F3">
        <w:t>Allowing Sprint</w:t>
      </w:r>
      <w:r w:rsidR="00427069">
        <w:t xml:space="preserve"> an additional three weeks</w:t>
      </w:r>
      <w:r w:rsidR="00AC04F3">
        <w:t xml:space="preserve"> </w:t>
      </w:r>
      <w:r w:rsidR="00AA7F77">
        <w:t>cushion for possible</w:t>
      </w:r>
      <w:r w:rsidR="00AC04F3">
        <w:t xml:space="preserve"> unforeseen delays</w:t>
      </w:r>
      <w:r w:rsidR="00427069">
        <w:t xml:space="preserve">, </w:t>
      </w:r>
      <w:r w:rsidR="00AC04F3">
        <w:t xml:space="preserve">we conclude that </w:t>
      </w:r>
      <w:r w:rsidR="00427069">
        <w:t xml:space="preserve">Sprint’s </w:t>
      </w:r>
      <w:r w:rsidR="002C3FB3">
        <w:t>noncompliance</w:t>
      </w:r>
      <w:r w:rsidR="00427069">
        <w:t xml:space="preserve"> during the months of August and September </w:t>
      </w:r>
      <w:r w:rsidR="00AC04F3">
        <w:t xml:space="preserve">was </w:t>
      </w:r>
      <w:r w:rsidR="002C3FB3">
        <w:t>substantiall</w:t>
      </w:r>
      <w:r w:rsidR="00AC04F3">
        <w:t xml:space="preserve">y </w:t>
      </w:r>
      <w:r w:rsidR="002C3FB3">
        <w:t>more culpable</w:t>
      </w:r>
      <w:r w:rsidR="00AC04F3">
        <w:t xml:space="preserve"> </w:t>
      </w:r>
      <w:r w:rsidR="00427069">
        <w:t xml:space="preserve">than </w:t>
      </w:r>
      <w:r w:rsidR="002C3FB3">
        <w:t xml:space="preserve">its noncompliance </w:t>
      </w:r>
      <w:r w:rsidR="00427069">
        <w:t xml:space="preserve">during the months of June and July. </w:t>
      </w:r>
      <w:r w:rsidR="00AA7F77">
        <w:t xml:space="preserve"> </w:t>
      </w:r>
      <w:r w:rsidR="00651E1A">
        <w:t xml:space="preserve">After balancing </w:t>
      </w:r>
      <w:r w:rsidR="00BD2490">
        <w:t>the equities</w:t>
      </w:r>
      <w:r w:rsidR="008E652C">
        <w:t>, we</w:t>
      </w:r>
      <w:r w:rsidR="00651E1A">
        <w:t xml:space="preserve"> conclude </w:t>
      </w:r>
      <w:r w:rsidR="00197EE0">
        <w:t xml:space="preserve">in this instance </w:t>
      </w:r>
      <w:r w:rsidR="00651E1A">
        <w:t>that</w:t>
      </w:r>
      <w:r w:rsidR="00D15CEC">
        <w:t>, for the months of June and July,</w:t>
      </w:r>
      <w:r w:rsidR="00427069">
        <w:t xml:space="preserve"> the factors favoring </w:t>
      </w:r>
      <w:r w:rsidR="00A9345A" w:rsidRPr="00A9345A">
        <w:t xml:space="preserve">grant of a waiver </w:t>
      </w:r>
      <w:r w:rsidR="00A9345A">
        <w:t xml:space="preserve">– </w:t>
      </w:r>
      <w:r w:rsidR="00A9345A" w:rsidRPr="00013DA4">
        <w:rPr>
          <w:i/>
        </w:rPr>
        <w:t>i.e.</w:t>
      </w:r>
      <w:r w:rsidR="00A9345A">
        <w:t>,</w:t>
      </w:r>
      <w:r w:rsidR="00A9345A" w:rsidRPr="00A9345A">
        <w:rPr>
          <w:color w:val="auto"/>
          <w:szCs w:val="20"/>
        </w:rPr>
        <w:t xml:space="preserve"> </w:t>
      </w:r>
      <w:r w:rsidR="00A9345A" w:rsidRPr="00A9345A">
        <w:t xml:space="preserve">the </w:t>
      </w:r>
      <w:r w:rsidR="00013DA4">
        <w:t xml:space="preserve">degree of </w:t>
      </w:r>
      <w:r w:rsidR="00A9345A" w:rsidRPr="00A9345A">
        <w:t>hardship imposed by nonpayment, the recent issuance of the instructions at issue, Sprint’s apparent diligence in complying once it became aware of the abandoned call CDR requirement, and the apparent absence in this case of any violation of the substantive SOA standard</w:t>
      </w:r>
      <w:r w:rsidR="00A9345A">
        <w:t xml:space="preserve"> – outweigh the factors supporting</w:t>
      </w:r>
      <w:r w:rsidR="00A9345A" w:rsidRPr="00A9345A">
        <w:rPr>
          <w:color w:val="auto"/>
          <w:szCs w:val="20"/>
        </w:rPr>
        <w:t xml:space="preserve"> </w:t>
      </w:r>
      <w:r w:rsidR="00A9345A" w:rsidRPr="00A9345A">
        <w:t>denial of a waiver</w:t>
      </w:r>
      <w:r w:rsidR="00A9345A">
        <w:t xml:space="preserve">.  </w:t>
      </w:r>
      <w:r w:rsidR="00A9345A" w:rsidRPr="00A9345A">
        <w:t xml:space="preserve">Conversely, for the months of August and September, </w:t>
      </w:r>
      <w:r w:rsidR="00A9345A">
        <w:t>the factors supporting</w:t>
      </w:r>
      <w:r w:rsidR="00A9345A" w:rsidRPr="00A9345A">
        <w:t xml:space="preserve"> </w:t>
      </w:r>
      <w:r w:rsidR="00427069">
        <w:t xml:space="preserve">denial of a waiver – </w:t>
      </w:r>
      <w:r w:rsidR="00427069" w:rsidRPr="00A50E65">
        <w:rPr>
          <w:i/>
        </w:rPr>
        <w:t>i.e.</w:t>
      </w:r>
      <w:r w:rsidR="00427069">
        <w:t>, the</w:t>
      </w:r>
      <w:r w:rsidR="00427069" w:rsidRPr="00427069">
        <w:t xml:space="preserve"> need to ensure that providers are not dilatory in complying with TRS regulations and that the administrator </w:t>
      </w:r>
      <w:r w:rsidR="00A9345A">
        <w:t>can obtain</w:t>
      </w:r>
      <w:r w:rsidR="00427069" w:rsidRPr="00427069">
        <w:t xml:space="preserve"> the data </w:t>
      </w:r>
      <w:r w:rsidR="00A9345A">
        <w:t xml:space="preserve">necessary </w:t>
      </w:r>
      <w:r w:rsidR="00427069" w:rsidRPr="00427069">
        <w:t>to verify compliance with TRS minimum standards</w:t>
      </w:r>
      <w:r w:rsidR="00427069">
        <w:t xml:space="preserve"> </w:t>
      </w:r>
      <w:r w:rsidR="00A9345A">
        <w:t>–</w:t>
      </w:r>
      <w:r w:rsidR="00427069">
        <w:t xml:space="preserve"> </w:t>
      </w:r>
      <w:r w:rsidR="00A9345A">
        <w:t xml:space="preserve">outweigh those favoring grant of a waiver.  In sum, </w:t>
      </w:r>
      <w:r w:rsidR="004661A8">
        <w:t>on our own motion,</w:t>
      </w:r>
      <w:r w:rsidR="00E805A3">
        <w:t xml:space="preserve"> </w:t>
      </w:r>
      <w:r w:rsidR="00A9345A">
        <w:t xml:space="preserve">we grant Sprint a waiver of the data submission rule with respect to the submission of individual call detail on CDRs with respect to service provided in June and July 2012, </w:t>
      </w:r>
      <w:r w:rsidR="00E805A3">
        <w:t xml:space="preserve">and </w:t>
      </w:r>
      <w:r w:rsidR="00A9345A">
        <w:t>we deny</w:t>
      </w:r>
      <w:r w:rsidR="00A9345A" w:rsidRPr="00A9345A">
        <w:rPr>
          <w:color w:val="auto"/>
          <w:szCs w:val="20"/>
        </w:rPr>
        <w:t xml:space="preserve"> </w:t>
      </w:r>
      <w:r w:rsidR="00A9345A">
        <w:t>such</w:t>
      </w:r>
      <w:r w:rsidR="00A9345A" w:rsidRPr="00A9345A">
        <w:t xml:space="preserve"> waiver </w:t>
      </w:r>
      <w:r w:rsidR="00A9345A">
        <w:t xml:space="preserve">with respect to </w:t>
      </w:r>
      <w:r w:rsidR="008E652C">
        <w:t>service provided in August and September 2012</w:t>
      </w:r>
      <w:r w:rsidR="00A4240E">
        <w:t>.</w:t>
      </w:r>
      <w:r w:rsidR="008E652C">
        <w:t xml:space="preserve"> </w:t>
      </w:r>
      <w:r w:rsidR="00A4240E">
        <w:t xml:space="preserve">  </w:t>
      </w:r>
      <w:r w:rsidR="00620542" w:rsidRPr="00620542">
        <w:t xml:space="preserve"> </w:t>
      </w:r>
    </w:p>
    <w:p w:rsidR="00F915D4" w:rsidRDefault="00DE77A7" w:rsidP="00AF52FA">
      <w:pPr>
        <w:pStyle w:val="ParaNum"/>
      </w:pPr>
      <w:r>
        <w:t xml:space="preserve">Accordingly, </w:t>
      </w:r>
      <w:r w:rsidR="008E652C">
        <w:t xml:space="preserve">we direct RLSA to </w:t>
      </w:r>
      <w:r w:rsidR="00D07FFC">
        <w:t xml:space="preserve">cease withholding from </w:t>
      </w:r>
      <w:r w:rsidR="008E652C">
        <w:t>Sprint</w:t>
      </w:r>
      <w:r w:rsidR="00D07FFC">
        <w:t xml:space="preserve"> based on the violations of the filing requirements</w:t>
      </w:r>
      <w:r w:rsidR="008E652C">
        <w:t xml:space="preserve"> the amount that </w:t>
      </w:r>
      <w:r w:rsidR="00A50E65">
        <w:t xml:space="preserve">is </w:t>
      </w:r>
      <w:r w:rsidR="008E652C">
        <w:t xml:space="preserve">otherwise owed for all minutes of service in </w:t>
      </w:r>
      <w:r w:rsidR="00D025A1">
        <w:t>June and July 2012</w:t>
      </w:r>
      <w:r w:rsidR="008E652C">
        <w:t xml:space="preserve"> that RLSA determines are otherwise compensable under our rules.   </w:t>
      </w:r>
    </w:p>
    <w:p w:rsidR="00892DAC" w:rsidRPr="00F915D4" w:rsidRDefault="005F2BAA" w:rsidP="00AF52FA">
      <w:pPr>
        <w:pStyle w:val="ParaNum"/>
      </w:pPr>
      <w:r>
        <w:t>We reemphasize, however</w:t>
      </w:r>
      <w:r w:rsidRPr="005F2BAA">
        <w:t xml:space="preserve">, </w:t>
      </w:r>
      <w:r>
        <w:t xml:space="preserve">that </w:t>
      </w:r>
      <w:r w:rsidRPr="005F2BAA">
        <w:t>absent a waiver, providers must comply with the data submission rule</w:t>
      </w:r>
      <w:r w:rsidR="00DC6F0C">
        <w:t>, like any other mandatory minimum standard,</w:t>
      </w:r>
      <w:r w:rsidRPr="005F2BAA">
        <w:t xml:space="preserve"> in order to be compensated from the Fund</w:t>
      </w:r>
      <w:r>
        <w:t>.</w:t>
      </w:r>
      <w:r w:rsidRPr="005F2BAA">
        <w:rPr>
          <w:vertAlign w:val="superscript"/>
        </w:rPr>
        <w:footnoteReference w:id="49"/>
      </w:r>
      <w:r w:rsidRPr="005F2BAA">
        <w:t xml:space="preserve"> </w:t>
      </w:r>
      <w:r>
        <w:t xml:space="preserve"> </w:t>
      </w:r>
      <w:r w:rsidR="00892DAC">
        <w:t xml:space="preserve">We </w:t>
      </w:r>
      <w:r>
        <w:t xml:space="preserve">further </w:t>
      </w:r>
      <w:r w:rsidR="00892DAC">
        <w:t>admonish Sprint</w:t>
      </w:r>
      <w:r w:rsidR="00C97E35">
        <w:t xml:space="preserve"> that </w:t>
      </w:r>
      <w:r w:rsidRPr="005F2BAA">
        <w:t xml:space="preserve">compliance with </w:t>
      </w:r>
      <w:r w:rsidR="00AD565E">
        <w:t>the Fund administrator’s filing instructions</w:t>
      </w:r>
      <w:r>
        <w:t xml:space="preserve"> implement</w:t>
      </w:r>
      <w:r w:rsidR="00DC6F0C">
        <w:t>ing</w:t>
      </w:r>
      <w:r>
        <w:t xml:space="preserve"> </w:t>
      </w:r>
      <w:r w:rsidR="00C97E35">
        <w:t xml:space="preserve">the </w:t>
      </w:r>
      <w:r>
        <w:t>data submission rule</w:t>
      </w:r>
      <w:r w:rsidR="00AD565E">
        <w:t xml:space="preserve"> is </w:t>
      </w:r>
      <w:r w:rsidR="00DC6F0C">
        <w:t xml:space="preserve">thus </w:t>
      </w:r>
      <w:r w:rsidR="00AD565E">
        <w:t>a necessary condition for payment of compensation.  The Bureau</w:t>
      </w:r>
      <w:r w:rsidR="00C97E35">
        <w:t xml:space="preserve"> expects all TRS providers to promptly review and respond to the administrator’s instructions and to communicate with the administrator in a timely manner should there be any uncertainty or difficulty regarding execution of such instructions.  No provider should expect that </w:t>
      </w:r>
      <w:r w:rsidR="00AD565E">
        <w:t>compliance</w:t>
      </w:r>
      <w:r w:rsidR="00C97E35">
        <w:t xml:space="preserve"> with such instructions </w:t>
      </w:r>
      <w:r w:rsidR="00AD565E">
        <w:t xml:space="preserve">is optional or that they can be ignored without consequences, such as denial of compensation payment.  </w:t>
      </w:r>
      <w:r w:rsidR="00C97E35">
        <w:t xml:space="preserve">  </w:t>
      </w:r>
      <w:r w:rsidR="00892DAC">
        <w:t xml:space="preserve"> </w:t>
      </w:r>
      <w:r w:rsidR="00F518AD">
        <w:t xml:space="preserve"> </w:t>
      </w:r>
    </w:p>
    <w:p w:rsidR="007E3659" w:rsidRPr="005649B8" w:rsidRDefault="00722512" w:rsidP="00C32DE7">
      <w:pPr>
        <w:pStyle w:val="Heading1"/>
        <w:rPr>
          <w:szCs w:val="22"/>
        </w:rPr>
      </w:pPr>
      <w:r w:rsidRPr="005649B8">
        <w:t>ORDERING CLAUSES</w:t>
      </w:r>
    </w:p>
    <w:p w:rsidR="007E3659" w:rsidRPr="005649B8" w:rsidRDefault="007E3659" w:rsidP="00D3728A">
      <w:pPr>
        <w:pStyle w:val="ParaNum"/>
      </w:pPr>
      <w:r w:rsidRPr="005649B8">
        <w:t>Accordingly, IT IS ORDERED</w:t>
      </w:r>
      <w:r w:rsidR="00722512" w:rsidRPr="005649B8">
        <w:t xml:space="preserve">, pursuant to </w:t>
      </w:r>
      <w:r w:rsidR="0003135F">
        <w:t>s</w:t>
      </w:r>
      <w:r w:rsidR="00722512" w:rsidRPr="005649B8">
        <w:t>ections 1, 4(i), 4(j), 5</w:t>
      </w:r>
      <w:r w:rsidR="0003135F">
        <w:t>,</w:t>
      </w:r>
      <w:r w:rsidR="00722512" w:rsidRPr="005649B8">
        <w:t xml:space="preserve"> and 225 of the Communications Act of 1934, as amended, 47 U.S.C. §§ 151, 154(i), 154(j), 155</w:t>
      </w:r>
      <w:r w:rsidR="0003135F">
        <w:t>,</w:t>
      </w:r>
      <w:r w:rsidR="00722512" w:rsidRPr="005649B8">
        <w:t xml:space="preserve"> 225, and </w:t>
      </w:r>
      <w:r w:rsidR="0003135F">
        <w:t>s</w:t>
      </w:r>
      <w:r w:rsidR="00722512" w:rsidRPr="005649B8">
        <w:t>ections 0.141, 0.361</w:t>
      </w:r>
      <w:r w:rsidR="0003135F">
        <w:t>,</w:t>
      </w:r>
      <w:r w:rsidR="00722512" w:rsidRPr="005649B8">
        <w:t xml:space="preserve"> and 64.604 of the Commission’s rules,</w:t>
      </w:r>
      <w:r w:rsidRPr="005649B8">
        <w:t xml:space="preserve"> </w:t>
      </w:r>
      <w:r w:rsidR="00722512" w:rsidRPr="005649B8">
        <w:t xml:space="preserve">47 C.F.R. §§ 0.141, 0.361, 64.604, </w:t>
      </w:r>
      <w:r w:rsidRPr="005649B8">
        <w:t>that</w:t>
      </w:r>
      <w:r w:rsidR="00861F88" w:rsidRPr="005649B8">
        <w:t xml:space="preserve"> the </w:t>
      </w:r>
      <w:r w:rsidR="00CF3DF6">
        <w:t>r</w:t>
      </w:r>
      <w:r w:rsidR="00861F88" w:rsidRPr="005649B8">
        <w:t>equest</w:t>
      </w:r>
      <w:r w:rsidR="00CF3DF6">
        <w:t xml:space="preserve"> </w:t>
      </w:r>
      <w:r w:rsidR="00861F88" w:rsidRPr="005649B8">
        <w:t xml:space="preserve">for </w:t>
      </w:r>
      <w:r w:rsidR="00CF3DF6">
        <w:t>r</w:t>
      </w:r>
      <w:r w:rsidR="00861F88" w:rsidRPr="005649B8">
        <w:t xml:space="preserve">eview </w:t>
      </w:r>
      <w:r w:rsidR="00CF3DF6">
        <w:t>of</w:t>
      </w:r>
      <w:r w:rsidR="00861F88" w:rsidRPr="005649B8">
        <w:t xml:space="preserve"> </w:t>
      </w:r>
      <w:r w:rsidR="004A31F5">
        <w:t>Sprint</w:t>
      </w:r>
      <w:r w:rsidR="00A17C0A" w:rsidRPr="005649B8">
        <w:t xml:space="preserve"> Communications, Inc.</w:t>
      </w:r>
      <w:r w:rsidR="00861F88" w:rsidRPr="005649B8">
        <w:t xml:space="preserve"> IS GRANTED</w:t>
      </w:r>
      <w:r w:rsidR="00CC4B94">
        <w:t>,</w:t>
      </w:r>
      <w:r w:rsidR="00861F88" w:rsidRPr="005649B8">
        <w:t xml:space="preserve"> as provided above</w:t>
      </w:r>
      <w:r w:rsidR="00CC4B94">
        <w:t>, and is otherwise DENIED</w:t>
      </w:r>
      <w:r w:rsidR="00861F88" w:rsidRPr="005649B8">
        <w:t>.</w:t>
      </w:r>
    </w:p>
    <w:p w:rsidR="007F6D20" w:rsidRPr="005649B8" w:rsidRDefault="007E3659" w:rsidP="00D3728A">
      <w:pPr>
        <w:pStyle w:val="ParaNum"/>
      </w:pPr>
      <w:r w:rsidRPr="005649B8">
        <w:t>IT IS FURTHER ORDERED that</w:t>
      </w:r>
      <w:r w:rsidR="00861F88" w:rsidRPr="005649B8">
        <w:t xml:space="preserve">, pursuant </w:t>
      </w:r>
      <w:r w:rsidR="0003135F">
        <w:t>to s</w:t>
      </w:r>
      <w:r w:rsidR="00861F88" w:rsidRPr="005649B8">
        <w:t xml:space="preserve">ections </w:t>
      </w:r>
      <w:r w:rsidR="00722512" w:rsidRPr="005649B8">
        <w:t>1</w:t>
      </w:r>
      <w:r w:rsidR="00861F88" w:rsidRPr="005649B8">
        <w:t>, 4(i), 4(j), 5, and 225 of the Communications Act of 1934, as amended, 47 U.S.C. §§ 15</w:t>
      </w:r>
      <w:r w:rsidR="00722512" w:rsidRPr="005649B8">
        <w:t>1</w:t>
      </w:r>
      <w:r w:rsidR="00861F88" w:rsidRPr="005649B8">
        <w:t>, 154(i), 154(j), 155</w:t>
      </w:r>
      <w:r w:rsidR="0003135F">
        <w:t>,</w:t>
      </w:r>
      <w:r w:rsidR="00861F88" w:rsidRPr="005649B8">
        <w:t xml:space="preserve"> 225, and pursuant to the authority delegated in </w:t>
      </w:r>
      <w:r w:rsidR="0003135F">
        <w:t>s</w:t>
      </w:r>
      <w:r w:rsidR="00861F88" w:rsidRPr="005649B8">
        <w:t xml:space="preserve">ections 0.141, 0.361, and 64.604 of the Commission’s rules, 47 C.F.R. §§ 0.141, 0.361, 64.604, </w:t>
      </w:r>
      <w:r w:rsidR="00F70A81" w:rsidRPr="005649B8">
        <w:t>Rolka Loube Saltzer Associates, the TRS Fund administrator,</w:t>
      </w:r>
      <w:r w:rsidR="00861F88" w:rsidRPr="005649B8">
        <w:t xml:space="preserve"> </w:t>
      </w:r>
      <w:r w:rsidR="00A17C0A" w:rsidRPr="005649B8">
        <w:t>SHALL REMIT</w:t>
      </w:r>
      <w:r w:rsidR="00861F88" w:rsidRPr="005649B8">
        <w:t xml:space="preserve"> </w:t>
      </w:r>
      <w:r w:rsidR="008E652C">
        <w:t xml:space="preserve">the </w:t>
      </w:r>
      <w:r w:rsidR="00CF3DF6">
        <w:t xml:space="preserve">amount </w:t>
      </w:r>
      <w:r w:rsidR="008E652C">
        <w:t xml:space="preserve">that the TRS Fund administrator finds </w:t>
      </w:r>
      <w:r w:rsidR="00296443">
        <w:t xml:space="preserve">is </w:t>
      </w:r>
      <w:r w:rsidR="008E652C">
        <w:t xml:space="preserve">otherwise </w:t>
      </w:r>
      <w:r w:rsidR="00CF3DF6">
        <w:t>due</w:t>
      </w:r>
      <w:r w:rsidR="00A17C0A" w:rsidRPr="005649B8">
        <w:rPr>
          <w:rFonts w:ascii="Arial" w:hAnsi="Arial" w:cs="Arial"/>
          <w:b/>
          <w:sz w:val="20"/>
        </w:rPr>
        <w:t xml:space="preserve"> </w:t>
      </w:r>
      <w:r w:rsidR="00F70A81" w:rsidRPr="005649B8">
        <w:t xml:space="preserve">to </w:t>
      </w:r>
      <w:r w:rsidR="004A31F5">
        <w:t>Sprint</w:t>
      </w:r>
      <w:r w:rsidR="00F70A81" w:rsidRPr="005649B8">
        <w:t xml:space="preserve"> Communications, Inc., </w:t>
      </w:r>
      <w:r w:rsidR="00CF3DF6">
        <w:t>for the month</w:t>
      </w:r>
      <w:r w:rsidR="008E652C">
        <w:t>s</w:t>
      </w:r>
      <w:r w:rsidR="00CF3DF6">
        <w:t xml:space="preserve"> of June </w:t>
      </w:r>
      <w:r w:rsidR="00D025A1">
        <w:t>and July</w:t>
      </w:r>
      <w:r w:rsidR="008E652C">
        <w:t xml:space="preserve"> </w:t>
      </w:r>
      <w:r w:rsidR="00CF3DF6">
        <w:t>2012</w:t>
      </w:r>
      <w:r w:rsidR="00D51D34">
        <w:t>, as provided in this Order</w:t>
      </w:r>
      <w:r w:rsidR="00A17C0A" w:rsidRPr="005649B8">
        <w:t xml:space="preserve">.  </w:t>
      </w:r>
    </w:p>
    <w:p w:rsidR="007F6D20" w:rsidRPr="005649B8" w:rsidRDefault="007F6D20" w:rsidP="00D3728A">
      <w:pPr>
        <w:pStyle w:val="ParaNum"/>
      </w:pPr>
      <w:r w:rsidRPr="005649B8">
        <w:t xml:space="preserve">IT IS FURTHER ORDERED that, aside from the amounts that we order Rolka Loube Saltzer Associates, the TRS Fund administrator, to remit to </w:t>
      </w:r>
      <w:r w:rsidR="004A31F5">
        <w:t>Sprint</w:t>
      </w:r>
      <w:r w:rsidRPr="005649B8">
        <w:t xml:space="preserve"> Communications, Inc., out of amounts heretofore withheld from reimbursement from the TRS Fund due to violations of 47 C.F.R. § </w:t>
      </w:r>
      <w:r w:rsidR="002E231A" w:rsidRPr="002E231A">
        <w:t>64.604(c)(5)(iii)(D)</w:t>
      </w:r>
      <w:r w:rsidRPr="005649B8">
        <w:t xml:space="preserve">, </w:t>
      </w:r>
      <w:r w:rsidR="004A31F5">
        <w:t>Sprint</w:t>
      </w:r>
      <w:r w:rsidR="00954199" w:rsidRPr="005649B8">
        <w:t xml:space="preserve"> Communications, Inc.’s request for </w:t>
      </w:r>
      <w:r w:rsidRPr="005649B8">
        <w:t xml:space="preserve">remittance by Rolka Loube Saltzer Associates of any other amounts heretofore withheld from reimbursement from the TRS Fund due to violations of 47 C.F.R. § </w:t>
      </w:r>
      <w:r w:rsidR="002E231A" w:rsidRPr="002E231A">
        <w:t>64.604(c)(5)(iii)(D)</w:t>
      </w:r>
      <w:r w:rsidRPr="005649B8">
        <w:t xml:space="preserve"> IS DENIED.</w:t>
      </w:r>
    </w:p>
    <w:p w:rsidR="007E3659" w:rsidRPr="005649B8" w:rsidRDefault="00861F88" w:rsidP="00D3728A">
      <w:pPr>
        <w:pStyle w:val="ParaNum"/>
      </w:pPr>
      <w:r w:rsidRPr="005649B8">
        <w:t xml:space="preserve">This Order shall be effective upon </w:t>
      </w:r>
      <w:r w:rsidR="009C0486" w:rsidRPr="005649B8">
        <w:t>release</w:t>
      </w:r>
      <w:r w:rsidRPr="005649B8">
        <w:t xml:space="preserve">, in accordance with </w:t>
      </w:r>
      <w:r w:rsidR="0003135F">
        <w:t>s</w:t>
      </w:r>
      <w:r w:rsidRPr="005649B8">
        <w:t>ection 1.</w:t>
      </w:r>
      <w:r w:rsidR="009C0486" w:rsidRPr="005649B8">
        <w:t>102(b)</w:t>
      </w:r>
      <w:r w:rsidRPr="005649B8">
        <w:t xml:space="preserve"> of the Commission’s rules, 47 C.F.R. § 1.</w:t>
      </w:r>
      <w:r w:rsidR="009C0486" w:rsidRPr="005649B8">
        <w:t>102(b)</w:t>
      </w:r>
      <w:r w:rsidRPr="005649B8">
        <w:t>.</w:t>
      </w:r>
    </w:p>
    <w:p w:rsidR="007E3659" w:rsidRPr="005649B8" w:rsidRDefault="007E3659" w:rsidP="0053744C">
      <w:pPr>
        <w:rPr>
          <w:szCs w:val="22"/>
        </w:rPr>
      </w:pPr>
    </w:p>
    <w:p w:rsidR="007E3659" w:rsidRPr="005649B8" w:rsidRDefault="007E3659" w:rsidP="0053744C">
      <w:pPr>
        <w:rPr>
          <w:szCs w:val="22"/>
        </w:rPr>
      </w:pPr>
      <w:r w:rsidRPr="005649B8">
        <w:rPr>
          <w:szCs w:val="22"/>
        </w:rPr>
        <w:t xml:space="preserve">  </w:t>
      </w:r>
      <w:r w:rsidRPr="005649B8">
        <w:rPr>
          <w:szCs w:val="22"/>
        </w:rPr>
        <w:tab/>
      </w:r>
      <w:r w:rsidR="00CD4D18" w:rsidRPr="005649B8">
        <w:rPr>
          <w:szCs w:val="22"/>
        </w:rPr>
        <w:tab/>
      </w:r>
      <w:r w:rsidR="00CD4D18" w:rsidRPr="005649B8">
        <w:rPr>
          <w:szCs w:val="22"/>
        </w:rPr>
        <w:tab/>
      </w:r>
      <w:r w:rsidR="00CD4D18" w:rsidRPr="005649B8">
        <w:rPr>
          <w:szCs w:val="22"/>
        </w:rPr>
        <w:tab/>
      </w:r>
      <w:r w:rsidR="00CD4D18" w:rsidRPr="005649B8">
        <w:rPr>
          <w:szCs w:val="22"/>
        </w:rPr>
        <w:tab/>
        <w:t>FEDERAL COMMUNICATIONS COMMISSION</w:t>
      </w:r>
    </w:p>
    <w:p w:rsidR="007E3659" w:rsidRPr="005649B8" w:rsidRDefault="007E3659" w:rsidP="0053744C">
      <w:pPr>
        <w:rPr>
          <w:szCs w:val="22"/>
        </w:rPr>
      </w:pPr>
    </w:p>
    <w:p w:rsidR="007E3659" w:rsidRPr="005649B8" w:rsidRDefault="007E3659" w:rsidP="0053744C">
      <w:pPr>
        <w:rPr>
          <w:szCs w:val="22"/>
        </w:rPr>
      </w:pPr>
      <w:r w:rsidRPr="005649B8">
        <w:rPr>
          <w:szCs w:val="22"/>
        </w:rPr>
        <w:tab/>
      </w:r>
      <w:r w:rsidRPr="005649B8">
        <w:rPr>
          <w:szCs w:val="22"/>
        </w:rPr>
        <w:tab/>
      </w:r>
      <w:r w:rsidRPr="005649B8">
        <w:rPr>
          <w:szCs w:val="22"/>
        </w:rPr>
        <w:tab/>
      </w:r>
      <w:r w:rsidRPr="005649B8">
        <w:rPr>
          <w:szCs w:val="22"/>
        </w:rPr>
        <w:tab/>
      </w:r>
      <w:r w:rsidRPr="005649B8">
        <w:rPr>
          <w:szCs w:val="22"/>
        </w:rPr>
        <w:tab/>
      </w:r>
    </w:p>
    <w:p w:rsidR="007E3659" w:rsidRPr="005649B8" w:rsidRDefault="007E3659" w:rsidP="0053744C">
      <w:pPr>
        <w:rPr>
          <w:szCs w:val="22"/>
        </w:rPr>
      </w:pPr>
    </w:p>
    <w:p w:rsidR="007E3659" w:rsidRPr="005649B8" w:rsidRDefault="007E3659" w:rsidP="0053744C">
      <w:pPr>
        <w:rPr>
          <w:szCs w:val="22"/>
        </w:rPr>
      </w:pPr>
    </w:p>
    <w:p w:rsidR="007E3659" w:rsidRPr="005649B8" w:rsidRDefault="007E3659" w:rsidP="0053744C">
      <w:pPr>
        <w:rPr>
          <w:szCs w:val="22"/>
        </w:rPr>
      </w:pPr>
      <w:r w:rsidRPr="005649B8">
        <w:rPr>
          <w:szCs w:val="22"/>
        </w:rPr>
        <w:tab/>
      </w:r>
      <w:r w:rsidRPr="005649B8">
        <w:rPr>
          <w:szCs w:val="22"/>
        </w:rPr>
        <w:tab/>
      </w:r>
      <w:r w:rsidRPr="005649B8">
        <w:rPr>
          <w:szCs w:val="22"/>
        </w:rPr>
        <w:tab/>
      </w:r>
      <w:r w:rsidRPr="005649B8">
        <w:rPr>
          <w:szCs w:val="22"/>
        </w:rPr>
        <w:tab/>
      </w:r>
      <w:r w:rsidRPr="005649B8">
        <w:rPr>
          <w:szCs w:val="22"/>
        </w:rPr>
        <w:tab/>
      </w:r>
      <w:r w:rsidR="00360B85" w:rsidRPr="005649B8">
        <w:rPr>
          <w:szCs w:val="22"/>
        </w:rPr>
        <w:t>Kris Anne Monteith</w:t>
      </w:r>
    </w:p>
    <w:p w:rsidR="007E3659" w:rsidRPr="005649B8" w:rsidRDefault="00360B85" w:rsidP="0053744C">
      <w:pPr>
        <w:ind w:left="2880" w:firstLine="720"/>
        <w:rPr>
          <w:szCs w:val="22"/>
        </w:rPr>
      </w:pPr>
      <w:r w:rsidRPr="005649B8">
        <w:rPr>
          <w:szCs w:val="22"/>
        </w:rPr>
        <w:t xml:space="preserve">Acting </w:t>
      </w:r>
      <w:r w:rsidR="007E3659" w:rsidRPr="005649B8">
        <w:rPr>
          <w:szCs w:val="22"/>
        </w:rPr>
        <w:t>Chief</w:t>
      </w:r>
    </w:p>
    <w:p w:rsidR="00F017D6" w:rsidRPr="00800829" w:rsidRDefault="007E3659" w:rsidP="00800829">
      <w:pPr>
        <w:rPr>
          <w:szCs w:val="22"/>
        </w:rPr>
      </w:pPr>
      <w:r w:rsidRPr="005649B8">
        <w:rPr>
          <w:szCs w:val="22"/>
        </w:rPr>
        <w:tab/>
      </w:r>
      <w:r w:rsidRPr="005649B8">
        <w:rPr>
          <w:szCs w:val="22"/>
        </w:rPr>
        <w:tab/>
      </w:r>
      <w:r w:rsidRPr="005649B8">
        <w:rPr>
          <w:szCs w:val="22"/>
        </w:rPr>
        <w:tab/>
      </w:r>
      <w:r w:rsidRPr="005649B8">
        <w:rPr>
          <w:szCs w:val="22"/>
        </w:rPr>
        <w:tab/>
      </w:r>
      <w:r w:rsidRPr="005649B8">
        <w:rPr>
          <w:szCs w:val="22"/>
        </w:rPr>
        <w:tab/>
        <w:t>Consumer and Governmental Affairs Bureau</w:t>
      </w:r>
    </w:p>
    <w:sectPr w:rsidR="00F017D6" w:rsidRPr="00800829" w:rsidSect="004E0A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92E7E5" w15:done="0"/>
  <w15:commentEx w15:paraId="65D73220" w15:done="0"/>
  <w15:commentEx w15:paraId="0BAAF23C" w15:done="0"/>
  <w15:commentEx w15:paraId="381B9DE5" w15:done="0"/>
  <w15:commentEx w15:paraId="16853994" w15:done="0"/>
  <w15:commentEx w15:paraId="0FFE9F03" w15:paraIdParent="16853994" w15:done="0"/>
  <w15:commentEx w15:paraId="3626EB11" w15:done="0"/>
  <w15:commentEx w15:paraId="0E14AEC4" w15:done="0"/>
  <w15:commentEx w15:paraId="4A814289" w15:done="0"/>
  <w15:commentEx w15:paraId="5BE2577C" w15:done="0"/>
  <w15:commentEx w15:paraId="1559AA7F" w15:done="0"/>
  <w15:commentEx w15:paraId="2BEE97C4" w15:done="0"/>
  <w15:commentEx w15:paraId="7B40F492" w15:done="0"/>
  <w15:commentEx w15:paraId="05F371FD" w15:done="0"/>
  <w15:commentEx w15:paraId="6768AE94" w15:done="0"/>
  <w15:commentEx w15:paraId="35FE6265" w15:done="0"/>
  <w15:commentEx w15:paraId="7B11957A" w15:done="0"/>
  <w15:commentEx w15:paraId="6CA072E3" w15:done="0"/>
  <w15:commentEx w15:paraId="62645B2F" w15:done="0"/>
  <w15:commentEx w15:paraId="084EF21D" w15:done="0"/>
  <w15:commentEx w15:paraId="57AB0991" w15:done="0"/>
  <w15:commentEx w15:paraId="579AE102" w15:done="0"/>
  <w15:commentEx w15:paraId="6BB6E1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94F" w:rsidRDefault="00C5494F">
      <w:r>
        <w:separator/>
      </w:r>
    </w:p>
  </w:endnote>
  <w:endnote w:type="continuationSeparator" w:id="0">
    <w:p w:rsidR="00C5494F" w:rsidRDefault="00C5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81" w:rsidRDefault="00664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197365"/>
      <w:docPartObj>
        <w:docPartGallery w:val="Page Numbers (Bottom of Page)"/>
        <w:docPartUnique/>
      </w:docPartObj>
    </w:sdtPr>
    <w:sdtEndPr>
      <w:rPr>
        <w:noProof/>
      </w:rPr>
    </w:sdtEndPr>
    <w:sdtContent>
      <w:p w:rsidR="00427069" w:rsidRDefault="009B4758">
        <w:pPr>
          <w:pStyle w:val="Footer"/>
          <w:jc w:val="center"/>
        </w:pPr>
        <w:r>
          <w:fldChar w:fldCharType="begin"/>
        </w:r>
        <w:r w:rsidR="00427069">
          <w:instrText xml:space="preserve"> PAGE   \* MERGEFORMAT </w:instrText>
        </w:r>
        <w:r>
          <w:fldChar w:fldCharType="separate"/>
        </w:r>
        <w:r w:rsidR="0074179F">
          <w:rPr>
            <w:noProof/>
          </w:rPr>
          <w:t>2</w:t>
        </w:r>
        <w:r>
          <w:rPr>
            <w:noProof/>
          </w:rPr>
          <w:fldChar w:fldCharType="end"/>
        </w:r>
      </w:p>
    </w:sdtContent>
  </w:sdt>
  <w:p w:rsidR="00427069" w:rsidRDefault="0042706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69" w:rsidRDefault="00427069">
    <w:pPr>
      <w:pStyle w:val="Footer"/>
      <w:tabs>
        <w:tab w:val="clear" w:pos="8640"/>
      </w:tabs>
      <w:ind w:left="-720"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94F" w:rsidRDefault="00C5494F">
      <w:pPr>
        <w:rPr>
          <w:sz w:val="20"/>
        </w:rPr>
      </w:pPr>
      <w:r>
        <w:rPr>
          <w:sz w:val="20"/>
        </w:rPr>
        <w:separator/>
      </w:r>
    </w:p>
  </w:footnote>
  <w:footnote w:type="continuationSeparator" w:id="0">
    <w:p w:rsidR="00C5494F" w:rsidRDefault="00C5494F">
      <w:pPr>
        <w:rPr>
          <w:sz w:val="20"/>
        </w:rPr>
      </w:pPr>
      <w:r>
        <w:rPr>
          <w:sz w:val="20"/>
        </w:rPr>
        <w:separator/>
      </w:r>
    </w:p>
    <w:p w:rsidR="00C5494F" w:rsidRDefault="00C5494F">
      <w:pPr>
        <w:rPr>
          <w:sz w:val="20"/>
        </w:rPr>
      </w:pPr>
      <w:r>
        <w:rPr>
          <w:sz w:val="20"/>
        </w:rPr>
        <w:t>(...continued from previous page)</w:t>
      </w:r>
    </w:p>
  </w:footnote>
  <w:footnote w:type="continuationNotice" w:id="1">
    <w:p w:rsidR="00C5494F" w:rsidRDefault="00C5494F">
      <w:pPr>
        <w:jc w:val="right"/>
        <w:rPr>
          <w:sz w:val="20"/>
        </w:rPr>
      </w:pPr>
      <w:r>
        <w:rPr>
          <w:sz w:val="20"/>
        </w:rPr>
        <w:t>(continued....)</w:t>
      </w:r>
    </w:p>
  </w:footnote>
  <w:footnote w:id="2">
    <w:p w:rsidR="00427069" w:rsidRPr="00D61649" w:rsidRDefault="00427069">
      <w:pPr>
        <w:pStyle w:val="FootnoteText"/>
      </w:pPr>
      <w:r>
        <w:rPr>
          <w:rStyle w:val="FootnoteReference"/>
        </w:rPr>
        <w:footnoteRef/>
      </w:r>
      <w:r>
        <w:t xml:space="preserve"> </w:t>
      </w:r>
      <w:r>
        <w:rPr>
          <w:i/>
        </w:rPr>
        <w:t xml:space="preserve">See generally </w:t>
      </w:r>
      <w:r>
        <w:t xml:space="preserve">47 C.F.R. </w:t>
      </w:r>
      <w:r w:rsidRPr="006B0052">
        <w:t>§§</w:t>
      </w:r>
      <w:r w:rsidRPr="00BD2490">
        <w:t xml:space="preserve"> 0</w:t>
      </w:r>
      <w:r>
        <w:t>.141, 0.361.</w:t>
      </w:r>
    </w:p>
  </w:footnote>
  <w:footnote w:id="3">
    <w:p w:rsidR="00427069" w:rsidRPr="003D5B15" w:rsidRDefault="00427069" w:rsidP="004F088D">
      <w:pPr>
        <w:pStyle w:val="FootnoteText"/>
        <w:rPr>
          <w:b/>
        </w:rPr>
      </w:pPr>
      <w:r>
        <w:rPr>
          <w:rStyle w:val="FootnoteReference"/>
        </w:rPr>
        <w:footnoteRef/>
      </w:r>
      <w:r>
        <w:t xml:space="preserve"> Letter from Michael B. Fingerhut, Senior Counsel, Government Affairs, Sprint, to Karen Peltz Strauss, Deputy Chief, CGB (filed Feb. 11, 2013) (Sprint February 11, 2013 Letter).  </w:t>
      </w:r>
      <w:r w:rsidRPr="003D5B15">
        <w:rPr>
          <w:i/>
        </w:rPr>
        <w:t xml:space="preserve">See also </w:t>
      </w:r>
      <w:r w:rsidRPr="003D5B15">
        <w:t>Letter from Michael B. Fingerhut, Senior Counsel, Government Affairs, Sprint, to</w:t>
      </w:r>
      <w:r>
        <w:t xml:space="preserve"> Sean Lev, General Counsel, FCC (filed September 24, 2012) (Sprint September 24, 2012 Letter); Letter from Charles W. McKee, Vice President - Government Affairs, Sprint, to Karen Peltz Strauss, Deputy Chief, CGB, (filed May 20, 2013) (Sprint May 20, 2013 Letter).  </w:t>
      </w:r>
    </w:p>
  </w:footnote>
  <w:footnote w:id="4">
    <w:p w:rsidR="00427069" w:rsidRDefault="00427069" w:rsidP="00E943BD">
      <w:pPr>
        <w:pStyle w:val="FootnoteText"/>
      </w:pPr>
      <w:r>
        <w:rPr>
          <w:rStyle w:val="FootnoteReference"/>
        </w:rPr>
        <w:footnoteRef/>
      </w:r>
      <w:r>
        <w:t xml:space="preserve"> </w:t>
      </w:r>
      <w:r w:rsidRPr="00E943BD">
        <w:t xml:space="preserve">IP Relay is a text-based relay service that </w:t>
      </w:r>
      <w:r>
        <w:t xml:space="preserve">permits an </w:t>
      </w:r>
      <w:r w:rsidRPr="00E943BD">
        <w:t xml:space="preserve">individual with </w:t>
      </w:r>
      <w:r>
        <w:t xml:space="preserve">a </w:t>
      </w:r>
      <w:r w:rsidRPr="00E943BD">
        <w:t xml:space="preserve">hearing and/or speech disabilities to communicate </w:t>
      </w:r>
      <w:r>
        <w:t>in text using an IP-enabled device via the Internet</w:t>
      </w:r>
      <w:r w:rsidRPr="00E943BD">
        <w:t xml:space="preserve">.  </w:t>
      </w:r>
      <w:r w:rsidRPr="009F6FE8">
        <w:t>47 C.F.R. § 64.601(a)(</w:t>
      </w:r>
      <w:r>
        <w:t>1</w:t>
      </w:r>
      <w:r w:rsidRPr="009F6FE8">
        <w:t>7).</w:t>
      </w:r>
      <w:r>
        <w:t xml:space="preserve">  </w:t>
      </w:r>
      <w:r w:rsidRPr="00E943BD">
        <w:t xml:space="preserve">In an IP Relay call, the communications assistant (CA) relays a conversation between the parties by conveying verbally what the person with a hearing loss types and </w:t>
      </w:r>
      <w:r>
        <w:t xml:space="preserve">by </w:t>
      </w:r>
      <w:r w:rsidRPr="00E943BD">
        <w:t xml:space="preserve">typing responses from the other party, which are then sent back over an Internet connection.  </w:t>
      </w:r>
    </w:p>
  </w:footnote>
  <w:footnote w:id="5">
    <w:p w:rsidR="00427069" w:rsidRDefault="00427069">
      <w:pPr>
        <w:pStyle w:val="FootnoteText"/>
      </w:pPr>
      <w:r>
        <w:rPr>
          <w:rStyle w:val="FootnoteReference"/>
        </w:rPr>
        <w:footnoteRef/>
      </w:r>
      <w:r>
        <w:t xml:space="preserve"> </w:t>
      </w:r>
      <w:r w:rsidRPr="00DB2BD7">
        <w:t xml:space="preserve">47 C.F.R. </w:t>
      </w:r>
      <w:r>
        <w:t xml:space="preserve">§ </w:t>
      </w:r>
      <w:r w:rsidRPr="00DB2BD7">
        <w:t>64.604</w:t>
      </w:r>
      <w:r w:rsidRPr="003928C4">
        <w:t>(c)(5)(iii)(D)</w:t>
      </w:r>
      <w:r>
        <w:t xml:space="preserve"> (the data submission rule).</w:t>
      </w:r>
    </w:p>
  </w:footnote>
  <w:footnote w:id="6">
    <w:p w:rsidR="00427069" w:rsidRDefault="00427069" w:rsidP="004F088D">
      <w:pPr>
        <w:pStyle w:val="FootnoteText"/>
      </w:pPr>
      <w:r>
        <w:rPr>
          <w:rStyle w:val="FootnoteReference"/>
        </w:rPr>
        <w:footnoteRef/>
      </w:r>
      <w:r>
        <w:rPr>
          <w:i/>
        </w:rPr>
        <w:t xml:space="preserve"> </w:t>
      </w:r>
      <w:r w:rsidRPr="00DB2BD7">
        <w:rPr>
          <w:i/>
        </w:rPr>
        <w:t>See</w:t>
      </w:r>
      <w:r>
        <w:rPr>
          <w:i/>
        </w:rPr>
        <w:t xml:space="preserve"> </w:t>
      </w:r>
      <w:r w:rsidRPr="00303B0E">
        <w:rPr>
          <w:i/>
        </w:rPr>
        <w:t>id</w:t>
      </w:r>
      <w:r>
        <w:t xml:space="preserve">. § 64.604(c)(5)(iii)(E), (L).  </w:t>
      </w:r>
    </w:p>
  </w:footnote>
  <w:footnote w:id="7">
    <w:p w:rsidR="00427069" w:rsidRDefault="00427069">
      <w:pPr>
        <w:pStyle w:val="FootnoteText"/>
      </w:pPr>
      <w:r>
        <w:rPr>
          <w:rStyle w:val="FootnoteReference"/>
        </w:rPr>
        <w:footnoteRef/>
      </w:r>
      <w:r>
        <w:t xml:space="preserve"> </w:t>
      </w:r>
      <w:r w:rsidRPr="00DB2BD7">
        <w:t xml:space="preserve">47 C.F.R. </w:t>
      </w:r>
      <w:r>
        <w:t xml:space="preserve">§ </w:t>
      </w:r>
      <w:r w:rsidRPr="00DB2BD7">
        <w:t>64.604(b)(2)</w:t>
      </w:r>
      <w:r>
        <w:t xml:space="preserve">.  </w:t>
      </w:r>
    </w:p>
  </w:footnote>
  <w:footnote w:id="8">
    <w:p w:rsidR="00427069" w:rsidRDefault="00427069">
      <w:pPr>
        <w:pStyle w:val="FootnoteText"/>
      </w:pPr>
      <w:r>
        <w:rPr>
          <w:rStyle w:val="FootnoteReference"/>
        </w:rPr>
        <w:footnoteRef/>
      </w:r>
      <w:r>
        <w:t xml:space="preserve"> </w:t>
      </w:r>
      <w:r w:rsidRPr="00EF14A8">
        <w:rPr>
          <w:i/>
        </w:rPr>
        <w:t>Structure and Practices of the Video Relay Service Program</w:t>
      </w:r>
      <w:r w:rsidRPr="00EF14A8">
        <w:t xml:space="preserve">, Report and Order and Further Notice of Proposed Rulemaking, 26 FCC Rcd 5545, </w:t>
      </w:r>
      <w:r>
        <w:t>5579-80</w:t>
      </w:r>
      <w:r w:rsidRPr="009C3685">
        <w:t xml:space="preserve">, ¶¶ </w:t>
      </w:r>
      <w:r>
        <w:t>72-75</w:t>
      </w:r>
      <w:r w:rsidRPr="00EF14A8">
        <w:t xml:space="preserve"> (2011)</w:t>
      </w:r>
      <w:r>
        <w:t xml:space="preserve"> (</w:t>
      </w:r>
      <w:r w:rsidRPr="0051745D">
        <w:rPr>
          <w:i/>
        </w:rPr>
        <w:t>VRS Call Practices R&amp;O</w:t>
      </w:r>
      <w:r>
        <w:t>)</w:t>
      </w:r>
      <w:r w:rsidRPr="00EF14A8">
        <w:t xml:space="preserve">.  </w:t>
      </w:r>
      <w:r>
        <w:t>Previously</w:t>
      </w:r>
      <w:r w:rsidRPr="00D477CC">
        <w:t xml:space="preserve">, providers </w:t>
      </w:r>
      <w:r>
        <w:t xml:space="preserve">were subject to a generally worded requirement to </w:t>
      </w:r>
      <w:r w:rsidRPr="00D477CC">
        <w:t>submit</w:t>
      </w:r>
      <w:r>
        <w:t xml:space="preserve"> information reasonably</w:t>
      </w:r>
      <w:r w:rsidRPr="00D477CC">
        <w:t xml:space="preserve"> </w:t>
      </w:r>
      <w:r>
        <w:t>requested</w:t>
      </w:r>
      <w:r w:rsidRPr="00D477CC">
        <w:t xml:space="preserve"> </w:t>
      </w:r>
      <w:r>
        <w:t>by</w:t>
      </w:r>
      <w:r w:rsidRPr="00D477CC">
        <w:t xml:space="preserve"> the Administrator.  </w:t>
      </w:r>
      <w:r w:rsidRPr="00CC1941">
        <w:t>47 C.F.R. § 64.604(c)(5</w:t>
      </w:r>
      <w:r w:rsidRPr="00690F5B">
        <w:t>)(iii)(D)(</w:t>
      </w:r>
      <w:r w:rsidRPr="00853D30">
        <w:rPr>
          <w:i/>
        </w:rPr>
        <w:t>1</w:t>
      </w:r>
      <w:r w:rsidRPr="00690F5B">
        <w:t>).</w:t>
      </w:r>
      <w:r>
        <w:t xml:space="preserve">  </w:t>
      </w:r>
      <w:r w:rsidRPr="00D477CC">
        <w:t xml:space="preserve">Effective September 26, 2011, the Commission </w:t>
      </w:r>
      <w:r>
        <w:t>amended</w:t>
      </w:r>
      <w:r w:rsidRPr="00D477CC">
        <w:t xml:space="preserve"> its rules to </w:t>
      </w:r>
      <w:r>
        <w:t xml:space="preserve">provide a more formal and specific requirement for the submission of certain data.  </w:t>
      </w:r>
      <w:r w:rsidRPr="0051745D">
        <w:rPr>
          <w:i/>
        </w:rPr>
        <w:t>VRS Call Practices R&amp;O</w:t>
      </w:r>
      <w:r w:rsidRPr="00D477CC">
        <w:t xml:space="preserve">, 26 FCC Rcd </w:t>
      </w:r>
      <w:r>
        <w:t>at 5579-80</w:t>
      </w:r>
      <w:r w:rsidRPr="0051745D">
        <w:t>, ¶¶ 72-75</w:t>
      </w:r>
      <w:r w:rsidRPr="00D477CC">
        <w:t xml:space="preserve">.  </w:t>
      </w:r>
      <w:r w:rsidRPr="00D477CC">
        <w:rPr>
          <w:i/>
        </w:rPr>
        <w:t>See also</w:t>
      </w:r>
      <w:r w:rsidRPr="00D477CC">
        <w:t xml:space="preserve"> 76 FR 59269 (Sept. 26, 2011) (establishing effective date).</w:t>
      </w:r>
      <w:r>
        <w:t xml:space="preserve">  These new requirements were added to, and did not replace, the pre-existing general requirement to “</w:t>
      </w:r>
      <w:r w:rsidRPr="00497DA4">
        <w:t>provide the administrator with true and adequate data . . . reasonably requested to determine the TRS Fund revenue requirements and payments</w:t>
      </w:r>
      <w:r>
        <w:t xml:space="preserve">.”  </w:t>
      </w:r>
      <w:r w:rsidRPr="004077F5">
        <w:t>47 C.F.R. § 64.604(c)(5)(iii)(D)</w:t>
      </w:r>
      <w:r w:rsidRPr="00690F5B">
        <w:t>(</w:t>
      </w:r>
      <w:r w:rsidRPr="00853D30">
        <w:rPr>
          <w:i/>
        </w:rPr>
        <w:t>1</w:t>
      </w:r>
      <w:r w:rsidRPr="00690F5B">
        <w:t>)</w:t>
      </w:r>
      <w:r>
        <w:t>.</w:t>
      </w:r>
    </w:p>
  </w:footnote>
  <w:footnote w:id="9">
    <w:p w:rsidR="00427069" w:rsidRDefault="00427069">
      <w:pPr>
        <w:pStyle w:val="FootnoteText"/>
      </w:pPr>
      <w:r>
        <w:rPr>
          <w:rStyle w:val="FootnoteReference"/>
        </w:rPr>
        <w:footnoteRef/>
      </w:r>
      <w:r>
        <w:t xml:space="preserve"> </w:t>
      </w:r>
      <w:r w:rsidRPr="00D477CC">
        <w:rPr>
          <w:i/>
        </w:rPr>
        <w:t>Id</w:t>
      </w:r>
      <w:r w:rsidRPr="00D477CC">
        <w:t>. § 64.604(c)(5)(iii)(D)</w:t>
      </w:r>
      <w:r>
        <w:t>(</w:t>
      </w:r>
      <w:r w:rsidRPr="00EF14A8">
        <w:rPr>
          <w:i/>
        </w:rPr>
        <w:t>2</w:t>
      </w:r>
      <w:r>
        <w:t xml:space="preserve">).  </w:t>
      </w:r>
      <w:r w:rsidRPr="00D95539">
        <w:t xml:space="preserve"> </w:t>
      </w:r>
      <w:r>
        <w:t xml:space="preserve"> </w:t>
      </w:r>
    </w:p>
  </w:footnote>
  <w:footnote w:id="10">
    <w:p w:rsidR="00427069" w:rsidRDefault="00427069">
      <w:pPr>
        <w:pStyle w:val="FootnoteText"/>
      </w:pPr>
      <w:r>
        <w:rPr>
          <w:rStyle w:val="FootnoteReference"/>
        </w:rPr>
        <w:footnoteRef/>
      </w:r>
      <w:r w:rsidRPr="00EF14A8">
        <w:rPr>
          <w:i/>
          <w:sz w:val="22"/>
        </w:rPr>
        <w:t xml:space="preserve"> </w:t>
      </w:r>
      <w:r w:rsidRPr="00EF14A8">
        <w:rPr>
          <w:i/>
        </w:rPr>
        <w:t>Id</w:t>
      </w:r>
      <w:r w:rsidRPr="00EF14A8">
        <w:t>. § 64.604(c)(5)(iii)(D)(</w:t>
      </w:r>
      <w:r>
        <w:rPr>
          <w:i/>
        </w:rPr>
        <w:t>3</w:t>
      </w:r>
      <w:r w:rsidRPr="00EF14A8">
        <w:t xml:space="preserve">).  </w:t>
      </w:r>
      <w:r w:rsidRPr="005649B8">
        <w:t>Under the Commission’s SOA rule, IP Relay providers must answer at least 85% of all calls within 10 seconds, with compliance measured on a daily basis.</w:t>
      </w:r>
      <w:r w:rsidRPr="00D477CC">
        <w:t xml:space="preserve"> </w:t>
      </w:r>
      <w:r>
        <w:t xml:space="preserve"> </w:t>
      </w:r>
      <w:r w:rsidRPr="00DB2BD7">
        <w:t xml:space="preserve">47 C.F.R. </w:t>
      </w:r>
      <w:r>
        <w:t xml:space="preserve">§ </w:t>
      </w:r>
      <w:r w:rsidRPr="00DB2BD7">
        <w:t>64.604(b)(2)(ii).</w:t>
      </w:r>
      <w:r>
        <w:t xml:space="preserve">  A different SOA standard applies to video relay service (VRS) providers.  </w:t>
      </w:r>
      <w:r w:rsidRPr="00DB2BD7">
        <w:rPr>
          <w:i/>
        </w:rPr>
        <w:t>See</w:t>
      </w:r>
      <w:r w:rsidRPr="00DB2BD7">
        <w:t xml:space="preserve"> </w:t>
      </w:r>
      <w:r w:rsidRPr="00174CBA">
        <w:rPr>
          <w:i/>
        </w:rPr>
        <w:t>id</w:t>
      </w:r>
      <w:r>
        <w:t>.</w:t>
      </w:r>
      <w:r w:rsidRPr="00DB2BD7">
        <w:t xml:space="preserve"> </w:t>
      </w:r>
      <w:r>
        <w:t xml:space="preserve">§ </w:t>
      </w:r>
      <w:r w:rsidRPr="00DB2BD7">
        <w:t>64.604(b)(2)(ii</w:t>
      </w:r>
      <w:r>
        <w:t>i).</w:t>
      </w:r>
      <w:r w:rsidRPr="004077F5">
        <w:rPr>
          <w:sz w:val="22"/>
        </w:rPr>
        <w:t xml:space="preserve"> </w:t>
      </w:r>
      <w:r>
        <w:rPr>
          <w:sz w:val="22"/>
        </w:rPr>
        <w:t xml:space="preserve"> </w:t>
      </w:r>
      <w:r w:rsidRPr="004077F5">
        <w:t>A provider’s compliance with the SOA rule is a condition precedent for disbursement of TRS Fund payments.</w:t>
      </w:r>
      <w:r w:rsidRPr="004077F5">
        <w:rPr>
          <w:i/>
        </w:rPr>
        <w:t xml:space="preserve"> </w:t>
      </w:r>
      <w:r>
        <w:rPr>
          <w:i/>
        </w:rPr>
        <w:t xml:space="preserve"> </w:t>
      </w:r>
      <w:r w:rsidRPr="00DB2BD7">
        <w:rPr>
          <w:i/>
        </w:rPr>
        <w:t>See</w:t>
      </w:r>
      <w:r w:rsidRPr="00DB2BD7">
        <w:t xml:space="preserve"> </w:t>
      </w:r>
      <w:r w:rsidRPr="00174CBA">
        <w:rPr>
          <w:i/>
        </w:rPr>
        <w:t>id</w:t>
      </w:r>
      <w:r>
        <w:t xml:space="preserve">. § 64.604(c)(5)(iii)(E) (“The TRS Fund administrator shall make payments only to eligible TRS providers operating pursuant to the mandatory minimum standards as required in § 64.604”).   </w:t>
      </w:r>
      <w:r w:rsidRPr="00174CBA">
        <w:rPr>
          <w:i/>
        </w:rPr>
        <w:t xml:space="preserve">See also </w:t>
      </w:r>
      <w:r w:rsidRPr="00174CBA">
        <w:rPr>
          <w:i/>
          <w:lang w:val="it-IT"/>
        </w:rPr>
        <w:t>id</w:t>
      </w:r>
      <w:r>
        <w:rPr>
          <w:lang w:val="it-IT"/>
        </w:rPr>
        <w:t>.</w:t>
      </w:r>
      <w:r w:rsidRPr="001B3009">
        <w:rPr>
          <w:lang w:val="it-IT"/>
        </w:rPr>
        <w:t xml:space="preserve"> § 64.604(c)(5)(iii)(</w:t>
      </w:r>
      <w:r>
        <w:rPr>
          <w:lang w:val="it-IT"/>
        </w:rPr>
        <w:t>L</w:t>
      </w:r>
      <w:r w:rsidRPr="001B3009">
        <w:rPr>
          <w:lang w:val="it-IT"/>
        </w:rPr>
        <w:t>)</w:t>
      </w:r>
      <w:r>
        <w:rPr>
          <w:lang w:val="it-IT"/>
        </w:rPr>
        <w:t>.</w:t>
      </w:r>
    </w:p>
  </w:footnote>
  <w:footnote w:id="11">
    <w:p w:rsidR="00427069" w:rsidRDefault="00427069">
      <w:pPr>
        <w:pStyle w:val="FootnoteText"/>
      </w:pPr>
      <w:r>
        <w:rPr>
          <w:rStyle w:val="FootnoteReference"/>
        </w:rPr>
        <w:footnoteRef/>
      </w:r>
      <w:r>
        <w:t xml:space="preserve"> </w:t>
      </w:r>
      <w:r w:rsidRPr="008E3CD8">
        <w:rPr>
          <w:i/>
        </w:rPr>
        <w:t xml:space="preserve">Id. </w:t>
      </w:r>
      <w:r w:rsidRPr="00BD2490">
        <w:t>§ 64.604(c)(5)(iii)(D)(</w:t>
      </w:r>
      <w:r>
        <w:rPr>
          <w:i/>
        </w:rPr>
        <w:t>4</w:t>
      </w:r>
      <w:r w:rsidRPr="00BD2490">
        <w:t>)</w:t>
      </w:r>
      <w:r>
        <w:t>(</w:t>
      </w:r>
      <w:r w:rsidRPr="00BD2490">
        <w:rPr>
          <w:i/>
        </w:rPr>
        <w:t>ii</w:t>
      </w:r>
      <w:r>
        <w:t>)</w:t>
      </w:r>
      <w:r w:rsidRPr="00BD2490">
        <w:t>.</w:t>
      </w:r>
      <w:r w:rsidRPr="00D477CC">
        <w:t xml:space="preserve">  </w:t>
      </w:r>
    </w:p>
  </w:footnote>
  <w:footnote w:id="12">
    <w:p w:rsidR="00427069" w:rsidRDefault="00427069">
      <w:pPr>
        <w:pStyle w:val="FootnoteText"/>
      </w:pPr>
      <w:r>
        <w:rPr>
          <w:rStyle w:val="FootnoteReference"/>
        </w:rPr>
        <w:footnoteRef/>
      </w:r>
      <w:r>
        <w:t xml:space="preserve"> </w:t>
      </w:r>
      <w:r w:rsidRPr="008B4EFF">
        <w:t xml:space="preserve">RLSA, </w:t>
      </w:r>
      <w:r w:rsidRPr="008B4EFF">
        <w:rPr>
          <w:i/>
        </w:rPr>
        <w:t>Interstate TRS Fund: Provider Forms and Filing Instructions</w:t>
      </w:r>
      <w:r w:rsidRPr="008B4EFF">
        <w:t xml:space="preserve"> at </w:t>
      </w:r>
      <w:r>
        <w:t xml:space="preserve">4, 7, 19-22, 25 </w:t>
      </w:r>
      <w:r w:rsidRPr="008B4EFF">
        <w:t xml:space="preserve">(Version 6, Feb. 13, 2012) </w:t>
      </w:r>
      <w:r>
        <w:t xml:space="preserve"> </w:t>
      </w:r>
      <w:r w:rsidRPr="008B4EFF">
        <w:t>(</w:t>
      </w:r>
      <w:r w:rsidRPr="008B4EFF">
        <w:rPr>
          <w:i/>
        </w:rPr>
        <w:t>February 2012 Filing Instructions</w:t>
      </w:r>
      <w:r w:rsidRPr="008B4EFF">
        <w:t>)</w:t>
      </w:r>
      <w:r w:rsidRPr="00C00368">
        <w:t xml:space="preserve"> (requiring that IP Relay CDRs include Call Center ID, Call Record ID Sequence, Communications Assistant ID, Incoming Telephone Number, Incoming IP Address, URL, Outbound Telephone Number, Outbound IP Address, Session Start Time, Conversation Start Time, Conversation End Time, Session End Time, Conversation Duration in Minutes, and Session Duration in Minutes).  Previously, on October 4, 2011, RLSA had issued similar instructions for the submission of monthly </w:t>
      </w:r>
      <w:r>
        <w:t>CDRs</w:t>
      </w:r>
      <w:r w:rsidRPr="00C00368">
        <w:t xml:space="preserve"> by providers of video relay service (VRS), a different form of TRS.  </w:t>
      </w:r>
      <w:r w:rsidRPr="00C00368">
        <w:rPr>
          <w:i/>
        </w:rPr>
        <w:t xml:space="preserve">See </w:t>
      </w:r>
      <w:r w:rsidRPr="00C00368">
        <w:t xml:space="preserve">RLSA, </w:t>
      </w:r>
      <w:r w:rsidRPr="00C00368">
        <w:rPr>
          <w:i/>
        </w:rPr>
        <w:t>Interstate TRS Fund:  Provider Forms and Filing Instructions</w:t>
      </w:r>
      <w:r w:rsidRPr="00C00368">
        <w:t xml:space="preserve"> (Version 1, Oct. 4, 2011).</w:t>
      </w:r>
    </w:p>
  </w:footnote>
  <w:footnote w:id="13">
    <w:p w:rsidR="00427069" w:rsidRDefault="00427069" w:rsidP="00AD4CF9">
      <w:pPr>
        <w:pStyle w:val="FootnoteText"/>
      </w:pPr>
      <w:r>
        <w:rPr>
          <w:rStyle w:val="FootnoteReference"/>
        </w:rPr>
        <w:footnoteRef/>
      </w:r>
      <w:r>
        <w:t xml:space="preserve"> </w:t>
      </w:r>
      <w:r w:rsidRPr="00D27E5D">
        <w:rPr>
          <w:i/>
        </w:rPr>
        <w:t>February 2012 Filing Instructions</w:t>
      </w:r>
      <w:r w:rsidRPr="0079023C">
        <w:t xml:space="preserve"> </w:t>
      </w:r>
      <w:r>
        <w:t>at 19-22</w:t>
      </w:r>
      <w:r w:rsidR="00BE27B1">
        <w:t xml:space="preserve"> (requiring reporting of certain details for each abandoned call)</w:t>
      </w:r>
      <w:r>
        <w:t xml:space="preserve">.  </w:t>
      </w:r>
      <w:r w:rsidRPr="0079023C">
        <w:t xml:space="preserve">The Commission’s rules require that “abandoned” calls, </w:t>
      </w:r>
      <w:r w:rsidRPr="0079023C">
        <w:rPr>
          <w:i/>
        </w:rPr>
        <w:t>i.e.</w:t>
      </w:r>
      <w:r w:rsidRPr="0079023C">
        <w:t xml:space="preserve">, calls where the caller hangs up before the call </w:t>
      </w:r>
      <w:r>
        <w:t>reaches</w:t>
      </w:r>
      <w:r w:rsidRPr="0079023C">
        <w:t xml:space="preserve"> a CA, must be included in the call totals used to calculate SOA compliance. </w:t>
      </w:r>
      <w:r w:rsidR="00B90D67">
        <w:t xml:space="preserve"> </w:t>
      </w:r>
      <w:r w:rsidRPr="00DB2BD7">
        <w:t xml:space="preserve">47 C.F.R. </w:t>
      </w:r>
      <w:r>
        <w:t>§</w:t>
      </w:r>
      <w:r w:rsidRPr="001B3009">
        <w:rPr>
          <w:lang w:val="it-IT"/>
        </w:rPr>
        <w:t>§</w:t>
      </w:r>
      <w:r>
        <w:t xml:space="preserve"> </w:t>
      </w:r>
      <w:r w:rsidRPr="00DB2BD7">
        <w:t>64.604(b)(2)(ii)</w:t>
      </w:r>
      <w:r>
        <w:t>(B), (iii)</w:t>
      </w:r>
      <w:r w:rsidRPr="00DB2BD7">
        <w:t>.</w:t>
      </w:r>
      <w:r>
        <w:t xml:space="preserve">  Speed of answer is calculated by dividing the number of calls answered within the specified maximum number of seconds by the total number of calls answered.  </w:t>
      </w:r>
      <w:r w:rsidRPr="006777DD">
        <w:rPr>
          <w:i/>
        </w:rPr>
        <w:t>Telecommunications Relay Services and Speech-to-Speech Services for Individuals with Hearing and Speech Disabilities,</w:t>
      </w:r>
      <w:r w:rsidRPr="006777DD">
        <w:t xml:space="preserve"> CC Docket No. 98-67, Report and Order and Further Notice of Proposed Rulemaking, 15 FCC Rcd 5140,</w:t>
      </w:r>
      <w:r w:rsidRPr="006777DD">
        <w:rPr>
          <w:i/>
        </w:rPr>
        <w:t xml:space="preserve"> </w:t>
      </w:r>
      <w:r w:rsidRPr="006777DD">
        <w:t>516</w:t>
      </w:r>
      <w:r>
        <w:t>7</w:t>
      </w:r>
      <w:r w:rsidRPr="006777DD">
        <w:t>, ¶ 6</w:t>
      </w:r>
      <w:r>
        <w:t>4</w:t>
      </w:r>
      <w:r w:rsidRPr="006777DD">
        <w:t xml:space="preserve"> (2000)</w:t>
      </w:r>
      <w:r>
        <w:t xml:space="preserve">.  All abandoned calls are to be included in the denominator of this fraction, </w:t>
      </w:r>
      <w:r w:rsidRPr="00F577C2">
        <w:rPr>
          <w:i/>
        </w:rPr>
        <w:t>i.e.</w:t>
      </w:r>
      <w:r>
        <w:t xml:space="preserve">, in the number of calls answered.  </w:t>
      </w:r>
      <w:r w:rsidRPr="006777DD">
        <w:rPr>
          <w:i/>
        </w:rPr>
        <w:t>Id</w:t>
      </w:r>
      <w:r>
        <w:t xml:space="preserve">.  Abandoned calls are included in the numerator of this fraction, </w:t>
      </w:r>
      <w:r w:rsidRPr="006E1A5B">
        <w:rPr>
          <w:i/>
        </w:rPr>
        <w:t>i.e.</w:t>
      </w:r>
      <w:r>
        <w:t xml:space="preserve">, in the number of calls answered within the specified maximum number of seconds, if they were abandoned within the maximum number of seconds.   </w:t>
      </w:r>
      <w:r w:rsidRPr="008B4EFF">
        <w:rPr>
          <w:i/>
        </w:rPr>
        <w:t>See, e.g.</w:t>
      </w:r>
      <w:r>
        <w:t xml:space="preserve">, </w:t>
      </w:r>
      <w:r w:rsidRPr="008B4EFF">
        <w:rPr>
          <w:i/>
        </w:rPr>
        <w:t>February 2012 Filing Instructions</w:t>
      </w:r>
      <w:r w:rsidRPr="008B4EFF">
        <w:t xml:space="preserve"> </w:t>
      </w:r>
      <w:r>
        <w:t xml:space="preserve">at 14-16.   VRS providers are also required to include abandoned calls in CDRs.   </w:t>
      </w:r>
      <w:r>
        <w:rPr>
          <w:i/>
        </w:rPr>
        <w:t>Id.</w:t>
      </w:r>
      <w:r w:rsidRPr="00630CF7">
        <w:t xml:space="preserve"> at 19-22.  </w:t>
      </w:r>
    </w:p>
  </w:footnote>
  <w:footnote w:id="14">
    <w:p w:rsidR="00427069" w:rsidRDefault="00427069">
      <w:pPr>
        <w:pStyle w:val="FootnoteText"/>
      </w:pPr>
      <w:r>
        <w:rPr>
          <w:rStyle w:val="FootnoteReference"/>
        </w:rPr>
        <w:footnoteRef/>
      </w:r>
      <w:r>
        <w:t xml:space="preserve"> </w:t>
      </w:r>
      <w:r w:rsidRPr="008B4EFF">
        <w:rPr>
          <w:i/>
        </w:rPr>
        <w:t>February 2012 Filing Instructions</w:t>
      </w:r>
      <w:r w:rsidRPr="008B4EFF">
        <w:t xml:space="preserve"> at 14-16</w:t>
      </w:r>
      <w:r>
        <w:t>, 25</w:t>
      </w:r>
      <w:r w:rsidRPr="008B4EFF">
        <w:t>.</w:t>
      </w:r>
    </w:p>
  </w:footnote>
  <w:footnote w:id="15">
    <w:p w:rsidR="00427069" w:rsidRDefault="00427069" w:rsidP="00461BA9">
      <w:pPr>
        <w:pStyle w:val="FootnoteText"/>
      </w:pPr>
      <w:r>
        <w:rPr>
          <w:rStyle w:val="FootnoteReference"/>
        </w:rPr>
        <w:footnoteRef/>
      </w:r>
      <w:r>
        <w:t xml:space="preserve"> </w:t>
      </w:r>
      <w:r w:rsidRPr="00534892">
        <w:rPr>
          <w:i/>
        </w:rPr>
        <w:t>See, e.g.,</w:t>
      </w:r>
      <w:r w:rsidRPr="00534892">
        <w:t xml:space="preserve"> </w:t>
      </w:r>
      <w:r>
        <w:t xml:space="preserve">Email from Matt Saltzer, RLSA, to Kris Z. </w:t>
      </w:r>
      <w:r w:rsidRPr="00E63BC5">
        <w:t>Owara</w:t>
      </w:r>
      <w:r>
        <w:t xml:space="preserve"> and Toni T. McEnaney, Sprint (Feb. 13, 2012).  </w:t>
      </w:r>
    </w:p>
  </w:footnote>
  <w:footnote w:id="16">
    <w:p w:rsidR="00427069" w:rsidRDefault="00427069">
      <w:pPr>
        <w:pStyle w:val="FootnoteText"/>
      </w:pPr>
      <w:r>
        <w:rPr>
          <w:rStyle w:val="FootnoteReference"/>
        </w:rPr>
        <w:footnoteRef/>
      </w:r>
      <w:r>
        <w:t xml:space="preserve"> </w:t>
      </w:r>
      <w:r>
        <w:rPr>
          <w:i/>
        </w:rPr>
        <w:t>Id.</w:t>
      </w:r>
      <w:r>
        <w:t xml:space="preserve">  </w:t>
      </w:r>
    </w:p>
  </w:footnote>
  <w:footnote w:id="17">
    <w:p w:rsidR="00427069" w:rsidRDefault="00427069">
      <w:pPr>
        <w:pStyle w:val="FootnoteText"/>
      </w:pPr>
      <w:r>
        <w:rPr>
          <w:rStyle w:val="FootnoteReference"/>
        </w:rPr>
        <w:footnoteRef/>
      </w:r>
      <w:r>
        <w:t xml:space="preserve"> </w:t>
      </w:r>
      <w:r>
        <w:rPr>
          <w:i/>
        </w:rPr>
        <w:t xml:space="preserve">See </w:t>
      </w:r>
      <w:r>
        <w:t xml:space="preserve">Email from Michael B. Fingerhut, Senior Counsel, Government Affairs, Sprint, to Karen Peltz Strauss, Deputy Chief, CGB, (Dec. 18, 2012) (Sprint December 18, 2012 Email).  </w:t>
      </w:r>
    </w:p>
  </w:footnote>
  <w:footnote w:id="18">
    <w:p w:rsidR="00427069" w:rsidRDefault="00427069">
      <w:pPr>
        <w:pStyle w:val="FootnoteText"/>
      </w:pPr>
      <w:r>
        <w:rPr>
          <w:rStyle w:val="FootnoteReference"/>
        </w:rPr>
        <w:footnoteRef/>
      </w:r>
      <w:r>
        <w:t xml:space="preserve"> </w:t>
      </w:r>
      <w:r w:rsidRPr="00497DA4">
        <w:t xml:space="preserve">RLSA, </w:t>
      </w:r>
      <w:r w:rsidRPr="00497DA4">
        <w:rPr>
          <w:i/>
        </w:rPr>
        <w:t>Interstate TRS Fund: Provider Forms and Filing Instructions</w:t>
      </w:r>
      <w:r w:rsidRPr="00497DA4">
        <w:t xml:space="preserve"> (Version </w:t>
      </w:r>
      <w:r>
        <w:t>7</w:t>
      </w:r>
      <w:r w:rsidRPr="00497DA4">
        <w:t xml:space="preserve">, </w:t>
      </w:r>
      <w:r>
        <w:t>Apr. 12</w:t>
      </w:r>
      <w:r w:rsidRPr="00497DA4">
        <w:t>, 2012) (</w:t>
      </w:r>
      <w:r w:rsidRPr="00534892">
        <w:rPr>
          <w:i/>
        </w:rPr>
        <w:t>April 2012 Filing Instructions</w:t>
      </w:r>
      <w:r w:rsidRPr="00497DA4">
        <w:t xml:space="preserve">).  </w:t>
      </w:r>
    </w:p>
  </w:footnote>
  <w:footnote w:id="19">
    <w:p w:rsidR="00427069" w:rsidRDefault="00427069" w:rsidP="002526CD">
      <w:pPr>
        <w:pStyle w:val="FootnoteText"/>
      </w:pPr>
      <w:r>
        <w:rPr>
          <w:rStyle w:val="FootnoteReference"/>
        </w:rPr>
        <w:footnoteRef/>
      </w:r>
      <w:r>
        <w:t xml:space="preserve"> </w:t>
      </w:r>
      <w:r w:rsidRPr="00D84472">
        <w:rPr>
          <w:i/>
        </w:rPr>
        <w:t>See</w:t>
      </w:r>
      <w:r>
        <w:rPr>
          <w:i/>
        </w:rPr>
        <w:t>, e.g.,</w:t>
      </w:r>
      <w:r w:rsidRPr="00D84472">
        <w:t xml:space="preserve"> Email from Matt Saltzer</w:t>
      </w:r>
      <w:r>
        <w:t xml:space="preserve">, </w:t>
      </w:r>
      <w:r w:rsidRPr="00D84472">
        <w:t>RLSA</w:t>
      </w:r>
      <w:r>
        <w:t>,</w:t>
      </w:r>
      <w:r w:rsidRPr="00D84472">
        <w:t xml:space="preserve"> to Kris Z. Owara and Toni T. McEnaney, Sprint (</w:t>
      </w:r>
      <w:r>
        <w:t>Apr. 12</w:t>
      </w:r>
      <w:r w:rsidRPr="00D84472">
        <w:t>, 2012).</w:t>
      </w:r>
    </w:p>
  </w:footnote>
  <w:footnote w:id="20">
    <w:p w:rsidR="00427069" w:rsidRDefault="00427069">
      <w:pPr>
        <w:pStyle w:val="FootnoteText"/>
      </w:pPr>
      <w:r>
        <w:rPr>
          <w:rStyle w:val="FootnoteReference"/>
        </w:rPr>
        <w:footnoteRef/>
      </w:r>
      <w:r>
        <w:t xml:space="preserve"> </w:t>
      </w:r>
      <w:r w:rsidRPr="00BD2490">
        <w:rPr>
          <w:i/>
        </w:rPr>
        <w:t xml:space="preserve">See </w:t>
      </w:r>
      <w:r w:rsidRPr="00BD2490">
        <w:t>Sprint December 18, 2012 Email.</w:t>
      </w:r>
    </w:p>
  </w:footnote>
  <w:footnote w:id="21">
    <w:p w:rsidR="00427069" w:rsidRDefault="00427069">
      <w:pPr>
        <w:pStyle w:val="FootnoteText"/>
      </w:pPr>
      <w:r>
        <w:rPr>
          <w:rStyle w:val="FootnoteReference"/>
        </w:rPr>
        <w:footnoteRef/>
      </w:r>
      <w:r>
        <w:t xml:space="preserve"> </w:t>
      </w:r>
      <w:r w:rsidRPr="00D84472">
        <w:t>Email from Matt Saltzer</w:t>
      </w:r>
      <w:r>
        <w:t xml:space="preserve">, </w:t>
      </w:r>
      <w:r w:rsidRPr="00D84472">
        <w:t>RLSA</w:t>
      </w:r>
      <w:r>
        <w:t>,</w:t>
      </w:r>
      <w:r w:rsidRPr="00D84472">
        <w:t xml:space="preserve"> to Kris Z. Owara, Sprint (</w:t>
      </w:r>
      <w:r>
        <w:t>June 11</w:t>
      </w:r>
      <w:r w:rsidRPr="00D84472">
        <w:t>, 2012)</w:t>
      </w:r>
      <w:r>
        <w:t>.</w:t>
      </w:r>
    </w:p>
  </w:footnote>
  <w:footnote w:id="22">
    <w:p w:rsidR="00427069" w:rsidRDefault="00427069">
      <w:pPr>
        <w:pStyle w:val="FootnoteText"/>
      </w:pPr>
      <w:r>
        <w:rPr>
          <w:rStyle w:val="FootnoteReference"/>
        </w:rPr>
        <w:footnoteRef/>
      </w:r>
      <w:r>
        <w:t xml:space="preserve"> </w:t>
      </w:r>
      <w:r w:rsidRPr="00D84472">
        <w:rPr>
          <w:i/>
        </w:rPr>
        <w:t>See</w:t>
      </w:r>
      <w:r w:rsidRPr="00D84472">
        <w:t xml:space="preserve"> Email from Matt Saltzer</w:t>
      </w:r>
      <w:r>
        <w:t xml:space="preserve">, </w:t>
      </w:r>
      <w:r w:rsidRPr="00D84472">
        <w:t>RLSA</w:t>
      </w:r>
      <w:r>
        <w:t>,</w:t>
      </w:r>
      <w:r w:rsidRPr="00D84472">
        <w:t xml:space="preserve"> to Kris Z. Owara and Toni T. McEnaney, Sprint (</w:t>
      </w:r>
      <w:r>
        <w:t>July 5</w:t>
      </w:r>
      <w:r w:rsidRPr="00D84472">
        <w:t>, 2012).</w:t>
      </w:r>
    </w:p>
  </w:footnote>
  <w:footnote w:id="23">
    <w:p w:rsidR="00427069" w:rsidRDefault="00427069" w:rsidP="0091234F">
      <w:pPr>
        <w:pStyle w:val="FootnoteText"/>
      </w:pPr>
      <w:r>
        <w:rPr>
          <w:rStyle w:val="FootnoteReference"/>
        </w:rPr>
        <w:footnoteRef/>
      </w:r>
      <w:r>
        <w:t xml:space="preserve"> Sprint states that it tested the system for a week in September to ensure that it provided the format RLSA needed.</w:t>
      </w:r>
    </w:p>
  </w:footnote>
  <w:footnote w:id="24">
    <w:p w:rsidR="00427069" w:rsidRDefault="00427069">
      <w:pPr>
        <w:pStyle w:val="FootnoteText"/>
      </w:pPr>
      <w:r>
        <w:rPr>
          <w:rStyle w:val="FootnoteReference"/>
        </w:rPr>
        <w:footnoteRef/>
      </w:r>
      <w:r>
        <w:t xml:space="preserve"> </w:t>
      </w:r>
      <w:r w:rsidRPr="0040358C">
        <w:t xml:space="preserve">Email from </w:t>
      </w:r>
      <w:r>
        <w:t>Mike B. Fingerhut</w:t>
      </w:r>
      <w:r w:rsidRPr="0040358C">
        <w:t xml:space="preserve">, </w:t>
      </w:r>
      <w:r>
        <w:t xml:space="preserve">Senior Counsel – Government Affairs, </w:t>
      </w:r>
      <w:r w:rsidRPr="0040358C">
        <w:t>Sprint</w:t>
      </w:r>
      <w:r>
        <w:t xml:space="preserve">, to Karen Peltz Strauss, Deputy Chief, CGB (Feb. </w:t>
      </w:r>
      <w:r w:rsidR="00864673">
        <w:t>19</w:t>
      </w:r>
      <w:r>
        <w:t>, 2013)</w:t>
      </w:r>
      <w:r w:rsidRPr="0040358C">
        <w:t>.</w:t>
      </w:r>
    </w:p>
  </w:footnote>
  <w:footnote w:id="25">
    <w:p w:rsidR="00427069" w:rsidRDefault="00427069">
      <w:pPr>
        <w:pStyle w:val="FootnoteText"/>
      </w:pPr>
      <w:r>
        <w:rPr>
          <w:rStyle w:val="FootnoteReference"/>
        </w:rPr>
        <w:footnoteRef/>
      </w:r>
      <w:r>
        <w:t xml:space="preserve"> </w:t>
      </w:r>
      <w:r w:rsidRPr="00402E97">
        <w:t xml:space="preserve">Sprint </w:t>
      </w:r>
      <w:r w:rsidRPr="00900FFA">
        <w:t>September 24, 2012</w:t>
      </w:r>
      <w:r w:rsidRPr="00402E97">
        <w:t xml:space="preserve"> Letter</w:t>
      </w:r>
      <w:r>
        <w:t>.  At that time, i</w:t>
      </w:r>
      <w:r w:rsidRPr="0091234F">
        <w:t>n addition to withholding payments for IP Relay minutes beginning with Jan</w:t>
      </w:r>
      <w:r>
        <w:t>uary</w:t>
      </w:r>
      <w:r w:rsidRPr="0091234F">
        <w:t xml:space="preserve"> 2012 minutes, RLSA </w:t>
      </w:r>
      <w:r>
        <w:t xml:space="preserve">was withholding compensation </w:t>
      </w:r>
      <w:r w:rsidRPr="0091234F">
        <w:t>payments for Sprint</w:t>
      </w:r>
      <w:r>
        <w:t>’s other</w:t>
      </w:r>
      <w:r w:rsidRPr="0091234F">
        <w:t xml:space="preserve"> </w:t>
      </w:r>
      <w:r>
        <w:t xml:space="preserve">relay </w:t>
      </w:r>
      <w:r w:rsidRPr="0091234F">
        <w:t>services</w:t>
      </w:r>
      <w:r>
        <w:t>,</w:t>
      </w:r>
      <w:r w:rsidRPr="0091234F">
        <w:t xml:space="preserve"> begi</w:t>
      </w:r>
      <w:r>
        <w:t>nning with April 2012 minutes.  Subsequently, the Commission directed</w:t>
      </w:r>
      <w:r w:rsidRPr="0091234F">
        <w:t xml:space="preserve"> RLSA </w:t>
      </w:r>
      <w:r>
        <w:t xml:space="preserve">to </w:t>
      </w:r>
      <w:r w:rsidRPr="0091234F">
        <w:t xml:space="preserve">release </w:t>
      </w:r>
      <w:r>
        <w:t xml:space="preserve">the withheld </w:t>
      </w:r>
      <w:r w:rsidRPr="0091234F">
        <w:t>payment</w:t>
      </w:r>
      <w:r>
        <w:t>s</w:t>
      </w:r>
      <w:r w:rsidRPr="0091234F">
        <w:t xml:space="preserve"> for non-IP Relay services.</w:t>
      </w:r>
      <w:r>
        <w:t xml:space="preserve">  </w:t>
      </w:r>
    </w:p>
  </w:footnote>
  <w:footnote w:id="26">
    <w:p w:rsidR="00CD777A" w:rsidRDefault="00CD777A">
      <w:pPr>
        <w:pStyle w:val="FootnoteText"/>
      </w:pPr>
      <w:r>
        <w:rPr>
          <w:rStyle w:val="FootnoteReference"/>
        </w:rPr>
        <w:footnoteRef/>
      </w:r>
      <w:r>
        <w:t xml:space="preserve"> </w:t>
      </w:r>
      <w:r w:rsidRPr="00CD777A">
        <w:rPr>
          <w:i/>
        </w:rPr>
        <w:t>See</w:t>
      </w:r>
      <w:r>
        <w:t xml:space="preserve"> 47 C.F.R. §§ 0.141, 0.361.</w:t>
      </w:r>
    </w:p>
  </w:footnote>
  <w:footnote w:id="27">
    <w:p w:rsidR="00427069" w:rsidRDefault="00427069">
      <w:pPr>
        <w:pStyle w:val="FootnoteText"/>
      </w:pPr>
      <w:r>
        <w:rPr>
          <w:rStyle w:val="FootnoteReference"/>
        </w:rPr>
        <w:footnoteRef/>
      </w:r>
      <w:r>
        <w:t xml:space="preserve"> </w:t>
      </w:r>
      <w:r w:rsidRPr="00900FFA">
        <w:t>Sprint February 11, 2013 Letter</w:t>
      </w:r>
      <w:r>
        <w:t>; Sprint May 20, 2013 Letter</w:t>
      </w:r>
      <w:r w:rsidRPr="00900FFA">
        <w:t xml:space="preserve">.  </w:t>
      </w:r>
    </w:p>
  </w:footnote>
  <w:footnote w:id="28">
    <w:p w:rsidR="00EE1399" w:rsidRDefault="00EE1399">
      <w:pPr>
        <w:pStyle w:val="FootnoteText"/>
      </w:pPr>
      <w:r>
        <w:rPr>
          <w:rStyle w:val="FootnoteReference"/>
        </w:rPr>
        <w:footnoteRef/>
      </w:r>
      <w:r>
        <w:t xml:space="preserve"> </w:t>
      </w:r>
      <w:r w:rsidR="00457DA2" w:rsidRPr="00457DA2">
        <w:t>Sprint also suggests that, in any event, RLSA may not be authorized to require the submission of individual call detail (in addition to call counts) for abandoned calls.</w:t>
      </w:r>
      <w:r w:rsidR="00457DA2">
        <w:t xml:space="preserve">  </w:t>
      </w:r>
      <w:r w:rsidRPr="00EE1399">
        <w:t>Sprint September 24, 2012 Letter</w:t>
      </w:r>
      <w:r>
        <w:t xml:space="preserve"> at 3, n.6</w:t>
      </w:r>
      <w:r w:rsidR="00457DA2">
        <w:t xml:space="preserve">.  Sprint has not made this argument explicitly, but, rather, has sought to reserve the right to do so.  </w:t>
      </w:r>
      <w:r w:rsidR="00457DA2" w:rsidRPr="00B90D67">
        <w:rPr>
          <w:i/>
        </w:rPr>
        <w:t>Id</w:t>
      </w:r>
      <w:r w:rsidR="00457DA2">
        <w:t>. at 3, n.8.</w:t>
      </w:r>
    </w:p>
  </w:footnote>
  <w:footnote w:id="29">
    <w:p w:rsidR="00427069" w:rsidRDefault="00427069">
      <w:pPr>
        <w:pStyle w:val="FootnoteText"/>
      </w:pPr>
      <w:r>
        <w:rPr>
          <w:rStyle w:val="FootnoteReference"/>
        </w:rPr>
        <w:footnoteRef/>
      </w:r>
      <w:r>
        <w:t xml:space="preserve"> Thus</w:t>
      </w:r>
      <w:r w:rsidRPr="00361700">
        <w:t xml:space="preserve">, </w:t>
      </w:r>
      <w:r>
        <w:t>according to Sprint,</w:t>
      </w:r>
      <w:r w:rsidRPr="00361700">
        <w:t xml:space="preserve"> the </w:t>
      </w:r>
      <w:r>
        <w:t>call management system used by Sprint prior to October 2012</w:t>
      </w:r>
      <w:r w:rsidRPr="00361700">
        <w:t xml:space="preserve"> </w:t>
      </w:r>
      <w:r>
        <w:t xml:space="preserve">was able to record and </w:t>
      </w:r>
      <w:r w:rsidRPr="00361700">
        <w:t>aggregate call data to produce a</w:t>
      </w:r>
      <w:r>
        <w:t>n accurate</w:t>
      </w:r>
      <w:r w:rsidRPr="00361700">
        <w:t xml:space="preserve"> total count for abandoned calls in each category relevant to computing speed of answer compliance (</w:t>
      </w:r>
      <w:r w:rsidRPr="00361700">
        <w:rPr>
          <w:i/>
        </w:rPr>
        <w:t>i.e.</w:t>
      </w:r>
      <w:r w:rsidRPr="00361700">
        <w:t>, calls abandoned within 10 seconds and calls abandoned after more than 10 seconds)</w:t>
      </w:r>
      <w:r>
        <w:t>, even though the system</w:t>
      </w:r>
      <w:r w:rsidRPr="00361700">
        <w:t xml:space="preserve"> did not make any permanent record of the underlying individual call detail.</w:t>
      </w:r>
      <w:r>
        <w:t xml:space="preserve">  </w:t>
      </w:r>
      <w:r w:rsidRPr="007D3BDC">
        <w:t xml:space="preserve">RLSA has not </w:t>
      </w:r>
      <w:r>
        <w:t>expressed</w:t>
      </w:r>
      <w:r w:rsidRPr="007D3BDC">
        <w:t xml:space="preserve"> any substantive concerns regarding </w:t>
      </w:r>
      <w:r>
        <w:t xml:space="preserve">the accuracy of Sprint’s SOA call counts, </w:t>
      </w:r>
      <w:r w:rsidRPr="007D3BDC">
        <w:t>other than that Sprint’s failure to produce CDR data for abandoned calls prevent</w:t>
      </w:r>
      <w:r>
        <w:t>ed</w:t>
      </w:r>
      <w:r w:rsidRPr="007D3BDC">
        <w:t xml:space="preserve"> RLSA from verifying the accuracy of </w:t>
      </w:r>
      <w:r>
        <w:t>the</w:t>
      </w:r>
      <w:r w:rsidRPr="007D3BDC">
        <w:t xml:space="preserve"> </w:t>
      </w:r>
      <w:r>
        <w:t>call counts</w:t>
      </w:r>
      <w:r w:rsidRPr="007D3BDC">
        <w:t>.</w:t>
      </w:r>
    </w:p>
  </w:footnote>
  <w:footnote w:id="30">
    <w:p w:rsidR="00427069" w:rsidRDefault="00427069">
      <w:pPr>
        <w:pStyle w:val="FootnoteText"/>
      </w:pPr>
      <w:r>
        <w:rPr>
          <w:rStyle w:val="FootnoteReference"/>
        </w:rPr>
        <w:footnoteRef/>
      </w:r>
      <w:r>
        <w:t xml:space="preserve"> The audit report, prepared by McKonly &amp; Asbury, LLP, under contract with RLSA, stated that, with respect to the period between July 1, 2011, and June 30, 2012, among other things, </w:t>
      </w:r>
      <w:r w:rsidRPr="00755C45">
        <w:t>(a) Sprint’s call processing system records speed of answer “automatically and appropriately” for reporting purposes, (b) Sprint’s system “automatically records and retains call data according to the requirements of [</w:t>
      </w:r>
      <w:r w:rsidRPr="007D4A75">
        <w:t>section 64.604(c)(5)(iii)(D)(</w:t>
      </w:r>
      <w:r w:rsidRPr="007D4A75">
        <w:rPr>
          <w:i/>
        </w:rPr>
        <w:t>2</w:t>
      </w:r>
      <w:r>
        <w:t>)</w:t>
      </w:r>
      <w:r w:rsidRPr="00755C45">
        <w:t>]</w:t>
      </w:r>
      <w:r>
        <w:t>,</w:t>
      </w:r>
      <w:r w:rsidRPr="00755C45">
        <w:t xml:space="preserve">” and </w:t>
      </w:r>
      <w:r>
        <w:t xml:space="preserve">(c) </w:t>
      </w:r>
      <w:r w:rsidRPr="00755C45">
        <w:t>“the company submits the required call data.”</w:t>
      </w:r>
      <w:r>
        <w:t xml:space="preserve">  McKonly &amp; Asbury, LLP, </w:t>
      </w:r>
      <w:r w:rsidRPr="002A52ED">
        <w:rPr>
          <w:i/>
        </w:rPr>
        <w:t>Rolka Loube Saltzer Associates, Inc. – Sprint</w:t>
      </w:r>
      <w:r>
        <w:rPr>
          <w:i/>
        </w:rPr>
        <w:t>;</w:t>
      </w:r>
      <w:r w:rsidRPr="002A52ED">
        <w:rPr>
          <w:i/>
        </w:rPr>
        <w:t xml:space="preserve"> Interstate Telephone Relay Service Provider Performance Audit Report for the Year Ended June 30, 2012</w:t>
      </w:r>
      <w:r>
        <w:t xml:space="preserve"> at 12, 14 (Oct. 11, 2012) (</w:t>
      </w:r>
      <w:r w:rsidRPr="00BA5DD9">
        <w:rPr>
          <w:i/>
        </w:rPr>
        <w:t>Sprint Audit Report</w:t>
      </w:r>
      <w:r>
        <w:t>).</w:t>
      </w:r>
    </w:p>
  </w:footnote>
  <w:footnote w:id="31">
    <w:p w:rsidR="00427069" w:rsidRDefault="00427069">
      <w:pPr>
        <w:pStyle w:val="FootnoteText"/>
      </w:pPr>
      <w:r>
        <w:rPr>
          <w:rStyle w:val="FootnoteReference"/>
        </w:rPr>
        <w:footnoteRef/>
      </w:r>
      <w:r>
        <w:t xml:space="preserve"> Sprint May 20, 2013 Letter.</w:t>
      </w:r>
    </w:p>
  </w:footnote>
  <w:footnote w:id="32">
    <w:p w:rsidR="00B90D67" w:rsidRDefault="00B90D67">
      <w:pPr>
        <w:pStyle w:val="FootnoteText"/>
      </w:pPr>
      <w:r>
        <w:rPr>
          <w:rStyle w:val="FootnoteReference"/>
        </w:rPr>
        <w:footnoteRef/>
      </w:r>
      <w:r>
        <w:t xml:space="preserve"> </w:t>
      </w:r>
      <w:r w:rsidRPr="00B90D67">
        <w:t>47 C.F.R. § 64.604(c)(5)(iii)(D)(</w:t>
      </w:r>
      <w:r w:rsidRPr="00B90D67">
        <w:rPr>
          <w:i/>
        </w:rPr>
        <w:t>3</w:t>
      </w:r>
      <w:r w:rsidRPr="00B90D67">
        <w:t>).</w:t>
      </w:r>
    </w:p>
  </w:footnote>
  <w:footnote w:id="33">
    <w:p w:rsidR="006A50DB" w:rsidRDefault="006A50DB">
      <w:pPr>
        <w:pStyle w:val="FootnoteText"/>
      </w:pPr>
      <w:r>
        <w:rPr>
          <w:rStyle w:val="FootnoteReference"/>
        </w:rPr>
        <w:footnoteRef/>
      </w:r>
      <w:r>
        <w:t xml:space="preserve"> </w:t>
      </w:r>
      <w:r w:rsidRPr="006A50DB">
        <w:t>With respect to the submission of data on compensable calls, by contrast, the rule specifies in detail the</w:t>
      </w:r>
      <w:r>
        <w:t xml:space="preserve"> minimum</w:t>
      </w:r>
      <w:r w:rsidRPr="006A50DB">
        <w:t xml:space="preserve"> information that must be submitted by all TRS providers regarding each completed call submitted for compensation.  47 C.F.R. § 64.604(c)(5)(iii)(D)(</w:t>
      </w:r>
      <w:r w:rsidRPr="006A50DB">
        <w:rPr>
          <w:i/>
        </w:rPr>
        <w:t>2</w:t>
      </w:r>
      <w:r w:rsidRPr="006A50DB">
        <w:t>).</w:t>
      </w:r>
      <w:r w:rsidR="005A7083">
        <w:t xml:space="preserve">  The information collection requirements of both rules were approved by the Office of Management and Budget pursuant to the Paperwork Reduction Act.  76 FR 59269 (Sept. 26, 2011). </w:t>
      </w:r>
    </w:p>
  </w:footnote>
  <w:footnote w:id="34">
    <w:p w:rsidR="00427069" w:rsidRPr="001D5880" w:rsidRDefault="00427069" w:rsidP="00497DA4">
      <w:pPr>
        <w:pStyle w:val="FootnoteText"/>
      </w:pPr>
      <w:r w:rsidRPr="0021560B">
        <w:rPr>
          <w:rStyle w:val="FootnoteReference"/>
        </w:rPr>
        <w:footnoteRef/>
      </w:r>
      <w:r w:rsidRPr="0038225D">
        <w:t xml:space="preserve"> </w:t>
      </w:r>
      <w:r w:rsidR="00056583">
        <w:t>The purpose of such review is to ensure</w:t>
      </w:r>
      <w:r w:rsidR="00056583" w:rsidRPr="00056583">
        <w:t xml:space="preserve"> that the administrator “make[s] payments only to eligible TRS providers operating pursuant to the mandatory minimum standards as required in § 64.604.”</w:t>
      </w:r>
      <w:r w:rsidR="00056583">
        <w:t xml:space="preserve">  </w:t>
      </w:r>
      <w:r w:rsidRPr="0038225D">
        <w:t>47 C.F.R. § 64.604(c)(5)(iii)(</w:t>
      </w:r>
      <w:r w:rsidRPr="00CC4B94">
        <w:t>E</w:t>
      </w:r>
      <w:r w:rsidRPr="006362BB">
        <w:t>)</w:t>
      </w:r>
      <w:r w:rsidRPr="001D5880">
        <w:t>.</w:t>
      </w:r>
      <w:r w:rsidR="00056583">
        <w:t xml:space="preserve">  </w:t>
      </w:r>
    </w:p>
  </w:footnote>
  <w:footnote w:id="35">
    <w:p w:rsidR="00427069" w:rsidRPr="006F25EF" w:rsidRDefault="00427069" w:rsidP="000262E4">
      <w:pPr>
        <w:pStyle w:val="FootnoteText"/>
      </w:pPr>
      <w:r w:rsidRPr="001D5880">
        <w:rPr>
          <w:rStyle w:val="FootnoteReference"/>
        </w:rPr>
        <w:footnoteRef/>
      </w:r>
      <w:r w:rsidRPr="001D5880">
        <w:t xml:space="preserve"> 47 C.F.R. § 64.604(c)(5)(iii)(D)(</w:t>
      </w:r>
      <w:r w:rsidRPr="00853D30">
        <w:rPr>
          <w:i/>
        </w:rPr>
        <w:t>1</w:t>
      </w:r>
      <w:r w:rsidRPr="00AE54A0">
        <w:t>)</w:t>
      </w:r>
      <w:r w:rsidRPr="006F25EF">
        <w:t>.</w:t>
      </w:r>
      <w:r>
        <w:t xml:space="preserve">  Pursuant to this provision, “providers ha[d] been submitting [SOA compliance] data at the request of the Fund administrator for . . . several years” prior to the adoption of paragraph (</w:t>
      </w:r>
      <w:r w:rsidRPr="000262E4">
        <w:rPr>
          <w:i/>
        </w:rPr>
        <w:t>3</w:t>
      </w:r>
      <w:r>
        <w:t xml:space="preserve">).  </w:t>
      </w:r>
      <w:r w:rsidRPr="00B50444">
        <w:rPr>
          <w:i/>
        </w:rPr>
        <w:t>VRS Call Practices R&amp;O</w:t>
      </w:r>
      <w:r w:rsidRPr="00B50444">
        <w:t>, 26 FCC Rcd at 55</w:t>
      </w:r>
      <w:r>
        <w:t>80</w:t>
      </w:r>
      <w:r w:rsidRPr="00B50444">
        <w:t xml:space="preserve">, ¶ </w:t>
      </w:r>
      <w:r>
        <w:t>74</w:t>
      </w:r>
      <w:r w:rsidRPr="00B50444">
        <w:t xml:space="preserve">.  </w:t>
      </w:r>
      <w:r>
        <w:t xml:space="preserve">As the rule already gave the administrator broad authority to require the submission of information by providers, and was not altered by the Commission in the </w:t>
      </w:r>
      <w:r w:rsidRPr="004A05D3">
        <w:rPr>
          <w:i/>
        </w:rPr>
        <w:t>VRS Call Practices R&amp;O</w:t>
      </w:r>
      <w:r>
        <w:t>, we conclude that the Commission’s intent was not to limit the administrator's ability to collect SOA data, but rather to clarify</w:t>
      </w:r>
      <w:r w:rsidRPr="000262E4">
        <w:t xml:space="preserve"> </w:t>
      </w:r>
      <w:r>
        <w:t>“</w:t>
      </w:r>
      <w:r w:rsidRPr="000262E4">
        <w:t>that such data must be</w:t>
      </w:r>
      <w:r>
        <w:t xml:space="preserve"> </w:t>
      </w:r>
      <w:r w:rsidRPr="000262E4">
        <w:t>submitted to be compensated from the Fund</w:t>
      </w:r>
      <w:r>
        <w:t xml:space="preserve">.”  </w:t>
      </w:r>
      <w:r w:rsidRPr="004A05D3">
        <w:rPr>
          <w:i/>
        </w:rPr>
        <w:t>Id</w:t>
      </w:r>
      <w:r>
        <w:t xml:space="preserve">. </w:t>
      </w:r>
      <w:r w:rsidR="005A7083">
        <w:t xml:space="preserve"> </w:t>
      </w:r>
      <w:r w:rsidRPr="00D57858">
        <w:t>Although not at issue in this case, we note that</w:t>
      </w:r>
      <w:r w:rsidR="00AD6726">
        <w:t xml:space="preserve"> </w:t>
      </w:r>
      <w:r w:rsidRPr="00D57858">
        <w:t xml:space="preserve">the </w:t>
      </w:r>
      <w:r>
        <w:t>2011</w:t>
      </w:r>
      <w:r w:rsidRPr="00D57858">
        <w:t xml:space="preserve"> amendment of the </w:t>
      </w:r>
      <w:r>
        <w:t>data collection rule also</w:t>
      </w:r>
      <w:r w:rsidRPr="00D57858">
        <w:t xml:space="preserve"> does not limit the administrator’s authority </w:t>
      </w:r>
      <w:r>
        <w:t>to require the submission of</w:t>
      </w:r>
      <w:r w:rsidRPr="00D57858">
        <w:t xml:space="preserve"> other data on compensable calls.  </w:t>
      </w:r>
      <w:r>
        <w:t>In amending the rule,</w:t>
      </w:r>
      <w:r w:rsidRPr="00D57858">
        <w:t xml:space="preserve"> the Commission approved the administrator’s prior collection of compensable call data pursuant to </w:t>
      </w:r>
      <w:r>
        <w:t xml:space="preserve">its general authority under </w:t>
      </w:r>
      <w:r w:rsidRPr="00D57858">
        <w:t>section 64.604(c)(5)(iii)(D)(</w:t>
      </w:r>
      <w:r w:rsidRPr="00D57858">
        <w:rPr>
          <w:i/>
        </w:rPr>
        <w:t>1</w:t>
      </w:r>
      <w:r w:rsidRPr="00D57858">
        <w:t xml:space="preserve">) as “essential to detecting and deterring fraud and the billing of illegitimate calls.”   </w:t>
      </w:r>
      <w:r w:rsidRPr="00D57858">
        <w:rPr>
          <w:i/>
        </w:rPr>
        <w:t>Structure and Practices of the Video Relay Service Program</w:t>
      </w:r>
      <w:r w:rsidRPr="00D57858">
        <w:t xml:space="preserve">, Declaratory Ruling, Order and Notice of Proposed Rulemaking, 25 FCC Rcd 6012, 6029, ¶ 39 (2010).  </w:t>
      </w:r>
      <w:r>
        <w:t>In</w:t>
      </w:r>
      <w:r w:rsidRPr="00D57858">
        <w:t xml:space="preserve"> codif</w:t>
      </w:r>
      <w:r>
        <w:t>ying</w:t>
      </w:r>
      <w:r w:rsidRPr="00D57858">
        <w:t xml:space="preserve"> the data categories previously collected, plus certain others suggested in the comments, </w:t>
      </w:r>
      <w:r>
        <w:t xml:space="preserve">the Commission </w:t>
      </w:r>
      <w:r w:rsidRPr="00D57858">
        <w:t>establishe</w:t>
      </w:r>
      <w:r>
        <w:t>d</w:t>
      </w:r>
      <w:r w:rsidRPr="00D57858">
        <w:t xml:space="preserve"> the </w:t>
      </w:r>
      <w:r w:rsidRPr="00D57858">
        <w:rPr>
          <w:i/>
        </w:rPr>
        <w:t>minimum</w:t>
      </w:r>
      <w:r w:rsidRPr="00D57858">
        <w:t xml:space="preserve"> data set to be submitted in support of compensable calls, but in no way preclude</w:t>
      </w:r>
      <w:r>
        <w:t>d</w:t>
      </w:r>
      <w:r w:rsidRPr="00D57858">
        <w:t xml:space="preserve"> the administrator from </w:t>
      </w:r>
      <w:r>
        <w:t xml:space="preserve">“reasonably requesting,” pursuant to </w:t>
      </w:r>
      <w:r w:rsidRPr="00860425">
        <w:t>47 C.F.R. § 64.604(c)(5)(iii)(D)(</w:t>
      </w:r>
      <w:r w:rsidRPr="00860425">
        <w:rPr>
          <w:i/>
        </w:rPr>
        <w:t>1</w:t>
      </w:r>
      <w:r w:rsidRPr="00860425">
        <w:t>)</w:t>
      </w:r>
      <w:r>
        <w:t xml:space="preserve">, </w:t>
      </w:r>
      <w:r w:rsidRPr="00D57858">
        <w:t xml:space="preserve">additional data </w:t>
      </w:r>
      <w:r>
        <w:t>reasonably</w:t>
      </w:r>
      <w:r w:rsidRPr="00D57858">
        <w:t xml:space="preserve"> </w:t>
      </w:r>
      <w:r>
        <w:t xml:space="preserve">found </w:t>
      </w:r>
      <w:r w:rsidRPr="00D57858">
        <w:t xml:space="preserve">necessary to verify the compensability of calls or a provider’s compliance with minimum standards.  </w:t>
      </w:r>
      <w:r w:rsidRPr="00D57858">
        <w:rPr>
          <w:i/>
        </w:rPr>
        <w:t>VRS Call Practices R&amp;O</w:t>
      </w:r>
      <w:r w:rsidRPr="00D57858">
        <w:t>, 26 FCC Rcd at 5579, ¶¶ 72-73 &amp; n. 190.</w:t>
      </w:r>
    </w:p>
  </w:footnote>
  <w:footnote w:id="36">
    <w:p w:rsidR="00427069" w:rsidRDefault="00427069" w:rsidP="00B26BB1">
      <w:pPr>
        <w:pStyle w:val="FootnoteText"/>
      </w:pPr>
      <w:r>
        <w:rPr>
          <w:rStyle w:val="FootnoteReference"/>
        </w:rPr>
        <w:footnoteRef/>
      </w:r>
      <w:r>
        <w:t xml:space="preserve"> </w:t>
      </w:r>
      <w:r w:rsidRPr="00D57858">
        <w:t>47 C.F.R. § 64.604(c)(5)(iii)(D)(</w:t>
      </w:r>
      <w:r w:rsidRPr="00D57858">
        <w:rPr>
          <w:i/>
        </w:rPr>
        <w:t>3</w:t>
      </w:r>
      <w:r w:rsidRPr="00D57858">
        <w:t xml:space="preserve">).  </w:t>
      </w:r>
      <w:r w:rsidRPr="00D57858">
        <w:rPr>
          <w:i/>
        </w:rPr>
        <w:t xml:space="preserve">See also </w:t>
      </w:r>
      <w:r w:rsidRPr="00D57858">
        <w:t>47 C.F.R. § 64.604(c)(5)(iii)(D)(</w:t>
      </w:r>
      <w:r w:rsidRPr="00D42FC9">
        <w:rPr>
          <w:i/>
        </w:rPr>
        <w:t>1</w:t>
      </w:r>
      <w:r w:rsidRPr="00D57858">
        <w:t>) (“TRS providers. . . shall provide the administrator with true and adequate data . . . reasonably requested to determine the TRS Fund revenue requirements and payments”</w:t>
      </w:r>
      <w:r>
        <w:t xml:space="preserve">).  </w:t>
      </w:r>
    </w:p>
  </w:footnote>
  <w:footnote w:id="37">
    <w:p w:rsidR="00427069" w:rsidRPr="00843387" w:rsidRDefault="00427069" w:rsidP="00D3728A">
      <w:pPr>
        <w:pStyle w:val="FootnoteText"/>
      </w:pPr>
      <w:r w:rsidRPr="00843387">
        <w:rPr>
          <w:rStyle w:val="FootnoteReference"/>
        </w:rPr>
        <w:footnoteRef/>
      </w:r>
      <w:r>
        <w:t xml:space="preserve"> 47 C.F.R. § 1.3.</w:t>
      </w:r>
    </w:p>
  </w:footnote>
  <w:footnote w:id="38">
    <w:p w:rsidR="00427069" w:rsidRPr="00843387" w:rsidRDefault="00427069" w:rsidP="00D3728A">
      <w:pPr>
        <w:pStyle w:val="FootnoteText"/>
      </w:pPr>
      <w:r w:rsidRPr="00843387">
        <w:rPr>
          <w:rStyle w:val="FootnoteReference"/>
        </w:rPr>
        <w:footnoteRef/>
      </w:r>
      <w:r>
        <w:rPr>
          <w:i/>
        </w:rPr>
        <w:t xml:space="preserve"> </w:t>
      </w:r>
      <w:r w:rsidRPr="00843387">
        <w:rPr>
          <w:i/>
        </w:rPr>
        <w:t>Northeast Cellular Telephone Co. v. FCC</w:t>
      </w:r>
      <w:r w:rsidRPr="00843387">
        <w:t>, 897 F.2d 1164, 1166 (D.C. Cir. 1990)</w:t>
      </w:r>
      <w:r>
        <w:t xml:space="preserve"> (</w:t>
      </w:r>
      <w:r w:rsidRPr="00AE2D42">
        <w:rPr>
          <w:i/>
        </w:rPr>
        <w:t>Northeast Cellular</w:t>
      </w:r>
      <w:r>
        <w:t>).</w:t>
      </w:r>
    </w:p>
  </w:footnote>
  <w:footnote w:id="39">
    <w:p w:rsidR="00427069" w:rsidRPr="00843387" w:rsidRDefault="00427069" w:rsidP="00D3728A">
      <w:pPr>
        <w:pStyle w:val="FootnoteText"/>
      </w:pPr>
      <w:r w:rsidRPr="00843387">
        <w:rPr>
          <w:rStyle w:val="FootnoteReference"/>
        </w:rPr>
        <w:footnoteRef/>
      </w:r>
      <w:r>
        <w:rPr>
          <w:i/>
        </w:rPr>
        <w:t xml:space="preserve"> </w:t>
      </w:r>
      <w:r w:rsidRPr="00843387">
        <w:rPr>
          <w:i/>
        </w:rPr>
        <w:t>WAIT Radio</w:t>
      </w:r>
      <w:r>
        <w:rPr>
          <w:i/>
        </w:rPr>
        <w:t xml:space="preserve"> v. FCC</w:t>
      </w:r>
      <w:r>
        <w:t>, 418 F.2d 1153, 1159 (D.C. Cir. 1969) (</w:t>
      </w:r>
      <w:r w:rsidRPr="004D0EB1">
        <w:rPr>
          <w:i/>
        </w:rPr>
        <w:t>WAIT Radio</w:t>
      </w:r>
      <w:r>
        <w:t>)</w:t>
      </w:r>
      <w:r w:rsidRPr="00843387">
        <w:t xml:space="preserve">; </w:t>
      </w:r>
      <w:r w:rsidRPr="00843387">
        <w:rPr>
          <w:i/>
        </w:rPr>
        <w:t>Northeast Cellular</w:t>
      </w:r>
      <w:r w:rsidRPr="00843387">
        <w:t>, 897 F.2d at 1166.</w:t>
      </w:r>
    </w:p>
  </w:footnote>
  <w:footnote w:id="40">
    <w:p w:rsidR="00427069" w:rsidRDefault="00427069" w:rsidP="00D3728A">
      <w:pPr>
        <w:pStyle w:val="FootnoteText"/>
      </w:pPr>
      <w:r>
        <w:rPr>
          <w:rStyle w:val="FootnoteReference"/>
        </w:rPr>
        <w:footnoteRef/>
      </w:r>
      <w:r>
        <w:rPr>
          <w:i/>
        </w:rPr>
        <w:t xml:space="preserve"> Id</w:t>
      </w:r>
      <w:r>
        <w:t>.</w:t>
      </w:r>
    </w:p>
  </w:footnote>
  <w:footnote w:id="41">
    <w:p w:rsidR="00427069" w:rsidRDefault="00427069">
      <w:pPr>
        <w:pStyle w:val="FootnoteText"/>
      </w:pPr>
      <w:r>
        <w:rPr>
          <w:rStyle w:val="FootnoteReference"/>
        </w:rPr>
        <w:footnoteRef/>
      </w:r>
      <w:r>
        <w:t xml:space="preserve"> </w:t>
      </w:r>
      <w:r w:rsidRPr="004D0EB1">
        <w:rPr>
          <w:i/>
        </w:rPr>
        <w:t>WAIT Radio</w:t>
      </w:r>
      <w:r w:rsidRPr="004D0EB1">
        <w:t xml:space="preserve">, 418 F.2d at 1157; </w:t>
      </w:r>
      <w:r w:rsidRPr="004D0EB1">
        <w:rPr>
          <w:i/>
        </w:rPr>
        <w:t xml:space="preserve">BellSouth </w:t>
      </w:r>
      <w:r>
        <w:rPr>
          <w:i/>
        </w:rPr>
        <w:t xml:space="preserve">Corp. </w:t>
      </w:r>
      <w:r w:rsidRPr="004D0EB1">
        <w:rPr>
          <w:i/>
        </w:rPr>
        <w:t>v. FCC</w:t>
      </w:r>
      <w:r w:rsidRPr="004D0EB1">
        <w:t>, 162 F.3d 1215, 1224-25 (D.C. Cir. 1999).</w:t>
      </w:r>
    </w:p>
  </w:footnote>
  <w:footnote w:id="42">
    <w:p w:rsidR="00427069" w:rsidRPr="00CD70AF" w:rsidRDefault="00427069" w:rsidP="00D3728A">
      <w:pPr>
        <w:pStyle w:val="FootnoteText"/>
      </w:pPr>
      <w:r w:rsidRPr="00CD70AF">
        <w:rPr>
          <w:rStyle w:val="FootnoteReference"/>
        </w:rPr>
        <w:footnoteRef/>
      </w:r>
      <w:r w:rsidRPr="00CD70AF">
        <w:t xml:space="preserve"> </w:t>
      </w:r>
      <w:r w:rsidRPr="00CD70AF">
        <w:rPr>
          <w:i/>
        </w:rPr>
        <w:t>Citizens to Preserve Overton Park, Inc. v. Volpe</w:t>
      </w:r>
      <w:r w:rsidRPr="00CD70AF">
        <w:t>, 401 U.S. 402, 416 (1971).</w:t>
      </w:r>
    </w:p>
  </w:footnote>
  <w:footnote w:id="43">
    <w:p w:rsidR="00427069" w:rsidRDefault="00427069" w:rsidP="006B5738">
      <w:pPr>
        <w:pStyle w:val="FootnoteText"/>
      </w:pPr>
      <w:r>
        <w:rPr>
          <w:rStyle w:val="FootnoteReference"/>
        </w:rPr>
        <w:footnoteRef/>
      </w:r>
      <w:r>
        <w:t xml:space="preserve"> Email from Matt Saltzer, RLSA, to Kris Z. </w:t>
      </w:r>
      <w:r w:rsidRPr="00E63BC5">
        <w:t>Owara</w:t>
      </w:r>
      <w:r>
        <w:t xml:space="preserve"> and Toni T. McEnaney, Sprint (Feb. 13, 2012).  </w:t>
      </w:r>
    </w:p>
  </w:footnote>
  <w:footnote w:id="44">
    <w:p w:rsidR="00427069" w:rsidRDefault="00427069" w:rsidP="006B5738">
      <w:pPr>
        <w:pStyle w:val="FootnoteText"/>
      </w:pPr>
      <w:r>
        <w:rPr>
          <w:rStyle w:val="FootnoteReference"/>
        </w:rPr>
        <w:footnoteRef/>
      </w:r>
      <w:r>
        <w:t xml:space="preserve"> </w:t>
      </w:r>
      <w:r w:rsidRPr="00D84472">
        <w:t>Email from Matt Saltzer</w:t>
      </w:r>
      <w:r>
        <w:t xml:space="preserve">, </w:t>
      </w:r>
      <w:r w:rsidRPr="00D84472">
        <w:t>RLSA</w:t>
      </w:r>
      <w:r>
        <w:t>,</w:t>
      </w:r>
      <w:r w:rsidRPr="00D84472">
        <w:t xml:space="preserve"> to Kris Z. Owara and Toni T. McEnaney, Sprint (</w:t>
      </w:r>
      <w:r>
        <w:t>Apr. 12</w:t>
      </w:r>
      <w:r w:rsidRPr="00D84472">
        <w:t>, 2012).</w:t>
      </w:r>
    </w:p>
  </w:footnote>
  <w:footnote w:id="45">
    <w:p w:rsidR="00427069" w:rsidRDefault="00427069">
      <w:pPr>
        <w:pStyle w:val="FootnoteText"/>
      </w:pPr>
      <w:r>
        <w:rPr>
          <w:rStyle w:val="FootnoteReference"/>
        </w:rPr>
        <w:footnoteRef/>
      </w:r>
      <w:r>
        <w:t xml:space="preserve"> This determination takes account of the fact that, had Sprint begun adjusting its system after receiving the </w:t>
      </w:r>
      <w:r w:rsidRPr="00991A74">
        <w:rPr>
          <w:i/>
        </w:rPr>
        <w:t>February 13, 2012 Instructions</w:t>
      </w:r>
      <w:r>
        <w:t xml:space="preserve">, it might have taken somewhat more than three months to complete arrangements for an upgrade by its supplier, given that the instructions were altered on April 12, 2012. </w:t>
      </w:r>
    </w:p>
  </w:footnote>
  <w:footnote w:id="46">
    <w:p w:rsidR="00427069" w:rsidRDefault="00427069" w:rsidP="002646B8">
      <w:pPr>
        <w:pStyle w:val="FootnoteText"/>
      </w:pPr>
      <w:r>
        <w:rPr>
          <w:rStyle w:val="FootnoteReference"/>
        </w:rPr>
        <w:footnoteRef/>
      </w:r>
      <w:r>
        <w:t xml:space="preserve"> As noted above, the </w:t>
      </w:r>
      <w:r w:rsidRPr="005A3947">
        <w:rPr>
          <w:i/>
        </w:rPr>
        <w:t>Sprint Audit Report</w:t>
      </w:r>
      <w:r>
        <w:t xml:space="preserve"> found, among other things, that </w:t>
      </w:r>
      <w:r w:rsidRPr="00BA5DD9">
        <w:t>(a) Sprint’s call processing system records speed of answer “automatically and appropriately” for reporting purposes, (b) Sprint’s system “automatically records and retains call data according to the requirements of [</w:t>
      </w:r>
      <w:r>
        <w:t xml:space="preserve">section </w:t>
      </w:r>
      <w:r w:rsidRPr="00BA5DD9">
        <w:t>64.604(c)(5)</w:t>
      </w:r>
      <w:r>
        <w:t>(iii)</w:t>
      </w:r>
      <w:r w:rsidRPr="00BA5DD9">
        <w:t>(D)(</w:t>
      </w:r>
      <w:r w:rsidRPr="005A3947">
        <w:rPr>
          <w:i/>
        </w:rPr>
        <w:t>2</w:t>
      </w:r>
      <w:r w:rsidRPr="00BA5DD9">
        <w:t xml:space="preserve">)],” and (c) “the company submits the required call data.” </w:t>
      </w:r>
      <w:r>
        <w:t xml:space="preserve"> </w:t>
      </w:r>
      <w:r w:rsidRPr="00BA5DD9">
        <w:t xml:space="preserve"> </w:t>
      </w:r>
      <w:r w:rsidRPr="00BA5DD9">
        <w:rPr>
          <w:i/>
        </w:rPr>
        <w:t>Sprint Audit Report</w:t>
      </w:r>
      <w:r>
        <w:t xml:space="preserve"> at 12,</w:t>
      </w:r>
      <w:r w:rsidR="00DC7E8D">
        <w:t xml:space="preserve"> </w:t>
      </w:r>
      <w:r>
        <w:t>14.  We do not read this audit report as finding that Sprint recorded and retained individual call detail on abandoned calls, as required by RLSA’s instructions</w:t>
      </w:r>
      <w:r w:rsidR="000035F2">
        <w:t>, during the months at issue</w:t>
      </w:r>
      <w:r>
        <w:t xml:space="preserve">.   </w:t>
      </w:r>
    </w:p>
  </w:footnote>
  <w:footnote w:id="47">
    <w:p w:rsidR="00427069" w:rsidRDefault="00427069" w:rsidP="00D15CEC">
      <w:pPr>
        <w:pStyle w:val="FootnoteText"/>
      </w:pPr>
      <w:r>
        <w:rPr>
          <w:rStyle w:val="FootnoteReference"/>
        </w:rPr>
        <w:footnoteRef/>
      </w:r>
      <w:r>
        <w:t xml:space="preserve"> </w:t>
      </w:r>
      <w:r w:rsidRPr="00764CDC">
        <w:t xml:space="preserve">In addition, in light of the recent exit of several IP Relay providers, </w:t>
      </w:r>
      <w:r>
        <w:t xml:space="preserve">the grant of a partial waiver may help maintain the quality and continuity of </w:t>
      </w:r>
      <w:r w:rsidRPr="00764CDC">
        <w:t>service to the deaf and hard of hearing community.</w:t>
      </w:r>
      <w:r>
        <w:t xml:space="preserve">  </w:t>
      </w:r>
      <w:r w:rsidRPr="00764CDC">
        <w:rPr>
          <w:i/>
        </w:rPr>
        <w:t>See</w:t>
      </w:r>
      <w:r>
        <w:t xml:space="preserve"> </w:t>
      </w:r>
      <w:r w:rsidRPr="00764CDC">
        <w:t>Sprint May 20, 2013 Letter</w:t>
      </w:r>
      <w:r>
        <w:t>.</w:t>
      </w:r>
    </w:p>
  </w:footnote>
  <w:footnote w:id="48">
    <w:p w:rsidR="000E1C2C" w:rsidRDefault="000E1C2C">
      <w:pPr>
        <w:pStyle w:val="FootnoteText"/>
      </w:pPr>
      <w:r>
        <w:rPr>
          <w:rStyle w:val="FootnoteReference"/>
        </w:rPr>
        <w:footnoteRef/>
      </w:r>
      <w:r>
        <w:t xml:space="preserve"> As noted </w:t>
      </w:r>
      <w:r w:rsidRPr="00B477D9">
        <w:rPr>
          <w:i/>
        </w:rPr>
        <w:t>supra</w:t>
      </w:r>
      <w:r>
        <w:t>, ¶ 2</w:t>
      </w:r>
      <w:r w:rsidR="003771A7">
        <w:t>2</w:t>
      </w:r>
      <w:r>
        <w:t xml:space="preserve">, 88 days elapsed between </w:t>
      </w:r>
      <w:r w:rsidRPr="000E1C2C">
        <w:t xml:space="preserve">the date (July 5, 2012) when Sprint says it actually </w:t>
      </w:r>
      <w:r w:rsidR="000035F2">
        <w:t xml:space="preserve">understood the content </w:t>
      </w:r>
      <w:r w:rsidRPr="000E1C2C">
        <w:t xml:space="preserve">of the abandoned call CDR requirement </w:t>
      </w:r>
      <w:r>
        <w:t>and</w:t>
      </w:r>
      <w:r w:rsidRPr="000E1C2C">
        <w:t xml:space="preserve"> the date (October 1, 2012) when Sprint was able to begin generating the required data.  </w:t>
      </w:r>
    </w:p>
  </w:footnote>
  <w:footnote w:id="49">
    <w:p w:rsidR="00427069" w:rsidRDefault="00427069" w:rsidP="005F2BAA">
      <w:pPr>
        <w:pStyle w:val="FootnoteText"/>
      </w:pPr>
      <w:r>
        <w:rPr>
          <w:rStyle w:val="FootnoteReference"/>
        </w:rPr>
        <w:footnoteRef/>
      </w:r>
      <w:r>
        <w:t xml:space="preserve"> </w:t>
      </w:r>
      <w:r w:rsidRPr="005F2BAA">
        <w:rPr>
          <w:i/>
        </w:rPr>
        <w:t>VRS Call Practices R&amp;O</w:t>
      </w:r>
      <w:r w:rsidRPr="005F2BAA">
        <w:t xml:space="preserve">, 26 FCC Rcd at 5580, ¶ 74.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81" w:rsidRDefault="00664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69" w:rsidRDefault="00427069">
    <w:pPr>
      <w:pStyle w:val="Header"/>
      <w:tabs>
        <w:tab w:val="clear" w:pos="4320"/>
        <w:tab w:val="clear" w:pos="8640"/>
        <w:tab w:val="center" w:pos="4680"/>
        <w:tab w:val="right" w:pos="9360"/>
      </w:tabs>
      <w:rPr>
        <w:b/>
      </w:rPr>
    </w:pPr>
    <w:r>
      <w:rPr>
        <w:b/>
      </w:rPr>
      <w:tab/>
      <w:t>Federal</w:t>
    </w:r>
    <w:r w:rsidR="00175487">
      <w:rPr>
        <w:b/>
      </w:rPr>
      <w:t xml:space="preserve"> Communications Commission</w:t>
    </w:r>
    <w:r w:rsidR="00175487">
      <w:rPr>
        <w:b/>
      </w:rPr>
      <w:tab/>
      <w:t>DA 14-334</w:t>
    </w:r>
    <w:r>
      <w:rPr>
        <w:b/>
      </w:rPr>
      <w:t xml:space="preserve"> </w:t>
    </w:r>
  </w:p>
  <w:p w:rsidR="00427069" w:rsidRDefault="007D260A">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37DC55A0" wp14:editId="1ACDADD9">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427069" w:rsidRDefault="004270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069" w:rsidRDefault="00427069">
    <w:pPr>
      <w:pStyle w:val="Header"/>
      <w:tabs>
        <w:tab w:val="clear" w:pos="4320"/>
        <w:tab w:val="clear" w:pos="8640"/>
        <w:tab w:val="center" w:pos="4680"/>
        <w:tab w:val="right" w:pos="9360"/>
      </w:tabs>
      <w:rPr>
        <w:b/>
      </w:rPr>
    </w:pPr>
    <w:r>
      <w:rPr>
        <w:b/>
      </w:rPr>
      <w:tab/>
      <w:t>Federal Communications Commission</w:t>
    </w:r>
    <w:r>
      <w:rPr>
        <w:b/>
      </w:rPr>
      <w:tab/>
    </w:r>
    <w:r w:rsidR="00175487">
      <w:rPr>
        <w:b/>
        <w:shd w:val="clear" w:color="auto" w:fill="FFFFFF"/>
      </w:rPr>
      <w:t>DA 14</w:t>
    </w:r>
    <w:r>
      <w:rPr>
        <w:b/>
        <w:shd w:val="clear" w:color="auto" w:fill="FFFFFF"/>
      </w:rPr>
      <w:t>-</w:t>
    </w:r>
    <w:r w:rsidR="00175487">
      <w:rPr>
        <w:b/>
        <w:shd w:val="clear" w:color="auto" w:fill="FFFFFF"/>
      </w:rPr>
      <w:t>334</w:t>
    </w:r>
    <w:r>
      <w:rPr>
        <w:b/>
        <w:shd w:val="clear" w:color="auto" w:fill="FFFFFF"/>
      </w:rPr>
      <w:t xml:space="preserve">     </w:t>
    </w:r>
    <w:r>
      <w:rPr>
        <w:b/>
      </w:rPr>
      <w:t xml:space="preserve">  </w:t>
    </w:r>
  </w:p>
  <w:p w:rsidR="00427069" w:rsidRDefault="007D260A">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187"/>
    <w:multiLevelType w:val="hybridMultilevel"/>
    <w:tmpl w:val="0DF01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FD6CB6"/>
    <w:multiLevelType w:val="hybridMultilevel"/>
    <w:tmpl w:val="7440297C"/>
    <w:lvl w:ilvl="0" w:tplc="A1DCF6A4">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0B003F7E"/>
    <w:multiLevelType w:val="hybridMultilevel"/>
    <w:tmpl w:val="4D2E6110"/>
    <w:lvl w:ilvl="0" w:tplc="C622888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3447592"/>
    <w:multiLevelType w:val="hybridMultilevel"/>
    <w:tmpl w:val="EBA263A0"/>
    <w:lvl w:ilvl="0" w:tplc="9A2C33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4">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3D0F1B3D"/>
    <w:multiLevelType w:val="singleLevel"/>
    <w:tmpl w:val="2E421B3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4E9A305F"/>
    <w:multiLevelType w:val="hybridMultilevel"/>
    <w:tmpl w:val="D2907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A913549"/>
    <w:multiLevelType w:val="hybridMultilevel"/>
    <w:tmpl w:val="0B32F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B3B5E6B"/>
    <w:multiLevelType w:val="hybridMultilevel"/>
    <w:tmpl w:val="9F48F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5"/>
  </w:num>
  <w:num w:numId="2">
    <w:abstractNumId w:val="26"/>
  </w:num>
  <w:num w:numId="3">
    <w:abstractNumId w:val="6"/>
  </w:num>
  <w:num w:numId="4">
    <w:abstractNumId w:val="20"/>
  </w:num>
  <w:num w:numId="5">
    <w:abstractNumId w:val="7"/>
  </w:num>
  <w:num w:numId="6">
    <w:abstractNumId w:val="24"/>
  </w:num>
  <w:num w:numId="7">
    <w:abstractNumId w:val="16"/>
  </w:num>
  <w:num w:numId="8">
    <w:abstractNumId w:val="8"/>
  </w:num>
  <w:num w:numId="9">
    <w:abstractNumId w:val="22"/>
  </w:num>
  <w:num w:numId="10">
    <w:abstractNumId w:val="14"/>
  </w:num>
  <w:num w:numId="11">
    <w:abstractNumId w:val="13"/>
  </w:num>
  <w:num w:numId="12">
    <w:abstractNumId w:val="9"/>
  </w:num>
  <w:num w:numId="13">
    <w:abstractNumId w:val="15"/>
  </w:num>
  <w:num w:numId="14">
    <w:abstractNumId w:val="21"/>
  </w:num>
  <w:num w:numId="15">
    <w:abstractNumId w:val="4"/>
  </w:num>
  <w:num w:numId="16">
    <w:abstractNumId w:val="5"/>
  </w:num>
  <w:num w:numId="17">
    <w:abstractNumId w:val="10"/>
  </w:num>
  <w:num w:numId="18">
    <w:abstractNumId w:val="2"/>
  </w:num>
  <w:num w:numId="19">
    <w:abstractNumId w:val="11"/>
  </w:num>
  <w:num w:numId="20">
    <w:abstractNumId w:val="17"/>
  </w:num>
  <w:num w:numId="21">
    <w:abstractNumId w:val="19"/>
  </w:num>
  <w:num w:numId="22">
    <w:abstractNumId w:val="15"/>
    <w:lvlOverride w:ilvl="0">
      <w:startOverride w:val="1"/>
    </w:lvlOverride>
  </w:num>
  <w:num w:numId="23">
    <w:abstractNumId w:val="0"/>
  </w:num>
  <w:num w:numId="24">
    <w:abstractNumId w:val="15"/>
  </w:num>
  <w:num w:numId="25">
    <w:abstractNumId w:val="2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num>
  <w:num w:numId="34">
    <w:abstractNumId w:val="15"/>
  </w:num>
  <w:num w:numId="35">
    <w:abstractNumId w:val="15"/>
  </w:num>
  <w:num w:numId="36">
    <w:abstractNumId w:val="15"/>
  </w:num>
  <w:num w:numId="37">
    <w:abstractNumId w:val="15"/>
  </w:num>
  <w:num w:numId="38">
    <w:abstractNumId w:val="3"/>
  </w:num>
  <w:num w:numId="3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e">
    <w15:presenceInfo w15:providerId="None" w15:userId="Di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08"/>
    <w:rsid w:val="000028BB"/>
    <w:rsid w:val="000035F2"/>
    <w:rsid w:val="000040BD"/>
    <w:rsid w:val="00004342"/>
    <w:rsid w:val="00005336"/>
    <w:rsid w:val="00006926"/>
    <w:rsid w:val="00007324"/>
    <w:rsid w:val="00011A0F"/>
    <w:rsid w:val="00013695"/>
    <w:rsid w:val="00013DA4"/>
    <w:rsid w:val="00013E5B"/>
    <w:rsid w:val="00016F18"/>
    <w:rsid w:val="00021B1E"/>
    <w:rsid w:val="00021B83"/>
    <w:rsid w:val="00022177"/>
    <w:rsid w:val="000226A2"/>
    <w:rsid w:val="000238A4"/>
    <w:rsid w:val="000251AF"/>
    <w:rsid w:val="000259C7"/>
    <w:rsid w:val="000262E4"/>
    <w:rsid w:val="0003135F"/>
    <w:rsid w:val="00033935"/>
    <w:rsid w:val="00040903"/>
    <w:rsid w:val="00041FC7"/>
    <w:rsid w:val="000421F5"/>
    <w:rsid w:val="000467BE"/>
    <w:rsid w:val="0004786D"/>
    <w:rsid w:val="0005009E"/>
    <w:rsid w:val="00052879"/>
    <w:rsid w:val="000541FE"/>
    <w:rsid w:val="00056155"/>
    <w:rsid w:val="00056583"/>
    <w:rsid w:val="00057373"/>
    <w:rsid w:val="00061991"/>
    <w:rsid w:val="00062A64"/>
    <w:rsid w:val="00063198"/>
    <w:rsid w:val="00064E6A"/>
    <w:rsid w:val="00067FEE"/>
    <w:rsid w:val="00072C63"/>
    <w:rsid w:val="00074009"/>
    <w:rsid w:val="0007404C"/>
    <w:rsid w:val="000776D9"/>
    <w:rsid w:val="000776E2"/>
    <w:rsid w:val="00086F4C"/>
    <w:rsid w:val="00091E1E"/>
    <w:rsid w:val="0009241F"/>
    <w:rsid w:val="000A1063"/>
    <w:rsid w:val="000B54C5"/>
    <w:rsid w:val="000B5B16"/>
    <w:rsid w:val="000C00DD"/>
    <w:rsid w:val="000C1D76"/>
    <w:rsid w:val="000C2626"/>
    <w:rsid w:val="000C43D9"/>
    <w:rsid w:val="000D4144"/>
    <w:rsid w:val="000D6469"/>
    <w:rsid w:val="000D7EB7"/>
    <w:rsid w:val="000E1C2C"/>
    <w:rsid w:val="000E431C"/>
    <w:rsid w:val="000E6D6F"/>
    <w:rsid w:val="000E775E"/>
    <w:rsid w:val="000F1A96"/>
    <w:rsid w:val="000F29FA"/>
    <w:rsid w:val="000F2E27"/>
    <w:rsid w:val="000F4331"/>
    <w:rsid w:val="000F46BC"/>
    <w:rsid w:val="000F5294"/>
    <w:rsid w:val="000F5523"/>
    <w:rsid w:val="000F65B9"/>
    <w:rsid w:val="000F6A90"/>
    <w:rsid w:val="000F7CE9"/>
    <w:rsid w:val="00101470"/>
    <w:rsid w:val="00101AF7"/>
    <w:rsid w:val="001060B9"/>
    <w:rsid w:val="001061AD"/>
    <w:rsid w:val="00106DFC"/>
    <w:rsid w:val="00110DF7"/>
    <w:rsid w:val="00112720"/>
    <w:rsid w:val="00112BCB"/>
    <w:rsid w:val="00114061"/>
    <w:rsid w:val="00117DD1"/>
    <w:rsid w:val="0012185E"/>
    <w:rsid w:val="00121DDD"/>
    <w:rsid w:val="00124E91"/>
    <w:rsid w:val="00127E5A"/>
    <w:rsid w:val="001345F7"/>
    <w:rsid w:val="001346B7"/>
    <w:rsid w:val="00141E2F"/>
    <w:rsid w:val="00144B03"/>
    <w:rsid w:val="00145DA2"/>
    <w:rsid w:val="00145FB0"/>
    <w:rsid w:val="001510D5"/>
    <w:rsid w:val="001612D7"/>
    <w:rsid w:val="00165EBD"/>
    <w:rsid w:val="00171FBA"/>
    <w:rsid w:val="001724B0"/>
    <w:rsid w:val="001738AE"/>
    <w:rsid w:val="00174CBA"/>
    <w:rsid w:val="00175388"/>
    <w:rsid w:val="00175487"/>
    <w:rsid w:val="00175A4F"/>
    <w:rsid w:val="00176110"/>
    <w:rsid w:val="00176AE5"/>
    <w:rsid w:val="00177BFF"/>
    <w:rsid w:val="0018597A"/>
    <w:rsid w:val="001868BD"/>
    <w:rsid w:val="00191216"/>
    <w:rsid w:val="00192444"/>
    <w:rsid w:val="00194853"/>
    <w:rsid w:val="00194879"/>
    <w:rsid w:val="00195989"/>
    <w:rsid w:val="001972B2"/>
    <w:rsid w:val="00197EE0"/>
    <w:rsid w:val="001A192E"/>
    <w:rsid w:val="001A1EAA"/>
    <w:rsid w:val="001A40FF"/>
    <w:rsid w:val="001A4151"/>
    <w:rsid w:val="001A61F0"/>
    <w:rsid w:val="001A79AE"/>
    <w:rsid w:val="001B3009"/>
    <w:rsid w:val="001B4000"/>
    <w:rsid w:val="001B5320"/>
    <w:rsid w:val="001B5D87"/>
    <w:rsid w:val="001C0604"/>
    <w:rsid w:val="001C3ACC"/>
    <w:rsid w:val="001C4F22"/>
    <w:rsid w:val="001D1905"/>
    <w:rsid w:val="001D4AD4"/>
    <w:rsid w:val="001D5880"/>
    <w:rsid w:val="001D7544"/>
    <w:rsid w:val="001E377C"/>
    <w:rsid w:val="001E7882"/>
    <w:rsid w:val="001F0DA2"/>
    <w:rsid w:val="001F4DE4"/>
    <w:rsid w:val="001F7CAF"/>
    <w:rsid w:val="00202411"/>
    <w:rsid w:val="00203B9E"/>
    <w:rsid w:val="002042DE"/>
    <w:rsid w:val="002108E8"/>
    <w:rsid w:val="0021560B"/>
    <w:rsid w:val="0021654E"/>
    <w:rsid w:val="00217529"/>
    <w:rsid w:val="00217EC8"/>
    <w:rsid w:val="002204C3"/>
    <w:rsid w:val="00220F4B"/>
    <w:rsid w:val="00224F68"/>
    <w:rsid w:val="00225F94"/>
    <w:rsid w:val="002275C2"/>
    <w:rsid w:val="0023161D"/>
    <w:rsid w:val="00231FFA"/>
    <w:rsid w:val="00233CB4"/>
    <w:rsid w:val="002347D2"/>
    <w:rsid w:val="00235466"/>
    <w:rsid w:val="00242EE5"/>
    <w:rsid w:val="00242EEF"/>
    <w:rsid w:val="002449FC"/>
    <w:rsid w:val="002460F4"/>
    <w:rsid w:val="002465F5"/>
    <w:rsid w:val="002506D8"/>
    <w:rsid w:val="002526CD"/>
    <w:rsid w:val="0025282F"/>
    <w:rsid w:val="002611B9"/>
    <w:rsid w:val="00261EFE"/>
    <w:rsid w:val="002628DD"/>
    <w:rsid w:val="00262E23"/>
    <w:rsid w:val="002646B8"/>
    <w:rsid w:val="00266680"/>
    <w:rsid w:val="00267F25"/>
    <w:rsid w:val="002702C8"/>
    <w:rsid w:val="00270413"/>
    <w:rsid w:val="00276DD5"/>
    <w:rsid w:val="002818FF"/>
    <w:rsid w:val="0028307E"/>
    <w:rsid w:val="00285EFF"/>
    <w:rsid w:val="00291835"/>
    <w:rsid w:val="00293073"/>
    <w:rsid w:val="0029365E"/>
    <w:rsid w:val="002954D4"/>
    <w:rsid w:val="00296443"/>
    <w:rsid w:val="002A52ED"/>
    <w:rsid w:val="002A5372"/>
    <w:rsid w:val="002A5C83"/>
    <w:rsid w:val="002A634A"/>
    <w:rsid w:val="002A7086"/>
    <w:rsid w:val="002A77B7"/>
    <w:rsid w:val="002B0DAC"/>
    <w:rsid w:val="002B3F07"/>
    <w:rsid w:val="002C0C41"/>
    <w:rsid w:val="002C3405"/>
    <w:rsid w:val="002C3FB3"/>
    <w:rsid w:val="002C679C"/>
    <w:rsid w:val="002C6DD9"/>
    <w:rsid w:val="002D1826"/>
    <w:rsid w:val="002D2027"/>
    <w:rsid w:val="002D20FC"/>
    <w:rsid w:val="002D2F33"/>
    <w:rsid w:val="002D628D"/>
    <w:rsid w:val="002E231A"/>
    <w:rsid w:val="002E342D"/>
    <w:rsid w:val="002E4351"/>
    <w:rsid w:val="002E4D9D"/>
    <w:rsid w:val="002E4DD1"/>
    <w:rsid w:val="002E6BEE"/>
    <w:rsid w:val="002F1E7F"/>
    <w:rsid w:val="002F2B4B"/>
    <w:rsid w:val="002F39A1"/>
    <w:rsid w:val="002F4BB1"/>
    <w:rsid w:val="00300396"/>
    <w:rsid w:val="00300C08"/>
    <w:rsid w:val="003027E5"/>
    <w:rsid w:val="00303277"/>
    <w:rsid w:val="003033F3"/>
    <w:rsid w:val="00303B0E"/>
    <w:rsid w:val="00305594"/>
    <w:rsid w:val="0031260C"/>
    <w:rsid w:val="00315E27"/>
    <w:rsid w:val="00316459"/>
    <w:rsid w:val="0032007D"/>
    <w:rsid w:val="00320792"/>
    <w:rsid w:val="0032089C"/>
    <w:rsid w:val="00320AF4"/>
    <w:rsid w:val="00320B86"/>
    <w:rsid w:val="00322B4A"/>
    <w:rsid w:val="00324FB6"/>
    <w:rsid w:val="00326F68"/>
    <w:rsid w:val="00334CE7"/>
    <w:rsid w:val="00335D15"/>
    <w:rsid w:val="0034220C"/>
    <w:rsid w:val="00344052"/>
    <w:rsid w:val="00344281"/>
    <w:rsid w:val="00346A36"/>
    <w:rsid w:val="00350EC5"/>
    <w:rsid w:val="003518A9"/>
    <w:rsid w:val="00360B85"/>
    <w:rsid w:val="003611AA"/>
    <w:rsid w:val="0036163D"/>
    <w:rsid w:val="00361700"/>
    <w:rsid w:val="00364ED5"/>
    <w:rsid w:val="00371218"/>
    <w:rsid w:val="003723AC"/>
    <w:rsid w:val="0037253D"/>
    <w:rsid w:val="00372B29"/>
    <w:rsid w:val="00372C09"/>
    <w:rsid w:val="0037394B"/>
    <w:rsid w:val="003755F8"/>
    <w:rsid w:val="00375CA4"/>
    <w:rsid w:val="003771A7"/>
    <w:rsid w:val="003804C7"/>
    <w:rsid w:val="00380CC1"/>
    <w:rsid w:val="003816D2"/>
    <w:rsid w:val="003817C3"/>
    <w:rsid w:val="0038225D"/>
    <w:rsid w:val="00382500"/>
    <w:rsid w:val="00385124"/>
    <w:rsid w:val="00385146"/>
    <w:rsid w:val="00386A1D"/>
    <w:rsid w:val="00391E9B"/>
    <w:rsid w:val="0039227D"/>
    <w:rsid w:val="003928C4"/>
    <w:rsid w:val="00393028"/>
    <w:rsid w:val="003945F5"/>
    <w:rsid w:val="003965EB"/>
    <w:rsid w:val="003A1635"/>
    <w:rsid w:val="003A1935"/>
    <w:rsid w:val="003A2BDE"/>
    <w:rsid w:val="003A2C97"/>
    <w:rsid w:val="003A3193"/>
    <w:rsid w:val="003A4CA3"/>
    <w:rsid w:val="003A61A2"/>
    <w:rsid w:val="003A6612"/>
    <w:rsid w:val="003A6D89"/>
    <w:rsid w:val="003A7156"/>
    <w:rsid w:val="003A7C21"/>
    <w:rsid w:val="003B028C"/>
    <w:rsid w:val="003B0383"/>
    <w:rsid w:val="003B51FA"/>
    <w:rsid w:val="003B5689"/>
    <w:rsid w:val="003B61F9"/>
    <w:rsid w:val="003B75FD"/>
    <w:rsid w:val="003B7FA9"/>
    <w:rsid w:val="003C1BD6"/>
    <w:rsid w:val="003C1E04"/>
    <w:rsid w:val="003C5A64"/>
    <w:rsid w:val="003C6469"/>
    <w:rsid w:val="003D1858"/>
    <w:rsid w:val="003D3441"/>
    <w:rsid w:val="003D4812"/>
    <w:rsid w:val="003D5B15"/>
    <w:rsid w:val="003E12A7"/>
    <w:rsid w:val="003E2152"/>
    <w:rsid w:val="003E32B5"/>
    <w:rsid w:val="003E5BE1"/>
    <w:rsid w:val="003E7465"/>
    <w:rsid w:val="003F06F9"/>
    <w:rsid w:val="003F166B"/>
    <w:rsid w:val="003F240B"/>
    <w:rsid w:val="003F27DC"/>
    <w:rsid w:val="003F45F3"/>
    <w:rsid w:val="003F6319"/>
    <w:rsid w:val="003F7A1B"/>
    <w:rsid w:val="00402E97"/>
    <w:rsid w:val="0040358C"/>
    <w:rsid w:val="00403960"/>
    <w:rsid w:val="00404F03"/>
    <w:rsid w:val="00405193"/>
    <w:rsid w:val="00406474"/>
    <w:rsid w:val="004077F5"/>
    <w:rsid w:val="0041259E"/>
    <w:rsid w:val="00417018"/>
    <w:rsid w:val="00417CE7"/>
    <w:rsid w:val="00422E6D"/>
    <w:rsid w:val="00425196"/>
    <w:rsid w:val="00425272"/>
    <w:rsid w:val="004255C6"/>
    <w:rsid w:val="00427069"/>
    <w:rsid w:val="00430F62"/>
    <w:rsid w:val="004328BD"/>
    <w:rsid w:val="00440116"/>
    <w:rsid w:val="00441A7D"/>
    <w:rsid w:val="00444BD4"/>
    <w:rsid w:val="004455A2"/>
    <w:rsid w:val="0044581E"/>
    <w:rsid w:val="00445DE4"/>
    <w:rsid w:val="00446AC8"/>
    <w:rsid w:val="00450224"/>
    <w:rsid w:val="00450E63"/>
    <w:rsid w:val="00452FCC"/>
    <w:rsid w:val="00453832"/>
    <w:rsid w:val="00453BAC"/>
    <w:rsid w:val="0045533D"/>
    <w:rsid w:val="00457DA2"/>
    <w:rsid w:val="00461BA9"/>
    <w:rsid w:val="004641DF"/>
    <w:rsid w:val="004661A8"/>
    <w:rsid w:val="00467329"/>
    <w:rsid w:val="00472FB2"/>
    <w:rsid w:val="00477634"/>
    <w:rsid w:val="004809F7"/>
    <w:rsid w:val="00486331"/>
    <w:rsid w:val="004873F4"/>
    <w:rsid w:val="00490F09"/>
    <w:rsid w:val="0049153D"/>
    <w:rsid w:val="00491F07"/>
    <w:rsid w:val="00492F11"/>
    <w:rsid w:val="0049442C"/>
    <w:rsid w:val="00494592"/>
    <w:rsid w:val="00496D7D"/>
    <w:rsid w:val="00497DA4"/>
    <w:rsid w:val="004A0304"/>
    <w:rsid w:val="004A05D3"/>
    <w:rsid w:val="004A31F5"/>
    <w:rsid w:val="004A4A7E"/>
    <w:rsid w:val="004A5E71"/>
    <w:rsid w:val="004A68F1"/>
    <w:rsid w:val="004B0757"/>
    <w:rsid w:val="004B1AA3"/>
    <w:rsid w:val="004B1CA4"/>
    <w:rsid w:val="004B1D71"/>
    <w:rsid w:val="004B634B"/>
    <w:rsid w:val="004B6742"/>
    <w:rsid w:val="004B6D60"/>
    <w:rsid w:val="004B7216"/>
    <w:rsid w:val="004C131A"/>
    <w:rsid w:val="004C2507"/>
    <w:rsid w:val="004C3437"/>
    <w:rsid w:val="004C44AB"/>
    <w:rsid w:val="004C675E"/>
    <w:rsid w:val="004D0EB1"/>
    <w:rsid w:val="004D3971"/>
    <w:rsid w:val="004D51D5"/>
    <w:rsid w:val="004D5345"/>
    <w:rsid w:val="004D707B"/>
    <w:rsid w:val="004D76A4"/>
    <w:rsid w:val="004E022F"/>
    <w:rsid w:val="004E0A6F"/>
    <w:rsid w:val="004E1231"/>
    <w:rsid w:val="004E7232"/>
    <w:rsid w:val="004F088D"/>
    <w:rsid w:val="004F0C8B"/>
    <w:rsid w:val="004F0DF9"/>
    <w:rsid w:val="004F1205"/>
    <w:rsid w:val="004F1826"/>
    <w:rsid w:val="004F1903"/>
    <w:rsid w:val="004F1F9B"/>
    <w:rsid w:val="004F39F6"/>
    <w:rsid w:val="004F568D"/>
    <w:rsid w:val="004F5980"/>
    <w:rsid w:val="004F7C64"/>
    <w:rsid w:val="004F7F89"/>
    <w:rsid w:val="005078F9"/>
    <w:rsid w:val="00507DDF"/>
    <w:rsid w:val="00511B16"/>
    <w:rsid w:val="00513CC5"/>
    <w:rsid w:val="005140C6"/>
    <w:rsid w:val="00515D98"/>
    <w:rsid w:val="00517264"/>
    <w:rsid w:val="0051745D"/>
    <w:rsid w:val="00522C49"/>
    <w:rsid w:val="00527AEC"/>
    <w:rsid w:val="00531D6D"/>
    <w:rsid w:val="005347F9"/>
    <w:rsid w:val="00534892"/>
    <w:rsid w:val="00534A7F"/>
    <w:rsid w:val="00536FD6"/>
    <w:rsid w:val="0053744C"/>
    <w:rsid w:val="00540E49"/>
    <w:rsid w:val="005439A1"/>
    <w:rsid w:val="005469A4"/>
    <w:rsid w:val="005502CE"/>
    <w:rsid w:val="00552ACE"/>
    <w:rsid w:val="005537E4"/>
    <w:rsid w:val="00553CA7"/>
    <w:rsid w:val="005540FF"/>
    <w:rsid w:val="005572B9"/>
    <w:rsid w:val="0055744A"/>
    <w:rsid w:val="005577F7"/>
    <w:rsid w:val="00560219"/>
    <w:rsid w:val="005619B8"/>
    <w:rsid w:val="005649B8"/>
    <w:rsid w:val="005653A6"/>
    <w:rsid w:val="00565711"/>
    <w:rsid w:val="005705B4"/>
    <w:rsid w:val="00570D74"/>
    <w:rsid w:val="005721AC"/>
    <w:rsid w:val="00576687"/>
    <w:rsid w:val="00580F1D"/>
    <w:rsid w:val="00583BD5"/>
    <w:rsid w:val="005877FB"/>
    <w:rsid w:val="00587B2F"/>
    <w:rsid w:val="00593004"/>
    <w:rsid w:val="005A3678"/>
    <w:rsid w:val="005A3947"/>
    <w:rsid w:val="005A5B92"/>
    <w:rsid w:val="005A6986"/>
    <w:rsid w:val="005A7083"/>
    <w:rsid w:val="005B4A8E"/>
    <w:rsid w:val="005B559D"/>
    <w:rsid w:val="005C39BA"/>
    <w:rsid w:val="005C54C0"/>
    <w:rsid w:val="005C60B2"/>
    <w:rsid w:val="005C7450"/>
    <w:rsid w:val="005D239A"/>
    <w:rsid w:val="005D438B"/>
    <w:rsid w:val="005D7A65"/>
    <w:rsid w:val="005E1CEB"/>
    <w:rsid w:val="005E4E6A"/>
    <w:rsid w:val="005E6A52"/>
    <w:rsid w:val="005E73A3"/>
    <w:rsid w:val="005F0A0F"/>
    <w:rsid w:val="005F2BAA"/>
    <w:rsid w:val="005F2D30"/>
    <w:rsid w:val="005F2E4B"/>
    <w:rsid w:val="005F5E55"/>
    <w:rsid w:val="00603C62"/>
    <w:rsid w:val="00604EDA"/>
    <w:rsid w:val="006116BF"/>
    <w:rsid w:val="00611A44"/>
    <w:rsid w:val="00613F16"/>
    <w:rsid w:val="00620542"/>
    <w:rsid w:val="006215E5"/>
    <w:rsid w:val="006252CA"/>
    <w:rsid w:val="00625B35"/>
    <w:rsid w:val="00630CF7"/>
    <w:rsid w:val="006362BB"/>
    <w:rsid w:val="006406CD"/>
    <w:rsid w:val="006422E2"/>
    <w:rsid w:val="006448CC"/>
    <w:rsid w:val="00645503"/>
    <w:rsid w:val="00646020"/>
    <w:rsid w:val="00647BF5"/>
    <w:rsid w:val="006515E2"/>
    <w:rsid w:val="006516D0"/>
    <w:rsid w:val="00651E1A"/>
    <w:rsid w:val="00651E57"/>
    <w:rsid w:val="006520E6"/>
    <w:rsid w:val="006534B3"/>
    <w:rsid w:val="00655951"/>
    <w:rsid w:val="0065626B"/>
    <w:rsid w:val="00660143"/>
    <w:rsid w:val="006623D3"/>
    <w:rsid w:val="00664681"/>
    <w:rsid w:val="00665B90"/>
    <w:rsid w:val="006661BB"/>
    <w:rsid w:val="0066760A"/>
    <w:rsid w:val="00670563"/>
    <w:rsid w:val="00671584"/>
    <w:rsid w:val="00675E11"/>
    <w:rsid w:val="006777DD"/>
    <w:rsid w:val="00677D56"/>
    <w:rsid w:val="00680225"/>
    <w:rsid w:val="00680493"/>
    <w:rsid w:val="00683644"/>
    <w:rsid w:val="00690F5B"/>
    <w:rsid w:val="006939A4"/>
    <w:rsid w:val="00695636"/>
    <w:rsid w:val="006969D2"/>
    <w:rsid w:val="006A23D1"/>
    <w:rsid w:val="006A4CDC"/>
    <w:rsid w:val="006A4FC3"/>
    <w:rsid w:val="006A50DB"/>
    <w:rsid w:val="006A77BE"/>
    <w:rsid w:val="006B0052"/>
    <w:rsid w:val="006B16AC"/>
    <w:rsid w:val="006B17E4"/>
    <w:rsid w:val="006B2BA3"/>
    <w:rsid w:val="006B3171"/>
    <w:rsid w:val="006B4095"/>
    <w:rsid w:val="006B5738"/>
    <w:rsid w:val="006B715C"/>
    <w:rsid w:val="006E03A9"/>
    <w:rsid w:val="006E1A5B"/>
    <w:rsid w:val="006E2968"/>
    <w:rsid w:val="006E2EB0"/>
    <w:rsid w:val="006E48D2"/>
    <w:rsid w:val="006F1BF7"/>
    <w:rsid w:val="006F1E67"/>
    <w:rsid w:val="006F231E"/>
    <w:rsid w:val="006F25EF"/>
    <w:rsid w:val="006F273B"/>
    <w:rsid w:val="006F3029"/>
    <w:rsid w:val="006F6019"/>
    <w:rsid w:val="006F66A4"/>
    <w:rsid w:val="006F79FA"/>
    <w:rsid w:val="00701E90"/>
    <w:rsid w:val="0070498B"/>
    <w:rsid w:val="007064B8"/>
    <w:rsid w:val="0070672A"/>
    <w:rsid w:val="00706C62"/>
    <w:rsid w:val="00711972"/>
    <w:rsid w:val="007135F7"/>
    <w:rsid w:val="00720607"/>
    <w:rsid w:val="00722512"/>
    <w:rsid w:val="007238B8"/>
    <w:rsid w:val="00724AA4"/>
    <w:rsid w:val="007258B5"/>
    <w:rsid w:val="007259E4"/>
    <w:rsid w:val="00727DB1"/>
    <w:rsid w:val="00731380"/>
    <w:rsid w:val="007315DF"/>
    <w:rsid w:val="00732CC8"/>
    <w:rsid w:val="007361C7"/>
    <w:rsid w:val="007364DD"/>
    <w:rsid w:val="007370FB"/>
    <w:rsid w:val="00740ECB"/>
    <w:rsid w:val="0074179F"/>
    <w:rsid w:val="00741FC3"/>
    <w:rsid w:val="007427F7"/>
    <w:rsid w:val="00742B48"/>
    <w:rsid w:val="00744055"/>
    <w:rsid w:val="007446DA"/>
    <w:rsid w:val="00744738"/>
    <w:rsid w:val="0074495E"/>
    <w:rsid w:val="00746026"/>
    <w:rsid w:val="0074672C"/>
    <w:rsid w:val="0075129B"/>
    <w:rsid w:val="00751F3D"/>
    <w:rsid w:val="00752E9E"/>
    <w:rsid w:val="00754F71"/>
    <w:rsid w:val="00755C45"/>
    <w:rsid w:val="00756E76"/>
    <w:rsid w:val="0075771E"/>
    <w:rsid w:val="00757BA9"/>
    <w:rsid w:val="00761520"/>
    <w:rsid w:val="00764CDC"/>
    <w:rsid w:val="00764FE2"/>
    <w:rsid w:val="00765DA8"/>
    <w:rsid w:val="007660AD"/>
    <w:rsid w:val="00766B6F"/>
    <w:rsid w:val="00767ADB"/>
    <w:rsid w:val="007711E5"/>
    <w:rsid w:val="0077258F"/>
    <w:rsid w:val="00773DA0"/>
    <w:rsid w:val="007750B2"/>
    <w:rsid w:val="0077577A"/>
    <w:rsid w:val="00777C55"/>
    <w:rsid w:val="00780A47"/>
    <w:rsid w:val="007813C7"/>
    <w:rsid w:val="00784C09"/>
    <w:rsid w:val="00786C8D"/>
    <w:rsid w:val="007871D9"/>
    <w:rsid w:val="0079023C"/>
    <w:rsid w:val="007908B1"/>
    <w:rsid w:val="00791761"/>
    <w:rsid w:val="007928E0"/>
    <w:rsid w:val="00794C81"/>
    <w:rsid w:val="00797643"/>
    <w:rsid w:val="00797BEB"/>
    <w:rsid w:val="00797DFE"/>
    <w:rsid w:val="007A20C5"/>
    <w:rsid w:val="007A2A94"/>
    <w:rsid w:val="007A424C"/>
    <w:rsid w:val="007A4806"/>
    <w:rsid w:val="007A4978"/>
    <w:rsid w:val="007A527A"/>
    <w:rsid w:val="007A67F7"/>
    <w:rsid w:val="007A7BB7"/>
    <w:rsid w:val="007B0081"/>
    <w:rsid w:val="007B2525"/>
    <w:rsid w:val="007B3F00"/>
    <w:rsid w:val="007B48D8"/>
    <w:rsid w:val="007C1E6A"/>
    <w:rsid w:val="007C575A"/>
    <w:rsid w:val="007C784A"/>
    <w:rsid w:val="007D260A"/>
    <w:rsid w:val="007D3043"/>
    <w:rsid w:val="007D3587"/>
    <w:rsid w:val="007D3BDC"/>
    <w:rsid w:val="007D4A75"/>
    <w:rsid w:val="007D5E04"/>
    <w:rsid w:val="007D6A35"/>
    <w:rsid w:val="007D7AD0"/>
    <w:rsid w:val="007E3659"/>
    <w:rsid w:val="007E6905"/>
    <w:rsid w:val="007F00F6"/>
    <w:rsid w:val="007F29DE"/>
    <w:rsid w:val="007F2B89"/>
    <w:rsid w:val="007F6D20"/>
    <w:rsid w:val="007F7151"/>
    <w:rsid w:val="007F78AB"/>
    <w:rsid w:val="007F7C4C"/>
    <w:rsid w:val="00800829"/>
    <w:rsid w:val="008013B2"/>
    <w:rsid w:val="008037C8"/>
    <w:rsid w:val="00807F22"/>
    <w:rsid w:val="008103F5"/>
    <w:rsid w:val="00812AED"/>
    <w:rsid w:val="0081455B"/>
    <w:rsid w:val="00815EF3"/>
    <w:rsid w:val="008178AE"/>
    <w:rsid w:val="00817BFA"/>
    <w:rsid w:val="008230B6"/>
    <w:rsid w:val="008251BD"/>
    <w:rsid w:val="00826441"/>
    <w:rsid w:val="008265C2"/>
    <w:rsid w:val="008270BF"/>
    <w:rsid w:val="008342D7"/>
    <w:rsid w:val="0083682A"/>
    <w:rsid w:val="0084043C"/>
    <w:rsid w:val="00841AD3"/>
    <w:rsid w:val="00845A96"/>
    <w:rsid w:val="008474CF"/>
    <w:rsid w:val="0085204A"/>
    <w:rsid w:val="00853035"/>
    <w:rsid w:val="00853D30"/>
    <w:rsid w:val="008548B3"/>
    <w:rsid w:val="00854BEA"/>
    <w:rsid w:val="00855867"/>
    <w:rsid w:val="00860425"/>
    <w:rsid w:val="00860CC4"/>
    <w:rsid w:val="00861A5F"/>
    <w:rsid w:val="00861F88"/>
    <w:rsid w:val="00863F04"/>
    <w:rsid w:val="00864673"/>
    <w:rsid w:val="00866A86"/>
    <w:rsid w:val="00867982"/>
    <w:rsid w:val="00870A4E"/>
    <w:rsid w:val="00871424"/>
    <w:rsid w:val="00871AFF"/>
    <w:rsid w:val="0087537B"/>
    <w:rsid w:val="00876E4B"/>
    <w:rsid w:val="00881644"/>
    <w:rsid w:val="00881E4F"/>
    <w:rsid w:val="00883E91"/>
    <w:rsid w:val="008840FE"/>
    <w:rsid w:val="00885A77"/>
    <w:rsid w:val="00885E59"/>
    <w:rsid w:val="00886583"/>
    <w:rsid w:val="008904D6"/>
    <w:rsid w:val="00890B1A"/>
    <w:rsid w:val="00892A7D"/>
    <w:rsid w:val="00892DAC"/>
    <w:rsid w:val="008933FA"/>
    <w:rsid w:val="008935BA"/>
    <w:rsid w:val="008963BA"/>
    <w:rsid w:val="008977E0"/>
    <w:rsid w:val="00897BBD"/>
    <w:rsid w:val="00897CF8"/>
    <w:rsid w:val="008A4475"/>
    <w:rsid w:val="008A5A9F"/>
    <w:rsid w:val="008B0EC7"/>
    <w:rsid w:val="008B3D42"/>
    <w:rsid w:val="008B414B"/>
    <w:rsid w:val="008B4EFF"/>
    <w:rsid w:val="008B697D"/>
    <w:rsid w:val="008C0171"/>
    <w:rsid w:val="008C0F85"/>
    <w:rsid w:val="008C120D"/>
    <w:rsid w:val="008C1332"/>
    <w:rsid w:val="008C161F"/>
    <w:rsid w:val="008C29F6"/>
    <w:rsid w:val="008C4632"/>
    <w:rsid w:val="008C7653"/>
    <w:rsid w:val="008C7771"/>
    <w:rsid w:val="008D0CD2"/>
    <w:rsid w:val="008D135C"/>
    <w:rsid w:val="008D4B74"/>
    <w:rsid w:val="008D5523"/>
    <w:rsid w:val="008D6DB5"/>
    <w:rsid w:val="008D72C7"/>
    <w:rsid w:val="008E086A"/>
    <w:rsid w:val="008E25E3"/>
    <w:rsid w:val="008E3CD8"/>
    <w:rsid w:val="008E652C"/>
    <w:rsid w:val="008E6B6F"/>
    <w:rsid w:val="008E7940"/>
    <w:rsid w:val="008F1848"/>
    <w:rsid w:val="008F192D"/>
    <w:rsid w:val="008F49A6"/>
    <w:rsid w:val="008F68E6"/>
    <w:rsid w:val="008F6D02"/>
    <w:rsid w:val="009009B8"/>
    <w:rsid w:val="00900FFA"/>
    <w:rsid w:val="0090294E"/>
    <w:rsid w:val="00906201"/>
    <w:rsid w:val="0090684B"/>
    <w:rsid w:val="00907D00"/>
    <w:rsid w:val="00911405"/>
    <w:rsid w:val="0091234F"/>
    <w:rsid w:val="00913158"/>
    <w:rsid w:val="00913A7F"/>
    <w:rsid w:val="00917892"/>
    <w:rsid w:val="00922A32"/>
    <w:rsid w:val="0092396C"/>
    <w:rsid w:val="00923FDC"/>
    <w:rsid w:val="009246A7"/>
    <w:rsid w:val="009249B2"/>
    <w:rsid w:val="00925142"/>
    <w:rsid w:val="00925FFF"/>
    <w:rsid w:val="00934AD6"/>
    <w:rsid w:val="009350E2"/>
    <w:rsid w:val="00936E6C"/>
    <w:rsid w:val="00941F30"/>
    <w:rsid w:val="00942190"/>
    <w:rsid w:val="00952EBE"/>
    <w:rsid w:val="00954199"/>
    <w:rsid w:val="00954312"/>
    <w:rsid w:val="009561B1"/>
    <w:rsid w:val="00957739"/>
    <w:rsid w:val="00964B17"/>
    <w:rsid w:val="00964DE7"/>
    <w:rsid w:val="009703B3"/>
    <w:rsid w:val="009705D8"/>
    <w:rsid w:val="00973B1E"/>
    <w:rsid w:val="00974330"/>
    <w:rsid w:val="00976ADB"/>
    <w:rsid w:val="009775FE"/>
    <w:rsid w:val="00981445"/>
    <w:rsid w:val="00984E59"/>
    <w:rsid w:val="00991A74"/>
    <w:rsid w:val="00991A8C"/>
    <w:rsid w:val="0099246D"/>
    <w:rsid w:val="00993D61"/>
    <w:rsid w:val="00997038"/>
    <w:rsid w:val="009A0006"/>
    <w:rsid w:val="009A07F0"/>
    <w:rsid w:val="009A474B"/>
    <w:rsid w:val="009A716C"/>
    <w:rsid w:val="009A7525"/>
    <w:rsid w:val="009B4758"/>
    <w:rsid w:val="009C0486"/>
    <w:rsid w:val="009C14A8"/>
    <w:rsid w:val="009C1B56"/>
    <w:rsid w:val="009C29B2"/>
    <w:rsid w:val="009C3685"/>
    <w:rsid w:val="009C3A42"/>
    <w:rsid w:val="009C6909"/>
    <w:rsid w:val="009C6B95"/>
    <w:rsid w:val="009C7382"/>
    <w:rsid w:val="009C7BC2"/>
    <w:rsid w:val="009D55DA"/>
    <w:rsid w:val="009D5E75"/>
    <w:rsid w:val="009E055A"/>
    <w:rsid w:val="009E205A"/>
    <w:rsid w:val="009F0012"/>
    <w:rsid w:val="009F02C8"/>
    <w:rsid w:val="009F07E3"/>
    <w:rsid w:val="009F1350"/>
    <w:rsid w:val="009F1B6E"/>
    <w:rsid w:val="009F5CF2"/>
    <w:rsid w:val="009F6FE8"/>
    <w:rsid w:val="00A00DC0"/>
    <w:rsid w:val="00A03E43"/>
    <w:rsid w:val="00A049E2"/>
    <w:rsid w:val="00A0622A"/>
    <w:rsid w:val="00A120CD"/>
    <w:rsid w:val="00A13E21"/>
    <w:rsid w:val="00A14710"/>
    <w:rsid w:val="00A15EAF"/>
    <w:rsid w:val="00A1791B"/>
    <w:rsid w:val="00A17B62"/>
    <w:rsid w:val="00A17C0A"/>
    <w:rsid w:val="00A207B7"/>
    <w:rsid w:val="00A20E2E"/>
    <w:rsid w:val="00A2546A"/>
    <w:rsid w:val="00A26E41"/>
    <w:rsid w:val="00A40D4C"/>
    <w:rsid w:val="00A4240E"/>
    <w:rsid w:val="00A43A1D"/>
    <w:rsid w:val="00A450FB"/>
    <w:rsid w:val="00A4579E"/>
    <w:rsid w:val="00A4584E"/>
    <w:rsid w:val="00A50873"/>
    <w:rsid w:val="00A50E65"/>
    <w:rsid w:val="00A51D0A"/>
    <w:rsid w:val="00A531F8"/>
    <w:rsid w:val="00A61975"/>
    <w:rsid w:val="00A61F22"/>
    <w:rsid w:val="00A63E5D"/>
    <w:rsid w:val="00A644CE"/>
    <w:rsid w:val="00A70E99"/>
    <w:rsid w:val="00A7300B"/>
    <w:rsid w:val="00A73D5A"/>
    <w:rsid w:val="00A82A28"/>
    <w:rsid w:val="00A84FD9"/>
    <w:rsid w:val="00A9163B"/>
    <w:rsid w:val="00A9345A"/>
    <w:rsid w:val="00A93FB1"/>
    <w:rsid w:val="00A94546"/>
    <w:rsid w:val="00A9524E"/>
    <w:rsid w:val="00A96F2F"/>
    <w:rsid w:val="00AA0034"/>
    <w:rsid w:val="00AA064B"/>
    <w:rsid w:val="00AA3C73"/>
    <w:rsid w:val="00AA54F0"/>
    <w:rsid w:val="00AA7F77"/>
    <w:rsid w:val="00AB1C15"/>
    <w:rsid w:val="00AB213B"/>
    <w:rsid w:val="00AB2285"/>
    <w:rsid w:val="00AB50AA"/>
    <w:rsid w:val="00AB6146"/>
    <w:rsid w:val="00AC023E"/>
    <w:rsid w:val="00AC04F3"/>
    <w:rsid w:val="00AC1505"/>
    <w:rsid w:val="00AC2363"/>
    <w:rsid w:val="00AC2609"/>
    <w:rsid w:val="00AC5502"/>
    <w:rsid w:val="00AD07F2"/>
    <w:rsid w:val="00AD3BE9"/>
    <w:rsid w:val="00AD4CF9"/>
    <w:rsid w:val="00AD565E"/>
    <w:rsid w:val="00AD6726"/>
    <w:rsid w:val="00AE23C9"/>
    <w:rsid w:val="00AE26AC"/>
    <w:rsid w:val="00AE4920"/>
    <w:rsid w:val="00AE54A0"/>
    <w:rsid w:val="00AF086E"/>
    <w:rsid w:val="00AF14DE"/>
    <w:rsid w:val="00AF3356"/>
    <w:rsid w:val="00AF378C"/>
    <w:rsid w:val="00AF52FA"/>
    <w:rsid w:val="00AF5A2C"/>
    <w:rsid w:val="00AF5D8D"/>
    <w:rsid w:val="00AF6089"/>
    <w:rsid w:val="00AF6781"/>
    <w:rsid w:val="00B03D46"/>
    <w:rsid w:val="00B04425"/>
    <w:rsid w:val="00B04650"/>
    <w:rsid w:val="00B04970"/>
    <w:rsid w:val="00B050D5"/>
    <w:rsid w:val="00B0714E"/>
    <w:rsid w:val="00B07E10"/>
    <w:rsid w:val="00B1337B"/>
    <w:rsid w:val="00B13973"/>
    <w:rsid w:val="00B14C02"/>
    <w:rsid w:val="00B14D21"/>
    <w:rsid w:val="00B20D08"/>
    <w:rsid w:val="00B2130C"/>
    <w:rsid w:val="00B23D92"/>
    <w:rsid w:val="00B26BB1"/>
    <w:rsid w:val="00B304E2"/>
    <w:rsid w:val="00B310EE"/>
    <w:rsid w:val="00B317B9"/>
    <w:rsid w:val="00B33E1C"/>
    <w:rsid w:val="00B35019"/>
    <w:rsid w:val="00B36FD2"/>
    <w:rsid w:val="00B4280B"/>
    <w:rsid w:val="00B43695"/>
    <w:rsid w:val="00B45A70"/>
    <w:rsid w:val="00B477D9"/>
    <w:rsid w:val="00B50108"/>
    <w:rsid w:val="00B50444"/>
    <w:rsid w:val="00B5207D"/>
    <w:rsid w:val="00B53723"/>
    <w:rsid w:val="00B545BC"/>
    <w:rsid w:val="00B56B6A"/>
    <w:rsid w:val="00B649EE"/>
    <w:rsid w:val="00B73723"/>
    <w:rsid w:val="00B73D14"/>
    <w:rsid w:val="00B75578"/>
    <w:rsid w:val="00B8051B"/>
    <w:rsid w:val="00B81E81"/>
    <w:rsid w:val="00B82DBF"/>
    <w:rsid w:val="00B85DFF"/>
    <w:rsid w:val="00B90952"/>
    <w:rsid w:val="00B90D67"/>
    <w:rsid w:val="00B9191C"/>
    <w:rsid w:val="00B9755B"/>
    <w:rsid w:val="00BA10FA"/>
    <w:rsid w:val="00BA4C80"/>
    <w:rsid w:val="00BA5196"/>
    <w:rsid w:val="00BA5DD9"/>
    <w:rsid w:val="00BA5F2C"/>
    <w:rsid w:val="00BB20E6"/>
    <w:rsid w:val="00BB386D"/>
    <w:rsid w:val="00BB63E5"/>
    <w:rsid w:val="00BB68F2"/>
    <w:rsid w:val="00BB7F73"/>
    <w:rsid w:val="00BC3B84"/>
    <w:rsid w:val="00BC45F1"/>
    <w:rsid w:val="00BC5211"/>
    <w:rsid w:val="00BC624A"/>
    <w:rsid w:val="00BD2490"/>
    <w:rsid w:val="00BE1963"/>
    <w:rsid w:val="00BE27B1"/>
    <w:rsid w:val="00BE284F"/>
    <w:rsid w:val="00BE3630"/>
    <w:rsid w:val="00BE449B"/>
    <w:rsid w:val="00BE6D0D"/>
    <w:rsid w:val="00BE70B2"/>
    <w:rsid w:val="00BF0D44"/>
    <w:rsid w:val="00BF38E8"/>
    <w:rsid w:val="00BF77CF"/>
    <w:rsid w:val="00C00368"/>
    <w:rsid w:val="00C0113A"/>
    <w:rsid w:val="00C04AF6"/>
    <w:rsid w:val="00C05AD5"/>
    <w:rsid w:val="00C121DF"/>
    <w:rsid w:val="00C13DF4"/>
    <w:rsid w:val="00C14449"/>
    <w:rsid w:val="00C16AD5"/>
    <w:rsid w:val="00C21B9E"/>
    <w:rsid w:val="00C228A1"/>
    <w:rsid w:val="00C228EE"/>
    <w:rsid w:val="00C2460D"/>
    <w:rsid w:val="00C26E6D"/>
    <w:rsid w:val="00C3255A"/>
    <w:rsid w:val="00C32DE7"/>
    <w:rsid w:val="00C32F71"/>
    <w:rsid w:val="00C35D33"/>
    <w:rsid w:val="00C363ED"/>
    <w:rsid w:val="00C47557"/>
    <w:rsid w:val="00C511D9"/>
    <w:rsid w:val="00C51D53"/>
    <w:rsid w:val="00C5427F"/>
    <w:rsid w:val="00C5494F"/>
    <w:rsid w:val="00C60D43"/>
    <w:rsid w:val="00C62106"/>
    <w:rsid w:val="00C6376A"/>
    <w:rsid w:val="00C63FB4"/>
    <w:rsid w:val="00C649E8"/>
    <w:rsid w:val="00C67A81"/>
    <w:rsid w:val="00C71CBA"/>
    <w:rsid w:val="00C72AF9"/>
    <w:rsid w:val="00C748CE"/>
    <w:rsid w:val="00C74CDC"/>
    <w:rsid w:val="00C771F6"/>
    <w:rsid w:val="00C773C0"/>
    <w:rsid w:val="00C77969"/>
    <w:rsid w:val="00C77E35"/>
    <w:rsid w:val="00C810BC"/>
    <w:rsid w:val="00C81574"/>
    <w:rsid w:val="00C827CF"/>
    <w:rsid w:val="00C83C11"/>
    <w:rsid w:val="00C8689B"/>
    <w:rsid w:val="00C9062F"/>
    <w:rsid w:val="00C9071A"/>
    <w:rsid w:val="00C9128F"/>
    <w:rsid w:val="00C91AC3"/>
    <w:rsid w:val="00C92547"/>
    <w:rsid w:val="00C92993"/>
    <w:rsid w:val="00C93E10"/>
    <w:rsid w:val="00C941E7"/>
    <w:rsid w:val="00C94BAE"/>
    <w:rsid w:val="00C97E35"/>
    <w:rsid w:val="00CA23AB"/>
    <w:rsid w:val="00CA3AEE"/>
    <w:rsid w:val="00CB0C29"/>
    <w:rsid w:val="00CB12CC"/>
    <w:rsid w:val="00CB18C7"/>
    <w:rsid w:val="00CB1A9E"/>
    <w:rsid w:val="00CB2AB3"/>
    <w:rsid w:val="00CB3761"/>
    <w:rsid w:val="00CB5E81"/>
    <w:rsid w:val="00CC1264"/>
    <w:rsid w:val="00CC1941"/>
    <w:rsid w:val="00CC4B94"/>
    <w:rsid w:val="00CC7063"/>
    <w:rsid w:val="00CD160B"/>
    <w:rsid w:val="00CD4B45"/>
    <w:rsid w:val="00CD4D18"/>
    <w:rsid w:val="00CD5E58"/>
    <w:rsid w:val="00CD777A"/>
    <w:rsid w:val="00CE06C1"/>
    <w:rsid w:val="00CF3DF6"/>
    <w:rsid w:val="00CF5488"/>
    <w:rsid w:val="00D025A1"/>
    <w:rsid w:val="00D02F3F"/>
    <w:rsid w:val="00D02F97"/>
    <w:rsid w:val="00D0362D"/>
    <w:rsid w:val="00D052AF"/>
    <w:rsid w:val="00D05BF0"/>
    <w:rsid w:val="00D07D96"/>
    <w:rsid w:val="00D07FFC"/>
    <w:rsid w:val="00D12848"/>
    <w:rsid w:val="00D12AB6"/>
    <w:rsid w:val="00D14F94"/>
    <w:rsid w:val="00D15CEC"/>
    <w:rsid w:val="00D16F52"/>
    <w:rsid w:val="00D2047A"/>
    <w:rsid w:val="00D2123B"/>
    <w:rsid w:val="00D24898"/>
    <w:rsid w:val="00D264F3"/>
    <w:rsid w:val="00D27E5D"/>
    <w:rsid w:val="00D3011C"/>
    <w:rsid w:val="00D306C2"/>
    <w:rsid w:val="00D33183"/>
    <w:rsid w:val="00D36F3D"/>
    <w:rsid w:val="00D3728A"/>
    <w:rsid w:val="00D42FC9"/>
    <w:rsid w:val="00D46663"/>
    <w:rsid w:val="00D471D9"/>
    <w:rsid w:val="00D477CC"/>
    <w:rsid w:val="00D510C8"/>
    <w:rsid w:val="00D51D34"/>
    <w:rsid w:val="00D527D6"/>
    <w:rsid w:val="00D52991"/>
    <w:rsid w:val="00D529E7"/>
    <w:rsid w:val="00D559F6"/>
    <w:rsid w:val="00D56478"/>
    <w:rsid w:val="00D5664D"/>
    <w:rsid w:val="00D57695"/>
    <w:rsid w:val="00D57858"/>
    <w:rsid w:val="00D61649"/>
    <w:rsid w:val="00D631DC"/>
    <w:rsid w:val="00D6495B"/>
    <w:rsid w:val="00D666E0"/>
    <w:rsid w:val="00D66B1C"/>
    <w:rsid w:val="00D67029"/>
    <w:rsid w:val="00D72389"/>
    <w:rsid w:val="00D76FF8"/>
    <w:rsid w:val="00D77B9C"/>
    <w:rsid w:val="00D8052A"/>
    <w:rsid w:val="00D814D0"/>
    <w:rsid w:val="00D82690"/>
    <w:rsid w:val="00D83AC8"/>
    <w:rsid w:val="00D83C11"/>
    <w:rsid w:val="00D84472"/>
    <w:rsid w:val="00D850B1"/>
    <w:rsid w:val="00D8580C"/>
    <w:rsid w:val="00D91202"/>
    <w:rsid w:val="00D94632"/>
    <w:rsid w:val="00D95539"/>
    <w:rsid w:val="00DA00E0"/>
    <w:rsid w:val="00DA03E7"/>
    <w:rsid w:val="00DA1742"/>
    <w:rsid w:val="00DA1FA4"/>
    <w:rsid w:val="00DA2406"/>
    <w:rsid w:val="00DA7CB3"/>
    <w:rsid w:val="00DB0810"/>
    <w:rsid w:val="00DB0E2B"/>
    <w:rsid w:val="00DB1EAE"/>
    <w:rsid w:val="00DB7685"/>
    <w:rsid w:val="00DC530D"/>
    <w:rsid w:val="00DC551F"/>
    <w:rsid w:val="00DC6F0C"/>
    <w:rsid w:val="00DC77E9"/>
    <w:rsid w:val="00DC7E8D"/>
    <w:rsid w:val="00DD23C6"/>
    <w:rsid w:val="00DD3999"/>
    <w:rsid w:val="00DD78D1"/>
    <w:rsid w:val="00DE18D6"/>
    <w:rsid w:val="00DE2431"/>
    <w:rsid w:val="00DE2F63"/>
    <w:rsid w:val="00DE4DB8"/>
    <w:rsid w:val="00DE4FEA"/>
    <w:rsid w:val="00DE77A7"/>
    <w:rsid w:val="00DF067D"/>
    <w:rsid w:val="00DF3B70"/>
    <w:rsid w:val="00E00412"/>
    <w:rsid w:val="00E07A8A"/>
    <w:rsid w:val="00E07EDA"/>
    <w:rsid w:val="00E119C7"/>
    <w:rsid w:val="00E11EC7"/>
    <w:rsid w:val="00E1208D"/>
    <w:rsid w:val="00E13A7C"/>
    <w:rsid w:val="00E16727"/>
    <w:rsid w:val="00E1714B"/>
    <w:rsid w:val="00E215A5"/>
    <w:rsid w:val="00E22816"/>
    <w:rsid w:val="00E24926"/>
    <w:rsid w:val="00E25A31"/>
    <w:rsid w:val="00E25ECB"/>
    <w:rsid w:val="00E27A27"/>
    <w:rsid w:val="00E302EA"/>
    <w:rsid w:val="00E30BC6"/>
    <w:rsid w:val="00E30EBC"/>
    <w:rsid w:val="00E32796"/>
    <w:rsid w:val="00E342F9"/>
    <w:rsid w:val="00E41BC6"/>
    <w:rsid w:val="00E43E2B"/>
    <w:rsid w:val="00E45539"/>
    <w:rsid w:val="00E465D7"/>
    <w:rsid w:val="00E471AA"/>
    <w:rsid w:val="00E52F0E"/>
    <w:rsid w:val="00E56E44"/>
    <w:rsid w:val="00E61221"/>
    <w:rsid w:val="00E63BC5"/>
    <w:rsid w:val="00E656B1"/>
    <w:rsid w:val="00E6581B"/>
    <w:rsid w:val="00E70E27"/>
    <w:rsid w:val="00E7109B"/>
    <w:rsid w:val="00E7205C"/>
    <w:rsid w:val="00E7216B"/>
    <w:rsid w:val="00E74F0C"/>
    <w:rsid w:val="00E7571F"/>
    <w:rsid w:val="00E805A3"/>
    <w:rsid w:val="00E8139A"/>
    <w:rsid w:val="00E82807"/>
    <w:rsid w:val="00E82A43"/>
    <w:rsid w:val="00E856C2"/>
    <w:rsid w:val="00E85E0B"/>
    <w:rsid w:val="00E875BB"/>
    <w:rsid w:val="00E90752"/>
    <w:rsid w:val="00E943BD"/>
    <w:rsid w:val="00E956E8"/>
    <w:rsid w:val="00E97805"/>
    <w:rsid w:val="00EA20D8"/>
    <w:rsid w:val="00EA31B4"/>
    <w:rsid w:val="00EA3AAA"/>
    <w:rsid w:val="00EA5F0E"/>
    <w:rsid w:val="00EB01BA"/>
    <w:rsid w:val="00EB5F95"/>
    <w:rsid w:val="00EB736A"/>
    <w:rsid w:val="00EC01F2"/>
    <w:rsid w:val="00EC27FC"/>
    <w:rsid w:val="00EC41A3"/>
    <w:rsid w:val="00EC4852"/>
    <w:rsid w:val="00EC5A7C"/>
    <w:rsid w:val="00EC6465"/>
    <w:rsid w:val="00EC6C78"/>
    <w:rsid w:val="00ED013F"/>
    <w:rsid w:val="00ED01D6"/>
    <w:rsid w:val="00ED135E"/>
    <w:rsid w:val="00ED20CC"/>
    <w:rsid w:val="00ED245C"/>
    <w:rsid w:val="00ED5DCB"/>
    <w:rsid w:val="00ED6285"/>
    <w:rsid w:val="00ED69FE"/>
    <w:rsid w:val="00ED6B75"/>
    <w:rsid w:val="00EE1399"/>
    <w:rsid w:val="00EE6E4D"/>
    <w:rsid w:val="00EF14A8"/>
    <w:rsid w:val="00EF5F63"/>
    <w:rsid w:val="00EF7058"/>
    <w:rsid w:val="00F017D6"/>
    <w:rsid w:val="00F034B5"/>
    <w:rsid w:val="00F05A15"/>
    <w:rsid w:val="00F07630"/>
    <w:rsid w:val="00F16899"/>
    <w:rsid w:val="00F17715"/>
    <w:rsid w:val="00F21166"/>
    <w:rsid w:val="00F31737"/>
    <w:rsid w:val="00F34A25"/>
    <w:rsid w:val="00F34DEC"/>
    <w:rsid w:val="00F35EC0"/>
    <w:rsid w:val="00F369F8"/>
    <w:rsid w:val="00F40149"/>
    <w:rsid w:val="00F44CCC"/>
    <w:rsid w:val="00F453A5"/>
    <w:rsid w:val="00F512A1"/>
    <w:rsid w:val="00F518AD"/>
    <w:rsid w:val="00F5260D"/>
    <w:rsid w:val="00F540FA"/>
    <w:rsid w:val="00F54929"/>
    <w:rsid w:val="00F55213"/>
    <w:rsid w:val="00F5642D"/>
    <w:rsid w:val="00F5757B"/>
    <w:rsid w:val="00F577C2"/>
    <w:rsid w:val="00F61579"/>
    <w:rsid w:val="00F65496"/>
    <w:rsid w:val="00F65813"/>
    <w:rsid w:val="00F66C22"/>
    <w:rsid w:val="00F67F24"/>
    <w:rsid w:val="00F7036E"/>
    <w:rsid w:val="00F70A81"/>
    <w:rsid w:val="00F728C8"/>
    <w:rsid w:val="00F7373B"/>
    <w:rsid w:val="00F80A2D"/>
    <w:rsid w:val="00F819AE"/>
    <w:rsid w:val="00F8310B"/>
    <w:rsid w:val="00F8574C"/>
    <w:rsid w:val="00F902A6"/>
    <w:rsid w:val="00F91346"/>
    <w:rsid w:val="00F915D4"/>
    <w:rsid w:val="00F9339F"/>
    <w:rsid w:val="00F958F1"/>
    <w:rsid w:val="00FA0C28"/>
    <w:rsid w:val="00FA5604"/>
    <w:rsid w:val="00FA7596"/>
    <w:rsid w:val="00FB1939"/>
    <w:rsid w:val="00FB250F"/>
    <w:rsid w:val="00FB3598"/>
    <w:rsid w:val="00FB39D5"/>
    <w:rsid w:val="00FB3E37"/>
    <w:rsid w:val="00FB55F6"/>
    <w:rsid w:val="00FB729B"/>
    <w:rsid w:val="00FB74C7"/>
    <w:rsid w:val="00FC071A"/>
    <w:rsid w:val="00FD2980"/>
    <w:rsid w:val="00FD2F47"/>
    <w:rsid w:val="00FD2F8E"/>
    <w:rsid w:val="00FD4453"/>
    <w:rsid w:val="00FD54B8"/>
    <w:rsid w:val="00FE0AEB"/>
    <w:rsid w:val="00FE31B5"/>
    <w:rsid w:val="00FE3D1B"/>
    <w:rsid w:val="00FE4D65"/>
    <w:rsid w:val="00FE6853"/>
    <w:rsid w:val="00FE7684"/>
    <w:rsid w:val="00FF035B"/>
    <w:rsid w:val="00FF1659"/>
    <w:rsid w:val="00FF2C80"/>
    <w:rsid w:val="00FF43CE"/>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6F"/>
    <w:rPr>
      <w:sz w:val="22"/>
    </w:rPr>
  </w:style>
  <w:style w:type="paragraph" w:styleId="Heading1">
    <w:name w:val="heading 1"/>
    <w:basedOn w:val="Normal"/>
    <w:next w:val="ParaNum"/>
    <w:qFormat/>
    <w:rsid w:val="004E0A6F"/>
    <w:pPr>
      <w:keepNext/>
      <w:widowControl w:val="0"/>
      <w:numPr>
        <w:numId w:val="4"/>
      </w:numPr>
      <w:suppressAutoHyphens/>
      <w:spacing w:after="220"/>
      <w:jc w:val="both"/>
      <w:outlineLvl w:val="0"/>
    </w:pPr>
    <w:rPr>
      <w:b/>
      <w:caps/>
    </w:rPr>
  </w:style>
  <w:style w:type="paragraph" w:styleId="Heading2">
    <w:name w:val="heading 2"/>
    <w:basedOn w:val="Normal"/>
    <w:next w:val="ParaNum"/>
    <w:qFormat/>
    <w:rsid w:val="004E0A6F"/>
    <w:pPr>
      <w:keepNext/>
      <w:widowControl w:val="0"/>
      <w:numPr>
        <w:ilvl w:val="1"/>
        <w:numId w:val="4"/>
      </w:numPr>
      <w:spacing w:after="220"/>
      <w:jc w:val="both"/>
      <w:outlineLvl w:val="1"/>
    </w:pPr>
    <w:rPr>
      <w:b/>
    </w:rPr>
  </w:style>
  <w:style w:type="paragraph" w:styleId="Heading3">
    <w:name w:val="heading 3"/>
    <w:basedOn w:val="Normal"/>
    <w:next w:val="ParaNum"/>
    <w:qFormat/>
    <w:rsid w:val="004E0A6F"/>
    <w:pPr>
      <w:keepNext/>
      <w:widowControl w:val="0"/>
      <w:numPr>
        <w:ilvl w:val="2"/>
        <w:numId w:val="4"/>
      </w:numPr>
      <w:spacing w:after="220"/>
      <w:jc w:val="both"/>
      <w:outlineLvl w:val="2"/>
    </w:pPr>
    <w:rPr>
      <w:b/>
    </w:rPr>
  </w:style>
  <w:style w:type="paragraph" w:styleId="Heading4">
    <w:name w:val="heading 4"/>
    <w:basedOn w:val="Normal"/>
    <w:next w:val="ParaNum"/>
    <w:qFormat/>
    <w:rsid w:val="004E0A6F"/>
    <w:pPr>
      <w:keepNext/>
      <w:widowControl w:val="0"/>
      <w:numPr>
        <w:ilvl w:val="3"/>
        <w:numId w:val="4"/>
      </w:numPr>
      <w:spacing w:after="220"/>
      <w:jc w:val="both"/>
      <w:outlineLvl w:val="3"/>
    </w:pPr>
    <w:rPr>
      <w:b/>
    </w:rPr>
  </w:style>
  <w:style w:type="paragraph" w:styleId="Heading5">
    <w:name w:val="heading 5"/>
    <w:basedOn w:val="Normal"/>
    <w:next w:val="ParaNum"/>
    <w:qFormat/>
    <w:rsid w:val="004E0A6F"/>
    <w:pPr>
      <w:keepNext/>
      <w:widowControl w:val="0"/>
      <w:numPr>
        <w:ilvl w:val="4"/>
        <w:numId w:val="4"/>
      </w:numPr>
      <w:suppressAutoHyphens/>
      <w:spacing w:after="220"/>
      <w:jc w:val="both"/>
      <w:outlineLvl w:val="4"/>
    </w:pPr>
    <w:rPr>
      <w:b/>
    </w:rPr>
  </w:style>
  <w:style w:type="paragraph" w:styleId="Heading6">
    <w:name w:val="heading 6"/>
    <w:basedOn w:val="Normal"/>
    <w:next w:val="ParaNum"/>
    <w:qFormat/>
    <w:rsid w:val="004E0A6F"/>
    <w:pPr>
      <w:widowControl w:val="0"/>
      <w:numPr>
        <w:ilvl w:val="5"/>
        <w:numId w:val="4"/>
      </w:numPr>
      <w:spacing w:after="220"/>
      <w:jc w:val="both"/>
      <w:outlineLvl w:val="5"/>
    </w:pPr>
    <w:rPr>
      <w:b/>
    </w:rPr>
  </w:style>
  <w:style w:type="paragraph" w:styleId="Heading7">
    <w:name w:val="heading 7"/>
    <w:basedOn w:val="Normal"/>
    <w:next w:val="ParaNum"/>
    <w:qFormat/>
    <w:rsid w:val="004E0A6F"/>
    <w:pPr>
      <w:widowControl w:val="0"/>
      <w:numPr>
        <w:ilvl w:val="6"/>
        <w:numId w:val="4"/>
      </w:numPr>
      <w:spacing w:after="220"/>
      <w:jc w:val="both"/>
      <w:outlineLvl w:val="6"/>
    </w:pPr>
    <w:rPr>
      <w:b/>
    </w:rPr>
  </w:style>
  <w:style w:type="paragraph" w:styleId="Heading8">
    <w:name w:val="heading 8"/>
    <w:basedOn w:val="Normal"/>
    <w:next w:val="ParaNum"/>
    <w:qFormat/>
    <w:rsid w:val="004E0A6F"/>
    <w:pPr>
      <w:widowControl w:val="0"/>
      <w:numPr>
        <w:ilvl w:val="7"/>
        <w:numId w:val="4"/>
      </w:numPr>
      <w:spacing w:after="220"/>
      <w:jc w:val="both"/>
      <w:outlineLvl w:val="7"/>
    </w:pPr>
    <w:rPr>
      <w:b/>
    </w:rPr>
  </w:style>
  <w:style w:type="paragraph" w:styleId="Heading9">
    <w:name w:val="heading 9"/>
    <w:basedOn w:val="Normal"/>
    <w:next w:val="ParaNum"/>
    <w:qFormat/>
    <w:rsid w:val="004E0A6F"/>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autoRedefine/>
    <w:rsid w:val="00D3728A"/>
    <w:pPr>
      <w:numPr>
        <w:numId w:val="13"/>
      </w:numPr>
      <w:tabs>
        <w:tab w:val="left" w:pos="1440"/>
      </w:tabs>
      <w:spacing w:after="220"/>
    </w:pPr>
    <w:rPr>
      <w:color w:val="000000"/>
      <w:szCs w:val="22"/>
    </w:rPr>
  </w:style>
  <w:style w:type="paragraph" w:styleId="Caption">
    <w:name w:val="caption"/>
    <w:basedOn w:val="Normal"/>
    <w:next w:val="Normal"/>
    <w:qFormat/>
    <w:rsid w:val="004E0A6F"/>
    <w:pPr>
      <w:spacing w:before="120" w:after="120"/>
    </w:pPr>
    <w:rPr>
      <w:b/>
    </w:r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1,Footnote Text Char1 Char"/>
    <w:basedOn w:val="Normal"/>
    <w:link w:val="FootnoteTextChar2"/>
    <w:autoRedefine/>
    <w:semiHidden/>
    <w:rsid w:val="00A94546"/>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2 Char Char1 Char Char Char,Footnote Text Char1 Char Char Char1 Char Char Char"/>
    <w:link w:val="FootnoteText"/>
    <w:rsid w:val="00A94546"/>
    <w:rPr>
      <w:lang w:val="en-US" w:eastAsia="en-US" w:bidi="ar-SA"/>
    </w:rPr>
  </w:style>
  <w:style w:type="paragraph" w:customStyle="1" w:styleId="Bullet">
    <w:name w:val="Bullet"/>
    <w:basedOn w:val="Normal"/>
    <w:rsid w:val="004E0A6F"/>
    <w:pPr>
      <w:widowControl w:val="0"/>
      <w:numPr>
        <w:numId w:val="9"/>
      </w:numPr>
      <w:tabs>
        <w:tab w:val="clear" w:pos="2520"/>
      </w:tabs>
      <w:spacing w:after="220"/>
      <w:ind w:left="2160" w:hanging="720"/>
      <w:jc w:val="both"/>
    </w:pPr>
  </w:style>
  <w:style w:type="paragraph" w:styleId="BlockText">
    <w:name w:val="Block Text"/>
    <w:basedOn w:val="Normal"/>
    <w:rsid w:val="004E0A6F"/>
    <w:pPr>
      <w:widowControl w:val="0"/>
      <w:spacing w:after="220"/>
      <w:ind w:left="1440" w:right="1440"/>
      <w:jc w:val="both"/>
    </w:pPr>
  </w:style>
  <w:style w:type="paragraph" w:customStyle="1" w:styleId="TableFormat">
    <w:name w:val="TableFormat"/>
    <w:basedOn w:val="Normal"/>
    <w:rsid w:val="004E0A6F"/>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
    <w:semiHidden/>
    <w:rsid w:val="004E0A6F"/>
    <w:rPr>
      <w:vertAlign w:val="superscript"/>
    </w:rPr>
  </w:style>
  <w:style w:type="paragraph" w:styleId="Header">
    <w:name w:val="header"/>
    <w:basedOn w:val="Normal"/>
    <w:rsid w:val="004E0A6F"/>
    <w:pPr>
      <w:tabs>
        <w:tab w:val="center" w:pos="4320"/>
        <w:tab w:val="right" w:pos="8640"/>
      </w:tabs>
    </w:pPr>
  </w:style>
  <w:style w:type="paragraph" w:styleId="Footer">
    <w:name w:val="footer"/>
    <w:basedOn w:val="Normal"/>
    <w:link w:val="FooterChar"/>
    <w:uiPriority w:val="99"/>
    <w:rsid w:val="004E0A6F"/>
    <w:pPr>
      <w:tabs>
        <w:tab w:val="center" w:pos="4320"/>
        <w:tab w:val="right" w:pos="8640"/>
      </w:tabs>
    </w:pPr>
  </w:style>
  <w:style w:type="paragraph" w:styleId="TOC2">
    <w:name w:val="toc 2"/>
    <w:basedOn w:val="Normal"/>
    <w:next w:val="Normal"/>
    <w:semiHidden/>
    <w:rsid w:val="004E0A6F"/>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4E0A6F"/>
    <w:pPr>
      <w:numPr>
        <w:numId w:val="21"/>
      </w:numPr>
      <w:tabs>
        <w:tab w:val="clear" w:pos="1080"/>
      </w:tabs>
      <w:spacing w:after="220"/>
      <w:ind w:firstLine="0"/>
    </w:pPr>
  </w:style>
  <w:style w:type="paragraph" w:styleId="TOC1">
    <w:name w:val="toc 1"/>
    <w:basedOn w:val="Normal"/>
    <w:next w:val="Normal"/>
    <w:semiHidden/>
    <w:rsid w:val="004E0A6F"/>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4E0A6F"/>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4E0A6F"/>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4E0A6F"/>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4E0A6F"/>
    <w:pPr>
      <w:widowControl w:val="0"/>
      <w:tabs>
        <w:tab w:val="left" w:leader="dot" w:pos="9360"/>
      </w:tabs>
      <w:suppressAutoHyphens/>
      <w:ind w:left="720" w:hanging="720"/>
      <w:jc w:val="both"/>
    </w:pPr>
  </w:style>
  <w:style w:type="paragraph" w:styleId="TOC7">
    <w:name w:val="toc 7"/>
    <w:basedOn w:val="Normal"/>
    <w:next w:val="Normal"/>
    <w:semiHidden/>
    <w:rsid w:val="004E0A6F"/>
    <w:pPr>
      <w:widowControl w:val="0"/>
      <w:tabs>
        <w:tab w:val="left" w:leader="dot" w:pos="9360"/>
      </w:tabs>
      <w:suppressAutoHyphens/>
      <w:ind w:left="720" w:hanging="720"/>
      <w:jc w:val="both"/>
    </w:pPr>
  </w:style>
  <w:style w:type="paragraph" w:styleId="TOC8">
    <w:name w:val="toc 8"/>
    <w:basedOn w:val="Normal"/>
    <w:next w:val="Normal"/>
    <w:semiHidden/>
    <w:rsid w:val="004E0A6F"/>
    <w:pPr>
      <w:widowControl w:val="0"/>
      <w:tabs>
        <w:tab w:val="left" w:leader="dot" w:pos="9360"/>
      </w:tabs>
      <w:suppressAutoHyphens/>
      <w:ind w:left="720" w:hanging="720"/>
      <w:jc w:val="both"/>
    </w:pPr>
  </w:style>
  <w:style w:type="paragraph" w:styleId="TOC9">
    <w:name w:val="toc 9"/>
    <w:basedOn w:val="Normal"/>
    <w:next w:val="Normal"/>
    <w:semiHidden/>
    <w:rsid w:val="004E0A6F"/>
    <w:pPr>
      <w:tabs>
        <w:tab w:val="left" w:leader="dot" w:pos="9360"/>
      </w:tabs>
      <w:ind w:left="720" w:hanging="720"/>
      <w:jc w:val="both"/>
    </w:pPr>
  </w:style>
  <w:style w:type="character" w:styleId="PageNumber">
    <w:name w:val="page number"/>
    <w:basedOn w:val="DefaultParagraphFont"/>
    <w:rsid w:val="004E0A6F"/>
  </w:style>
  <w:style w:type="paragraph" w:styleId="Title">
    <w:name w:val="Title"/>
    <w:basedOn w:val="Normal"/>
    <w:qFormat/>
    <w:rsid w:val="004E0A6F"/>
    <w:pPr>
      <w:jc w:val="center"/>
    </w:pPr>
    <w:rPr>
      <w:b/>
    </w:rPr>
  </w:style>
  <w:style w:type="paragraph" w:customStyle="1" w:styleId="StyleCentered">
    <w:name w:val="Style Centered"/>
    <w:basedOn w:val="Normal"/>
    <w:autoRedefine/>
    <w:rsid w:val="00B45A70"/>
    <w:pPr>
      <w:jc w:val="center"/>
    </w:pPr>
  </w:style>
  <w:style w:type="paragraph" w:styleId="BalloonText">
    <w:name w:val="Balloon Text"/>
    <w:basedOn w:val="Normal"/>
    <w:semiHidden/>
    <w:rsid w:val="004E0A6F"/>
    <w:rPr>
      <w:rFonts w:ascii="Tahoma" w:hAnsi="Tahoma" w:cs="Tahoma"/>
      <w:sz w:val="16"/>
      <w:szCs w:val="16"/>
    </w:rPr>
  </w:style>
  <w:style w:type="paragraph" w:customStyle="1" w:styleId="ParaNumCharCharCharCharCharCharCharChar">
    <w:name w:val="ParaNum Char Char Char Char Char Char Char Char"/>
    <w:basedOn w:val="Normal"/>
    <w:link w:val="ParaNumCharCharCharCharCharCharCharCharChar"/>
    <w:rsid w:val="004E0A6F"/>
    <w:pPr>
      <w:widowControl w:val="0"/>
      <w:tabs>
        <w:tab w:val="num" w:pos="1020"/>
        <w:tab w:val="left" w:pos="1440"/>
      </w:tabs>
      <w:spacing w:after="220"/>
      <w:ind w:left="-60" w:firstLine="720"/>
      <w:jc w:val="both"/>
    </w:pPr>
  </w:style>
  <w:style w:type="character" w:customStyle="1" w:styleId="ParaNumCharCharCharCharCharCharCharCharChar">
    <w:name w:val="ParaNum Char Char Char Char Char Char Char Char Char"/>
    <w:link w:val="ParaNumCharCharCharCharCharCharCharChar"/>
    <w:rsid w:val="004E0A6F"/>
    <w:rPr>
      <w:sz w:val="22"/>
      <w:lang w:val="en-US" w:eastAsia="en-US" w:bidi="ar-SA"/>
    </w:rPr>
  </w:style>
  <w:style w:type="paragraph" w:styleId="EndnoteText">
    <w:name w:val="endnote text"/>
    <w:basedOn w:val="Normal"/>
    <w:semiHidden/>
    <w:rsid w:val="004E0A6F"/>
    <w:rPr>
      <w:sz w:val="20"/>
    </w:rPr>
  </w:style>
  <w:style w:type="character" w:styleId="EndnoteReference">
    <w:name w:val="endnote reference"/>
    <w:semiHidden/>
    <w:rsid w:val="004E0A6F"/>
    <w:rPr>
      <w:vertAlign w:val="superscript"/>
    </w:rPr>
  </w:style>
  <w:style w:type="character" w:styleId="Hyperlink">
    <w:name w:val="Hyperlink"/>
    <w:rsid w:val="006F231E"/>
    <w:rPr>
      <w:rFonts w:ascii="Verdana" w:hAnsi="Verdana" w:hint="default"/>
      <w:color w:val="336699"/>
      <w:u w:val="single"/>
    </w:rPr>
  </w:style>
  <w:style w:type="character" w:customStyle="1" w:styleId="displayhltext1">
    <w:name w:val="display_hl_text1"/>
    <w:rsid w:val="006F231E"/>
    <w:rPr>
      <w:shd w:val="clear" w:color="auto" w:fill="FFFF99"/>
    </w:rPr>
  </w:style>
  <w:style w:type="character" w:customStyle="1" w:styleId="emphi1">
    <w:name w:val="emphi1"/>
    <w:rsid w:val="006F231E"/>
    <w:rPr>
      <w:i/>
      <w:iCs/>
    </w:rPr>
  </w:style>
  <w:style w:type="paragraph" w:customStyle="1" w:styleId="StyleparanumFirstline0">
    <w:name w:val="Style paranum + First line:  0&quot;"/>
    <w:basedOn w:val="ParaNum"/>
    <w:autoRedefine/>
    <w:rsid w:val="00FE6853"/>
    <w:pPr>
      <w:numPr>
        <w:numId w:val="0"/>
      </w:numPr>
    </w:pPr>
    <w:rPr>
      <w:szCs w:val="20"/>
    </w:rPr>
  </w:style>
  <w:style w:type="character" w:styleId="CommentReference">
    <w:name w:val="annotation reference"/>
    <w:semiHidden/>
    <w:rsid w:val="00A17C0A"/>
    <w:rPr>
      <w:sz w:val="16"/>
      <w:szCs w:val="16"/>
    </w:rPr>
  </w:style>
  <w:style w:type="paragraph" w:styleId="CommentText">
    <w:name w:val="annotation text"/>
    <w:basedOn w:val="Normal"/>
    <w:semiHidden/>
    <w:rsid w:val="00A17C0A"/>
    <w:rPr>
      <w:sz w:val="20"/>
    </w:rPr>
  </w:style>
  <w:style w:type="paragraph" w:styleId="CommentSubject">
    <w:name w:val="annotation subject"/>
    <w:basedOn w:val="CommentText"/>
    <w:next w:val="CommentText"/>
    <w:semiHidden/>
    <w:rsid w:val="00A17C0A"/>
    <w:rPr>
      <w:b/>
      <w:bCs/>
    </w:rPr>
  </w:style>
  <w:style w:type="character" w:customStyle="1" w:styleId="ParaNumCharChar">
    <w:name w:val="ParaNum Char Char"/>
    <w:link w:val="ParaNum"/>
    <w:rsid w:val="00D3728A"/>
    <w:rPr>
      <w:color w:val="000000"/>
      <w:sz w:val="22"/>
      <w:szCs w:val="22"/>
    </w:rPr>
  </w:style>
  <w:style w:type="paragraph" w:customStyle="1" w:styleId="StyleParaNumFirstline00">
    <w:name w:val="Style ParaNum + First line:  0&quot;"/>
    <w:basedOn w:val="ParaNum"/>
    <w:autoRedefine/>
    <w:rsid w:val="00F017D6"/>
    <w:pPr>
      <w:numPr>
        <w:numId w:val="0"/>
      </w:numPr>
      <w:ind w:left="720"/>
      <w:jc w:val="center"/>
    </w:pPr>
    <w:rPr>
      <w:b/>
    </w:rPr>
  </w:style>
  <w:style w:type="character" w:customStyle="1" w:styleId="displayhltextactive1">
    <w:name w:val="display_hl_text_active1"/>
    <w:rsid w:val="00881644"/>
    <w:rPr>
      <w:bdr w:val="single" w:sz="6" w:space="0" w:color="993333" w:frame="1"/>
      <w:shd w:val="clear" w:color="auto" w:fill="FFFF99"/>
    </w:rPr>
  </w:style>
  <w:style w:type="character" w:customStyle="1" w:styleId="emphb1">
    <w:name w:val="emphb1"/>
    <w:rsid w:val="008904D6"/>
    <w:rPr>
      <w:b/>
      <w:bCs/>
    </w:rPr>
  </w:style>
  <w:style w:type="paragraph" w:customStyle="1" w:styleId="Paratitle">
    <w:name w:val="Para title"/>
    <w:basedOn w:val="Normal"/>
    <w:link w:val="ParatitleChar"/>
    <w:rsid w:val="008F192D"/>
    <w:pPr>
      <w:widowControl w:val="0"/>
      <w:tabs>
        <w:tab w:val="center" w:pos="9270"/>
      </w:tabs>
      <w:spacing w:after="240"/>
    </w:pPr>
    <w:rPr>
      <w:snapToGrid w:val="0"/>
      <w:spacing w:val="-2"/>
      <w:kern w:val="28"/>
    </w:rPr>
  </w:style>
  <w:style w:type="character" w:customStyle="1" w:styleId="ParatitleChar">
    <w:name w:val="Para title Char"/>
    <w:link w:val="Paratitle"/>
    <w:rsid w:val="008F192D"/>
    <w:rPr>
      <w:snapToGrid w:val="0"/>
      <w:spacing w:val="-2"/>
      <w:kern w:val="28"/>
      <w:sz w:val="22"/>
      <w:lang w:val="en-US" w:eastAsia="en-US" w:bidi="ar-SA"/>
    </w:rPr>
  </w:style>
  <w:style w:type="character" w:customStyle="1" w:styleId="FooterChar">
    <w:name w:val="Footer Char"/>
    <w:basedOn w:val="DefaultParagraphFont"/>
    <w:link w:val="Footer"/>
    <w:uiPriority w:val="99"/>
    <w:rsid w:val="00C8689B"/>
    <w:rPr>
      <w:sz w:val="22"/>
    </w:rPr>
  </w:style>
  <w:style w:type="paragraph" w:styleId="Revision">
    <w:name w:val="Revision"/>
    <w:hidden/>
    <w:uiPriority w:val="99"/>
    <w:semiHidden/>
    <w:rsid w:val="00613F1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6F"/>
    <w:rPr>
      <w:sz w:val="22"/>
    </w:rPr>
  </w:style>
  <w:style w:type="paragraph" w:styleId="Heading1">
    <w:name w:val="heading 1"/>
    <w:basedOn w:val="Normal"/>
    <w:next w:val="ParaNum"/>
    <w:qFormat/>
    <w:rsid w:val="004E0A6F"/>
    <w:pPr>
      <w:keepNext/>
      <w:widowControl w:val="0"/>
      <w:numPr>
        <w:numId w:val="4"/>
      </w:numPr>
      <w:suppressAutoHyphens/>
      <w:spacing w:after="220"/>
      <w:jc w:val="both"/>
      <w:outlineLvl w:val="0"/>
    </w:pPr>
    <w:rPr>
      <w:b/>
      <w:caps/>
    </w:rPr>
  </w:style>
  <w:style w:type="paragraph" w:styleId="Heading2">
    <w:name w:val="heading 2"/>
    <w:basedOn w:val="Normal"/>
    <w:next w:val="ParaNum"/>
    <w:qFormat/>
    <w:rsid w:val="004E0A6F"/>
    <w:pPr>
      <w:keepNext/>
      <w:widowControl w:val="0"/>
      <w:numPr>
        <w:ilvl w:val="1"/>
        <w:numId w:val="4"/>
      </w:numPr>
      <w:spacing w:after="220"/>
      <w:jc w:val="both"/>
      <w:outlineLvl w:val="1"/>
    </w:pPr>
    <w:rPr>
      <w:b/>
    </w:rPr>
  </w:style>
  <w:style w:type="paragraph" w:styleId="Heading3">
    <w:name w:val="heading 3"/>
    <w:basedOn w:val="Normal"/>
    <w:next w:val="ParaNum"/>
    <w:qFormat/>
    <w:rsid w:val="004E0A6F"/>
    <w:pPr>
      <w:keepNext/>
      <w:widowControl w:val="0"/>
      <w:numPr>
        <w:ilvl w:val="2"/>
        <w:numId w:val="4"/>
      </w:numPr>
      <w:spacing w:after="220"/>
      <w:jc w:val="both"/>
      <w:outlineLvl w:val="2"/>
    </w:pPr>
    <w:rPr>
      <w:b/>
    </w:rPr>
  </w:style>
  <w:style w:type="paragraph" w:styleId="Heading4">
    <w:name w:val="heading 4"/>
    <w:basedOn w:val="Normal"/>
    <w:next w:val="ParaNum"/>
    <w:qFormat/>
    <w:rsid w:val="004E0A6F"/>
    <w:pPr>
      <w:keepNext/>
      <w:widowControl w:val="0"/>
      <w:numPr>
        <w:ilvl w:val="3"/>
        <w:numId w:val="4"/>
      </w:numPr>
      <w:spacing w:after="220"/>
      <w:jc w:val="both"/>
      <w:outlineLvl w:val="3"/>
    </w:pPr>
    <w:rPr>
      <w:b/>
    </w:rPr>
  </w:style>
  <w:style w:type="paragraph" w:styleId="Heading5">
    <w:name w:val="heading 5"/>
    <w:basedOn w:val="Normal"/>
    <w:next w:val="ParaNum"/>
    <w:qFormat/>
    <w:rsid w:val="004E0A6F"/>
    <w:pPr>
      <w:keepNext/>
      <w:widowControl w:val="0"/>
      <w:numPr>
        <w:ilvl w:val="4"/>
        <w:numId w:val="4"/>
      </w:numPr>
      <w:suppressAutoHyphens/>
      <w:spacing w:after="220"/>
      <w:jc w:val="both"/>
      <w:outlineLvl w:val="4"/>
    </w:pPr>
    <w:rPr>
      <w:b/>
    </w:rPr>
  </w:style>
  <w:style w:type="paragraph" w:styleId="Heading6">
    <w:name w:val="heading 6"/>
    <w:basedOn w:val="Normal"/>
    <w:next w:val="ParaNum"/>
    <w:qFormat/>
    <w:rsid w:val="004E0A6F"/>
    <w:pPr>
      <w:widowControl w:val="0"/>
      <w:numPr>
        <w:ilvl w:val="5"/>
        <w:numId w:val="4"/>
      </w:numPr>
      <w:spacing w:after="220"/>
      <w:jc w:val="both"/>
      <w:outlineLvl w:val="5"/>
    </w:pPr>
    <w:rPr>
      <w:b/>
    </w:rPr>
  </w:style>
  <w:style w:type="paragraph" w:styleId="Heading7">
    <w:name w:val="heading 7"/>
    <w:basedOn w:val="Normal"/>
    <w:next w:val="ParaNum"/>
    <w:qFormat/>
    <w:rsid w:val="004E0A6F"/>
    <w:pPr>
      <w:widowControl w:val="0"/>
      <w:numPr>
        <w:ilvl w:val="6"/>
        <w:numId w:val="4"/>
      </w:numPr>
      <w:spacing w:after="220"/>
      <w:jc w:val="both"/>
      <w:outlineLvl w:val="6"/>
    </w:pPr>
    <w:rPr>
      <w:b/>
    </w:rPr>
  </w:style>
  <w:style w:type="paragraph" w:styleId="Heading8">
    <w:name w:val="heading 8"/>
    <w:basedOn w:val="Normal"/>
    <w:next w:val="ParaNum"/>
    <w:qFormat/>
    <w:rsid w:val="004E0A6F"/>
    <w:pPr>
      <w:widowControl w:val="0"/>
      <w:numPr>
        <w:ilvl w:val="7"/>
        <w:numId w:val="4"/>
      </w:numPr>
      <w:spacing w:after="220"/>
      <w:jc w:val="both"/>
      <w:outlineLvl w:val="7"/>
    </w:pPr>
    <w:rPr>
      <w:b/>
    </w:rPr>
  </w:style>
  <w:style w:type="paragraph" w:styleId="Heading9">
    <w:name w:val="heading 9"/>
    <w:basedOn w:val="Normal"/>
    <w:next w:val="ParaNum"/>
    <w:qFormat/>
    <w:rsid w:val="004E0A6F"/>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autoRedefine/>
    <w:rsid w:val="00D3728A"/>
    <w:pPr>
      <w:numPr>
        <w:numId w:val="13"/>
      </w:numPr>
      <w:tabs>
        <w:tab w:val="left" w:pos="1440"/>
      </w:tabs>
      <w:spacing w:after="220"/>
    </w:pPr>
    <w:rPr>
      <w:color w:val="000000"/>
      <w:szCs w:val="22"/>
    </w:rPr>
  </w:style>
  <w:style w:type="paragraph" w:styleId="Caption">
    <w:name w:val="caption"/>
    <w:basedOn w:val="Normal"/>
    <w:next w:val="Normal"/>
    <w:qFormat/>
    <w:rsid w:val="004E0A6F"/>
    <w:pPr>
      <w:spacing w:before="120" w:after="120"/>
    </w:pPr>
    <w:rPr>
      <w:b/>
    </w:rPr>
  </w:style>
  <w:style w:type="paragraph" w:styleId="FootnoteText">
    <w:name w:val="footnote text"/>
    <w:aliases w:val="Footnote Text Char,Footnote Text Char2 Char,Footnote Text Char1 Char Char,Footnote Text Char Char Char Char,Footnote Text Char2 Char Char1 Char Char,Footnote Text Char1 Char Char Char1 Char Char,Footnote Text Char1,Footnote Text Char1 Char"/>
    <w:basedOn w:val="Normal"/>
    <w:link w:val="FootnoteTextChar2"/>
    <w:autoRedefine/>
    <w:semiHidden/>
    <w:rsid w:val="00A94546"/>
    <w:pPr>
      <w:tabs>
        <w:tab w:val="left" w:pos="180"/>
        <w:tab w:val="left" w:pos="720"/>
        <w:tab w:val="left" w:pos="1440"/>
        <w:tab w:val="left" w:pos="2160"/>
      </w:tabs>
      <w:spacing w:after="120"/>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2 Char Char1 Char Char Char,Footnote Text Char1 Char Char Char1 Char Char Char"/>
    <w:link w:val="FootnoteText"/>
    <w:rsid w:val="00A94546"/>
    <w:rPr>
      <w:lang w:val="en-US" w:eastAsia="en-US" w:bidi="ar-SA"/>
    </w:rPr>
  </w:style>
  <w:style w:type="paragraph" w:customStyle="1" w:styleId="Bullet">
    <w:name w:val="Bullet"/>
    <w:basedOn w:val="Normal"/>
    <w:rsid w:val="004E0A6F"/>
    <w:pPr>
      <w:widowControl w:val="0"/>
      <w:numPr>
        <w:numId w:val="9"/>
      </w:numPr>
      <w:tabs>
        <w:tab w:val="clear" w:pos="2520"/>
      </w:tabs>
      <w:spacing w:after="220"/>
      <w:ind w:left="2160" w:hanging="720"/>
      <w:jc w:val="both"/>
    </w:pPr>
  </w:style>
  <w:style w:type="paragraph" w:styleId="BlockText">
    <w:name w:val="Block Text"/>
    <w:basedOn w:val="Normal"/>
    <w:rsid w:val="004E0A6F"/>
    <w:pPr>
      <w:widowControl w:val="0"/>
      <w:spacing w:after="220"/>
      <w:ind w:left="1440" w:right="1440"/>
      <w:jc w:val="both"/>
    </w:pPr>
  </w:style>
  <w:style w:type="paragraph" w:customStyle="1" w:styleId="TableFormat">
    <w:name w:val="TableFormat"/>
    <w:basedOn w:val="Normal"/>
    <w:rsid w:val="004E0A6F"/>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o,fr,Style 3,Style 13,FR"/>
    <w:semiHidden/>
    <w:rsid w:val="004E0A6F"/>
    <w:rPr>
      <w:vertAlign w:val="superscript"/>
    </w:rPr>
  </w:style>
  <w:style w:type="paragraph" w:styleId="Header">
    <w:name w:val="header"/>
    <w:basedOn w:val="Normal"/>
    <w:rsid w:val="004E0A6F"/>
    <w:pPr>
      <w:tabs>
        <w:tab w:val="center" w:pos="4320"/>
        <w:tab w:val="right" w:pos="8640"/>
      </w:tabs>
    </w:pPr>
  </w:style>
  <w:style w:type="paragraph" w:styleId="Footer">
    <w:name w:val="footer"/>
    <w:basedOn w:val="Normal"/>
    <w:link w:val="FooterChar"/>
    <w:uiPriority w:val="99"/>
    <w:rsid w:val="004E0A6F"/>
    <w:pPr>
      <w:tabs>
        <w:tab w:val="center" w:pos="4320"/>
        <w:tab w:val="right" w:pos="8640"/>
      </w:tabs>
    </w:pPr>
  </w:style>
  <w:style w:type="paragraph" w:styleId="TOC2">
    <w:name w:val="toc 2"/>
    <w:basedOn w:val="Normal"/>
    <w:next w:val="Normal"/>
    <w:semiHidden/>
    <w:rsid w:val="004E0A6F"/>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rsid w:val="004E0A6F"/>
    <w:pPr>
      <w:numPr>
        <w:numId w:val="21"/>
      </w:numPr>
      <w:tabs>
        <w:tab w:val="clear" w:pos="1080"/>
      </w:tabs>
      <w:spacing w:after="220"/>
      <w:ind w:firstLine="0"/>
    </w:pPr>
  </w:style>
  <w:style w:type="paragraph" w:styleId="TOC1">
    <w:name w:val="toc 1"/>
    <w:basedOn w:val="Normal"/>
    <w:next w:val="Normal"/>
    <w:semiHidden/>
    <w:rsid w:val="004E0A6F"/>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rsid w:val="004E0A6F"/>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rsid w:val="004E0A6F"/>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rsid w:val="004E0A6F"/>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rsid w:val="004E0A6F"/>
    <w:pPr>
      <w:widowControl w:val="0"/>
      <w:tabs>
        <w:tab w:val="left" w:leader="dot" w:pos="9360"/>
      </w:tabs>
      <w:suppressAutoHyphens/>
      <w:ind w:left="720" w:hanging="720"/>
      <w:jc w:val="both"/>
    </w:pPr>
  </w:style>
  <w:style w:type="paragraph" w:styleId="TOC7">
    <w:name w:val="toc 7"/>
    <w:basedOn w:val="Normal"/>
    <w:next w:val="Normal"/>
    <w:semiHidden/>
    <w:rsid w:val="004E0A6F"/>
    <w:pPr>
      <w:widowControl w:val="0"/>
      <w:tabs>
        <w:tab w:val="left" w:leader="dot" w:pos="9360"/>
      </w:tabs>
      <w:suppressAutoHyphens/>
      <w:ind w:left="720" w:hanging="720"/>
      <w:jc w:val="both"/>
    </w:pPr>
  </w:style>
  <w:style w:type="paragraph" w:styleId="TOC8">
    <w:name w:val="toc 8"/>
    <w:basedOn w:val="Normal"/>
    <w:next w:val="Normal"/>
    <w:semiHidden/>
    <w:rsid w:val="004E0A6F"/>
    <w:pPr>
      <w:widowControl w:val="0"/>
      <w:tabs>
        <w:tab w:val="left" w:leader="dot" w:pos="9360"/>
      </w:tabs>
      <w:suppressAutoHyphens/>
      <w:ind w:left="720" w:hanging="720"/>
      <w:jc w:val="both"/>
    </w:pPr>
  </w:style>
  <w:style w:type="paragraph" w:styleId="TOC9">
    <w:name w:val="toc 9"/>
    <w:basedOn w:val="Normal"/>
    <w:next w:val="Normal"/>
    <w:semiHidden/>
    <w:rsid w:val="004E0A6F"/>
    <w:pPr>
      <w:tabs>
        <w:tab w:val="left" w:leader="dot" w:pos="9360"/>
      </w:tabs>
      <w:ind w:left="720" w:hanging="720"/>
      <w:jc w:val="both"/>
    </w:pPr>
  </w:style>
  <w:style w:type="character" w:styleId="PageNumber">
    <w:name w:val="page number"/>
    <w:basedOn w:val="DefaultParagraphFont"/>
    <w:rsid w:val="004E0A6F"/>
  </w:style>
  <w:style w:type="paragraph" w:styleId="Title">
    <w:name w:val="Title"/>
    <w:basedOn w:val="Normal"/>
    <w:qFormat/>
    <w:rsid w:val="004E0A6F"/>
    <w:pPr>
      <w:jc w:val="center"/>
    </w:pPr>
    <w:rPr>
      <w:b/>
    </w:rPr>
  </w:style>
  <w:style w:type="paragraph" w:customStyle="1" w:styleId="StyleCentered">
    <w:name w:val="Style Centered"/>
    <w:basedOn w:val="Normal"/>
    <w:autoRedefine/>
    <w:rsid w:val="00B45A70"/>
    <w:pPr>
      <w:jc w:val="center"/>
    </w:pPr>
  </w:style>
  <w:style w:type="paragraph" w:styleId="BalloonText">
    <w:name w:val="Balloon Text"/>
    <w:basedOn w:val="Normal"/>
    <w:semiHidden/>
    <w:rsid w:val="004E0A6F"/>
    <w:rPr>
      <w:rFonts w:ascii="Tahoma" w:hAnsi="Tahoma" w:cs="Tahoma"/>
      <w:sz w:val="16"/>
      <w:szCs w:val="16"/>
    </w:rPr>
  </w:style>
  <w:style w:type="paragraph" w:customStyle="1" w:styleId="ParaNumCharCharCharCharCharCharCharChar">
    <w:name w:val="ParaNum Char Char Char Char Char Char Char Char"/>
    <w:basedOn w:val="Normal"/>
    <w:link w:val="ParaNumCharCharCharCharCharCharCharCharChar"/>
    <w:rsid w:val="004E0A6F"/>
    <w:pPr>
      <w:widowControl w:val="0"/>
      <w:tabs>
        <w:tab w:val="num" w:pos="1020"/>
        <w:tab w:val="left" w:pos="1440"/>
      </w:tabs>
      <w:spacing w:after="220"/>
      <w:ind w:left="-60" w:firstLine="720"/>
      <w:jc w:val="both"/>
    </w:pPr>
  </w:style>
  <w:style w:type="character" w:customStyle="1" w:styleId="ParaNumCharCharCharCharCharCharCharCharChar">
    <w:name w:val="ParaNum Char Char Char Char Char Char Char Char Char"/>
    <w:link w:val="ParaNumCharCharCharCharCharCharCharChar"/>
    <w:rsid w:val="004E0A6F"/>
    <w:rPr>
      <w:sz w:val="22"/>
      <w:lang w:val="en-US" w:eastAsia="en-US" w:bidi="ar-SA"/>
    </w:rPr>
  </w:style>
  <w:style w:type="paragraph" w:styleId="EndnoteText">
    <w:name w:val="endnote text"/>
    <w:basedOn w:val="Normal"/>
    <w:semiHidden/>
    <w:rsid w:val="004E0A6F"/>
    <w:rPr>
      <w:sz w:val="20"/>
    </w:rPr>
  </w:style>
  <w:style w:type="character" w:styleId="EndnoteReference">
    <w:name w:val="endnote reference"/>
    <w:semiHidden/>
    <w:rsid w:val="004E0A6F"/>
    <w:rPr>
      <w:vertAlign w:val="superscript"/>
    </w:rPr>
  </w:style>
  <w:style w:type="character" w:styleId="Hyperlink">
    <w:name w:val="Hyperlink"/>
    <w:rsid w:val="006F231E"/>
    <w:rPr>
      <w:rFonts w:ascii="Verdana" w:hAnsi="Verdana" w:hint="default"/>
      <w:color w:val="336699"/>
      <w:u w:val="single"/>
    </w:rPr>
  </w:style>
  <w:style w:type="character" w:customStyle="1" w:styleId="displayhltext1">
    <w:name w:val="display_hl_text1"/>
    <w:rsid w:val="006F231E"/>
    <w:rPr>
      <w:shd w:val="clear" w:color="auto" w:fill="FFFF99"/>
    </w:rPr>
  </w:style>
  <w:style w:type="character" w:customStyle="1" w:styleId="emphi1">
    <w:name w:val="emphi1"/>
    <w:rsid w:val="006F231E"/>
    <w:rPr>
      <w:i/>
      <w:iCs/>
    </w:rPr>
  </w:style>
  <w:style w:type="paragraph" w:customStyle="1" w:styleId="StyleparanumFirstline0">
    <w:name w:val="Style paranum + First line:  0&quot;"/>
    <w:basedOn w:val="ParaNum"/>
    <w:autoRedefine/>
    <w:rsid w:val="00FE6853"/>
    <w:pPr>
      <w:numPr>
        <w:numId w:val="0"/>
      </w:numPr>
    </w:pPr>
    <w:rPr>
      <w:szCs w:val="20"/>
    </w:rPr>
  </w:style>
  <w:style w:type="character" w:styleId="CommentReference">
    <w:name w:val="annotation reference"/>
    <w:semiHidden/>
    <w:rsid w:val="00A17C0A"/>
    <w:rPr>
      <w:sz w:val="16"/>
      <w:szCs w:val="16"/>
    </w:rPr>
  </w:style>
  <w:style w:type="paragraph" w:styleId="CommentText">
    <w:name w:val="annotation text"/>
    <w:basedOn w:val="Normal"/>
    <w:semiHidden/>
    <w:rsid w:val="00A17C0A"/>
    <w:rPr>
      <w:sz w:val="20"/>
    </w:rPr>
  </w:style>
  <w:style w:type="paragraph" w:styleId="CommentSubject">
    <w:name w:val="annotation subject"/>
    <w:basedOn w:val="CommentText"/>
    <w:next w:val="CommentText"/>
    <w:semiHidden/>
    <w:rsid w:val="00A17C0A"/>
    <w:rPr>
      <w:b/>
      <w:bCs/>
    </w:rPr>
  </w:style>
  <w:style w:type="character" w:customStyle="1" w:styleId="ParaNumCharChar">
    <w:name w:val="ParaNum Char Char"/>
    <w:link w:val="ParaNum"/>
    <w:rsid w:val="00D3728A"/>
    <w:rPr>
      <w:color w:val="000000"/>
      <w:sz w:val="22"/>
      <w:szCs w:val="22"/>
    </w:rPr>
  </w:style>
  <w:style w:type="paragraph" w:customStyle="1" w:styleId="StyleParaNumFirstline00">
    <w:name w:val="Style ParaNum + First line:  0&quot;"/>
    <w:basedOn w:val="ParaNum"/>
    <w:autoRedefine/>
    <w:rsid w:val="00F017D6"/>
    <w:pPr>
      <w:numPr>
        <w:numId w:val="0"/>
      </w:numPr>
      <w:ind w:left="720"/>
      <w:jc w:val="center"/>
    </w:pPr>
    <w:rPr>
      <w:b/>
    </w:rPr>
  </w:style>
  <w:style w:type="character" w:customStyle="1" w:styleId="displayhltextactive1">
    <w:name w:val="display_hl_text_active1"/>
    <w:rsid w:val="00881644"/>
    <w:rPr>
      <w:bdr w:val="single" w:sz="6" w:space="0" w:color="993333" w:frame="1"/>
      <w:shd w:val="clear" w:color="auto" w:fill="FFFF99"/>
    </w:rPr>
  </w:style>
  <w:style w:type="character" w:customStyle="1" w:styleId="emphb1">
    <w:name w:val="emphb1"/>
    <w:rsid w:val="008904D6"/>
    <w:rPr>
      <w:b/>
      <w:bCs/>
    </w:rPr>
  </w:style>
  <w:style w:type="paragraph" w:customStyle="1" w:styleId="Paratitle">
    <w:name w:val="Para title"/>
    <w:basedOn w:val="Normal"/>
    <w:link w:val="ParatitleChar"/>
    <w:rsid w:val="008F192D"/>
    <w:pPr>
      <w:widowControl w:val="0"/>
      <w:tabs>
        <w:tab w:val="center" w:pos="9270"/>
      </w:tabs>
      <w:spacing w:after="240"/>
    </w:pPr>
    <w:rPr>
      <w:snapToGrid w:val="0"/>
      <w:spacing w:val="-2"/>
      <w:kern w:val="28"/>
    </w:rPr>
  </w:style>
  <w:style w:type="character" w:customStyle="1" w:styleId="ParatitleChar">
    <w:name w:val="Para title Char"/>
    <w:link w:val="Paratitle"/>
    <w:rsid w:val="008F192D"/>
    <w:rPr>
      <w:snapToGrid w:val="0"/>
      <w:spacing w:val="-2"/>
      <w:kern w:val="28"/>
      <w:sz w:val="22"/>
      <w:lang w:val="en-US" w:eastAsia="en-US" w:bidi="ar-SA"/>
    </w:rPr>
  </w:style>
  <w:style w:type="character" w:customStyle="1" w:styleId="FooterChar">
    <w:name w:val="Footer Char"/>
    <w:basedOn w:val="DefaultParagraphFont"/>
    <w:link w:val="Footer"/>
    <w:uiPriority w:val="99"/>
    <w:rsid w:val="00C8689B"/>
    <w:rPr>
      <w:sz w:val="22"/>
    </w:rPr>
  </w:style>
  <w:style w:type="paragraph" w:styleId="Revision">
    <w:name w:val="Revision"/>
    <w:hidden/>
    <w:uiPriority w:val="99"/>
    <w:semiHidden/>
    <w:rsid w:val="00613F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646">
      <w:bodyDiv w:val="1"/>
      <w:marLeft w:val="0"/>
      <w:marRight w:val="0"/>
      <w:marTop w:val="0"/>
      <w:marBottom w:val="0"/>
      <w:divBdr>
        <w:top w:val="none" w:sz="0" w:space="0" w:color="auto"/>
        <w:left w:val="none" w:sz="0" w:space="0" w:color="auto"/>
        <w:bottom w:val="none" w:sz="0" w:space="0" w:color="auto"/>
        <w:right w:val="none" w:sz="0" w:space="0" w:color="auto"/>
      </w:divBdr>
    </w:div>
    <w:div w:id="93982712">
      <w:bodyDiv w:val="1"/>
      <w:marLeft w:val="0"/>
      <w:marRight w:val="0"/>
      <w:marTop w:val="0"/>
      <w:marBottom w:val="0"/>
      <w:divBdr>
        <w:top w:val="none" w:sz="0" w:space="0" w:color="auto"/>
        <w:left w:val="none" w:sz="0" w:space="0" w:color="auto"/>
        <w:bottom w:val="none" w:sz="0" w:space="0" w:color="auto"/>
        <w:right w:val="none" w:sz="0" w:space="0" w:color="auto"/>
      </w:divBdr>
    </w:div>
    <w:div w:id="217012377">
      <w:bodyDiv w:val="1"/>
      <w:marLeft w:val="0"/>
      <w:marRight w:val="0"/>
      <w:marTop w:val="0"/>
      <w:marBottom w:val="0"/>
      <w:divBdr>
        <w:top w:val="none" w:sz="0" w:space="0" w:color="auto"/>
        <w:left w:val="none" w:sz="0" w:space="0" w:color="auto"/>
        <w:bottom w:val="none" w:sz="0" w:space="0" w:color="auto"/>
        <w:right w:val="none" w:sz="0" w:space="0" w:color="auto"/>
      </w:divBdr>
    </w:div>
    <w:div w:id="271523459">
      <w:bodyDiv w:val="1"/>
      <w:marLeft w:val="0"/>
      <w:marRight w:val="0"/>
      <w:marTop w:val="0"/>
      <w:marBottom w:val="0"/>
      <w:divBdr>
        <w:top w:val="none" w:sz="0" w:space="0" w:color="auto"/>
        <w:left w:val="none" w:sz="0" w:space="0" w:color="auto"/>
        <w:bottom w:val="none" w:sz="0" w:space="0" w:color="auto"/>
        <w:right w:val="none" w:sz="0" w:space="0" w:color="auto"/>
      </w:divBdr>
    </w:div>
    <w:div w:id="279192056">
      <w:bodyDiv w:val="1"/>
      <w:marLeft w:val="0"/>
      <w:marRight w:val="0"/>
      <w:marTop w:val="0"/>
      <w:marBottom w:val="0"/>
      <w:divBdr>
        <w:top w:val="none" w:sz="0" w:space="0" w:color="auto"/>
        <w:left w:val="none" w:sz="0" w:space="0" w:color="auto"/>
        <w:bottom w:val="none" w:sz="0" w:space="0" w:color="auto"/>
        <w:right w:val="none" w:sz="0" w:space="0" w:color="auto"/>
      </w:divBdr>
    </w:div>
    <w:div w:id="393898575">
      <w:bodyDiv w:val="1"/>
      <w:marLeft w:val="0"/>
      <w:marRight w:val="0"/>
      <w:marTop w:val="0"/>
      <w:marBottom w:val="0"/>
      <w:divBdr>
        <w:top w:val="none" w:sz="0" w:space="0" w:color="auto"/>
        <w:left w:val="none" w:sz="0" w:space="0" w:color="auto"/>
        <w:bottom w:val="none" w:sz="0" w:space="0" w:color="auto"/>
        <w:right w:val="none" w:sz="0" w:space="0" w:color="auto"/>
      </w:divBdr>
    </w:div>
    <w:div w:id="550534031">
      <w:bodyDiv w:val="1"/>
      <w:marLeft w:val="0"/>
      <w:marRight w:val="0"/>
      <w:marTop w:val="0"/>
      <w:marBottom w:val="0"/>
      <w:divBdr>
        <w:top w:val="none" w:sz="0" w:space="0" w:color="auto"/>
        <w:left w:val="none" w:sz="0" w:space="0" w:color="auto"/>
        <w:bottom w:val="none" w:sz="0" w:space="0" w:color="auto"/>
        <w:right w:val="none" w:sz="0" w:space="0" w:color="auto"/>
      </w:divBdr>
      <w:divsChild>
        <w:div w:id="1697852667">
          <w:marLeft w:val="0"/>
          <w:marRight w:val="0"/>
          <w:marTop w:val="0"/>
          <w:marBottom w:val="0"/>
          <w:divBdr>
            <w:top w:val="none" w:sz="0" w:space="0" w:color="auto"/>
            <w:left w:val="none" w:sz="0" w:space="0" w:color="auto"/>
            <w:bottom w:val="none" w:sz="0" w:space="0" w:color="auto"/>
            <w:right w:val="none" w:sz="0" w:space="0" w:color="auto"/>
          </w:divBdr>
          <w:divsChild>
            <w:div w:id="1449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9644">
      <w:bodyDiv w:val="1"/>
      <w:marLeft w:val="0"/>
      <w:marRight w:val="0"/>
      <w:marTop w:val="0"/>
      <w:marBottom w:val="0"/>
      <w:divBdr>
        <w:top w:val="none" w:sz="0" w:space="0" w:color="auto"/>
        <w:left w:val="none" w:sz="0" w:space="0" w:color="auto"/>
        <w:bottom w:val="none" w:sz="0" w:space="0" w:color="auto"/>
        <w:right w:val="none" w:sz="0" w:space="0" w:color="auto"/>
      </w:divBdr>
    </w:div>
    <w:div w:id="672075814">
      <w:bodyDiv w:val="1"/>
      <w:marLeft w:val="0"/>
      <w:marRight w:val="0"/>
      <w:marTop w:val="0"/>
      <w:marBottom w:val="0"/>
      <w:divBdr>
        <w:top w:val="none" w:sz="0" w:space="0" w:color="auto"/>
        <w:left w:val="none" w:sz="0" w:space="0" w:color="auto"/>
        <w:bottom w:val="none" w:sz="0" w:space="0" w:color="auto"/>
        <w:right w:val="none" w:sz="0" w:space="0" w:color="auto"/>
      </w:divBdr>
    </w:div>
    <w:div w:id="872694058">
      <w:bodyDiv w:val="1"/>
      <w:marLeft w:val="0"/>
      <w:marRight w:val="0"/>
      <w:marTop w:val="0"/>
      <w:marBottom w:val="0"/>
      <w:divBdr>
        <w:top w:val="none" w:sz="0" w:space="0" w:color="auto"/>
        <w:left w:val="none" w:sz="0" w:space="0" w:color="auto"/>
        <w:bottom w:val="none" w:sz="0" w:space="0" w:color="auto"/>
        <w:right w:val="none" w:sz="0" w:space="0" w:color="auto"/>
      </w:divBdr>
      <w:divsChild>
        <w:div w:id="932399364">
          <w:marLeft w:val="0"/>
          <w:marRight w:val="0"/>
          <w:marTop w:val="0"/>
          <w:marBottom w:val="0"/>
          <w:divBdr>
            <w:top w:val="none" w:sz="0" w:space="0" w:color="auto"/>
            <w:left w:val="none" w:sz="0" w:space="0" w:color="auto"/>
            <w:bottom w:val="none" w:sz="0" w:space="0" w:color="auto"/>
            <w:right w:val="none" w:sz="0" w:space="0" w:color="auto"/>
          </w:divBdr>
          <w:divsChild>
            <w:div w:id="1611430972">
              <w:marLeft w:val="0"/>
              <w:marRight w:val="0"/>
              <w:marTop w:val="0"/>
              <w:marBottom w:val="0"/>
              <w:divBdr>
                <w:top w:val="none" w:sz="0" w:space="0" w:color="auto"/>
                <w:left w:val="none" w:sz="0" w:space="0" w:color="auto"/>
                <w:bottom w:val="none" w:sz="0" w:space="0" w:color="auto"/>
                <w:right w:val="none" w:sz="0" w:space="0" w:color="auto"/>
              </w:divBdr>
              <w:divsChild>
                <w:div w:id="2135588358">
                  <w:marLeft w:val="0"/>
                  <w:marRight w:val="2865"/>
                  <w:marTop w:val="0"/>
                  <w:marBottom w:val="0"/>
                  <w:divBdr>
                    <w:top w:val="none" w:sz="0" w:space="0" w:color="auto"/>
                    <w:left w:val="none" w:sz="0" w:space="0" w:color="auto"/>
                    <w:bottom w:val="none" w:sz="0" w:space="0" w:color="auto"/>
                    <w:right w:val="none" w:sz="0" w:space="0" w:color="auto"/>
                  </w:divBdr>
                  <w:divsChild>
                    <w:div w:id="6691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462694">
      <w:bodyDiv w:val="1"/>
      <w:marLeft w:val="0"/>
      <w:marRight w:val="0"/>
      <w:marTop w:val="0"/>
      <w:marBottom w:val="0"/>
      <w:divBdr>
        <w:top w:val="none" w:sz="0" w:space="0" w:color="auto"/>
        <w:left w:val="none" w:sz="0" w:space="0" w:color="auto"/>
        <w:bottom w:val="none" w:sz="0" w:space="0" w:color="auto"/>
        <w:right w:val="none" w:sz="0" w:space="0" w:color="auto"/>
      </w:divBdr>
    </w:div>
    <w:div w:id="1008408747">
      <w:bodyDiv w:val="1"/>
      <w:marLeft w:val="0"/>
      <w:marRight w:val="0"/>
      <w:marTop w:val="0"/>
      <w:marBottom w:val="0"/>
      <w:divBdr>
        <w:top w:val="none" w:sz="0" w:space="0" w:color="auto"/>
        <w:left w:val="none" w:sz="0" w:space="0" w:color="auto"/>
        <w:bottom w:val="none" w:sz="0" w:space="0" w:color="auto"/>
        <w:right w:val="none" w:sz="0" w:space="0" w:color="auto"/>
      </w:divBdr>
      <w:divsChild>
        <w:div w:id="96606170">
          <w:marLeft w:val="0"/>
          <w:marRight w:val="0"/>
          <w:marTop w:val="0"/>
          <w:marBottom w:val="0"/>
          <w:divBdr>
            <w:top w:val="none" w:sz="0" w:space="0" w:color="auto"/>
            <w:left w:val="none" w:sz="0" w:space="0" w:color="auto"/>
            <w:bottom w:val="none" w:sz="0" w:space="0" w:color="auto"/>
            <w:right w:val="none" w:sz="0" w:space="0" w:color="auto"/>
          </w:divBdr>
        </w:div>
        <w:div w:id="139465371">
          <w:marLeft w:val="0"/>
          <w:marRight w:val="0"/>
          <w:marTop w:val="0"/>
          <w:marBottom w:val="0"/>
          <w:divBdr>
            <w:top w:val="none" w:sz="0" w:space="0" w:color="auto"/>
            <w:left w:val="none" w:sz="0" w:space="0" w:color="auto"/>
            <w:bottom w:val="none" w:sz="0" w:space="0" w:color="auto"/>
            <w:right w:val="none" w:sz="0" w:space="0" w:color="auto"/>
          </w:divBdr>
        </w:div>
        <w:div w:id="1155146557">
          <w:marLeft w:val="0"/>
          <w:marRight w:val="0"/>
          <w:marTop w:val="0"/>
          <w:marBottom w:val="0"/>
          <w:divBdr>
            <w:top w:val="none" w:sz="0" w:space="0" w:color="auto"/>
            <w:left w:val="none" w:sz="0" w:space="0" w:color="auto"/>
            <w:bottom w:val="none" w:sz="0" w:space="0" w:color="auto"/>
            <w:right w:val="none" w:sz="0" w:space="0" w:color="auto"/>
          </w:divBdr>
        </w:div>
        <w:div w:id="1740444657">
          <w:marLeft w:val="0"/>
          <w:marRight w:val="0"/>
          <w:marTop w:val="0"/>
          <w:marBottom w:val="0"/>
          <w:divBdr>
            <w:top w:val="none" w:sz="0" w:space="0" w:color="auto"/>
            <w:left w:val="none" w:sz="0" w:space="0" w:color="auto"/>
            <w:bottom w:val="none" w:sz="0" w:space="0" w:color="auto"/>
            <w:right w:val="none" w:sz="0" w:space="0" w:color="auto"/>
          </w:divBdr>
        </w:div>
        <w:div w:id="376198915">
          <w:marLeft w:val="0"/>
          <w:marRight w:val="0"/>
          <w:marTop w:val="0"/>
          <w:marBottom w:val="0"/>
          <w:divBdr>
            <w:top w:val="none" w:sz="0" w:space="0" w:color="auto"/>
            <w:left w:val="none" w:sz="0" w:space="0" w:color="auto"/>
            <w:bottom w:val="none" w:sz="0" w:space="0" w:color="auto"/>
            <w:right w:val="none" w:sz="0" w:space="0" w:color="auto"/>
          </w:divBdr>
        </w:div>
        <w:div w:id="554656996">
          <w:marLeft w:val="0"/>
          <w:marRight w:val="0"/>
          <w:marTop w:val="0"/>
          <w:marBottom w:val="0"/>
          <w:divBdr>
            <w:top w:val="none" w:sz="0" w:space="0" w:color="auto"/>
            <w:left w:val="none" w:sz="0" w:space="0" w:color="auto"/>
            <w:bottom w:val="none" w:sz="0" w:space="0" w:color="auto"/>
            <w:right w:val="none" w:sz="0" w:space="0" w:color="auto"/>
          </w:divBdr>
        </w:div>
        <w:div w:id="816845142">
          <w:marLeft w:val="0"/>
          <w:marRight w:val="0"/>
          <w:marTop w:val="0"/>
          <w:marBottom w:val="0"/>
          <w:divBdr>
            <w:top w:val="none" w:sz="0" w:space="0" w:color="auto"/>
            <w:left w:val="none" w:sz="0" w:space="0" w:color="auto"/>
            <w:bottom w:val="none" w:sz="0" w:space="0" w:color="auto"/>
            <w:right w:val="none" w:sz="0" w:space="0" w:color="auto"/>
          </w:divBdr>
        </w:div>
        <w:div w:id="759066777">
          <w:marLeft w:val="0"/>
          <w:marRight w:val="0"/>
          <w:marTop w:val="0"/>
          <w:marBottom w:val="0"/>
          <w:divBdr>
            <w:top w:val="none" w:sz="0" w:space="0" w:color="auto"/>
            <w:left w:val="none" w:sz="0" w:space="0" w:color="auto"/>
            <w:bottom w:val="none" w:sz="0" w:space="0" w:color="auto"/>
            <w:right w:val="none" w:sz="0" w:space="0" w:color="auto"/>
          </w:divBdr>
        </w:div>
      </w:divsChild>
    </w:div>
    <w:div w:id="1150757573">
      <w:bodyDiv w:val="1"/>
      <w:marLeft w:val="0"/>
      <w:marRight w:val="0"/>
      <w:marTop w:val="0"/>
      <w:marBottom w:val="0"/>
      <w:divBdr>
        <w:top w:val="none" w:sz="0" w:space="0" w:color="auto"/>
        <w:left w:val="none" w:sz="0" w:space="0" w:color="auto"/>
        <w:bottom w:val="none" w:sz="0" w:space="0" w:color="auto"/>
        <w:right w:val="none" w:sz="0" w:space="0" w:color="auto"/>
      </w:divBdr>
    </w:div>
    <w:div w:id="1261570617">
      <w:bodyDiv w:val="1"/>
      <w:marLeft w:val="0"/>
      <w:marRight w:val="0"/>
      <w:marTop w:val="0"/>
      <w:marBottom w:val="0"/>
      <w:divBdr>
        <w:top w:val="none" w:sz="0" w:space="0" w:color="auto"/>
        <w:left w:val="none" w:sz="0" w:space="0" w:color="auto"/>
        <w:bottom w:val="none" w:sz="0" w:space="0" w:color="auto"/>
        <w:right w:val="none" w:sz="0" w:space="0" w:color="auto"/>
      </w:divBdr>
    </w:div>
    <w:div w:id="1307398715">
      <w:bodyDiv w:val="1"/>
      <w:marLeft w:val="0"/>
      <w:marRight w:val="0"/>
      <w:marTop w:val="0"/>
      <w:marBottom w:val="0"/>
      <w:divBdr>
        <w:top w:val="none" w:sz="0" w:space="0" w:color="auto"/>
        <w:left w:val="none" w:sz="0" w:space="0" w:color="auto"/>
        <w:bottom w:val="none" w:sz="0" w:space="0" w:color="auto"/>
        <w:right w:val="none" w:sz="0" w:space="0" w:color="auto"/>
      </w:divBdr>
    </w:div>
    <w:div w:id="1374116658">
      <w:bodyDiv w:val="1"/>
      <w:marLeft w:val="0"/>
      <w:marRight w:val="0"/>
      <w:marTop w:val="0"/>
      <w:marBottom w:val="0"/>
      <w:divBdr>
        <w:top w:val="none" w:sz="0" w:space="0" w:color="auto"/>
        <w:left w:val="none" w:sz="0" w:space="0" w:color="auto"/>
        <w:bottom w:val="none" w:sz="0" w:space="0" w:color="auto"/>
        <w:right w:val="none" w:sz="0" w:space="0" w:color="auto"/>
      </w:divBdr>
      <w:divsChild>
        <w:div w:id="1675570184">
          <w:marLeft w:val="0"/>
          <w:marRight w:val="0"/>
          <w:marTop w:val="0"/>
          <w:marBottom w:val="0"/>
          <w:divBdr>
            <w:top w:val="none" w:sz="0" w:space="0" w:color="auto"/>
            <w:left w:val="none" w:sz="0" w:space="0" w:color="auto"/>
            <w:bottom w:val="none" w:sz="0" w:space="0" w:color="auto"/>
            <w:right w:val="none" w:sz="0" w:space="0" w:color="auto"/>
          </w:divBdr>
          <w:divsChild>
            <w:div w:id="1318917578">
              <w:marLeft w:val="0"/>
              <w:marRight w:val="2865"/>
              <w:marTop w:val="0"/>
              <w:marBottom w:val="0"/>
              <w:divBdr>
                <w:top w:val="none" w:sz="0" w:space="0" w:color="auto"/>
                <w:left w:val="none" w:sz="0" w:space="0" w:color="auto"/>
                <w:bottom w:val="none" w:sz="0" w:space="0" w:color="auto"/>
                <w:right w:val="none" w:sz="0" w:space="0" w:color="auto"/>
              </w:divBdr>
              <w:divsChild>
                <w:div w:id="5741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069">
      <w:bodyDiv w:val="1"/>
      <w:marLeft w:val="0"/>
      <w:marRight w:val="0"/>
      <w:marTop w:val="0"/>
      <w:marBottom w:val="0"/>
      <w:divBdr>
        <w:top w:val="none" w:sz="0" w:space="0" w:color="auto"/>
        <w:left w:val="none" w:sz="0" w:space="0" w:color="auto"/>
        <w:bottom w:val="none" w:sz="0" w:space="0" w:color="auto"/>
        <w:right w:val="none" w:sz="0" w:space="0" w:color="auto"/>
      </w:divBdr>
    </w:div>
    <w:div w:id="1550190571">
      <w:bodyDiv w:val="1"/>
      <w:marLeft w:val="0"/>
      <w:marRight w:val="0"/>
      <w:marTop w:val="0"/>
      <w:marBottom w:val="0"/>
      <w:divBdr>
        <w:top w:val="none" w:sz="0" w:space="0" w:color="auto"/>
        <w:left w:val="none" w:sz="0" w:space="0" w:color="auto"/>
        <w:bottom w:val="none" w:sz="0" w:space="0" w:color="auto"/>
        <w:right w:val="none" w:sz="0" w:space="0" w:color="auto"/>
      </w:divBdr>
    </w:div>
    <w:div w:id="1570654320">
      <w:bodyDiv w:val="1"/>
      <w:marLeft w:val="0"/>
      <w:marRight w:val="0"/>
      <w:marTop w:val="0"/>
      <w:marBottom w:val="0"/>
      <w:divBdr>
        <w:top w:val="none" w:sz="0" w:space="0" w:color="auto"/>
        <w:left w:val="none" w:sz="0" w:space="0" w:color="auto"/>
        <w:bottom w:val="none" w:sz="0" w:space="0" w:color="auto"/>
        <w:right w:val="none" w:sz="0" w:space="0" w:color="auto"/>
      </w:divBdr>
    </w:div>
    <w:div w:id="1726103959">
      <w:bodyDiv w:val="1"/>
      <w:marLeft w:val="0"/>
      <w:marRight w:val="0"/>
      <w:marTop w:val="0"/>
      <w:marBottom w:val="0"/>
      <w:divBdr>
        <w:top w:val="none" w:sz="0" w:space="0" w:color="auto"/>
        <w:left w:val="none" w:sz="0" w:space="0" w:color="auto"/>
        <w:bottom w:val="none" w:sz="0" w:space="0" w:color="auto"/>
        <w:right w:val="none" w:sz="0" w:space="0" w:color="auto"/>
      </w:divBdr>
      <w:divsChild>
        <w:div w:id="807018701">
          <w:marLeft w:val="0"/>
          <w:marRight w:val="0"/>
          <w:marTop w:val="0"/>
          <w:marBottom w:val="0"/>
          <w:divBdr>
            <w:top w:val="none" w:sz="0" w:space="0" w:color="auto"/>
            <w:left w:val="none" w:sz="0" w:space="0" w:color="auto"/>
            <w:bottom w:val="none" w:sz="0" w:space="0" w:color="auto"/>
            <w:right w:val="none" w:sz="0" w:space="0" w:color="auto"/>
          </w:divBdr>
          <w:divsChild>
            <w:div w:id="1272591251">
              <w:marLeft w:val="0"/>
              <w:marRight w:val="2775"/>
              <w:marTop w:val="0"/>
              <w:marBottom w:val="0"/>
              <w:divBdr>
                <w:top w:val="none" w:sz="0" w:space="0" w:color="auto"/>
                <w:left w:val="none" w:sz="0" w:space="0" w:color="auto"/>
                <w:bottom w:val="none" w:sz="0" w:space="0" w:color="auto"/>
                <w:right w:val="none" w:sz="0" w:space="0" w:color="auto"/>
              </w:divBdr>
              <w:divsChild>
                <w:div w:id="11969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1312">
      <w:bodyDiv w:val="1"/>
      <w:marLeft w:val="0"/>
      <w:marRight w:val="0"/>
      <w:marTop w:val="0"/>
      <w:marBottom w:val="0"/>
      <w:divBdr>
        <w:top w:val="none" w:sz="0" w:space="0" w:color="auto"/>
        <w:left w:val="none" w:sz="0" w:space="0" w:color="auto"/>
        <w:bottom w:val="none" w:sz="0" w:space="0" w:color="auto"/>
        <w:right w:val="none" w:sz="0" w:space="0" w:color="auto"/>
      </w:divBdr>
    </w:div>
    <w:div w:id="1848905893">
      <w:bodyDiv w:val="1"/>
      <w:marLeft w:val="0"/>
      <w:marRight w:val="0"/>
      <w:marTop w:val="0"/>
      <w:marBottom w:val="0"/>
      <w:divBdr>
        <w:top w:val="none" w:sz="0" w:space="0" w:color="auto"/>
        <w:left w:val="none" w:sz="0" w:space="0" w:color="auto"/>
        <w:bottom w:val="none" w:sz="0" w:space="0" w:color="auto"/>
        <w:right w:val="none" w:sz="0" w:space="0" w:color="auto"/>
      </w:divBdr>
    </w:div>
    <w:div w:id="2020765802">
      <w:bodyDiv w:val="1"/>
      <w:marLeft w:val="0"/>
      <w:marRight w:val="0"/>
      <w:marTop w:val="0"/>
      <w:marBottom w:val="0"/>
      <w:divBdr>
        <w:top w:val="none" w:sz="0" w:space="0" w:color="auto"/>
        <w:left w:val="none" w:sz="0" w:space="0" w:color="auto"/>
        <w:bottom w:val="none" w:sz="0" w:space="0" w:color="auto"/>
        <w:right w:val="none" w:sz="0" w:space="0" w:color="auto"/>
      </w:divBdr>
      <w:divsChild>
        <w:div w:id="116759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3695</Words>
  <Characters>19713</Characters>
  <Application>Microsoft Office Word</Application>
  <DocSecurity>0</DocSecurity>
  <Lines>297</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23501</CharactersWithSpaces>
  <SharedDoc>false</SharedDoc>
  <HyperlinkBase> </HyperlinkBase>
  <HLinks>
    <vt:vector size="24" baseType="variant">
      <vt:variant>
        <vt:i4>2424898</vt:i4>
      </vt:variant>
      <vt:variant>
        <vt:i4>9</vt:i4>
      </vt:variant>
      <vt:variant>
        <vt:i4>0</vt:i4>
      </vt:variant>
      <vt:variant>
        <vt:i4>5</vt:i4>
      </vt:variant>
      <vt:variant>
        <vt:lpwstr>http://telecomlaw.bna.com/terc/display/link_res.adp?fedfid=24051760&amp;fname=fccrcd_15_5140&amp;vname=comrgdec</vt:lpwstr>
      </vt:variant>
      <vt:variant>
        <vt:lpwstr/>
      </vt:variant>
      <vt:variant>
        <vt:i4>5832801</vt:i4>
      </vt:variant>
      <vt:variant>
        <vt:i4>6</vt:i4>
      </vt:variant>
      <vt:variant>
        <vt:i4>0</vt:i4>
      </vt:variant>
      <vt:variant>
        <vt:i4>5</vt:i4>
      </vt:variant>
      <vt:variant>
        <vt:lpwstr>http://telecomlaw.bna.com/terc/display/link_res.adp?fedfid=18419645&amp;fname=fccrcd_13_14187&amp;vname=comrgdec</vt:lpwstr>
      </vt:variant>
      <vt:variant>
        <vt:lpwstr/>
      </vt:variant>
      <vt:variant>
        <vt:i4>5832801</vt:i4>
      </vt:variant>
      <vt:variant>
        <vt:i4>3</vt:i4>
      </vt:variant>
      <vt:variant>
        <vt:i4>0</vt:i4>
      </vt:variant>
      <vt:variant>
        <vt:i4>5</vt:i4>
      </vt:variant>
      <vt:variant>
        <vt:lpwstr>http://telecomlaw.bna.com/terc/display/link_res.adp?fedfid=18419645&amp;fname=fccrcd_13_14187&amp;vname=comrgdec</vt:lpwstr>
      </vt:variant>
      <vt:variant>
        <vt:lpwstr/>
      </vt:variant>
      <vt:variant>
        <vt:i4>3342409</vt:i4>
      </vt:variant>
      <vt:variant>
        <vt:i4>0</vt:i4>
      </vt:variant>
      <vt:variant>
        <vt:i4>0</vt:i4>
      </vt:variant>
      <vt:variant>
        <vt:i4>5</vt:i4>
      </vt:variant>
      <vt:variant>
        <vt:lpwstr>http://telecomlaw.bna.com/terc/display/link_res.adp?fedfid=23404260&amp;fname=f3d_269_1098&amp;vname=comrgdec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2014-03-11T18:11:00Z</dcterms:created>
  <dcterms:modified xsi:type="dcterms:W3CDTF">2014-03-11T18:11:00Z</dcterms:modified>
  <cp:category> </cp:category>
  <cp:contentStatus> </cp:contentStatus>
</cp:coreProperties>
</file>