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9A" w:rsidRPr="00DF43A3" w:rsidRDefault="0054159A" w:rsidP="0054159A">
      <w:pPr>
        <w:jc w:val="center"/>
        <w:rPr>
          <w:b/>
          <w:szCs w:val="22"/>
        </w:rPr>
      </w:pPr>
      <w:bookmarkStart w:id="0" w:name="_GoBack"/>
      <w:bookmarkEnd w:id="0"/>
    </w:p>
    <w:p w:rsidR="0054159A" w:rsidRPr="00DF43A3" w:rsidRDefault="0054159A" w:rsidP="0054159A">
      <w:pPr>
        <w:jc w:val="center"/>
        <w:rPr>
          <w:b/>
          <w:szCs w:val="22"/>
        </w:rPr>
      </w:pPr>
      <w:r w:rsidRPr="00DF43A3">
        <w:rPr>
          <w:b/>
          <w:szCs w:val="22"/>
        </w:rPr>
        <w:t>Before the</w:t>
      </w:r>
    </w:p>
    <w:p w:rsidR="0054159A" w:rsidRPr="00DF43A3" w:rsidRDefault="0054159A" w:rsidP="0054159A">
      <w:pPr>
        <w:jc w:val="center"/>
        <w:rPr>
          <w:b/>
          <w:szCs w:val="22"/>
        </w:rPr>
      </w:pPr>
      <w:r w:rsidRPr="00DF43A3">
        <w:rPr>
          <w:b/>
          <w:szCs w:val="22"/>
        </w:rPr>
        <w:t>Federal Communications Commission</w:t>
      </w:r>
    </w:p>
    <w:p w:rsidR="0054159A" w:rsidRPr="00DF43A3" w:rsidRDefault="0054159A" w:rsidP="0054159A">
      <w:pPr>
        <w:jc w:val="center"/>
        <w:rPr>
          <w:b/>
          <w:szCs w:val="22"/>
        </w:rPr>
      </w:pPr>
      <w:smartTag w:uri="urn:schemas-microsoft-com:office:smarttags" w:element="place">
        <w:smartTag w:uri="urn:schemas-microsoft-com:office:smarttags" w:element="City">
          <w:r w:rsidRPr="00DF43A3">
            <w:rPr>
              <w:b/>
              <w:szCs w:val="22"/>
            </w:rPr>
            <w:t>Washington</w:t>
          </w:r>
        </w:smartTag>
        <w:r w:rsidRPr="00DF43A3">
          <w:rPr>
            <w:b/>
            <w:szCs w:val="22"/>
          </w:rPr>
          <w:t xml:space="preserve">, </w:t>
        </w:r>
        <w:smartTag w:uri="urn:schemas-microsoft-com:office:smarttags" w:element="State">
          <w:r w:rsidRPr="00DF43A3">
            <w:rPr>
              <w:b/>
              <w:szCs w:val="22"/>
            </w:rPr>
            <w:t>D.C.</w:t>
          </w:r>
        </w:smartTag>
        <w:r w:rsidRPr="00DF43A3">
          <w:rPr>
            <w:b/>
            <w:szCs w:val="22"/>
          </w:rPr>
          <w:t xml:space="preserve"> </w:t>
        </w:r>
        <w:smartTag w:uri="urn:schemas-microsoft-com:office:smarttags" w:element="PostalCode">
          <w:r w:rsidRPr="00DF43A3">
            <w:rPr>
              <w:b/>
              <w:szCs w:val="22"/>
            </w:rPr>
            <w:t>20554</w:t>
          </w:r>
        </w:smartTag>
      </w:smartTag>
    </w:p>
    <w:p w:rsidR="0054159A" w:rsidRPr="00DF43A3" w:rsidRDefault="0054159A" w:rsidP="0054159A">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720"/>
        <w:gridCol w:w="4158"/>
      </w:tblGrid>
      <w:tr w:rsidR="0054159A" w:rsidRPr="00DF43A3">
        <w:tc>
          <w:tcPr>
            <w:tcW w:w="4698" w:type="dxa"/>
          </w:tcPr>
          <w:p w:rsidR="0054159A" w:rsidRPr="00DF43A3" w:rsidRDefault="0054159A" w:rsidP="0054159A">
            <w:pPr>
              <w:tabs>
                <w:tab w:val="center" w:pos="4680"/>
                <w:tab w:val="left" w:pos="6840"/>
              </w:tabs>
              <w:suppressAutoHyphens/>
              <w:rPr>
                <w:spacing w:val="-2"/>
              </w:rPr>
            </w:pPr>
            <w:r w:rsidRPr="00DF43A3">
              <w:rPr>
                <w:spacing w:val="-2"/>
              </w:rPr>
              <w:t>In the Matter of</w:t>
            </w:r>
          </w:p>
          <w:p w:rsidR="0054159A" w:rsidRPr="00DF43A3" w:rsidRDefault="0054159A" w:rsidP="0054159A">
            <w:pPr>
              <w:tabs>
                <w:tab w:val="center" w:pos="4680"/>
                <w:tab w:val="left" w:pos="6840"/>
              </w:tabs>
              <w:suppressAutoHyphens/>
              <w:rPr>
                <w:spacing w:val="-2"/>
              </w:rPr>
            </w:pPr>
          </w:p>
          <w:p w:rsidR="0054159A" w:rsidRPr="00DF43A3" w:rsidRDefault="0054159A" w:rsidP="0054159A">
            <w:pPr>
              <w:tabs>
                <w:tab w:val="left" w:pos="6840"/>
              </w:tabs>
            </w:pPr>
            <w:r w:rsidRPr="00DF43A3">
              <w:t>CruiseEmail</w:t>
            </w:r>
          </w:p>
        </w:tc>
        <w:tc>
          <w:tcPr>
            <w:tcW w:w="720" w:type="dxa"/>
          </w:tcPr>
          <w:p w:rsidR="0054159A" w:rsidRPr="00DF43A3" w:rsidRDefault="0054159A" w:rsidP="0054159A">
            <w:pPr>
              <w:tabs>
                <w:tab w:val="center" w:pos="4680"/>
                <w:tab w:val="left" w:pos="6840"/>
              </w:tabs>
              <w:suppressAutoHyphens/>
              <w:rPr>
                <w:b/>
                <w:spacing w:val="-2"/>
              </w:rPr>
            </w:pPr>
            <w:r w:rsidRPr="00DF43A3">
              <w:rPr>
                <w:b/>
                <w:spacing w:val="-2"/>
              </w:rPr>
              <w:t>)</w:t>
            </w:r>
          </w:p>
          <w:p w:rsidR="0054159A" w:rsidRPr="00DF43A3" w:rsidRDefault="0054159A" w:rsidP="0054159A">
            <w:pPr>
              <w:tabs>
                <w:tab w:val="center" w:pos="4680"/>
                <w:tab w:val="left" w:pos="6840"/>
              </w:tabs>
              <w:suppressAutoHyphens/>
              <w:rPr>
                <w:b/>
                <w:spacing w:val="-2"/>
              </w:rPr>
            </w:pPr>
            <w:r w:rsidRPr="00DF43A3">
              <w:rPr>
                <w:b/>
                <w:spacing w:val="-2"/>
              </w:rPr>
              <w:t>)</w:t>
            </w:r>
          </w:p>
          <w:p w:rsidR="0054159A" w:rsidRPr="00DF43A3" w:rsidRDefault="0054159A" w:rsidP="0054159A">
            <w:pPr>
              <w:tabs>
                <w:tab w:val="center" w:pos="4680"/>
                <w:tab w:val="left" w:pos="6840"/>
              </w:tabs>
              <w:suppressAutoHyphens/>
              <w:rPr>
                <w:b/>
                <w:spacing w:val="-2"/>
              </w:rPr>
            </w:pPr>
            <w:r w:rsidRPr="00DF43A3">
              <w:rPr>
                <w:b/>
                <w:spacing w:val="-2"/>
              </w:rPr>
              <w:t>)</w:t>
            </w:r>
          </w:p>
          <w:p w:rsidR="0054159A" w:rsidRPr="00DF43A3" w:rsidRDefault="0054159A" w:rsidP="0054159A">
            <w:pPr>
              <w:tabs>
                <w:tab w:val="center" w:pos="4680"/>
                <w:tab w:val="left" w:pos="6840"/>
              </w:tabs>
              <w:suppressAutoHyphens/>
              <w:rPr>
                <w:b/>
                <w:spacing w:val="-2"/>
              </w:rPr>
            </w:pPr>
            <w:r w:rsidRPr="00DF43A3">
              <w:rPr>
                <w:b/>
                <w:spacing w:val="-2"/>
              </w:rPr>
              <w:t>)</w:t>
            </w:r>
          </w:p>
          <w:p w:rsidR="0054159A" w:rsidRPr="00DF43A3" w:rsidRDefault="0054159A" w:rsidP="0054159A">
            <w:pPr>
              <w:tabs>
                <w:tab w:val="center" w:pos="4680"/>
                <w:tab w:val="left" w:pos="6840"/>
              </w:tabs>
              <w:suppressAutoHyphens/>
              <w:rPr>
                <w:b/>
                <w:spacing w:val="-2"/>
              </w:rPr>
            </w:pPr>
            <w:r w:rsidRPr="00DF43A3">
              <w:rPr>
                <w:b/>
                <w:spacing w:val="-2"/>
              </w:rPr>
              <w:t>)</w:t>
            </w:r>
          </w:p>
          <w:p w:rsidR="0054159A" w:rsidRPr="00DF43A3" w:rsidRDefault="0054159A" w:rsidP="0054159A">
            <w:pPr>
              <w:tabs>
                <w:tab w:val="center" w:pos="4680"/>
                <w:tab w:val="left" w:pos="6840"/>
              </w:tabs>
              <w:suppressAutoHyphens/>
              <w:rPr>
                <w:b/>
                <w:spacing w:val="-2"/>
              </w:rPr>
            </w:pPr>
            <w:r>
              <w:rPr>
                <w:b/>
                <w:spacing w:val="-2"/>
              </w:rPr>
              <w:t>)</w:t>
            </w:r>
          </w:p>
          <w:p w:rsidR="0054159A" w:rsidRDefault="0054159A" w:rsidP="0054159A">
            <w:pPr>
              <w:tabs>
                <w:tab w:val="center" w:pos="4680"/>
                <w:tab w:val="left" w:pos="6840"/>
              </w:tabs>
              <w:suppressAutoHyphens/>
              <w:rPr>
                <w:b/>
                <w:spacing w:val="-2"/>
              </w:rPr>
            </w:pPr>
            <w:r>
              <w:rPr>
                <w:b/>
                <w:spacing w:val="-2"/>
              </w:rPr>
              <w:t>)</w:t>
            </w:r>
          </w:p>
          <w:p w:rsidR="005C49C2" w:rsidRPr="00DF43A3" w:rsidRDefault="005C49C2" w:rsidP="0054159A">
            <w:pPr>
              <w:tabs>
                <w:tab w:val="center" w:pos="4680"/>
                <w:tab w:val="left" w:pos="6840"/>
              </w:tabs>
              <w:suppressAutoHyphens/>
              <w:rPr>
                <w:b/>
                <w:spacing w:val="-2"/>
              </w:rPr>
            </w:pPr>
          </w:p>
        </w:tc>
        <w:tc>
          <w:tcPr>
            <w:tcW w:w="4158" w:type="dxa"/>
          </w:tcPr>
          <w:p w:rsidR="0054159A" w:rsidRDefault="0054159A" w:rsidP="0054159A">
            <w:pPr>
              <w:tabs>
                <w:tab w:val="center" w:pos="4680"/>
                <w:tab w:val="left" w:pos="6840"/>
              </w:tabs>
              <w:suppressAutoHyphens/>
              <w:rPr>
                <w:spacing w:val="-2"/>
                <w:lang w:val="es-ES"/>
              </w:rPr>
            </w:pPr>
          </w:p>
          <w:p w:rsidR="005C49C2" w:rsidRDefault="005C49C2" w:rsidP="0054159A">
            <w:pPr>
              <w:tabs>
                <w:tab w:val="center" w:pos="4680"/>
                <w:tab w:val="left" w:pos="6840"/>
              </w:tabs>
              <w:suppressAutoHyphens/>
              <w:rPr>
                <w:spacing w:val="-2"/>
                <w:lang w:val="es-ES"/>
              </w:rPr>
            </w:pPr>
          </w:p>
          <w:p w:rsidR="0054159A" w:rsidRPr="00DF43A3" w:rsidRDefault="0054159A" w:rsidP="00283761">
            <w:pPr>
              <w:tabs>
                <w:tab w:val="center" w:pos="4680"/>
                <w:tab w:val="left" w:pos="6840"/>
              </w:tabs>
              <w:suppressAutoHyphens/>
              <w:ind w:firstLine="702"/>
              <w:rPr>
                <w:spacing w:val="-2"/>
                <w:lang w:val="es-ES"/>
              </w:rPr>
            </w:pPr>
            <w:r w:rsidRPr="00DF43A3">
              <w:rPr>
                <w:spacing w:val="-2"/>
                <w:lang w:val="es-ES"/>
              </w:rPr>
              <w:t xml:space="preserve">File No.:  </w:t>
            </w:r>
            <w:r w:rsidRPr="003F60E9">
              <w:rPr>
                <w:spacing w:val="-2"/>
                <w:lang w:val="es-ES"/>
              </w:rPr>
              <w:t>EB-SED-13-00009464</w:t>
            </w:r>
            <w:r>
              <w:rPr>
                <w:rStyle w:val="FootnoteReference"/>
                <w:spacing w:val="-2"/>
                <w:lang w:val="es-ES"/>
              </w:rPr>
              <w:footnoteReference w:id="2"/>
            </w:r>
            <w:r w:rsidRPr="003F60E9">
              <w:rPr>
                <w:spacing w:val="-2"/>
                <w:lang w:val="es-ES"/>
              </w:rPr>
              <w:t xml:space="preserve"> </w:t>
            </w:r>
          </w:p>
          <w:p w:rsidR="0054159A" w:rsidRPr="00DF43A3" w:rsidRDefault="0054159A" w:rsidP="00283761">
            <w:pPr>
              <w:pStyle w:val="TOAHeading"/>
              <w:tabs>
                <w:tab w:val="clear" w:pos="9360"/>
                <w:tab w:val="center" w:pos="4680"/>
                <w:tab w:val="left" w:pos="6840"/>
              </w:tabs>
              <w:ind w:firstLine="702"/>
              <w:rPr>
                <w:spacing w:val="-2"/>
                <w:lang w:val="es-ES"/>
              </w:rPr>
            </w:pPr>
          </w:p>
          <w:p w:rsidR="0054159A" w:rsidRPr="00DF43A3" w:rsidRDefault="0054159A" w:rsidP="00283761">
            <w:pPr>
              <w:pStyle w:val="TOAHeading"/>
              <w:tabs>
                <w:tab w:val="clear" w:pos="9360"/>
                <w:tab w:val="center" w:pos="4680"/>
                <w:tab w:val="left" w:pos="6840"/>
              </w:tabs>
              <w:ind w:firstLine="702"/>
              <w:rPr>
                <w:b/>
                <w:spacing w:val="-2"/>
                <w:lang w:val="es-ES"/>
              </w:rPr>
            </w:pPr>
            <w:r w:rsidRPr="00DF43A3">
              <w:rPr>
                <w:spacing w:val="-2"/>
                <w:lang w:val="es-ES"/>
              </w:rPr>
              <w:t xml:space="preserve">NAL/Acct. No.:  201032100030 </w:t>
            </w:r>
          </w:p>
          <w:p w:rsidR="0054159A" w:rsidRPr="00DF43A3" w:rsidRDefault="0054159A" w:rsidP="00283761">
            <w:pPr>
              <w:tabs>
                <w:tab w:val="center" w:pos="4680"/>
                <w:tab w:val="left" w:pos="6840"/>
              </w:tabs>
              <w:suppressAutoHyphens/>
              <w:ind w:firstLine="702"/>
              <w:rPr>
                <w:spacing w:val="-2"/>
                <w:lang w:val="es-ES_tradnl"/>
              </w:rPr>
            </w:pPr>
          </w:p>
          <w:p w:rsidR="0054159A" w:rsidRPr="00DF43A3" w:rsidRDefault="0054159A" w:rsidP="00283761">
            <w:pPr>
              <w:tabs>
                <w:tab w:val="center" w:pos="4680"/>
                <w:tab w:val="left" w:pos="6840"/>
              </w:tabs>
              <w:suppressAutoHyphens/>
              <w:ind w:firstLine="702"/>
              <w:rPr>
                <w:spacing w:val="-2"/>
                <w:lang w:val="es-ES_tradnl"/>
              </w:rPr>
            </w:pPr>
            <w:r w:rsidRPr="00DF43A3">
              <w:rPr>
                <w:spacing w:val="-2"/>
                <w:lang w:val="es-ES_tradnl"/>
              </w:rPr>
              <w:t>FRN:  0006501092</w:t>
            </w:r>
          </w:p>
        </w:tc>
      </w:tr>
    </w:tbl>
    <w:p w:rsidR="0054159A" w:rsidRDefault="0054159A" w:rsidP="00056F7E">
      <w:pPr>
        <w:pStyle w:val="Heading2"/>
        <w:numPr>
          <w:ilvl w:val="0"/>
          <w:numId w:val="0"/>
        </w:numPr>
        <w:jc w:val="center"/>
      </w:pPr>
      <w:r w:rsidRPr="00DF43A3">
        <w:t>MEMORANDUM OPINION AND ORDER</w:t>
      </w:r>
    </w:p>
    <w:p w:rsidR="00986233" w:rsidRPr="00986233" w:rsidRDefault="00986233" w:rsidP="00F7484F">
      <w:pPr>
        <w:pStyle w:val="ParaNum"/>
        <w:numPr>
          <w:ilvl w:val="0"/>
          <w:numId w:val="0"/>
        </w:numPr>
        <w:ind w:left="720"/>
      </w:pPr>
    </w:p>
    <w:p w:rsidR="0054159A" w:rsidRPr="00DF43A3" w:rsidRDefault="0054159A" w:rsidP="0054159A">
      <w:pPr>
        <w:tabs>
          <w:tab w:val="left" w:pos="720"/>
          <w:tab w:val="left" w:pos="5760"/>
        </w:tabs>
        <w:suppressAutoHyphens/>
        <w:spacing w:line="227" w:lineRule="auto"/>
        <w:rPr>
          <w:spacing w:val="-2"/>
          <w:szCs w:val="22"/>
        </w:rPr>
      </w:pPr>
      <w:r w:rsidRPr="00DF43A3">
        <w:rPr>
          <w:b/>
          <w:spacing w:val="-2"/>
          <w:szCs w:val="22"/>
        </w:rPr>
        <w:t xml:space="preserve">Adopted:  </w:t>
      </w:r>
      <w:r w:rsidR="00321A48">
        <w:rPr>
          <w:spacing w:val="-2"/>
          <w:szCs w:val="22"/>
        </w:rPr>
        <w:t>March 13</w:t>
      </w:r>
      <w:r w:rsidR="00283761" w:rsidRPr="00283761">
        <w:rPr>
          <w:spacing w:val="-2"/>
          <w:szCs w:val="22"/>
        </w:rPr>
        <w:t>, 2014</w:t>
      </w:r>
      <w:r w:rsidR="00283761">
        <w:rPr>
          <w:b/>
          <w:spacing w:val="-2"/>
          <w:szCs w:val="22"/>
        </w:rPr>
        <w:tab/>
      </w:r>
      <w:r w:rsidRPr="00DF43A3">
        <w:rPr>
          <w:b/>
          <w:spacing w:val="-2"/>
          <w:szCs w:val="22"/>
        </w:rPr>
        <w:tab/>
      </w:r>
      <w:r w:rsidR="00283761">
        <w:rPr>
          <w:b/>
          <w:spacing w:val="-2"/>
          <w:szCs w:val="22"/>
        </w:rPr>
        <w:t xml:space="preserve">        </w:t>
      </w:r>
      <w:r w:rsidR="00AE6B31">
        <w:rPr>
          <w:b/>
          <w:spacing w:val="-2"/>
          <w:szCs w:val="22"/>
        </w:rPr>
        <w:t xml:space="preserve"> </w:t>
      </w:r>
      <w:r w:rsidRPr="00DF43A3">
        <w:rPr>
          <w:b/>
          <w:spacing w:val="-2"/>
          <w:szCs w:val="22"/>
        </w:rPr>
        <w:t>Released:</w:t>
      </w:r>
      <w:r w:rsidR="00283761">
        <w:rPr>
          <w:b/>
          <w:spacing w:val="-2"/>
          <w:szCs w:val="22"/>
        </w:rPr>
        <w:t xml:space="preserve">  </w:t>
      </w:r>
      <w:r w:rsidR="00321A48">
        <w:rPr>
          <w:spacing w:val="-2"/>
          <w:szCs w:val="22"/>
        </w:rPr>
        <w:t>March</w:t>
      </w:r>
      <w:r w:rsidR="009C2B7F">
        <w:rPr>
          <w:spacing w:val="-2"/>
          <w:szCs w:val="22"/>
        </w:rPr>
        <w:t xml:space="preserve"> </w:t>
      </w:r>
      <w:r w:rsidR="00321A48">
        <w:rPr>
          <w:spacing w:val="-2"/>
          <w:szCs w:val="22"/>
        </w:rPr>
        <w:t>13</w:t>
      </w:r>
      <w:r w:rsidR="00283761" w:rsidRPr="00283761">
        <w:rPr>
          <w:spacing w:val="-2"/>
          <w:szCs w:val="22"/>
        </w:rPr>
        <w:t>, 2014</w:t>
      </w:r>
    </w:p>
    <w:p w:rsidR="0054159A" w:rsidRPr="00DF43A3" w:rsidRDefault="0054159A" w:rsidP="0054159A">
      <w:pPr>
        <w:tabs>
          <w:tab w:val="left" w:pos="6840"/>
        </w:tabs>
      </w:pPr>
    </w:p>
    <w:p w:rsidR="0054159A" w:rsidRPr="00DF43A3" w:rsidRDefault="0054159A" w:rsidP="0054159A">
      <w:pPr>
        <w:tabs>
          <w:tab w:val="left" w:pos="6840"/>
        </w:tabs>
        <w:rPr>
          <w:spacing w:val="-2"/>
        </w:rPr>
      </w:pPr>
      <w:r w:rsidRPr="00DF43A3">
        <w:t>By the Chief, Enforcement Bureau</w:t>
      </w:r>
      <w:r w:rsidRPr="00DF43A3">
        <w:rPr>
          <w:spacing w:val="-2"/>
        </w:rPr>
        <w:t>:</w:t>
      </w:r>
    </w:p>
    <w:p w:rsidR="0054159A" w:rsidRPr="00DF43A3" w:rsidRDefault="0054159A" w:rsidP="0054159A">
      <w:pPr>
        <w:tabs>
          <w:tab w:val="left" w:pos="6840"/>
        </w:tabs>
        <w:rPr>
          <w:spacing w:val="-2"/>
        </w:rPr>
      </w:pPr>
    </w:p>
    <w:p w:rsidR="0054159A" w:rsidRPr="00DF43A3" w:rsidRDefault="0054159A" w:rsidP="0085084F">
      <w:pPr>
        <w:pStyle w:val="Heading1"/>
        <w:spacing w:after="220"/>
      </w:pPr>
      <w:r w:rsidRPr="00DF43A3">
        <w:t>introduction</w:t>
      </w:r>
    </w:p>
    <w:p w:rsidR="0054159A" w:rsidRPr="00DF43A3" w:rsidRDefault="0054159A" w:rsidP="0085084F">
      <w:pPr>
        <w:pStyle w:val="ParaNum"/>
        <w:spacing w:after="220"/>
      </w:pPr>
      <w:r>
        <w:t>W</w:t>
      </w:r>
      <w:r w:rsidRPr="00DF43A3">
        <w:t xml:space="preserve">e dismiss </w:t>
      </w:r>
      <w:r>
        <w:t>CruiseEmail’s</w:t>
      </w:r>
      <w:r w:rsidRPr="00DF43A3">
        <w:t xml:space="preserve"> </w:t>
      </w:r>
      <w:r w:rsidR="009E0399">
        <w:t xml:space="preserve">late-filed </w:t>
      </w:r>
      <w:r w:rsidRPr="00DF43A3">
        <w:t>Petition</w:t>
      </w:r>
      <w:r>
        <w:rPr>
          <w:rStyle w:val="FootnoteReference"/>
        </w:rPr>
        <w:footnoteReference w:id="3"/>
      </w:r>
      <w:r w:rsidRPr="00DF43A3">
        <w:t xml:space="preserve"> seeking reconsideration of</w:t>
      </w:r>
      <w:r>
        <w:t xml:space="preserve"> a</w:t>
      </w:r>
      <w:r w:rsidRPr="00DF43A3">
        <w:t xml:space="preserve"> </w:t>
      </w:r>
      <w:r w:rsidRPr="00DF43A3">
        <w:rPr>
          <w:i/>
        </w:rPr>
        <w:t>Forfeiture Order</w:t>
      </w:r>
      <w:r w:rsidR="0085084F" w:rsidRPr="0085084F">
        <w:t>,</w:t>
      </w:r>
      <w:r w:rsidRPr="00DF43A3">
        <w:rPr>
          <w:rStyle w:val="FootnoteReference"/>
          <w:spacing w:val="-2"/>
        </w:rPr>
        <w:footnoteReference w:id="4"/>
      </w:r>
      <w:r w:rsidRPr="00DF43A3">
        <w:rPr>
          <w:i/>
        </w:rPr>
        <w:t xml:space="preserve"> </w:t>
      </w:r>
      <w:r w:rsidR="0085084F">
        <w:t xml:space="preserve">which </w:t>
      </w:r>
      <w:r w:rsidR="009E73CC">
        <w:t>assess</w:t>
      </w:r>
      <w:r w:rsidR="0085084F">
        <w:t>ed</w:t>
      </w:r>
      <w:r w:rsidR="009E0399">
        <w:t xml:space="preserve"> a </w:t>
      </w:r>
      <w:r w:rsidR="00216338">
        <w:t xml:space="preserve">forfeiture of </w:t>
      </w:r>
      <w:r w:rsidR="009E0399">
        <w:t>f</w:t>
      </w:r>
      <w:r w:rsidRPr="00DF43A3">
        <w:t xml:space="preserve">ifteen thousand dollars ($15,000) </w:t>
      </w:r>
      <w:r w:rsidR="0085084F">
        <w:t xml:space="preserve">on </w:t>
      </w:r>
      <w:r w:rsidR="009E73CC">
        <w:t xml:space="preserve">the company for </w:t>
      </w:r>
      <w:r w:rsidR="009E0399">
        <w:t xml:space="preserve">willfully </w:t>
      </w:r>
      <w:r w:rsidRPr="00DF43A3">
        <w:t>and repeated</w:t>
      </w:r>
      <w:r w:rsidR="009E0399">
        <w:t xml:space="preserve">ly violating </w:t>
      </w:r>
      <w:r w:rsidRPr="00DF43A3">
        <w:t>Section 301 of the Communications Act of 1934, as amended (Act), and Section 1.903(a) of the Commission’s rules (Rules).</w:t>
      </w:r>
      <w:r w:rsidRPr="00DF43A3">
        <w:rPr>
          <w:rStyle w:val="FootnoteReference"/>
        </w:rPr>
        <w:footnoteReference w:id="5"/>
      </w:r>
      <w:r w:rsidRPr="00DF43A3">
        <w:t xml:space="preserve">  </w:t>
      </w:r>
      <w:r w:rsidR="00A1103F">
        <w:rPr>
          <w:szCs w:val="22"/>
        </w:rPr>
        <w:t xml:space="preserve">The </w:t>
      </w:r>
      <w:r w:rsidRPr="00DF43A3">
        <w:rPr>
          <w:szCs w:val="22"/>
        </w:rPr>
        <w:t>violations</w:t>
      </w:r>
      <w:r w:rsidR="00203EDB">
        <w:rPr>
          <w:szCs w:val="22"/>
        </w:rPr>
        <w:t xml:space="preserve">, which are undisputed, </w:t>
      </w:r>
      <w:r w:rsidRPr="00DF43A3">
        <w:rPr>
          <w:szCs w:val="22"/>
        </w:rPr>
        <w:t>involve</w:t>
      </w:r>
      <w:r w:rsidR="009E0399">
        <w:rPr>
          <w:szCs w:val="22"/>
        </w:rPr>
        <w:t>d</w:t>
      </w:r>
      <w:r w:rsidRPr="00DF43A3">
        <w:rPr>
          <w:szCs w:val="22"/>
        </w:rPr>
        <w:t xml:space="preserve"> </w:t>
      </w:r>
      <w:r w:rsidR="00A1103F">
        <w:rPr>
          <w:szCs w:val="22"/>
        </w:rPr>
        <w:t xml:space="preserve">CruiseEmail’s </w:t>
      </w:r>
      <w:r w:rsidRPr="00DF43A3">
        <w:rPr>
          <w:szCs w:val="22"/>
        </w:rPr>
        <w:t xml:space="preserve">operation of three </w:t>
      </w:r>
      <w:r w:rsidR="00203EDB">
        <w:rPr>
          <w:szCs w:val="22"/>
        </w:rPr>
        <w:t>P</w:t>
      </w:r>
      <w:r w:rsidRPr="00DF43A3">
        <w:rPr>
          <w:szCs w:val="22"/>
        </w:rPr>
        <w:t xml:space="preserve">ublic </w:t>
      </w:r>
      <w:r w:rsidR="00203EDB">
        <w:rPr>
          <w:szCs w:val="22"/>
        </w:rPr>
        <w:t>C</w:t>
      </w:r>
      <w:r w:rsidRPr="00DF43A3">
        <w:rPr>
          <w:szCs w:val="22"/>
        </w:rPr>
        <w:t xml:space="preserve">oast </w:t>
      </w:r>
      <w:r w:rsidR="00203EDB">
        <w:rPr>
          <w:szCs w:val="22"/>
        </w:rPr>
        <w:t>S</w:t>
      </w:r>
      <w:r w:rsidRPr="00DF43A3">
        <w:rPr>
          <w:szCs w:val="22"/>
        </w:rPr>
        <w:t xml:space="preserve">tations at </w:t>
      </w:r>
      <w:r w:rsidR="00244890">
        <w:rPr>
          <w:szCs w:val="22"/>
        </w:rPr>
        <w:t>locations other than their licensed locations without prior Commission authorization.</w:t>
      </w:r>
      <w:r w:rsidR="009062A8">
        <w:rPr>
          <w:rStyle w:val="FootnoteReference"/>
        </w:rPr>
        <w:footnoteReference w:id="6"/>
      </w:r>
      <w:r w:rsidR="00814864">
        <w:t xml:space="preserve"> </w:t>
      </w:r>
      <w:r w:rsidR="007C1AC6">
        <w:t xml:space="preserve"> </w:t>
      </w:r>
      <w:r w:rsidR="009062A8">
        <w:t xml:space="preserve">Further, </w:t>
      </w:r>
      <w:r w:rsidR="008E0886">
        <w:t xml:space="preserve">as explained below, </w:t>
      </w:r>
      <w:r w:rsidR="009062A8">
        <w:t>even if the Petition</w:t>
      </w:r>
      <w:r w:rsidR="008E0886">
        <w:t xml:space="preserve"> were timely filed</w:t>
      </w:r>
      <w:r w:rsidR="009062A8">
        <w:t xml:space="preserve">, </w:t>
      </w:r>
      <w:r w:rsidR="008E0886">
        <w:t xml:space="preserve">we find no basis for reconsidering the </w:t>
      </w:r>
      <w:r w:rsidR="008E0886" w:rsidRPr="008E0886">
        <w:rPr>
          <w:i/>
        </w:rPr>
        <w:t>Forfeiture Order</w:t>
      </w:r>
      <w:r w:rsidR="008E0886">
        <w:t xml:space="preserve">.  We therefore affirm the </w:t>
      </w:r>
      <w:r w:rsidR="008E0886" w:rsidRPr="008E0886">
        <w:rPr>
          <w:i/>
        </w:rPr>
        <w:t>Forfeiture Order</w:t>
      </w:r>
      <w:r w:rsidR="008E0886">
        <w:t>.</w:t>
      </w:r>
    </w:p>
    <w:p w:rsidR="0054159A" w:rsidRPr="00DF43A3" w:rsidRDefault="0054159A" w:rsidP="0085084F">
      <w:pPr>
        <w:pStyle w:val="Heading1"/>
        <w:spacing w:after="220"/>
      </w:pPr>
      <w:r w:rsidRPr="00DF43A3">
        <w:t>BACKGROUND</w:t>
      </w:r>
    </w:p>
    <w:p w:rsidR="0054159A" w:rsidRPr="00DF43A3" w:rsidRDefault="0054159A" w:rsidP="0054159A">
      <w:pPr>
        <w:pStyle w:val="ParaNum"/>
      </w:pPr>
      <w:r w:rsidRPr="00DF43A3">
        <w:t xml:space="preserve">On June 11, 2010, the Enforcement Bureau’s Spectrum Enforcement Division (Division) issued a </w:t>
      </w:r>
      <w:r w:rsidRPr="00DF43A3">
        <w:rPr>
          <w:i/>
        </w:rPr>
        <w:t>Notice of Apparent Liability</w:t>
      </w:r>
      <w:r w:rsidRPr="00DF43A3">
        <w:t xml:space="preserve"> </w:t>
      </w:r>
      <w:r w:rsidRPr="00DF43A3">
        <w:rPr>
          <w:i/>
        </w:rPr>
        <w:t>for Forfeiture</w:t>
      </w:r>
      <w:r w:rsidRPr="00DF43A3">
        <w:t xml:space="preserve"> </w:t>
      </w:r>
      <w:r w:rsidR="00203EDB">
        <w:t>(</w:t>
      </w:r>
      <w:r w:rsidR="00203EDB">
        <w:rPr>
          <w:i/>
        </w:rPr>
        <w:t>NAL</w:t>
      </w:r>
      <w:r w:rsidR="00203EDB">
        <w:t>)</w:t>
      </w:r>
      <w:r w:rsidR="00203EDB">
        <w:rPr>
          <w:i/>
        </w:rPr>
        <w:t xml:space="preserve"> </w:t>
      </w:r>
      <w:r w:rsidRPr="0054159A">
        <w:t>of $</w:t>
      </w:r>
      <w:r>
        <w:t>15,000</w:t>
      </w:r>
      <w:r w:rsidRPr="0054159A">
        <w:t xml:space="preserve"> against </w:t>
      </w:r>
      <w:r>
        <w:t>CruiseEmail</w:t>
      </w:r>
      <w:r w:rsidRPr="0054159A">
        <w:t xml:space="preserve"> for its apparent willful and repeated violations of </w:t>
      </w:r>
      <w:r>
        <w:t>Section 301 of the Act and Section 1.903(a) of the Rules</w:t>
      </w:r>
      <w:r w:rsidRPr="00DF43A3">
        <w:t>.</w:t>
      </w:r>
      <w:r w:rsidRPr="00DF43A3">
        <w:rPr>
          <w:rStyle w:val="FootnoteReference"/>
        </w:rPr>
        <w:footnoteReference w:id="7"/>
      </w:r>
      <w:r>
        <w:t xml:space="preserve">  </w:t>
      </w:r>
      <w:r w:rsidR="00EA36C7">
        <w:t xml:space="preserve">Pursuant to </w:t>
      </w:r>
      <w:r w:rsidR="00EA36C7">
        <w:lastRenderedPageBreak/>
        <w:t>Cruis</w:t>
      </w:r>
      <w:r w:rsidR="004B1E6C">
        <w:t>e</w:t>
      </w:r>
      <w:r w:rsidR="00EA36C7">
        <w:t xml:space="preserve">Email’s request, the Division granted </w:t>
      </w:r>
      <w:r>
        <w:t xml:space="preserve">a 60-day extension of </w:t>
      </w:r>
      <w:r w:rsidR="002229B5">
        <w:t>the deadline</w:t>
      </w:r>
      <w:r w:rsidR="00B62473">
        <w:t xml:space="preserve"> for filing a response to the </w:t>
      </w:r>
      <w:r w:rsidR="00B62473" w:rsidRPr="00B62473">
        <w:rPr>
          <w:i/>
        </w:rPr>
        <w:t>NAL</w:t>
      </w:r>
      <w:r w:rsidR="00EA36C7">
        <w:t>.</w:t>
      </w:r>
      <w:r w:rsidR="00E02DAE">
        <w:rPr>
          <w:rStyle w:val="FootnoteReference"/>
        </w:rPr>
        <w:footnoteReference w:id="8"/>
      </w:r>
      <w:r w:rsidR="00EA36C7">
        <w:t xml:space="preserve">  </w:t>
      </w:r>
      <w:r w:rsidRPr="00DF43A3">
        <w:t>CruiseEmail</w:t>
      </w:r>
      <w:r w:rsidR="00EA36C7">
        <w:t>, however,</w:t>
      </w:r>
      <w:r w:rsidRPr="00DF43A3">
        <w:t xml:space="preserve"> </w:t>
      </w:r>
      <w:r w:rsidR="00916156">
        <w:t xml:space="preserve">neither filed </w:t>
      </w:r>
      <w:r w:rsidR="000647B7">
        <w:t>a</w:t>
      </w:r>
      <w:r w:rsidR="00BF464F">
        <w:t>n</w:t>
      </w:r>
      <w:r w:rsidR="00916156">
        <w:t xml:space="preserve"> </w:t>
      </w:r>
      <w:r w:rsidR="00203EDB">
        <w:rPr>
          <w:i/>
        </w:rPr>
        <w:t xml:space="preserve">NAL </w:t>
      </w:r>
      <w:r w:rsidR="00916156">
        <w:t>response nor paid</w:t>
      </w:r>
      <w:r w:rsidR="00EA36C7">
        <w:t xml:space="preserve"> </w:t>
      </w:r>
      <w:r w:rsidR="00B62473">
        <w:t>the $15,000 forfeiture.</w:t>
      </w:r>
      <w:r w:rsidRPr="00DF43A3">
        <w:t xml:space="preserve">  </w:t>
      </w:r>
      <w:r w:rsidR="00B62473">
        <w:t>As a result, o</w:t>
      </w:r>
      <w:r w:rsidRPr="00DF43A3">
        <w:t>n February 7, 2013, the Division</w:t>
      </w:r>
      <w:r w:rsidR="00B62473">
        <w:t xml:space="preserve"> </w:t>
      </w:r>
      <w:r w:rsidRPr="00DF43A3">
        <w:t xml:space="preserve">issued a </w:t>
      </w:r>
      <w:r w:rsidRPr="00DF43A3">
        <w:rPr>
          <w:i/>
        </w:rPr>
        <w:t>Forfeiture Order</w:t>
      </w:r>
      <w:r w:rsidRPr="00DF43A3">
        <w:t xml:space="preserve"> </w:t>
      </w:r>
      <w:r w:rsidR="00C35F80">
        <w:t>against</w:t>
      </w:r>
      <w:r w:rsidR="00C35F80" w:rsidRPr="00DF43A3">
        <w:t xml:space="preserve"> </w:t>
      </w:r>
      <w:r w:rsidRPr="00DF43A3">
        <w:t xml:space="preserve">CruiseEmail for the full </w:t>
      </w:r>
      <w:r w:rsidR="00203EDB">
        <w:t xml:space="preserve">forfeiture </w:t>
      </w:r>
      <w:r w:rsidRPr="00DF43A3">
        <w:t>amount.</w:t>
      </w:r>
      <w:r w:rsidR="00EA36C7">
        <w:rPr>
          <w:rStyle w:val="FootnoteReference"/>
        </w:rPr>
        <w:footnoteReference w:id="9"/>
      </w:r>
      <w:r w:rsidRPr="00DF43A3">
        <w:t xml:space="preserve"> </w:t>
      </w:r>
      <w:r w:rsidR="00214293">
        <w:t xml:space="preserve"> </w:t>
      </w:r>
      <w:r w:rsidR="002229B5">
        <w:t>On the date of release, t</w:t>
      </w:r>
      <w:r w:rsidRPr="00DF43A3">
        <w:t xml:space="preserve">he Division </w:t>
      </w:r>
      <w:r w:rsidR="002229B5">
        <w:t>p</w:t>
      </w:r>
      <w:r w:rsidRPr="00DF43A3">
        <w:t xml:space="preserve">ublished the </w:t>
      </w:r>
      <w:r w:rsidRPr="00DF43A3">
        <w:rPr>
          <w:i/>
        </w:rPr>
        <w:t>Forfeiture Order</w:t>
      </w:r>
      <w:r w:rsidRPr="00DF43A3">
        <w:t xml:space="preserve"> in the </w:t>
      </w:r>
      <w:r w:rsidR="00203EDB">
        <w:t xml:space="preserve">Commission’s </w:t>
      </w:r>
      <w:r w:rsidRPr="00DF43A3">
        <w:t>Daily Digest</w:t>
      </w:r>
      <w:r w:rsidR="0085084F">
        <w:t>;</w:t>
      </w:r>
      <w:r w:rsidRPr="00DF43A3">
        <w:rPr>
          <w:rStyle w:val="FootnoteReference"/>
        </w:rPr>
        <w:footnoteReference w:id="10"/>
      </w:r>
      <w:r w:rsidRPr="00DF43A3">
        <w:t xml:space="preserve"> mailed a copy of the </w:t>
      </w:r>
      <w:r w:rsidRPr="00DF43A3">
        <w:rPr>
          <w:i/>
        </w:rPr>
        <w:t>Forfeiture Order</w:t>
      </w:r>
      <w:r w:rsidRPr="00DF43A3">
        <w:t xml:space="preserve"> to CruiseEmail via First Class Mail, return receipt requested</w:t>
      </w:r>
      <w:r w:rsidR="0085084F">
        <w:t xml:space="preserve">; </w:t>
      </w:r>
      <w:r w:rsidRPr="00DF43A3">
        <w:t xml:space="preserve">and </w:t>
      </w:r>
      <w:r>
        <w:t xml:space="preserve">e-mailed </w:t>
      </w:r>
      <w:r w:rsidRPr="00DF43A3">
        <w:t xml:space="preserve">a copy of the </w:t>
      </w:r>
      <w:r w:rsidRPr="00DF43A3">
        <w:rPr>
          <w:i/>
        </w:rPr>
        <w:t>Forfeiture Order</w:t>
      </w:r>
      <w:r w:rsidR="00184D77">
        <w:t xml:space="preserve"> to CruiseEmail</w:t>
      </w:r>
      <w:r w:rsidR="00C35F80">
        <w:t xml:space="preserve">, </w:t>
      </w:r>
      <w:r w:rsidR="00EA4360">
        <w:t>thus</w:t>
      </w:r>
      <w:r w:rsidR="009B79BC">
        <w:t xml:space="preserve"> notif</w:t>
      </w:r>
      <w:r w:rsidR="00EA4360">
        <w:t>ying</w:t>
      </w:r>
      <w:r w:rsidR="009B79BC">
        <w:t xml:space="preserve"> CruiseEmail of the 30-day response deadline</w:t>
      </w:r>
      <w:r w:rsidR="00B62473">
        <w:t xml:space="preserve"> for filing a petition for reconsideration</w:t>
      </w:r>
      <w:r w:rsidR="00C35F80">
        <w:t>.</w:t>
      </w:r>
      <w:r w:rsidR="007072F4">
        <w:rPr>
          <w:rStyle w:val="FootnoteReference"/>
        </w:rPr>
        <w:footnoteReference w:id="11"/>
      </w:r>
      <w:r w:rsidRPr="00DF43A3">
        <w:t xml:space="preserve"> </w:t>
      </w:r>
      <w:r w:rsidR="00814864">
        <w:t xml:space="preserve"> </w:t>
      </w:r>
    </w:p>
    <w:p w:rsidR="00814864" w:rsidRDefault="0054159A" w:rsidP="00BC680E">
      <w:pPr>
        <w:pStyle w:val="ParaNum"/>
        <w:widowControl/>
      </w:pPr>
      <w:r w:rsidRPr="00DF43A3">
        <w:t xml:space="preserve">On </w:t>
      </w:r>
      <w:r w:rsidR="00692B97">
        <w:t xml:space="preserve">or </w:t>
      </w:r>
      <w:r w:rsidR="00E07780">
        <w:t xml:space="preserve">before </w:t>
      </w:r>
      <w:r w:rsidRPr="00DF43A3">
        <w:t xml:space="preserve">February 11, 2013, </w:t>
      </w:r>
      <w:r>
        <w:t xml:space="preserve">CruiseEmail contacted Division staff </w:t>
      </w:r>
      <w:r w:rsidR="00435A16">
        <w:t xml:space="preserve">to </w:t>
      </w:r>
      <w:r>
        <w:t xml:space="preserve">request copies of all documents </w:t>
      </w:r>
      <w:r w:rsidR="000647B7">
        <w:t xml:space="preserve">that it </w:t>
      </w:r>
      <w:r>
        <w:t>ha</w:t>
      </w:r>
      <w:r w:rsidR="00544D89">
        <w:t>d</w:t>
      </w:r>
      <w:r>
        <w:t xml:space="preserve"> previously filed with the Division</w:t>
      </w:r>
      <w:r w:rsidR="00435A16">
        <w:t>.</w:t>
      </w:r>
      <w:r w:rsidR="00435A16">
        <w:rPr>
          <w:rStyle w:val="FootnoteReference"/>
        </w:rPr>
        <w:footnoteReference w:id="12"/>
      </w:r>
      <w:r w:rsidR="00435A16">
        <w:t xml:space="preserve">  CruiseEmail </w:t>
      </w:r>
      <w:r w:rsidR="000647B7">
        <w:t xml:space="preserve">noted that its request was </w:t>
      </w:r>
      <w:r w:rsidR="009E0399">
        <w:t>for the purpose of</w:t>
      </w:r>
      <w:r>
        <w:t xml:space="preserve"> </w:t>
      </w:r>
      <w:r w:rsidRPr="00DF43A3">
        <w:t>prepar</w:t>
      </w:r>
      <w:r w:rsidR="009E0399">
        <w:t>ing</w:t>
      </w:r>
      <w:r>
        <w:t xml:space="preserve"> </w:t>
      </w:r>
      <w:r w:rsidRPr="00DF43A3">
        <w:t xml:space="preserve">a </w:t>
      </w:r>
      <w:r>
        <w:t>petition for reconsideration</w:t>
      </w:r>
      <w:r w:rsidRPr="00DF43A3">
        <w:t>.</w:t>
      </w:r>
      <w:r w:rsidR="00435A16">
        <w:t xml:space="preserve"> </w:t>
      </w:r>
      <w:r w:rsidRPr="00DF43A3">
        <w:t xml:space="preserve"> </w:t>
      </w:r>
      <w:r w:rsidR="000647B7">
        <w:t>O</w:t>
      </w:r>
      <w:r w:rsidR="009E0399">
        <w:t>n February 20, 2013</w:t>
      </w:r>
      <w:r w:rsidR="00814864">
        <w:t>,</w:t>
      </w:r>
      <w:r w:rsidRPr="00DF43A3">
        <w:t xml:space="preserve"> </w:t>
      </w:r>
      <w:r w:rsidR="00814864">
        <w:t xml:space="preserve">the Division </w:t>
      </w:r>
      <w:r w:rsidR="000647B7">
        <w:t xml:space="preserve">sent </w:t>
      </w:r>
      <w:r w:rsidR="00814864">
        <w:t xml:space="preserve">CruiseEmail </w:t>
      </w:r>
      <w:r w:rsidR="00435A16">
        <w:t xml:space="preserve">the </w:t>
      </w:r>
      <w:r w:rsidR="000647B7">
        <w:t>various record information</w:t>
      </w:r>
      <w:r w:rsidR="00435A16">
        <w:t xml:space="preserve"> requested</w:t>
      </w:r>
      <w:r w:rsidR="000647B7">
        <w:t xml:space="preserve">, including </w:t>
      </w:r>
      <w:r w:rsidR="00E2714F">
        <w:t xml:space="preserve">a copy </w:t>
      </w:r>
      <w:r w:rsidR="00814864">
        <w:t xml:space="preserve">of its </w:t>
      </w:r>
      <w:r w:rsidRPr="00DF43A3">
        <w:t>response</w:t>
      </w:r>
      <w:r w:rsidR="00D150FE">
        <w:t xml:space="preserve"> to the Division’s </w:t>
      </w:r>
      <w:r w:rsidR="00696E10">
        <w:t>L</w:t>
      </w:r>
      <w:r w:rsidR="00D150FE">
        <w:t xml:space="preserve">etter of </w:t>
      </w:r>
      <w:r w:rsidR="00696E10">
        <w:t>I</w:t>
      </w:r>
      <w:r w:rsidR="00D150FE">
        <w:t>nquiry</w:t>
      </w:r>
      <w:r w:rsidR="000647B7">
        <w:t xml:space="preserve">, a copy of </w:t>
      </w:r>
      <w:r w:rsidR="00435A16">
        <w:t xml:space="preserve">the </w:t>
      </w:r>
      <w:r w:rsidRPr="00C14FDF">
        <w:rPr>
          <w:i/>
        </w:rPr>
        <w:t>NAL</w:t>
      </w:r>
      <w:r w:rsidR="000647B7">
        <w:t xml:space="preserve">, </w:t>
      </w:r>
      <w:r>
        <w:t xml:space="preserve">and </w:t>
      </w:r>
      <w:r w:rsidR="000647B7">
        <w:t xml:space="preserve">a copy of </w:t>
      </w:r>
      <w:r w:rsidR="00814864">
        <w:t xml:space="preserve">the </w:t>
      </w:r>
      <w:r w:rsidRPr="00C14FDF">
        <w:rPr>
          <w:i/>
        </w:rPr>
        <w:t>Forfeiture Order</w:t>
      </w:r>
      <w:r w:rsidR="000647B7" w:rsidRPr="00AF7926">
        <w:t>.</w:t>
      </w:r>
      <w:r w:rsidR="000647B7">
        <w:rPr>
          <w:rStyle w:val="FootnoteReference"/>
        </w:rPr>
        <w:footnoteReference w:id="13"/>
      </w:r>
      <w:r w:rsidRPr="000647B7">
        <w:t xml:space="preserve"> </w:t>
      </w:r>
      <w:r w:rsidR="000647B7" w:rsidRPr="000647B7">
        <w:t xml:space="preserve"> T</w:t>
      </w:r>
      <w:r w:rsidR="000647B7">
        <w:t xml:space="preserve">he Division </w:t>
      </w:r>
      <w:r w:rsidR="009062A8">
        <w:t xml:space="preserve">also </w:t>
      </w:r>
      <w:r w:rsidR="009E0399">
        <w:t xml:space="preserve">reminded CruiseEmail of the </w:t>
      </w:r>
      <w:r w:rsidR="00814864">
        <w:t xml:space="preserve">March 11, 2013 </w:t>
      </w:r>
      <w:r w:rsidR="009E0399">
        <w:t xml:space="preserve">filing </w:t>
      </w:r>
      <w:r>
        <w:t>deadline</w:t>
      </w:r>
      <w:r w:rsidR="009E0399">
        <w:t xml:space="preserve"> for the petition</w:t>
      </w:r>
      <w:r>
        <w:t>.</w:t>
      </w:r>
      <w:r w:rsidR="000647B7">
        <w:rPr>
          <w:rStyle w:val="FootnoteReference"/>
        </w:rPr>
        <w:footnoteReference w:id="14"/>
      </w:r>
      <w:r w:rsidR="00814864">
        <w:t xml:space="preserve">  </w:t>
      </w:r>
      <w:r w:rsidR="000647B7">
        <w:t>On</w:t>
      </w:r>
      <w:r w:rsidR="002229B5">
        <w:t xml:space="preserve"> </w:t>
      </w:r>
      <w:r w:rsidR="00814864">
        <w:t>February 21</w:t>
      </w:r>
      <w:r w:rsidR="009E0399">
        <w:t>, 2013</w:t>
      </w:r>
      <w:r>
        <w:t xml:space="preserve">, CruiseEmail </w:t>
      </w:r>
      <w:r w:rsidR="00435A16">
        <w:t xml:space="preserve">asked the Division for a copy of other </w:t>
      </w:r>
      <w:r w:rsidRPr="00DF43A3">
        <w:t xml:space="preserve">“letters” </w:t>
      </w:r>
      <w:r w:rsidR="000647B7">
        <w:t xml:space="preserve">that </w:t>
      </w:r>
      <w:r w:rsidR="00483745">
        <w:t xml:space="preserve">the company had </w:t>
      </w:r>
      <w:r w:rsidR="000647B7">
        <w:t xml:space="preserve">previously </w:t>
      </w:r>
      <w:r w:rsidR="00534B1C">
        <w:t>submitted to</w:t>
      </w:r>
      <w:r>
        <w:t xml:space="preserve"> the Division</w:t>
      </w:r>
      <w:r w:rsidRPr="00DF43A3">
        <w:t>,</w:t>
      </w:r>
      <w:r w:rsidR="00F4684E">
        <w:rPr>
          <w:rStyle w:val="FootnoteReference"/>
        </w:rPr>
        <w:footnoteReference w:id="15"/>
      </w:r>
      <w:r w:rsidRPr="00DF43A3">
        <w:t xml:space="preserve"> </w:t>
      </w:r>
      <w:r w:rsidR="00483745">
        <w:t>and</w:t>
      </w:r>
      <w:r w:rsidRPr="00DF43A3">
        <w:t xml:space="preserve"> the Division </w:t>
      </w:r>
      <w:r>
        <w:t xml:space="preserve">forwarded </w:t>
      </w:r>
      <w:r w:rsidR="00483745">
        <w:t>them</w:t>
      </w:r>
      <w:r>
        <w:t xml:space="preserve"> </w:t>
      </w:r>
      <w:r w:rsidR="00483745">
        <w:t xml:space="preserve">to </w:t>
      </w:r>
      <w:r>
        <w:t>CruiseEmail</w:t>
      </w:r>
      <w:r w:rsidRPr="00DF43A3">
        <w:t xml:space="preserve"> </w:t>
      </w:r>
      <w:r w:rsidR="009E0399">
        <w:t>on February 21</w:t>
      </w:r>
      <w:r w:rsidR="00050418">
        <w:t>,</w:t>
      </w:r>
      <w:r w:rsidR="009E0399">
        <w:t xml:space="preserve"> and 27, 2013</w:t>
      </w:r>
      <w:r w:rsidRPr="00DF43A3">
        <w:t>.</w:t>
      </w:r>
      <w:r w:rsidR="00F7484F">
        <w:rPr>
          <w:rStyle w:val="FootnoteReference"/>
        </w:rPr>
        <w:footnoteReference w:id="16"/>
      </w:r>
    </w:p>
    <w:p w:rsidR="0054159A" w:rsidRPr="00DF43A3" w:rsidRDefault="0054159A" w:rsidP="0085084F">
      <w:pPr>
        <w:pStyle w:val="ParaNum"/>
        <w:widowControl/>
        <w:spacing w:after="220"/>
      </w:pPr>
      <w:r w:rsidRPr="00DF43A3">
        <w:t>On March 8, 2013, CruiseEmail requested a 45-day</w:t>
      </w:r>
      <w:r>
        <w:t xml:space="preserve"> extension of</w:t>
      </w:r>
      <w:r w:rsidR="009E0399">
        <w:t xml:space="preserve"> </w:t>
      </w:r>
      <w:r w:rsidR="00544D89">
        <w:t>the</w:t>
      </w:r>
      <w:r>
        <w:t xml:space="preserve"> </w:t>
      </w:r>
      <w:r w:rsidR="00F03B9D">
        <w:t xml:space="preserve">March 11, 2013 </w:t>
      </w:r>
      <w:r>
        <w:t>filing deadline</w:t>
      </w:r>
      <w:r w:rsidR="00435A16">
        <w:t xml:space="preserve">, asserting that </w:t>
      </w:r>
      <w:r w:rsidR="00483745">
        <w:t xml:space="preserve">an extension was necessary </w:t>
      </w:r>
      <w:r w:rsidRPr="00DF43A3">
        <w:t xml:space="preserve">due to </w:t>
      </w:r>
      <w:r w:rsidR="00E02DAE">
        <w:t xml:space="preserve">its </w:t>
      </w:r>
      <w:r w:rsidRPr="00DF43A3">
        <w:t xml:space="preserve">loss of power (including phone and internet service) during the preceding four days and also because CruiseEmail </w:t>
      </w:r>
      <w:r w:rsidR="009E0399">
        <w:t xml:space="preserve">believed that </w:t>
      </w:r>
      <w:r w:rsidRPr="00DF43A3">
        <w:t>“two major documents [were] missing</w:t>
      </w:r>
      <w:r w:rsidR="00435A16">
        <w:t>,</w:t>
      </w:r>
      <w:r w:rsidRPr="00DF43A3">
        <w:t>”</w:t>
      </w:r>
      <w:r w:rsidR="00435A16">
        <w:t xml:space="preserve"> </w:t>
      </w:r>
      <w:r w:rsidR="00F03B9D">
        <w:t>though i</w:t>
      </w:r>
      <w:r w:rsidR="00435A16">
        <w:t>t did not specif</w:t>
      </w:r>
      <w:r w:rsidR="00F03B9D">
        <w:t xml:space="preserve">y which </w:t>
      </w:r>
      <w:r w:rsidR="00435A16">
        <w:t>two documents.</w:t>
      </w:r>
      <w:r w:rsidRPr="00DF43A3">
        <w:rPr>
          <w:rStyle w:val="FootnoteReference"/>
        </w:rPr>
        <w:footnoteReference w:id="17"/>
      </w:r>
      <w:r w:rsidR="00814864">
        <w:t xml:space="preserve">  </w:t>
      </w:r>
      <w:r>
        <w:t>In response</w:t>
      </w:r>
      <w:r w:rsidRPr="00DF43A3">
        <w:t>, the Divis</w:t>
      </w:r>
      <w:r w:rsidR="00184D77">
        <w:t>ion informed CruiseEmail that</w:t>
      </w:r>
      <w:r w:rsidR="009062A8">
        <w:t>,</w:t>
      </w:r>
      <w:r w:rsidR="00184D77">
        <w:t xml:space="preserve"> in general, </w:t>
      </w:r>
      <w:r w:rsidR="00FB5A16">
        <w:t>the Division</w:t>
      </w:r>
      <w:r w:rsidRPr="00DF43A3">
        <w:t xml:space="preserve"> </w:t>
      </w:r>
      <w:r>
        <w:t xml:space="preserve">lacked </w:t>
      </w:r>
      <w:r w:rsidRPr="00DF43A3">
        <w:t xml:space="preserve">discretionary authority to extend the deadline for </w:t>
      </w:r>
      <w:r>
        <w:t xml:space="preserve">filing </w:t>
      </w:r>
      <w:r w:rsidRPr="00DF43A3">
        <w:t>petitions fo</w:t>
      </w:r>
      <w:r w:rsidR="009E0399">
        <w:t>r reconsideration and</w:t>
      </w:r>
      <w:r w:rsidR="008E0886">
        <w:t>,</w:t>
      </w:r>
      <w:r w:rsidR="009E0399">
        <w:t xml:space="preserve"> thus, the Commission </w:t>
      </w:r>
      <w:r w:rsidRPr="00DF43A3">
        <w:t xml:space="preserve">needed to receive </w:t>
      </w:r>
      <w:r w:rsidR="007C1AC6">
        <w:t xml:space="preserve">any petition that CruiseEmail intended to file by </w:t>
      </w:r>
      <w:r w:rsidR="008E0886">
        <w:t xml:space="preserve">the </w:t>
      </w:r>
      <w:r w:rsidRPr="00DF43A3">
        <w:t>March 11, 2013</w:t>
      </w:r>
      <w:r w:rsidR="008E0886">
        <w:t xml:space="preserve"> deadline</w:t>
      </w:r>
      <w:r>
        <w:t>.</w:t>
      </w:r>
      <w:r w:rsidRPr="00DF43A3">
        <w:rPr>
          <w:rStyle w:val="FootnoteReference"/>
        </w:rPr>
        <w:footnoteReference w:id="18"/>
      </w:r>
      <w:r w:rsidRPr="00DF43A3">
        <w:t xml:space="preserve">  The Division further </w:t>
      </w:r>
      <w:r>
        <w:t>informed</w:t>
      </w:r>
      <w:r w:rsidR="00AC1CC9">
        <w:t xml:space="preserve"> CruiseEmail that</w:t>
      </w:r>
      <w:r w:rsidR="008E0886">
        <w:t>,</w:t>
      </w:r>
      <w:r w:rsidR="00AC1CC9">
        <w:t xml:space="preserve"> if necessary</w:t>
      </w:r>
      <w:r w:rsidR="009E0399">
        <w:t xml:space="preserve">, it </w:t>
      </w:r>
      <w:r>
        <w:t xml:space="preserve">could </w:t>
      </w:r>
      <w:r w:rsidR="00AC256E">
        <w:t xml:space="preserve">subsequently </w:t>
      </w:r>
      <w:r w:rsidR="00814864">
        <w:t>fil</w:t>
      </w:r>
      <w:r w:rsidR="00D150FE">
        <w:t>e a</w:t>
      </w:r>
      <w:r w:rsidR="00814864">
        <w:t xml:space="preserve"> supplement </w:t>
      </w:r>
      <w:r w:rsidR="009E0399">
        <w:t xml:space="preserve">to </w:t>
      </w:r>
      <w:r w:rsidR="007E647A">
        <w:t>a</w:t>
      </w:r>
      <w:r w:rsidR="009E0399">
        <w:t xml:space="preserve"> timely petition</w:t>
      </w:r>
      <w:r w:rsidR="00D0221A">
        <w:t xml:space="preserve"> (</w:t>
      </w:r>
      <w:r w:rsidR="004B1E6C">
        <w:t>if one were filed)</w:t>
      </w:r>
      <w:r w:rsidR="009E0399">
        <w:t xml:space="preserve"> </w:t>
      </w:r>
      <w:r w:rsidR="00814864">
        <w:t>that</w:t>
      </w:r>
      <w:r w:rsidRPr="00DF43A3">
        <w:t xml:space="preserve"> the Division would </w:t>
      </w:r>
      <w:r>
        <w:t xml:space="preserve">then </w:t>
      </w:r>
      <w:r w:rsidRPr="00DF43A3">
        <w:t xml:space="preserve">consider </w:t>
      </w:r>
      <w:r w:rsidR="00814864">
        <w:t xml:space="preserve">accepting </w:t>
      </w:r>
      <w:r w:rsidRPr="00DF43A3">
        <w:t>in due course.</w:t>
      </w:r>
      <w:r w:rsidRPr="00DF43A3">
        <w:rPr>
          <w:rStyle w:val="FootnoteReference"/>
        </w:rPr>
        <w:footnoteReference w:id="19"/>
      </w:r>
      <w:r w:rsidRPr="00DF43A3">
        <w:t xml:space="preserve">  CruiseEmail filed its Petition on March 18, 2013, seven days after the March 11, 2013 deadline.</w:t>
      </w:r>
      <w:r w:rsidR="00DE274C">
        <w:rPr>
          <w:rStyle w:val="FootnoteReference"/>
        </w:rPr>
        <w:footnoteReference w:id="20"/>
      </w:r>
    </w:p>
    <w:p w:rsidR="0054159A" w:rsidRPr="00DF43A3" w:rsidRDefault="0054159A" w:rsidP="0085084F">
      <w:pPr>
        <w:pStyle w:val="Heading1"/>
        <w:spacing w:after="220"/>
      </w:pPr>
      <w:r w:rsidRPr="00DF43A3">
        <w:t>DISCUSSION</w:t>
      </w:r>
      <w:r w:rsidR="002179E1">
        <w:t xml:space="preserve"> </w:t>
      </w:r>
    </w:p>
    <w:p w:rsidR="0054159A" w:rsidRDefault="0054159A" w:rsidP="0054159A">
      <w:pPr>
        <w:pStyle w:val="ParaNum"/>
      </w:pPr>
      <w:r w:rsidRPr="00DF43A3">
        <w:t xml:space="preserve">Section 405(a) of the Act, as implemented by Section 1.106(f) of the Rules, requires a petitioner to file its petition for reconsideration within 30 days </w:t>
      </w:r>
      <w:r w:rsidR="009E0399">
        <w:t>of</w:t>
      </w:r>
      <w:r w:rsidRPr="00DF43A3">
        <w:t xml:space="preserve"> public notice of Commission action.</w:t>
      </w:r>
      <w:r w:rsidRPr="00DF43A3">
        <w:rPr>
          <w:rStyle w:val="FootnoteReference"/>
          <w:spacing w:val="-2"/>
        </w:rPr>
        <w:footnoteReference w:id="21"/>
      </w:r>
      <w:r w:rsidRPr="00DF43A3">
        <w:t xml:space="preserve">  </w:t>
      </w:r>
      <w:r w:rsidRPr="008C3869">
        <w:rPr>
          <w:spacing w:val="-2"/>
        </w:rPr>
        <w:t xml:space="preserve">For non-rulemaking documents released by the Commission, such as the </w:t>
      </w:r>
      <w:r w:rsidRPr="008C3869">
        <w:rPr>
          <w:i/>
          <w:spacing w:val="-2"/>
        </w:rPr>
        <w:t>Forfeiture Order</w:t>
      </w:r>
      <w:r w:rsidR="00FD5FF4">
        <w:rPr>
          <w:spacing w:val="-2"/>
        </w:rPr>
        <w:t xml:space="preserve"> issued in this proceeding,</w:t>
      </w:r>
      <w:r w:rsidRPr="008C3869">
        <w:rPr>
          <w:spacing w:val="-2"/>
        </w:rPr>
        <w:t xml:space="preserve"> public notice occurs upon </w:t>
      </w:r>
      <w:r w:rsidR="00214293">
        <w:rPr>
          <w:spacing w:val="-2"/>
        </w:rPr>
        <w:t xml:space="preserve">the date of its </w:t>
      </w:r>
      <w:r w:rsidRPr="008C3869">
        <w:rPr>
          <w:spacing w:val="-2"/>
        </w:rPr>
        <w:t>release—</w:t>
      </w:r>
      <w:r w:rsidR="00FD5FF4">
        <w:rPr>
          <w:spacing w:val="-2"/>
        </w:rPr>
        <w:t xml:space="preserve">i.e., </w:t>
      </w:r>
      <w:r w:rsidRPr="008C3869">
        <w:rPr>
          <w:spacing w:val="-2"/>
        </w:rPr>
        <w:t>February 7, 2013.</w:t>
      </w:r>
      <w:r w:rsidRPr="00DF43A3">
        <w:rPr>
          <w:rStyle w:val="FootnoteReference"/>
          <w:spacing w:val="-2"/>
        </w:rPr>
        <w:footnoteReference w:id="22"/>
      </w:r>
      <w:r w:rsidRPr="008C3869">
        <w:rPr>
          <w:spacing w:val="-2"/>
        </w:rPr>
        <w:t xml:space="preserve">  </w:t>
      </w:r>
      <w:r w:rsidR="009B79BC">
        <w:rPr>
          <w:spacing w:val="-2"/>
        </w:rPr>
        <w:t>Thus</w:t>
      </w:r>
      <w:r w:rsidRPr="008C3869">
        <w:rPr>
          <w:spacing w:val="-2"/>
        </w:rPr>
        <w:t>, as the Division repeatedly informed CruiseEmail,</w:t>
      </w:r>
      <w:r>
        <w:t xml:space="preserve"> </w:t>
      </w:r>
      <w:r w:rsidR="00487A0E">
        <w:t xml:space="preserve">the </w:t>
      </w:r>
      <w:r>
        <w:t>statutory deadline for</w:t>
      </w:r>
      <w:r w:rsidR="00487A0E">
        <w:t xml:space="preserve"> filing a p</w:t>
      </w:r>
      <w:r w:rsidR="009E0399">
        <w:t xml:space="preserve">etition </w:t>
      </w:r>
      <w:r w:rsidR="00487A0E">
        <w:t xml:space="preserve">for reconsideration of the </w:t>
      </w:r>
      <w:r w:rsidR="00487A0E">
        <w:rPr>
          <w:i/>
        </w:rPr>
        <w:t xml:space="preserve">Forfeiture Order </w:t>
      </w:r>
      <w:r>
        <w:t xml:space="preserve">was </w:t>
      </w:r>
      <w:r w:rsidRPr="00DF43A3">
        <w:t>March 11, 2013.</w:t>
      </w:r>
      <w:r w:rsidR="00D150FE">
        <w:rPr>
          <w:rStyle w:val="FootnoteReference"/>
          <w:spacing w:val="-2"/>
        </w:rPr>
        <w:footnoteReference w:id="23"/>
      </w:r>
      <w:r>
        <w:t xml:space="preserve">  </w:t>
      </w:r>
      <w:r w:rsidR="00FD5FF4">
        <w:t xml:space="preserve">Because </w:t>
      </w:r>
      <w:r>
        <w:t>CruiseEmail filed it</w:t>
      </w:r>
      <w:r w:rsidR="00647776">
        <w:t>s</w:t>
      </w:r>
      <w:r>
        <w:t xml:space="preserve"> Peti</w:t>
      </w:r>
      <w:r w:rsidR="009E0399">
        <w:t xml:space="preserve">tion after the expiration of </w:t>
      </w:r>
      <w:r w:rsidR="00487A0E">
        <w:t>this</w:t>
      </w:r>
      <w:r>
        <w:t xml:space="preserve"> </w:t>
      </w:r>
      <w:r w:rsidR="00814864">
        <w:t>stat</w:t>
      </w:r>
      <w:r w:rsidR="009E0399">
        <w:t>utory deadline</w:t>
      </w:r>
      <w:r w:rsidR="00FD5FF4">
        <w:t xml:space="preserve">, </w:t>
      </w:r>
      <w:r w:rsidR="00FB5A16">
        <w:t>the</w:t>
      </w:r>
      <w:r w:rsidR="00814864">
        <w:t xml:space="preserve"> </w:t>
      </w:r>
      <w:r w:rsidR="00FB5A16">
        <w:t>statute</w:t>
      </w:r>
      <w:r w:rsidR="002223EF">
        <w:t xml:space="preserve"> require</w:t>
      </w:r>
      <w:r w:rsidR="00FB5A16">
        <w:t>s us</w:t>
      </w:r>
      <w:r w:rsidR="002223EF">
        <w:t xml:space="preserve"> to </w:t>
      </w:r>
      <w:r w:rsidR="009E0399">
        <w:t>dismiss it</w:t>
      </w:r>
      <w:r w:rsidR="00814864">
        <w:t>.</w:t>
      </w:r>
      <w:r w:rsidR="00B9009F">
        <w:rPr>
          <w:rStyle w:val="FootnoteReference"/>
        </w:rPr>
        <w:footnoteReference w:id="24"/>
      </w:r>
    </w:p>
    <w:p w:rsidR="0054159A" w:rsidRDefault="009E0399" w:rsidP="00057ED6">
      <w:pPr>
        <w:pStyle w:val="ParaNum"/>
        <w:widowControl/>
      </w:pPr>
      <w:r>
        <w:t>In so holding, we find</w:t>
      </w:r>
      <w:r w:rsidR="0054159A">
        <w:t xml:space="preserve"> that the Commission’s </w:t>
      </w:r>
      <w:r>
        <w:t xml:space="preserve">narrow discretionary authority to </w:t>
      </w:r>
      <w:r w:rsidR="00FD5FF4">
        <w:t xml:space="preserve">waive or </w:t>
      </w:r>
      <w:r w:rsidR="0054159A">
        <w:t>exten</w:t>
      </w:r>
      <w:r>
        <w:t xml:space="preserve">d </w:t>
      </w:r>
      <w:r w:rsidR="0054159A">
        <w:t>the statutory deadline in circumstances involving procedural unfairness is not applicable</w:t>
      </w:r>
      <w:r>
        <w:t xml:space="preserve"> here</w:t>
      </w:r>
      <w:r w:rsidR="00814864">
        <w:t>.</w:t>
      </w:r>
      <w:r>
        <w:t xml:space="preserve"> </w:t>
      </w:r>
      <w:r w:rsidR="009B79BC">
        <w:t xml:space="preserve"> </w:t>
      </w:r>
      <w:r w:rsidR="0054159A">
        <w:t xml:space="preserve">This exception, as </w:t>
      </w:r>
      <w:r w:rsidR="00575A56">
        <w:t>articulated</w:t>
      </w:r>
      <w:r w:rsidR="0054159A">
        <w:t xml:space="preserve"> by the United States District Court of Appeals for the D.C. Circuit, covers </w:t>
      </w:r>
      <w:r>
        <w:t>situations</w:t>
      </w:r>
      <w:r w:rsidR="0054159A">
        <w:t xml:space="preserve"> in which the Commission’s </w:t>
      </w:r>
      <w:r w:rsidR="0054159A" w:rsidRPr="008C3869">
        <w:rPr>
          <w:spacing w:val="-2"/>
        </w:rPr>
        <w:t xml:space="preserve">failure to provide timely personal notice of the </w:t>
      </w:r>
      <w:r w:rsidR="0054159A">
        <w:rPr>
          <w:spacing w:val="-2"/>
        </w:rPr>
        <w:t xml:space="preserve">pending </w:t>
      </w:r>
      <w:r w:rsidR="0054159A" w:rsidRPr="008C3869">
        <w:rPr>
          <w:spacing w:val="-2"/>
        </w:rPr>
        <w:t xml:space="preserve">action is in </w:t>
      </w:r>
      <w:r w:rsidR="0054159A" w:rsidRPr="00DF43A3">
        <w:t>“</w:t>
      </w:r>
      <w:r w:rsidR="0054159A">
        <w:t>substantial measure</w:t>
      </w:r>
      <w:r w:rsidR="0054159A" w:rsidRPr="00DF43A3">
        <w:t xml:space="preserve">” </w:t>
      </w:r>
      <w:r w:rsidR="0054159A">
        <w:t xml:space="preserve">the cause </w:t>
      </w:r>
      <w:r>
        <w:t>of t</w:t>
      </w:r>
      <w:r w:rsidR="0054159A">
        <w:t>he untimeliness of the petition.</w:t>
      </w:r>
      <w:r w:rsidR="009B79BC" w:rsidRPr="00DF43A3">
        <w:rPr>
          <w:rStyle w:val="FootnoteReference"/>
        </w:rPr>
        <w:footnoteReference w:id="25"/>
      </w:r>
      <w:r w:rsidR="009B79BC">
        <w:t xml:space="preserve"> </w:t>
      </w:r>
      <w:r w:rsidR="0054159A">
        <w:t xml:space="preserve"> To show causation, the petitioner must </w:t>
      </w:r>
      <w:r>
        <w:t>show</w:t>
      </w:r>
      <w:r w:rsidR="0054159A">
        <w:t xml:space="preserve"> that </w:t>
      </w:r>
      <w:r w:rsidR="004B1E6C">
        <w:t>up</w:t>
      </w:r>
      <w:r w:rsidR="0054159A">
        <w:t>on receiving actual notice, it was “impossible reasonably” to file the petition within the time remaining and that the petition (or request for extension) was filed promptly thereafter.</w:t>
      </w:r>
      <w:r w:rsidR="0054159A" w:rsidRPr="00DF43A3">
        <w:rPr>
          <w:rStyle w:val="FootnoteReference"/>
        </w:rPr>
        <w:footnoteReference w:id="26"/>
      </w:r>
    </w:p>
    <w:p w:rsidR="0054159A" w:rsidRPr="0071684B" w:rsidRDefault="0054159A" w:rsidP="00F90AC9">
      <w:pPr>
        <w:pStyle w:val="ParaNum"/>
        <w:widowControl/>
      </w:pPr>
      <w:r>
        <w:t xml:space="preserve">CruiseEmail </w:t>
      </w:r>
      <w:r w:rsidRPr="00DF43A3">
        <w:t>has not argued</w:t>
      </w:r>
      <w:r w:rsidR="00633AE1">
        <w:t>—</w:t>
      </w:r>
      <w:r>
        <w:t>nor could it successfully argue</w:t>
      </w:r>
      <w:r w:rsidR="00633AE1">
        <w:t>—</w:t>
      </w:r>
      <w:r w:rsidRPr="00DF43A3">
        <w:t xml:space="preserve">that </w:t>
      </w:r>
      <w:r w:rsidR="009E0399">
        <w:t xml:space="preserve">any defect in serving the </w:t>
      </w:r>
      <w:r w:rsidR="00814864" w:rsidRPr="00814864">
        <w:rPr>
          <w:i/>
        </w:rPr>
        <w:t>Forfeiture Order</w:t>
      </w:r>
      <w:r w:rsidR="00814864">
        <w:t xml:space="preserve"> </w:t>
      </w:r>
      <w:r>
        <w:t>cause</w:t>
      </w:r>
      <w:r w:rsidR="00814864">
        <w:t xml:space="preserve">d </w:t>
      </w:r>
      <w:r>
        <w:t>the</w:t>
      </w:r>
      <w:r w:rsidR="00814864">
        <w:t xml:space="preserve"> untimeliness of its Petition</w:t>
      </w:r>
      <w:r w:rsidRPr="00DF43A3">
        <w:t xml:space="preserve">.  </w:t>
      </w:r>
      <w:r w:rsidR="00E07780">
        <w:t>As discussed above,</w:t>
      </w:r>
      <w:r w:rsidR="00633AE1">
        <w:t xml:space="preserve"> CruiseEmail had 30 days to file a petition for reconsideration.  </w:t>
      </w:r>
      <w:r w:rsidR="00E07780">
        <w:t xml:space="preserve">CruiseEmail contacted the Division within two business days of release of the </w:t>
      </w:r>
      <w:r w:rsidR="00E07780">
        <w:rPr>
          <w:i/>
        </w:rPr>
        <w:t xml:space="preserve">Forfeiture Order </w:t>
      </w:r>
      <w:r w:rsidR="00E07780">
        <w:t xml:space="preserve">and expressed its intention to file a response thereto.  </w:t>
      </w:r>
      <w:r>
        <w:t>CruiseEmail’s last-minute extension request</w:t>
      </w:r>
      <w:r w:rsidR="00E07780">
        <w:t>—received one business day prior to the statutory deadline—f</w:t>
      </w:r>
      <w:r w:rsidR="009E0399">
        <w:t xml:space="preserve">orestalls any finding that CruiseEmail </w:t>
      </w:r>
      <w:r>
        <w:t>promptly move</w:t>
      </w:r>
      <w:r w:rsidR="009E0399">
        <w:t>d</w:t>
      </w:r>
      <w:r>
        <w:t xml:space="preserve"> for reconsideration </w:t>
      </w:r>
      <w:r w:rsidR="009E0399">
        <w:t>after receiving</w:t>
      </w:r>
      <w:r>
        <w:t xml:space="preserve"> actual notice.  </w:t>
      </w:r>
      <w:r w:rsidR="00E07780">
        <w:t xml:space="preserve">Finally, </w:t>
      </w:r>
      <w:r>
        <w:t>CruiseEmail’s purported bases for filing late</w:t>
      </w:r>
      <w:r w:rsidR="00633AE1">
        <w:t xml:space="preserve"> (i.e., a</w:t>
      </w:r>
      <w:r>
        <w:t xml:space="preserve"> four-day loss of power immediately preceding its extension request</w:t>
      </w:r>
      <w:r w:rsidRPr="009F0A8B">
        <w:t xml:space="preserve"> </w:t>
      </w:r>
      <w:r>
        <w:t xml:space="preserve">and its need to obtain and review copies of </w:t>
      </w:r>
      <w:r w:rsidR="009E0399">
        <w:t xml:space="preserve">its </w:t>
      </w:r>
      <w:r>
        <w:t>prior filings</w:t>
      </w:r>
      <w:r w:rsidR="00633AE1">
        <w:t>) d</w:t>
      </w:r>
      <w:r>
        <w:t xml:space="preserve">o not otherwise show </w:t>
      </w:r>
      <w:r w:rsidRPr="00051859">
        <w:t>procedural</w:t>
      </w:r>
      <w:r>
        <w:t xml:space="preserve"> unfairness warranting extension of the statutory deadline.</w:t>
      </w:r>
      <w:r>
        <w:rPr>
          <w:rStyle w:val="FootnoteReference"/>
        </w:rPr>
        <w:footnoteReference w:id="27"/>
      </w:r>
    </w:p>
    <w:p w:rsidR="0054159A" w:rsidRPr="008F53E4" w:rsidRDefault="00814864" w:rsidP="00BC680E">
      <w:pPr>
        <w:pStyle w:val="ParaNum"/>
        <w:widowControl/>
      </w:pPr>
      <w:r>
        <w:t>E</w:t>
      </w:r>
      <w:r w:rsidR="0054159A">
        <w:t xml:space="preserve">ven if we </w:t>
      </w:r>
      <w:r w:rsidR="00061645">
        <w:t>could</w:t>
      </w:r>
      <w:r w:rsidR="0054159A">
        <w:t xml:space="preserve"> accept CruiseEmail’s late-filed Petition, </w:t>
      </w:r>
      <w:r w:rsidR="00061645">
        <w:t xml:space="preserve">its failure to raise material error or new </w:t>
      </w:r>
      <w:r w:rsidR="00F90AC9">
        <w:t xml:space="preserve">(or previously unavailable) </w:t>
      </w:r>
      <w:r w:rsidR="00061645">
        <w:t>evidence precludes us from considering it</w:t>
      </w:r>
      <w:r w:rsidR="0054159A">
        <w:t>.</w:t>
      </w:r>
      <w:r w:rsidR="0054159A">
        <w:rPr>
          <w:rStyle w:val="FootnoteReference"/>
        </w:rPr>
        <w:footnoteReference w:id="28"/>
      </w:r>
      <w:r w:rsidR="0054159A">
        <w:t xml:space="preserve"> </w:t>
      </w:r>
      <w:r w:rsidR="00061645">
        <w:t xml:space="preserve"> In its Petition, </w:t>
      </w:r>
      <w:r w:rsidR="009E0399">
        <w:t xml:space="preserve">CruiseEmail </w:t>
      </w:r>
      <w:r w:rsidR="0054159A">
        <w:t xml:space="preserve">argues that </w:t>
      </w:r>
      <w:r w:rsidR="00061645">
        <w:t xml:space="preserve">the Division’s assessment of forfeiture </w:t>
      </w:r>
      <w:r w:rsidR="0054159A">
        <w:t xml:space="preserve">liability </w:t>
      </w:r>
      <w:r w:rsidR="00061645">
        <w:t>with respect to</w:t>
      </w:r>
      <w:r w:rsidR="0054159A">
        <w:t xml:space="preserve"> </w:t>
      </w:r>
      <w:r w:rsidR="002223EF">
        <w:t>S</w:t>
      </w:r>
      <w:r w:rsidR="0054159A">
        <w:t>tation WGM</w:t>
      </w:r>
      <w:r w:rsidR="00DE274C">
        <w:rPr>
          <w:rStyle w:val="FootnoteReference"/>
        </w:rPr>
        <w:footnoteReference w:id="29"/>
      </w:r>
      <w:r w:rsidR="009E4E5F">
        <w:t xml:space="preserve"> </w:t>
      </w:r>
      <w:r w:rsidR="0054159A">
        <w:t xml:space="preserve">is inequitable because CruiseEmail complied with a </w:t>
      </w:r>
      <w:r w:rsidR="00061645">
        <w:t xml:space="preserve">prior </w:t>
      </w:r>
      <w:r w:rsidR="0054159A">
        <w:t>Wireless Bureau directive to file an application to amend the station’s license to reflect its new operating location</w:t>
      </w:r>
      <w:r w:rsidR="0054159A" w:rsidRPr="00A8719B">
        <w:t>.</w:t>
      </w:r>
      <w:r w:rsidR="0054159A">
        <w:rPr>
          <w:rStyle w:val="FootnoteReference"/>
        </w:rPr>
        <w:footnoteReference w:id="30"/>
      </w:r>
      <w:r w:rsidR="0054159A" w:rsidRPr="00A8719B">
        <w:t xml:space="preserve">  </w:t>
      </w:r>
      <w:r w:rsidR="0054159A">
        <w:t xml:space="preserve">The Division’s </w:t>
      </w:r>
      <w:r w:rsidR="0054159A" w:rsidRPr="00994821">
        <w:rPr>
          <w:i/>
        </w:rPr>
        <w:t>Forfeiture Order</w:t>
      </w:r>
      <w:r w:rsidR="0054159A">
        <w:t>, however, impose</w:t>
      </w:r>
      <w:r w:rsidR="009A3F1F">
        <w:t>d</w:t>
      </w:r>
      <w:r w:rsidR="0054159A">
        <w:t xml:space="preserve"> liability </w:t>
      </w:r>
      <w:r w:rsidR="00E83F1C">
        <w:t xml:space="preserve">for </w:t>
      </w:r>
      <w:r w:rsidR="00061645">
        <w:t xml:space="preserve">the station’s relocation and </w:t>
      </w:r>
      <w:r w:rsidR="00E83F1C">
        <w:t xml:space="preserve">subsequent </w:t>
      </w:r>
      <w:r w:rsidR="00061645">
        <w:t xml:space="preserve">operation </w:t>
      </w:r>
      <w:r w:rsidR="00890C49">
        <w:t xml:space="preserve">for approximately </w:t>
      </w:r>
      <w:r w:rsidR="008C4A6B">
        <w:t>four</w:t>
      </w:r>
      <w:r w:rsidR="00890C49">
        <w:t xml:space="preserve"> years </w:t>
      </w:r>
      <w:r w:rsidR="0054159A" w:rsidRPr="002223EF">
        <w:rPr>
          <w:i/>
        </w:rPr>
        <w:t>prior</w:t>
      </w:r>
      <w:r w:rsidR="0054159A">
        <w:t xml:space="preserve"> to </w:t>
      </w:r>
      <w:r w:rsidR="00061645">
        <w:t>the</w:t>
      </w:r>
      <w:r w:rsidR="0054159A">
        <w:t xml:space="preserve"> filing of the amendment application.</w:t>
      </w:r>
      <w:r w:rsidR="0054159A">
        <w:rPr>
          <w:rStyle w:val="FootnoteReference"/>
        </w:rPr>
        <w:footnoteReference w:id="31"/>
      </w:r>
      <w:r w:rsidR="0054159A">
        <w:t xml:space="preserve">  Neither the </w:t>
      </w:r>
      <w:r w:rsidR="005C739C">
        <w:t>amendment</w:t>
      </w:r>
      <w:r w:rsidR="00061645">
        <w:t xml:space="preserve"> nor the Wireless Bureau’s </w:t>
      </w:r>
      <w:r w:rsidR="0054159A">
        <w:t xml:space="preserve">formal or informal advice authorizes such </w:t>
      </w:r>
      <w:r w:rsidR="009A3F1F">
        <w:t xml:space="preserve">unauthorized </w:t>
      </w:r>
      <w:r w:rsidR="0054159A">
        <w:t>operation retroactively</w:t>
      </w:r>
      <w:r w:rsidR="005C739C">
        <w:t>,</w:t>
      </w:r>
      <w:r w:rsidR="00DE7E93">
        <w:rPr>
          <w:rStyle w:val="FootnoteReference"/>
        </w:rPr>
        <w:footnoteReference w:id="32"/>
      </w:r>
      <w:r w:rsidR="005C739C">
        <w:t xml:space="preserve"> and thus, we find </w:t>
      </w:r>
      <w:r w:rsidR="00C967B7">
        <w:t xml:space="preserve">no material error in the Division’s assessment of forfeiture liability for </w:t>
      </w:r>
      <w:r w:rsidR="005C739C">
        <w:t>such operation</w:t>
      </w:r>
      <w:r w:rsidR="00C967B7">
        <w:t>.</w:t>
      </w:r>
    </w:p>
    <w:p w:rsidR="0054159A" w:rsidRPr="00DA1FCB" w:rsidRDefault="0054159A" w:rsidP="0085084F">
      <w:pPr>
        <w:pStyle w:val="ParaNum"/>
        <w:widowControl/>
        <w:spacing w:after="220"/>
      </w:pPr>
      <w:r>
        <w:t>For the reasons set forth above, we hold that the Bureau lacks the authority to accept CruiseEmail’s late-filed Petition.</w:t>
      </w:r>
      <w:r w:rsidRPr="008F53E4">
        <w:t xml:space="preserve"> </w:t>
      </w:r>
      <w:r>
        <w:t xml:space="preserve"> </w:t>
      </w:r>
      <w:r w:rsidR="002223EF">
        <w:t xml:space="preserve">Furthermore, </w:t>
      </w:r>
      <w:r>
        <w:t>even if the Bureau could accept the late-filed Petition, the arguments therein</w:t>
      </w:r>
      <w:r w:rsidR="009A3F1F">
        <w:t xml:space="preserve"> do not provide any basis for reconsideration of the forfeiture</w:t>
      </w:r>
      <w:r>
        <w:t xml:space="preserve">.  </w:t>
      </w:r>
      <w:r w:rsidRPr="008F53E4">
        <w:t xml:space="preserve">We therefore </w:t>
      </w:r>
      <w:r>
        <w:t>dismiss CruiseEmail’s late-filed Petition and</w:t>
      </w:r>
      <w:r w:rsidR="009A3F1F">
        <w:t xml:space="preserve"> thereby</w:t>
      </w:r>
      <w:r>
        <w:t xml:space="preserve"> affirm the </w:t>
      </w:r>
      <w:r w:rsidRPr="008F53E4">
        <w:t>Division</w:t>
      </w:r>
      <w:r>
        <w:t>’</w:t>
      </w:r>
      <w:r w:rsidRPr="008F53E4">
        <w:t xml:space="preserve">s </w:t>
      </w:r>
      <w:r w:rsidRPr="0081250E">
        <w:rPr>
          <w:i/>
        </w:rPr>
        <w:t>Forfeiture Order</w:t>
      </w:r>
      <w:r>
        <w:t xml:space="preserve"> in its entirety.</w:t>
      </w:r>
      <w:r w:rsidR="003E22B2">
        <w:rPr>
          <w:rStyle w:val="FootnoteReference"/>
        </w:rPr>
        <w:footnoteReference w:id="33"/>
      </w:r>
    </w:p>
    <w:p w:rsidR="0054159A" w:rsidRPr="00DA1FCB" w:rsidRDefault="0054159A" w:rsidP="0085084F">
      <w:pPr>
        <w:pStyle w:val="Heading1"/>
        <w:spacing w:after="220"/>
      </w:pPr>
      <w:r w:rsidRPr="00DA1FCB">
        <w:t>ORDERING CLAUSES</w:t>
      </w:r>
    </w:p>
    <w:p w:rsidR="0054159A" w:rsidRDefault="0054159A" w:rsidP="00C325DA">
      <w:pPr>
        <w:pStyle w:val="ParaNum"/>
        <w:widowControl/>
      </w:pPr>
      <w:r w:rsidRPr="00530979">
        <w:rPr>
          <w:b/>
        </w:rPr>
        <w:t>ACCORDINGLY, IT IS ORDERED</w:t>
      </w:r>
      <w:r w:rsidRPr="00AC545E">
        <w:t xml:space="preserve"> that, pursuant to </w:t>
      </w:r>
      <w:r w:rsidRPr="00F025E1">
        <w:t>Sections 4(i) and 405 of the Communications Act of 1934, as amended</w:t>
      </w:r>
      <w:r w:rsidRPr="00AC545E">
        <w:t>, and Sections 0.111, 0.311</w:t>
      </w:r>
      <w:r w:rsidR="00C325DA">
        <w:t>,</w:t>
      </w:r>
      <w:r w:rsidRPr="00AC545E">
        <w:t xml:space="preserve"> and 1.</w:t>
      </w:r>
      <w:r>
        <w:t>106</w:t>
      </w:r>
      <w:r w:rsidRPr="00AC545E">
        <w:t xml:space="preserve"> of the </w:t>
      </w:r>
      <w:r>
        <w:t>Commission’s r</w:t>
      </w:r>
      <w:r w:rsidRPr="00AC545E">
        <w:t>ules,</w:t>
      </w:r>
      <w:r>
        <w:rPr>
          <w:rStyle w:val="FootnoteReference"/>
        </w:rPr>
        <w:footnoteReference w:id="34"/>
      </w:r>
      <w:r>
        <w:t xml:space="preserve"> the Petition for Reconsideration of the </w:t>
      </w:r>
      <w:r w:rsidRPr="00F025E1">
        <w:rPr>
          <w:i/>
        </w:rPr>
        <w:t>Forfeiture Order</w:t>
      </w:r>
      <w:r>
        <w:t xml:space="preserve"> filed on March 18, 2013 by CruiseEmail is hereby </w:t>
      </w:r>
      <w:r w:rsidRPr="008F53E4">
        <w:rPr>
          <w:b/>
        </w:rPr>
        <w:t>DISMISSED</w:t>
      </w:r>
      <w:r>
        <w:t xml:space="preserve"> and the </w:t>
      </w:r>
      <w:r w:rsidRPr="00F025E1">
        <w:rPr>
          <w:i/>
        </w:rPr>
        <w:t>Forfeiture Order</w:t>
      </w:r>
      <w:r>
        <w:t xml:space="preserve"> </w:t>
      </w:r>
      <w:r w:rsidRPr="008F53E4">
        <w:rPr>
          <w:b/>
        </w:rPr>
        <w:t>IS AFFIRMED</w:t>
      </w:r>
      <w:r>
        <w:t>.</w:t>
      </w:r>
    </w:p>
    <w:p w:rsidR="0054159A" w:rsidRPr="00E8057C" w:rsidRDefault="0054159A" w:rsidP="0054159A">
      <w:pPr>
        <w:pStyle w:val="ParaNum"/>
        <w:widowControl/>
      </w:pPr>
      <w:r w:rsidRPr="008F53E4">
        <w:rPr>
          <w:b/>
        </w:rPr>
        <w:t>IT IS FURTHER ORDERED</w:t>
      </w:r>
      <w:r>
        <w:t xml:space="preserve"> that, pursuant to Section 503(b) of the Communications Act of 1934, as amended, and Sections 0.111, 0.311</w:t>
      </w:r>
      <w:r w:rsidR="00C325DA">
        <w:t>,</w:t>
      </w:r>
      <w:r>
        <w:t xml:space="preserve"> and 1.80 of the Commission’s rules,</w:t>
      </w:r>
      <w:r>
        <w:rPr>
          <w:rStyle w:val="FootnoteReference"/>
        </w:rPr>
        <w:footnoteReference w:id="35"/>
      </w:r>
      <w:r>
        <w:t xml:space="preserve"> CruiseEmail </w:t>
      </w:r>
      <w:r w:rsidRPr="008F53E4">
        <w:rPr>
          <w:b/>
        </w:rPr>
        <w:t>IS LIABLE FOR A MONETARY FORFEITURE</w:t>
      </w:r>
      <w:r>
        <w:t xml:space="preserve"> in the amount of </w:t>
      </w:r>
      <w:r>
        <w:rPr>
          <w:spacing w:val="-2"/>
        </w:rPr>
        <w:t>fifteen thousand dollars ($15</w:t>
      </w:r>
      <w:r w:rsidRPr="005D0105">
        <w:rPr>
          <w:spacing w:val="-2"/>
        </w:rPr>
        <w:t>,000)</w:t>
      </w:r>
      <w:r>
        <w:t xml:space="preserve"> for willful and repeated violation of Section 301 of the Communications Act of 1934, as amended, and Section </w:t>
      </w:r>
      <w:r w:rsidRPr="000D53AB">
        <w:t>1.903</w:t>
      </w:r>
      <w:r>
        <w:t>(a) of the Commission’s rules.</w:t>
      </w:r>
      <w:r>
        <w:rPr>
          <w:rStyle w:val="FootnoteReference"/>
        </w:rPr>
        <w:footnoteReference w:id="36"/>
      </w:r>
    </w:p>
    <w:p w:rsidR="0054159A" w:rsidRPr="00E8057C" w:rsidRDefault="0054159A" w:rsidP="00057ED6">
      <w:pPr>
        <w:pStyle w:val="ParaNum"/>
        <w:widowControl/>
      </w:pPr>
      <w:r w:rsidRPr="00E8057C">
        <w:rPr>
          <w:rFonts w:eastAsia="MS Mincho" w:cs="Arial"/>
        </w:rPr>
        <w:t xml:space="preserve">Payment of the forfeiture shall be made in the manner provided for in Section 1.80 of the </w:t>
      </w:r>
      <w:r w:rsidR="00257FCF">
        <w:rPr>
          <w:rFonts w:eastAsia="MS Mincho" w:cs="Arial"/>
        </w:rPr>
        <w:t>Commission’s rules</w:t>
      </w:r>
      <w:r w:rsidR="00257FCF" w:rsidRPr="00E8057C">
        <w:rPr>
          <w:rFonts w:eastAsia="MS Mincho" w:cs="Arial"/>
        </w:rPr>
        <w:t xml:space="preserve"> </w:t>
      </w:r>
      <w:r w:rsidR="00DE274C">
        <w:rPr>
          <w:rFonts w:eastAsia="MS Mincho" w:cs="Arial"/>
        </w:rPr>
        <w:t xml:space="preserve">on or before March </w:t>
      </w:r>
      <w:r w:rsidR="00B129D6">
        <w:rPr>
          <w:rFonts w:eastAsia="MS Mincho" w:cs="Arial"/>
        </w:rPr>
        <w:t>31</w:t>
      </w:r>
      <w:r w:rsidR="00DE274C">
        <w:rPr>
          <w:rFonts w:eastAsia="MS Mincho" w:cs="Arial"/>
        </w:rPr>
        <w:t>, 2014</w:t>
      </w:r>
      <w:r w:rsidRPr="00E8057C">
        <w:rPr>
          <w:rFonts w:eastAsia="MS Mincho" w:cs="Arial"/>
        </w:rPr>
        <w:t>.</w:t>
      </w:r>
      <w:r>
        <w:rPr>
          <w:rStyle w:val="FootnoteReference"/>
          <w:rFonts w:eastAsia="MS Mincho" w:cs="Arial"/>
        </w:rPr>
        <w:footnoteReference w:id="37"/>
      </w:r>
      <w:r w:rsidRPr="00E8057C">
        <w:rPr>
          <w:rFonts w:eastAsia="MS Mincho" w:cs="Arial"/>
        </w:rPr>
        <w:t xml:space="preserve">  </w:t>
      </w:r>
      <w:r w:rsidR="00FB6247">
        <w:rPr>
          <w:rFonts w:eastAsia="MS Mincho" w:cs="Arial"/>
        </w:rPr>
        <w:t>T</w:t>
      </w:r>
      <w:r w:rsidRPr="00E8057C">
        <w:rPr>
          <w:rFonts w:eastAsia="MS Mincho" w:cs="Arial"/>
        </w:rPr>
        <w:t xml:space="preserve">he case may </w:t>
      </w:r>
      <w:r w:rsidR="00FB6247">
        <w:rPr>
          <w:rFonts w:eastAsia="MS Mincho" w:cs="Arial"/>
        </w:rPr>
        <w:t xml:space="preserve">also </w:t>
      </w:r>
      <w:r w:rsidRPr="00E8057C">
        <w:rPr>
          <w:rFonts w:eastAsia="MS Mincho" w:cs="Arial"/>
        </w:rPr>
        <w:t xml:space="preserve">be referred to the U.S. Department of Justice for enforcement of the forfeiture pursuant to Section 504(a) of the </w:t>
      </w:r>
      <w:r w:rsidR="00257FCF">
        <w:rPr>
          <w:rFonts w:eastAsia="MS Mincho" w:cs="Arial"/>
        </w:rPr>
        <w:t>Communications Act of 1934, as amended</w:t>
      </w:r>
      <w:r w:rsidRPr="00E8057C">
        <w:rPr>
          <w:rFonts w:eastAsia="MS Mincho" w:cs="Arial"/>
        </w:rPr>
        <w:t>.</w:t>
      </w:r>
      <w:r>
        <w:rPr>
          <w:rStyle w:val="FootnoteReference"/>
          <w:rFonts w:eastAsia="MS Mincho" w:cs="Arial"/>
        </w:rPr>
        <w:footnoteReference w:id="38"/>
      </w:r>
      <w:r w:rsidRPr="00E8057C">
        <w:rPr>
          <w:rFonts w:eastAsia="MS Mincho" w:cs="Arial"/>
        </w:rPr>
        <w:t xml:space="preserve">  </w:t>
      </w:r>
      <w:r>
        <w:rPr>
          <w:rFonts w:eastAsia="MS Mincho" w:cs="Arial"/>
        </w:rPr>
        <w:t>On the date said payment is made, CruiseEmail</w:t>
      </w:r>
      <w:r w:rsidRPr="00E8057C">
        <w:rPr>
          <w:rFonts w:eastAsia="MS Mincho" w:cs="Arial"/>
        </w:rPr>
        <w:t xml:space="preserve"> shall send electronic notification of payment to</w:t>
      </w:r>
      <w:r w:rsidR="00A5764E" w:rsidRPr="00A5764E">
        <w:rPr>
          <w:rFonts w:eastAsia="MS Mincho" w:cs="Arial"/>
        </w:rPr>
        <w:t xml:space="preserve"> </w:t>
      </w:r>
      <w:smartTag w:uri="urn:schemas-microsoft-com:office:smarttags" w:element="PersonName">
        <w:r w:rsidR="00A5764E">
          <w:rPr>
            <w:rFonts w:eastAsia="MS Mincho" w:cs="Arial"/>
          </w:rPr>
          <w:t>Nissa Laughner</w:t>
        </w:r>
      </w:smartTag>
      <w:r w:rsidR="00A5764E" w:rsidRPr="00E8057C">
        <w:rPr>
          <w:rFonts w:eastAsia="MS Mincho" w:cs="Arial"/>
        </w:rPr>
        <w:t xml:space="preserve"> at </w:t>
      </w:r>
      <w:r w:rsidR="00A5764E">
        <w:rPr>
          <w:rFonts w:eastAsia="MS Mincho" w:cs="Arial"/>
        </w:rPr>
        <w:t>Nissa.Laughner</w:t>
      </w:r>
      <w:r w:rsidR="00A5764E" w:rsidRPr="00E8057C">
        <w:rPr>
          <w:rFonts w:eastAsia="MS Mincho" w:cs="Arial"/>
        </w:rPr>
        <w:t>@fcc.gov,</w:t>
      </w:r>
      <w:r w:rsidR="00A5764E">
        <w:rPr>
          <w:rFonts w:eastAsia="MS Mincho" w:cs="Arial"/>
        </w:rPr>
        <w:t xml:space="preserve"> </w:t>
      </w:r>
      <w:r>
        <w:rPr>
          <w:rFonts w:eastAsia="MS Mincho" w:cs="Arial"/>
        </w:rPr>
        <w:t>Daudeline Meme</w:t>
      </w:r>
      <w:r w:rsidRPr="00E8057C">
        <w:rPr>
          <w:rFonts w:eastAsia="MS Mincho" w:cs="Arial"/>
        </w:rPr>
        <w:t xml:space="preserve"> at </w:t>
      </w:r>
      <w:r>
        <w:rPr>
          <w:rFonts w:eastAsia="MS Mincho" w:cs="Arial"/>
        </w:rPr>
        <w:t>Daudeline.Meme</w:t>
      </w:r>
      <w:r w:rsidRPr="00E8057C">
        <w:rPr>
          <w:rFonts w:eastAsia="MS Mincho" w:cs="Arial"/>
        </w:rPr>
        <w:t>@fcc.gov, and Samantha Peoples at Sam.Peoples@fcc.gov.</w:t>
      </w:r>
    </w:p>
    <w:p w:rsidR="0054159A" w:rsidRPr="00E8057C" w:rsidRDefault="0054159A" w:rsidP="0054159A">
      <w:pPr>
        <w:pStyle w:val="ParaNum"/>
      </w:pPr>
      <w:r w:rsidRPr="00E8057C">
        <w:rPr>
          <w:rFonts w:eastAsia="MS Mincho" w:cs="Arial"/>
        </w:rPr>
        <w:t xml:space="preserve">The payment must be made by check or similar instrument, wire transfer, or credit card, and must include the NAL/Account </w:t>
      </w:r>
      <w:r w:rsidR="00803FF9">
        <w:rPr>
          <w:rFonts w:eastAsia="MS Mincho" w:cs="Arial"/>
        </w:rPr>
        <w:t>N</w:t>
      </w:r>
      <w:r w:rsidRPr="00E8057C">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39"/>
      </w:r>
      <w:r w:rsidRPr="00E8057C">
        <w:rPr>
          <w:rFonts w:eastAsia="MS Mincho" w:cs="Arial"/>
        </w:rPr>
        <w:t xml:space="preserve">  When completing the FCC Form 159, enter the Account Number in block number 23A (call sign/other ID) and enter the letters “FORF” in block number 24A (payment type code).</w:t>
      </w:r>
      <w:r>
        <w:rPr>
          <w:rFonts w:eastAsia="MS Mincho" w:cs="Arial"/>
        </w:rPr>
        <w:t xml:space="preserve">  </w:t>
      </w:r>
      <w:r w:rsidRPr="00E8057C">
        <w:rPr>
          <w:color w:val="000000"/>
          <w:szCs w:val="22"/>
        </w:rPr>
        <w:t xml:space="preserve">Below are additional instructions </w:t>
      </w:r>
      <w:r w:rsidR="00F80A26">
        <w:rPr>
          <w:color w:val="000000"/>
          <w:szCs w:val="22"/>
        </w:rPr>
        <w:t>CruiseEmail</w:t>
      </w:r>
      <w:r w:rsidRPr="00E8057C">
        <w:rPr>
          <w:color w:val="000000"/>
          <w:szCs w:val="22"/>
        </w:rPr>
        <w:t xml:space="preserve"> should follow based on the form of payment </w:t>
      </w:r>
      <w:r w:rsidR="00F80A26">
        <w:rPr>
          <w:color w:val="000000"/>
          <w:szCs w:val="22"/>
        </w:rPr>
        <w:t>CruiseEmail</w:t>
      </w:r>
      <w:r w:rsidRPr="00E8057C">
        <w:rPr>
          <w:color w:val="000000"/>
          <w:szCs w:val="22"/>
        </w:rPr>
        <w:t xml:space="preserve"> select</w:t>
      </w:r>
      <w:r w:rsidR="00F80A26">
        <w:rPr>
          <w:color w:val="000000"/>
          <w:szCs w:val="22"/>
        </w:rPr>
        <w:t>s</w:t>
      </w:r>
      <w:r w:rsidRPr="00E8057C">
        <w:rPr>
          <w:color w:val="000000"/>
          <w:szCs w:val="22"/>
        </w:rPr>
        <w:t>:</w:t>
      </w:r>
    </w:p>
    <w:p w:rsidR="0054159A" w:rsidRPr="00626BA2" w:rsidRDefault="0054159A" w:rsidP="00803FF9">
      <w:pPr>
        <w:pStyle w:val="ParaNum"/>
        <w:numPr>
          <w:ilvl w:val="0"/>
          <w:numId w:val="10"/>
        </w:numPr>
        <w:tabs>
          <w:tab w:val="clear" w:pos="720"/>
          <w:tab w:val="num" w:pos="1440"/>
        </w:tabs>
        <w:ind w:left="1440" w:hanging="720"/>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or 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54159A" w:rsidRPr="00626BA2" w:rsidRDefault="0054159A" w:rsidP="00803FF9">
      <w:pPr>
        <w:pStyle w:val="ParaNum"/>
        <w:numPr>
          <w:ilvl w:val="0"/>
          <w:numId w:val="10"/>
        </w:numPr>
        <w:tabs>
          <w:tab w:val="clear" w:pos="720"/>
          <w:tab w:val="num" w:pos="1440"/>
        </w:tabs>
        <w:ind w:left="1440" w:hanging="720"/>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54159A" w:rsidRPr="00E8057C" w:rsidRDefault="0054159A" w:rsidP="00803FF9">
      <w:pPr>
        <w:pStyle w:val="ParaNum"/>
        <w:widowControl/>
        <w:numPr>
          <w:ilvl w:val="0"/>
          <w:numId w:val="10"/>
        </w:numPr>
        <w:tabs>
          <w:tab w:val="clear" w:pos="720"/>
          <w:tab w:val="num" w:pos="1440"/>
        </w:tabs>
        <w:ind w:left="1440" w:hanging="720"/>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w:t>
      </w:r>
      <w:smartTag w:uri="urn:schemas-microsoft-com:office:smarttags" w:element="address">
        <w:smartTag w:uri="urn:schemas-microsoft-com:office:smarttags" w:element="Street">
          <w:r w:rsidRPr="00626BA2">
            <w:rPr>
              <w:rFonts w:eastAsia="MS Mincho"/>
            </w:rPr>
            <w:t>P.O. Box 979088</w:t>
          </w:r>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r w:rsidRPr="00626BA2">
        <w:rPr>
          <w:rFonts w:eastAsia="MS Mincho"/>
        </w:rPr>
        <w:t xml:space="preserve">, </w:t>
      </w:r>
      <w:r>
        <w:rPr>
          <w:rFonts w:eastAsia="MS Mincho"/>
        </w:rPr>
        <w:t xml:space="preserve">or </w:t>
      </w:r>
      <w:r w:rsidRPr="00626BA2">
        <w:rPr>
          <w:rFonts w:eastAsia="MS Mincho"/>
        </w:rPr>
        <w:t xml:space="preserve">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r w:rsidRPr="00626BA2">
        <w:rPr>
          <w:rFonts w:eastAsia="MS Mincho"/>
        </w:rPr>
        <w:t xml:space="preserve">.  </w:t>
      </w:r>
    </w:p>
    <w:p w:rsidR="006F415D" w:rsidRPr="00F90AC9" w:rsidRDefault="0054159A" w:rsidP="00F90AC9">
      <w:pPr>
        <w:pStyle w:val="ParaNum"/>
        <w:widowControl/>
        <w:rPr>
          <w:spacing w:val="-2"/>
          <w:szCs w:val="22"/>
        </w:rPr>
      </w:pPr>
      <w:r w:rsidRPr="00E8057C">
        <w:rPr>
          <w:rFonts w:eastAsia="MS Mincho"/>
        </w:rPr>
        <w:t xml:space="preserve">Any request for full payment under an installment plan </w:t>
      </w:r>
      <w:r w:rsidR="00D944BF">
        <w:rPr>
          <w:rFonts w:eastAsia="MS Mincho"/>
        </w:rPr>
        <w:t xml:space="preserve">over time </w:t>
      </w:r>
      <w:r w:rsidRPr="00E8057C">
        <w:rPr>
          <w:rFonts w:eastAsia="MS Mincho"/>
        </w:rPr>
        <w:t xml:space="preserve">should be sent to:  Chief Financial Officer—Financial Operations, </w:t>
      </w:r>
      <w:r w:rsidRPr="00E8057C">
        <w:rPr>
          <w:rFonts w:eastAsia="MS Mincho" w:cs="Arial"/>
        </w:rPr>
        <w:t>Federal</w:t>
      </w:r>
      <w:r w:rsidRPr="00E8057C">
        <w:rPr>
          <w:rFonts w:eastAsia="MS Mincho"/>
        </w:rPr>
        <w:t xml:space="preserve"> Communications Commission, 445 12th Street, S.W., Room 1-A625, Washington, D.C. 20554.</w:t>
      </w:r>
      <w:r>
        <w:rPr>
          <w:rStyle w:val="FootnoteReference"/>
          <w:rFonts w:eastAsia="MS Mincho"/>
        </w:rPr>
        <w:footnoteReference w:id="40"/>
      </w:r>
      <w:r w:rsidRPr="00E8057C">
        <w:rPr>
          <w:rFonts w:eastAsia="MS Mincho"/>
        </w:rPr>
        <w:t>  If you have questions regarding payment procedures, please contact the Financial Operations Group Help Desk by phone, 1-877-480-3201, or by e</w:t>
      </w:r>
      <w:r w:rsidRPr="00E8057C">
        <w:rPr>
          <w:rFonts w:eastAsia="MS Mincho"/>
        </w:rPr>
        <w:noBreakHyphen/>
        <w:t xml:space="preserve">mail, </w:t>
      </w:r>
      <w:r w:rsidRPr="00E8057C">
        <w:rPr>
          <w:rFonts w:eastAsia="MS Mincho" w:cs="Arial"/>
        </w:rPr>
        <w:t>ARINQUIRIES@fcc.gov</w:t>
      </w:r>
      <w:r w:rsidRPr="00E8057C">
        <w:rPr>
          <w:rFonts w:eastAsia="MS Mincho"/>
        </w:rPr>
        <w:t>.</w:t>
      </w:r>
    </w:p>
    <w:p w:rsidR="0054159A" w:rsidRPr="00E8057C" w:rsidRDefault="0054159A" w:rsidP="006F415D">
      <w:pPr>
        <w:pStyle w:val="ParaNum"/>
        <w:keepLines/>
        <w:rPr>
          <w:szCs w:val="22"/>
        </w:rPr>
      </w:pPr>
      <w:r w:rsidRPr="00E8057C">
        <w:rPr>
          <w:b/>
        </w:rPr>
        <w:t xml:space="preserve">IT IS FURTHER ORDERED </w:t>
      </w:r>
      <w:r w:rsidRPr="00E8057C">
        <w:t>that a copy of this Memorandum Opinion and Order</w:t>
      </w:r>
      <w:r w:rsidRPr="00E8057C">
        <w:rPr>
          <w:i/>
        </w:rPr>
        <w:t xml:space="preserve"> </w:t>
      </w:r>
      <w:r w:rsidRPr="00E8057C">
        <w:t>shall be sent by First Class and Certified Mail</w:t>
      </w:r>
      <w:r w:rsidR="00803FF9">
        <w:t>,</w:t>
      </w:r>
      <w:r w:rsidRPr="00E8057C">
        <w:t xml:space="preserve"> Return Receipt Requested</w:t>
      </w:r>
      <w:r w:rsidR="00803FF9">
        <w:t>,</w:t>
      </w:r>
      <w:r w:rsidRPr="00E8057C">
        <w:t xml:space="preserve"> to </w:t>
      </w:r>
      <w:r>
        <w:rPr>
          <w:szCs w:val="22"/>
        </w:rPr>
        <w:t>Dr. John S</w:t>
      </w:r>
      <w:r w:rsidR="00CC1458">
        <w:rPr>
          <w:szCs w:val="22"/>
        </w:rPr>
        <w:t>.</w:t>
      </w:r>
      <w:r>
        <w:rPr>
          <w:szCs w:val="22"/>
        </w:rPr>
        <w:t xml:space="preserve"> Gregory, </w:t>
      </w:r>
      <w:r w:rsidR="00537322">
        <w:rPr>
          <w:szCs w:val="22"/>
        </w:rPr>
        <w:t xml:space="preserve">Chief Executive Officer, CruiseEmail, </w:t>
      </w:r>
      <w:smartTag w:uri="urn:schemas-microsoft-com:office:smarttags" w:element="address">
        <w:smartTag w:uri="urn:schemas-microsoft-com:office:smarttags" w:element="Street">
          <w:r w:rsidRPr="00E8057C">
            <w:rPr>
              <w:szCs w:val="22"/>
            </w:rPr>
            <w:t>P</w:t>
          </w:r>
          <w:r>
            <w:rPr>
              <w:szCs w:val="22"/>
            </w:rPr>
            <w:t>.</w:t>
          </w:r>
          <w:r w:rsidRPr="00E8057C">
            <w:rPr>
              <w:szCs w:val="22"/>
            </w:rPr>
            <w:t>O</w:t>
          </w:r>
          <w:r>
            <w:rPr>
              <w:szCs w:val="22"/>
            </w:rPr>
            <w:t>. Box</w:t>
          </w:r>
        </w:smartTag>
        <w:r>
          <w:rPr>
            <w:szCs w:val="22"/>
          </w:rPr>
          <w:t xml:space="preserve"> 95</w:t>
        </w:r>
      </w:smartTag>
      <w:r>
        <w:rPr>
          <w:szCs w:val="22"/>
        </w:rPr>
        <w:t>, HC64B</w:t>
      </w:r>
      <w:r w:rsidRPr="00E8057C">
        <w:rPr>
          <w:szCs w:val="22"/>
        </w:rPr>
        <w:t>ox191</w:t>
      </w:r>
      <w:r>
        <w:rPr>
          <w:szCs w:val="22"/>
        </w:rPr>
        <w:t xml:space="preserve">, </w:t>
      </w:r>
      <w:smartTag w:uri="urn:schemas-microsoft-com:office:smarttags" w:element="place">
        <w:smartTag w:uri="urn:schemas-microsoft-com:office:smarttags" w:element="City">
          <w:r>
            <w:rPr>
              <w:szCs w:val="22"/>
            </w:rPr>
            <w:t>Hillsboro</w:t>
          </w:r>
        </w:smartTag>
        <w:r>
          <w:rPr>
            <w:szCs w:val="22"/>
          </w:rPr>
          <w:t xml:space="preserve">, </w:t>
        </w:r>
        <w:smartTag w:uri="urn:schemas-microsoft-com:office:smarttags" w:element="State">
          <w:r>
            <w:rPr>
              <w:szCs w:val="22"/>
            </w:rPr>
            <w:t>WV</w:t>
          </w:r>
        </w:smartTag>
        <w:r>
          <w:rPr>
            <w:szCs w:val="22"/>
          </w:rPr>
          <w:t xml:space="preserve"> </w:t>
        </w:r>
        <w:smartTag w:uri="urn:schemas-microsoft-com:office:smarttags" w:element="PostalCode">
          <w:r>
            <w:rPr>
              <w:szCs w:val="22"/>
            </w:rPr>
            <w:t>24946</w:t>
          </w:r>
        </w:smartTag>
      </w:smartTag>
      <w:r>
        <w:rPr>
          <w:szCs w:val="22"/>
        </w:rPr>
        <w:t>.</w:t>
      </w:r>
    </w:p>
    <w:p w:rsidR="0054159A" w:rsidRDefault="0054159A" w:rsidP="0054159A">
      <w:pPr>
        <w:tabs>
          <w:tab w:val="left" w:pos="0"/>
        </w:tabs>
        <w:suppressAutoHyphens/>
        <w:rPr>
          <w:szCs w:val="22"/>
        </w:rPr>
      </w:pPr>
    </w:p>
    <w:p w:rsidR="0085084F" w:rsidRPr="009267D8" w:rsidRDefault="0085084F" w:rsidP="0054159A">
      <w:pPr>
        <w:tabs>
          <w:tab w:val="left" w:pos="0"/>
        </w:tabs>
        <w:suppressAutoHyphens/>
        <w:rPr>
          <w:szCs w:val="22"/>
        </w:rPr>
      </w:pPr>
    </w:p>
    <w:p w:rsidR="0054159A" w:rsidRPr="009267D8" w:rsidRDefault="0054159A" w:rsidP="0054159A">
      <w:pPr>
        <w:tabs>
          <w:tab w:val="left" w:pos="0"/>
        </w:tabs>
        <w:suppressAutoHyphens/>
        <w:rPr>
          <w:szCs w:val="22"/>
        </w:rPr>
      </w:pP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t>FEDERAL COMMUNICATIONS COMMISSION</w:t>
      </w:r>
    </w:p>
    <w:p w:rsidR="0054159A" w:rsidRPr="009267D8" w:rsidRDefault="0054159A" w:rsidP="0054159A">
      <w:pPr>
        <w:tabs>
          <w:tab w:val="left" w:pos="0"/>
        </w:tabs>
        <w:suppressAutoHyphens/>
        <w:rPr>
          <w:szCs w:val="22"/>
        </w:rPr>
      </w:pPr>
    </w:p>
    <w:p w:rsidR="0054159A" w:rsidRPr="009267D8" w:rsidRDefault="0054159A" w:rsidP="0054159A">
      <w:pPr>
        <w:tabs>
          <w:tab w:val="left" w:pos="0"/>
        </w:tabs>
        <w:suppressAutoHyphens/>
        <w:rPr>
          <w:szCs w:val="22"/>
        </w:rPr>
      </w:pPr>
    </w:p>
    <w:p w:rsidR="0054159A" w:rsidRPr="009267D8" w:rsidRDefault="0054159A" w:rsidP="0054159A">
      <w:pPr>
        <w:tabs>
          <w:tab w:val="left" w:pos="0"/>
        </w:tabs>
        <w:suppressAutoHyphens/>
        <w:rPr>
          <w:szCs w:val="22"/>
        </w:rPr>
      </w:pP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r>
    </w:p>
    <w:p w:rsidR="00D944BF" w:rsidRDefault="0054159A" w:rsidP="0054159A">
      <w:pPr>
        <w:rPr>
          <w:szCs w:val="22"/>
        </w:rPr>
      </w:pPr>
      <w:r w:rsidRPr="009267D8">
        <w:rPr>
          <w:szCs w:val="22"/>
        </w:rPr>
        <w:tab/>
      </w:r>
      <w:r w:rsidRPr="009267D8">
        <w:rPr>
          <w:szCs w:val="22"/>
        </w:rPr>
        <w:tab/>
      </w:r>
      <w:r w:rsidRPr="009267D8">
        <w:rPr>
          <w:szCs w:val="22"/>
        </w:rPr>
        <w:tab/>
      </w:r>
      <w:r w:rsidRPr="009267D8">
        <w:rPr>
          <w:szCs w:val="22"/>
        </w:rPr>
        <w:tab/>
      </w:r>
      <w:r w:rsidRPr="009267D8">
        <w:rPr>
          <w:szCs w:val="22"/>
        </w:rPr>
        <w:tab/>
      </w:r>
      <w:r w:rsidRPr="009267D8">
        <w:rPr>
          <w:szCs w:val="22"/>
        </w:rPr>
        <w:tab/>
      </w:r>
    </w:p>
    <w:p w:rsidR="0054159A" w:rsidRPr="00110F9D" w:rsidRDefault="0054159A" w:rsidP="00D944BF">
      <w:pPr>
        <w:ind w:left="3600" w:firstLine="720"/>
        <w:rPr>
          <w:color w:val="000000"/>
          <w:szCs w:val="22"/>
        </w:rPr>
      </w:pPr>
      <w:r w:rsidRPr="00110F9D">
        <w:rPr>
          <w:color w:val="000000"/>
          <w:szCs w:val="22"/>
        </w:rPr>
        <w:t>P. Michele Ellison</w:t>
      </w:r>
    </w:p>
    <w:p w:rsidR="0054159A" w:rsidRDefault="0054159A" w:rsidP="0054159A">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Chief </w:t>
      </w:r>
    </w:p>
    <w:p w:rsidR="0054159A" w:rsidRDefault="0054159A" w:rsidP="0054159A">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Enforcement Bureau</w:t>
      </w:r>
    </w:p>
    <w:sectPr w:rsidR="0054159A" w:rsidSect="0054159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152"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23" w:rsidRDefault="002A5023">
      <w:r>
        <w:separator/>
      </w:r>
    </w:p>
  </w:endnote>
  <w:endnote w:type="continuationSeparator" w:id="0">
    <w:p w:rsidR="002A5023" w:rsidRDefault="002A5023">
      <w:r>
        <w:continuationSeparator/>
      </w:r>
    </w:p>
  </w:endnote>
  <w:endnote w:type="continuationNotice" w:id="1">
    <w:p w:rsidR="002A5023" w:rsidRDefault="002A5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5B" w:rsidRDefault="005E655B" w:rsidP="0054159A">
    <w:pPr>
      <w:pStyle w:val="Footer"/>
      <w:framePr w:wrap="around" w:vAnchor="text" w:hAnchor="margin" w:xAlign="center" w:y="1"/>
    </w:pPr>
    <w:r>
      <w:fldChar w:fldCharType="begin"/>
    </w:r>
    <w:r>
      <w:instrText xml:space="preserve">PAGE  </w:instrText>
    </w:r>
    <w:r>
      <w:fldChar w:fldCharType="end"/>
    </w:r>
  </w:p>
  <w:p w:rsidR="005E655B" w:rsidRDefault="005E6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5B" w:rsidRDefault="005E655B" w:rsidP="0054159A">
    <w:pPr>
      <w:pStyle w:val="Footer"/>
      <w:framePr w:wrap="around" w:vAnchor="text" w:hAnchor="margin" w:xAlign="center" w:y="1"/>
    </w:pPr>
    <w:r>
      <w:fldChar w:fldCharType="begin"/>
    </w:r>
    <w:r>
      <w:instrText xml:space="preserve">PAGE  </w:instrText>
    </w:r>
    <w:r>
      <w:fldChar w:fldCharType="separate"/>
    </w:r>
    <w:r w:rsidR="009C2B7F">
      <w:rPr>
        <w:noProof/>
      </w:rPr>
      <w:t>2</w:t>
    </w:r>
    <w:r>
      <w:rPr>
        <w:noProof/>
      </w:rPr>
      <w:fldChar w:fldCharType="end"/>
    </w:r>
  </w:p>
  <w:p w:rsidR="005E655B" w:rsidRPr="005272FF" w:rsidRDefault="005E655B" w:rsidP="0054159A">
    <w:pPr>
      <w:jc w:val="center"/>
      <w:rPr>
        <w:b/>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F2" w:rsidRDefault="0068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23" w:rsidRDefault="002A5023">
      <w:r>
        <w:separator/>
      </w:r>
    </w:p>
  </w:footnote>
  <w:footnote w:type="continuationSeparator" w:id="0">
    <w:p w:rsidR="002A5023" w:rsidRDefault="002A5023">
      <w:r>
        <w:continuationSeparator/>
      </w:r>
    </w:p>
  </w:footnote>
  <w:footnote w:type="continuationNotice" w:id="1">
    <w:p w:rsidR="002A5023" w:rsidRDefault="002A5023"/>
  </w:footnote>
  <w:footnote w:id="2">
    <w:p w:rsidR="005E655B" w:rsidRDefault="005E655B" w:rsidP="0023638C">
      <w:pPr>
        <w:pStyle w:val="FootnoteText"/>
      </w:pPr>
      <w:r>
        <w:rPr>
          <w:rStyle w:val="FootnoteReference"/>
        </w:rPr>
        <w:footnoteRef/>
      </w:r>
      <w:r>
        <w:t xml:space="preserve"> </w:t>
      </w:r>
      <w:r w:rsidRPr="003F60E9">
        <w:t>The investi</w:t>
      </w:r>
      <w:r>
        <w:t>gation was initiated under File No</w:t>
      </w:r>
      <w:r w:rsidRPr="003F60E9">
        <w:t xml:space="preserve">. </w:t>
      </w:r>
      <w:r>
        <w:t>EB-09-SE-066 and subsequently assigned File No</w:t>
      </w:r>
      <w:r w:rsidRPr="003F60E9">
        <w:t xml:space="preserve">. </w:t>
      </w:r>
      <w:r w:rsidRPr="00283761">
        <w:rPr>
          <w:spacing w:val="-2"/>
        </w:rPr>
        <w:t>EB-SED-13-00009464</w:t>
      </w:r>
      <w:r w:rsidRPr="003F60E9">
        <w:t xml:space="preserve">.  Any future correspondence with the </w:t>
      </w:r>
      <w:r>
        <w:t>Commission</w:t>
      </w:r>
      <w:r w:rsidRPr="003F60E9">
        <w:t xml:space="preserve"> concerning th</w:t>
      </w:r>
      <w:r>
        <w:t>is</w:t>
      </w:r>
      <w:r w:rsidRPr="003F60E9">
        <w:t xml:space="preserve"> matter should reflect the new case number.</w:t>
      </w:r>
    </w:p>
  </w:footnote>
  <w:footnote w:id="3">
    <w:p w:rsidR="005E655B" w:rsidRPr="00392E9D" w:rsidRDefault="005E655B" w:rsidP="0023638C">
      <w:pPr>
        <w:pStyle w:val="FootnoteText"/>
        <w:rPr>
          <w:i/>
        </w:rPr>
      </w:pPr>
      <w:r>
        <w:rPr>
          <w:rStyle w:val="FootnoteReference"/>
        </w:rPr>
        <w:footnoteRef/>
      </w:r>
      <w:r>
        <w:t xml:space="preserve"> </w:t>
      </w:r>
      <w:r>
        <w:rPr>
          <w:i/>
        </w:rPr>
        <w:t xml:space="preserve">See </w:t>
      </w:r>
      <w:r w:rsidRPr="00AC5359">
        <w:t xml:space="preserve">Letter from </w:t>
      </w:r>
      <w:r>
        <w:t xml:space="preserve">Dr. </w:t>
      </w:r>
      <w:r w:rsidRPr="00AC5359">
        <w:t>John Grego</w:t>
      </w:r>
      <w:r>
        <w:t>ry,</w:t>
      </w:r>
      <w:r w:rsidRPr="00AC5359">
        <w:t xml:space="preserve"> Chief Executive Officer</w:t>
      </w:r>
      <w:r>
        <w:t xml:space="preserve"> (CEO)</w:t>
      </w:r>
      <w:r w:rsidRPr="00AC5359">
        <w:t xml:space="preserve">, CruiseEmail, to Nissa Laughner, Attorney Advisor, </w:t>
      </w:r>
      <w:r w:rsidRPr="00BA43E6">
        <w:t>Spectrum Enforcement Division, FCC Enforcement Bureau</w:t>
      </w:r>
      <w:r w:rsidRPr="00AC5359">
        <w:t xml:space="preserve"> (filed Mar. 18, 2013</w:t>
      </w:r>
      <w:r>
        <w:t>) (on file in EB-SED-13-</w:t>
      </w:r>
      <w:r w:rsidR="00E2714F">
        <w:t>0</w:t>
      </w:r>
      <w:r>
        <w:t>0009464</w:t>
      </w:r>
      <w:r w:rsidRPr="00AC5359">
        <w:t>) (Petition).</w:t>
      </w:r>
    </w:p>
  </w:footnote>
  <w:footnote w:id="4">
    <w:p w:rsidR="005E655B" w:rsidRPr="00AC5359" w:rsidRDefault="005E655B" w:rsidP="0023638C">
      <w:pPr>
        <w:pStyle w:val="FootnoteText"/>
      </w:pPr>
      <w:r w:rsidRPr="00AC5359">
        <w:rPr>
          <w:rStyle w:val="FootnoteReference"/>
        </w:rPr>
        <w:footnoteRef/>
      </w:r>
      <w:r w:rsidRPr="00AC5359">
        <w:t xml:space="preserve"> </w:t>
      </w:r>
      <w:r w:rsidRPr="00AC5359">
        <w:rPr>
          <w:i/>
        </w:rPr>
        <w:t>CruiseEmail</w:t>
      </w:r>
      <w:r w:rsidRPr="00AC5359">
        <w:t>, Forfeiture Order, 28 FCC Rcd 1075 (Enf. Bur. 2013) (</w:t>
      </w:r>
      <w:r w:rsidRPr="00AC5359">
        <w:rPr>
          <w:i/>
        </w:rPr>
        <w:t>Forfeiture Order</w:t>
      </w:r>
      <w:r w:rsidRPr="00AC5359">
        <w:t>).</w:t>
      </w:r>
    </w:p>
  </w:footnote>
  <w:footnote w:id="5">
    <w:p w:rsidR="005E655B" w:rsidRPr="00AC5359" w:rsidRDefault="005E655B" w:rsidP="0023638C">
      <w:pPr>
        <w:pStyle w:val="FootnoteText"/>
      </w:pPr>
      <w:r w:rsidRPr="00AC5359">
        <w:rPr>
          <w:rStyle w:val="FootnoteReference"/>
        </w:rPr>
        <w:footnoteRef/>
      </w:r>
      <w:r w:rsidRPr="00AC5359">
        <w:t xml:space="preserve"> 47 U.S.C. § 301; 47 C.F.R. § 1.903(a).</w:t>
      </w:r>
    </w:p>
  </w:footnote>
  <w:footnote w:id="6">
    <w:p w:rsidR="005E655B" w:rsidRDefault="005E655B" w:rsidP="0023638C">
      <w:pPr>
        <w:pStyle w:val="FootnoteText"/>
      </w:pPr>
      <w:r>
        <w:rPr>
          <w:rStyle w:val="FootnoteReference"/>
        </w:rPr>
        <w:footnoteRef/>
      </w:r>
      <w:r>
        <w:t xml:space="preserve"> Public Coast Stations are an integral part of the Maritime Services and traditionally have served the maritime community as commercial mobile radio service providers, permitting ships to send and receive messages and to interconnect with the public switched telephone network.  </w:t>
      </w:r>
      <w:r w:rsidR="00E656E9">
        <w:rPr>
          <w:i/>
        </w:rPr>
        <w:t>See Coast Radio Stations</w:t>
      </w:r>
      <w:r w:rsidR="00E656E9">
        <w:t xml:space="preserve">, FCC, </w:t>
      </w:r>
      <w:r w:rsidR="00E656E9" w:rsidRPr="009D783F">
        <w:t>http://wireless.fcc.gov/services/index.htm?job=service_home&amp;id=coast_stations</w:t>
      </w:r>
      <w:r w:rsidR="00E656E9">
        <w:t xml:space="preserve"> </w:t>
      </w:r>
      <w:r w:rsidR="00AE6B31">
        <w:t>(last updated Feb. 11, 2009)</w:t>
      </w:r>
      <w:r>
        <w:t xml:space="preserve">.  The </w:t>
      </w:r>
      <w:r w:rsidRPr="00DF43A3">
        <w:rPr>
          <w:szCs w:val="22"/>
        </w:rPr>
        <w:t xml:space="preserve">three public coast stations </w:t>
      </w:r>
      <w:r>
        <w:rPr>
          <w:szCs w:val="22"/>
        </w:rPr>
        <w:t>at issue in this proceeding were KDS, Olympia, Washington; WGM, Fort Lauderdale, Florida; and WHX, Pocomoke, Maryland.</w:t>
      </w:r>
    </w:p>
  </w:footnote>
  <w:footnote w:id="7">
    <w:p w:rsidR="005E655B" w:rsidRPr="0054159A" w:rsidRDefault="005E655B" w:rsidP="0023638C">
      <w:pPr>
        <w:pStyle w:val="FootnoteText"/>
      </w:pPr>
      <w:r w:rsidRPr="00AC5359">
        <w:rPr>
          <w:rStyle w:val="FootnoteReference"/>
        </w:rPr>
        <w:footnoteRef/>
      </w:r>
      <w:r w:rsidRPr="00AC5359">
        <w:t xml:space="preserve"> </w:t>
      </w:r>
      <w:r w:rsidRPr="00AC5359">
        <w:rPr>
          <w:i/>
        </w:rPr>
        <w:t>See</w:t>
      </w:r>
      <w:r w:rsidRPr="00AC5359">
        <w:t xml:space="preserve"> </w:t>
      </w:r>
      <w:r w:rsidRPr="00AC5359">
        <w:rPr>
          <w:i/>
        </w:rPr>
        <w:t>CruiseEmail</w:t>
      </w:r>
      <w:r w:rsidRPr="00AC5359">
        <w:t>, Notice of Apparent Liability for Forfeiture, 25 FCC Rcd 7386</w:t>
      </w:r>
      <w:r>
        <w:t xml:space="preserve"> </w:t>
      </w:r>
      <w:r w:rsidRPr="00AC5359">
        <w:t>(Enf. Bur. 2010).</w:t>
      </w:r>
      <w:r>
        <w:t xml:space="preserve">  </w:t>
      </w:r>
      <w:r w:rsidRPr="0054159A">
        <w:t xml:space="preserve">The </w:t>
      </w:r>
      <w:r w:rsidRPr="0054159A">
        <w:rPr>
          <w:i/>
        </w:rPr>
        <w:t>NAL</w:t>
      </w:r>
      <w:r>
        <w:t xml:space="preserve"> includes a </w:t>
      </w:r>
      <w:r w:rsidRPr="0054159A">
        <w:t>more complete recitation of the facts and history of this case</w:t>
      </w:r>
      <w:r>
        <w:t xml:space="preserve"> and</w:t>
      </w:r>
      <w:r w:rsidRPr="0054159A">
        <w:t xml:space="preserve"> </w:t>
      </w:r>
      <w:r>
        <w:t xml:space="preserve">is </w:t>
      </w:r>
      <w:r w:rsidRPr="0054159A">
        <w:t>incorporated herein by reference.</w:t>
      </w:r>
    </w:p>
  </w:footnote>
  <w:footnote w:id="8">
    <w:p w:rsidR="005E655B" w:rsidRPr="003406BD" w:rsidRDefault="005E655B" w:rsidP="00E02DAE">
      <w:pPr>
        <w:pStyle w:val="FootnoteText"/>
      </w:pPr>
      <w:r>
        <w:rPr>
          <w:rStyle w:val="FootnoteReference"/>
        </w:rPr>
        <w:footnoteRef/>
      </w:r>
      <w:r>
        <w:t xml:space="preserve"> </w:t>
      </w:r>
      <w:r>
        <w:rPr>
          <w:i/>
        </w:rPr>
        <w:t xml:space="preserve">See </w:t>
      </w:r>
      <w:r>
        <w:t>E-mail from Dr. John Gregory, CEO, CruiseEmail, to Nissa Laughner, Attorney Advisor, Spectrum Enforcement Division, FCC Enforcement Bureau (July 12, 2010, 11:45 DST) (on file in EB-SED-13-</w:t>
      </w:r>
      <w:r w:rsidR="00E2714F">
        <w:t>0</w:t>
      </w:r>
      <w:r>
        <w:t>0009464).</w:t>
      </w:r>
    </w:p>
  </w:footnote>
  <w:footnote w:id="9">
    <w:p w:rsidR="005E655B" w:rsidRDefault="005E655B" w:rsidP="004B66C6">
      <w:pPr>
        <w:pStyle w:val="FootnoteText"/>
      </w:pPr>
      <w:r>
        <w:rPr>
          <w:rStyle w:val="FootnoteReference"/>
        </w:rPr>
        <w:footnoteRef/>
      </w:r>
      <w:r>
        <w:t xml:space="preserve"> </w:t>
      </w:r>
      <w:r w:rsidRPr="00EA36C7">
        <w:rPr>
          <w:i/>
        </w:rPr>
        <w:t>See supra</w:t>
      </w:r>
      <w:r>
        <w:t xml:space="preserve"> note 3.  </w:t>
      </w:r>
    </w:p>
  </w:footnote>
  <w:footnote w:id="10">
    <w:p w:rsidR="005E655B" w:rsidRPr="00AC5359" w:rsidRDefault="005E655B" w:rsidP="004B66C6">
      <w:pPr>
        <w:pStyle w:val="FootnoteText"/>
      </w:pPr>
      <w:r w:rsidRPr="00AC5359">
        <w:rPr>
          <w:rStyle w:val="FootnoteReference"/>
        </w:rPr>
        <w:footnoteRef/>
      </w:r>
      <w:r w:rsidRPr="00AC5359">
        <w:t xml:space="preserve"> </w:t>
      </w:r>
      <w:r w:rsidR="00E656E9" w:rsidRPr="00AC5359">
        <w:rPr>
          <w:i/>
        </w:rPr>
        <w:t>See</w:t>
      </w:r>
      <w:r w:rsidR="00E656E9">
        <w:t xml:space="preserve"> </w:t>
      </w:r>
      <w:r w:rsidR="00E656E9" w:rsidRPr="00A70B41">
        <w:rPr>
          <w:i/>
        </w:rPr>
        <w:t>Daily Digest</w:t>
      </w:r>
      <w:r w:rsidR="00E656E9" w:rsidRPr="00AC5359">
        <w:t xml:space="preserve">, </w:t>
      </w:r>
      <w:r w:rsidR="00E656E9">
        <w:t xml:space="preserve">Vol. 32, No. 26 (Feb. 7, 2013), FCC, </w:t>
      </w:r>
      <w:r w:rsidR="00E656E9" w:rsidRPr="00203EDB">
        <w:t>http://transition.fcc.gov/Daily_Releases/Daily_</w:t>
      </w:r>
      <w:r w:rsidR="00E656E9">
        <w:t xml:space="preserve"> </w:t>
      </w:r>
      <w:r w:rsidR="00E656E9" w:rsidRPr="007C4D7A">
        <w:t>Digest/2013/dd130207.html</w:t>
      </w:r>
      <w:r w:rsidR="00E656E9">
        <w:t>.</w:t>
      </w:r>
    </w:p>
  </w:footnote>
  <w:footnote w:id="11">
    <w:p w:rsidR="005E655B" w:rsidRDefault="005E655B" w:rsidP="004B66C6">
      <w:pPr>
        <w:pStyle w:val="FootnoteText"/>
      </w:pPr>
      <w:r>
        <w:rPr>
          <w:rStyle w:val="FootnoteReference"/>
        </w:rPr>
        <w:footnoteRef/>
      </w:r>
      <w:r>
        <w:t xml:space="preserve"> </w:t>
      </w:r>
      <w:r w:rsidRPr="00AC5359">
        <w:rPr>
          <w:i/>
        </w:rPr>
        <w:t xml:space="preserve">See </w:t>
      </w:r>
      <w:r w:rsidRPr="00AC5359">
        <w:t xml:space="preserve">E-mail from Nissa Laughner, Attorney Advisor, </w:t>
      </w:r>
      <w:r w:rsidRPr="00BA43E6">
        <w:t>Spectrum Enforcement Division, FCC Enforcement Bureau</w:t>
      </w:r>
      <w:r>
        <w:t xml:space="preserve">, to Dr. John Gregory, </w:t>
      </w:r>
      <w:r w:rsidRPr="00AC5359">
        <w:t>C</w:t>
      </w:r>
      <w:r>
        <w:t>EO</w:t>
      </w:r>
      <w:r w:rsidRPr="00AC5359">
        <w:t>, CruiseEmail (Feb. 7, 20</w:t>
      </w:r>
      <w:r>
        <w:t>13, 16:29 EST) (on file in EB-SED-13-</w:t>
      </w:r>
      <w:r w:rsidR="00E2714F">
        <w:t>0</w:t>
      </w:r>
      <w:r>
        <w:t>0009464) (Division Feb. 7, 2013 E-mail).  T</w:t>
      </w:r>
      <w:r w:rsidRPr="00DF43A3">
        <w:t xml:space="preserve">he mailing was returned </w:t>
      </w:r>
      <w:r>
        <w:t>unopened</w:t>
      </w:r>
      <w:r w:rsidRPr="00DF43A3">
        <w:t xml:space="preserve"> to the </w:t>
      </w:r>
      <w:r>
        <w:t xml:space="preserve">Commission on March 1, 2013.  On January 9, 2013, CruiseEmail changed the contact information for its licenses on the Wireless Bureau’s Universal Licensing System.  However, the Division sent the </w:t>
      </w:r>
      <w:r w:rsidRPr="00BC680E">
        <w:rPr>
          <w:i/>
        </w:rPr>
        <w:t>Forfeiture Order</w:t>
      </w:r>
      <w:r>
        <w:t xml:space="preserve"> to the address it had on file and continued to correspond with CruiseEmail using the e-mail address to which the </w:t>
      </w:r>
      <w:r w:rsidRPr="000228E4">
        <w:rPr>
          <w:i/>
        </w:rPr>
        <w:t>Forfeiture Order</w:t>
      </w:r>
      <w:r>
        <w:t xml:space="preserve"> had been sent </w:t>
      </w:r>
      <w:r w:rsidRPr="00AC5359">
        <w:t xml:space="preserve">until </w:t>
      </w:r>
      <w:r>
        <w:t>February 21, 2013, when CruiseEmail notified the Division of the change of address</w:t>
      </w:r>
      <w:r w:rsidRPr="00AC5359">
        <w:t>.</w:t>
      </w:r>
      <w:r>
        <w:t xml:space="preserve">  </w:t>
      </w:r>
    </w:p>
  </w:footnote>
  <w:footnote w:id="12">
    <w:p w:rsidR="005E655B" w:rsidRDefault="005E655B">
      <w:pPr>
        <w:pStyle w:val="FootnoteText"/>
      </w:pPr>
      <w:r>
        <w:rPr>
          <w:rStyle w:val="FootnoteReference"/>
        </w:rPr>
        <w:footnoteRef/>
      </w:r>
      <w:r>
        <w:t xml:space="preserve"> CruiseEmail requested documents that it should have maintained as part of its record concerning this case.   </w:t>
      </w:r>
    </w:p>
  </w:footnote>
  <w:footnote w:id="13">
    <w:p w:rsidR="005E655B" w:rsidRDefault="005E655B" w:rsidP="000647B7">
      <w:pPr>
        <w:pStyle w:val="FootnoteText"/>
      </w:pPr>
      <w:r>
        <w:rPr>
          <w:rStyle w:val="FootnoteReference"/>
        </w:rPr>
        <w:footnoteRef/>
      </w:r>
      <w:r>
        <w:t xml:space="preserve"> </w:t>
      </w:r>
      <w:r w:rsidRPr="00D25A2B">
        <w:rPr>
          <w:i/>
        </w:rPr>
        <w:t>See</w:t>
      </w:r>
      <w:r w:rsidRPr="00D25A2B">
        <w:t xml:space="preserve"> E-mail from Nissa Laughner, Attorney Advisor, Spectrum Enforcement Division, FCC Enforcement Bureau, to Dr. John Gregory, C</w:t>
      </w:r>
      <w:r>
        <w:t>EO</w:t>
      </w:r>
      <w:r w:rsidRPr="00D25A2B">
        <w:t>, CruiseEmail (Feb. 20, 2013, 16:16 EST)</w:t>
      </w:r>
      <w:r>
        <w:t xml:space="preserve"> (on file in EB-SED-13-</w:t>
      </w:r>
      <w:r w:rsidR="00E2714F">
        <w:t>0</w:t>
      </w:r>
      <w:r>
        <w:t>0009464) (Division Feb. 20, 2013 E-mail).</w:t>
      </w:r>
    </w:p>
  </w:footnote>
  <w:footnote w:id="14">
    <w:p w:rsidR="005E655B" w:rsidRDefault="005E655B">
      <w:pPr>
        <w:pStyle w:val="FootnoteText"/>
      </w:pPr>
      <w:r>
        <w:rPr>
          <w:rStyle w:val="FootnoteReference"/>
        </w:rPr>
        <w:footnoteRef/>
      </w:r>
      <w:r>
        <w:t xml:space="preserve"> </w:t>
      </w:r>
      <w:r w:rsidRPr="00AF7926">
        <w:rPr>
          <w:i/>
        </w:rPr>
        <w:t>See id.</w:t>
      </w:r>
      <w:r>
        <w:t xml:space="preserve"> </w:t>
      </w:r>
    </w:p>
  </w:footnote>
  <w:footnote w:id="15">
    <w:p w:rsidR="005E655B" w:rsidRDefault="005E655B" w:rsidP="004B66C6">
      <w:pPr>
        <w:pStyle w:val="FootnoteText"/>
      </w:pPr>
      <w:r>
        <w:rPr>
          <w:rStyle w:val="FootnoteReference"/>
        </w:rPr>
        <w:footnoteRef/>
      </w:r>
      <w:r>
        <w:t xml:space="preserve"> </w:t>
      </w:r>
      <w:r w:rsidRPr="00AC5359">
        <w:rPr>
          <w:i/>
        </w:rPr>
        <w:t>See</w:t>
      </w:r>
      <w:r w:rsidRPr="00AC5359">
        <w:t xml:space="preserve"> E-mail from Dr. John Gregory, C</w:t>
      </w:r>
      <w:r>
        <w:t>EO</w:t>
      </w:r>
      <w:r w:rsidRPr="00AC5359">
        <w:t xml:space="preserve">, CruiseEmail, to Nissa Laughner, Attorney Advisor, </w:t>
      </w:r>
      <w:r w:rsidRPr="00BA43E6">
        <w:t>Spe</w:t>
      </w:r>
      <w:r>
        <w:t xml:space="preserve">ctrum Enforcement Division, FCC </w:t>
      </w:r>
      <w:r w:rsidRPr="00BA43E6">
        <w:t>Enforcement Bureau</w:t>
      </w:r>
      <w:r>
        <w:t xml:space="preserve"> (Feb. 21, 2013, 9:12 EST) (on file in EB-SED-13-</w:t>
      </w:r>
      <w:r w:rsidR="00E2714F">
        <w:t>0</w:t>
      </w:r>
      <w:r>
        <w:t>0009464).  The Division interpreted CruiseEmail’s reference to “letters” as the prior correspondence between CruiseEmail and the Division related to this investigation.</w:t>
      </w:r>
    </w:p>
  </w:footnote>
  <w:footnote w:id="16">
    <w:p w:rsidR="005E655B" w:rsidRDefault="005E655B" w:rsidP="004B66C6">
      <w:pPr>
        <w:pStyle w:val="FootnoteText"/>
      </w:pPr>
      <w:r>
        <w:rPr>
          <w:rStyle w:val="FootnoteReference"/>
        </w:rPr>
        <w:footnoteRef/>
      </w:r>
      <w:r>
        <w:t xml:space="preserve"> </w:t>
      </w:r>
      <w:r w:rsidRPr="00AC5359">
        <w:rPr>
          <w:i/>
        </w:rPr>
        <w:t>See</w:t>
      </w:r>
      <w:r>
        <w:t xml:space="preserve"> </w:t>
      </w:r>
      <w:r w:rsidRPr="00043F0E">
        <w:t>E-mail</w:t>
      </w:r>
      <w:r>
        <w:t>s</w:t>
      </w:r>
      <w:r w:rsidRPr="00043F0E">
        <w:t xml:space="preserve"> </w:t>
      </w:r>
      <w:r w:rsidRPr="00AC5359">
        <w:t xml:space="preserve">from Nissa Laughner, Attorney Advisor, </w:t>
      </w:r>
      <w:r w:rsidRPr="00BA43E6">
        <w:t>Spectrum Enforcement Division, FCC Enforcement Bureau</w:t>
      </w:r>
      <w:r>
        <w:t xml:space="preserve">, to Dr. John Gregory, </w:t>
      </w:r>
      <w:r w:rsidRPr="00AC5359">
        <w:t>C</w:t>
      </w:r>
      <w:r>
        <w:t>EO</w:t>
      </w:r>
      <w:r w:rsidRPr="00AC5359">
        <w:t>, CruiseEmail (Feb. 21, 2013, 9:59 E</w:t>
      </w:r>
      <w:r>
        <w:t>ST; Feb.27, 2013, 11:37 EST, 11:38 EST, 11:39 EST</w:t>
      </w:r>
      <w:r w:rsidRPr="00AC5359">
        <w:t>)</w:t>
      </w:r>
      <w:r>
        <w:t xml:space="preserve"> (on file in EB-SED-13-</w:t>
      </w:r>
      <w:r w:rsidR="00E2714F">
        <w:t>0</w:t>
      </w:r>
      <w:r>
        <w:t>0009464)</w:t>
      </w:r>
      <w:r w:rsidRPr="00AC5359">
        <w:t xml:space="preserve">. </w:t>
      </w:r>
      <w:r>
        <w:t xml:space="preserve"> The additional correspondence </w:t>
      </w:r>
      <w:r w:rsidRPr="00AC5359">
        <w:t xml:space="preserve">primarily </w:t>
      </w:r>
      <w:r>
        <w:t xml:space="preserve">consisted of </w:t>
      </w:r>
      <w:r w:rsidRPr="00AC5359">
        <w:t>e</w:t>
      </w:r>
      <w:r>
        <w:t>-</w:t>
      </w:r>
      <w:r w:rsidRPr="00AC5359">
        <w:t>mails relating to deadlines</w:t>
      </w:r>
      <w:r>
        <w:t xml:space="preserve">, </w:t>
      </w:r>
      <w:r w:rsidRPr="00AC5359">
        <w:t>prospective</w:t>
      </w:r>
      <w:r>
        <w:t xml:space="preserve"> meetings with Division staff</w:t>
      </w:r>
      <w:r w:rsidRPr="00AC5359">
        <w:t xml:space="preserve">, and other administrative </w:t>
      </w:r>
      <w:r>
        <w:t>issues</w:t>
      </w:r>
      <w:r w:rsidRPr="00AC5359">
        <w:t>.</w:t>
      </w:r>
    </w:p>
  </w:footnote>
  <w:footnote w:id="17">
    <w:p w:rsidR="005E655B" w:rsidRPr="00AC5359" w:rsidRDefault="005E655B" w:rsidP="004B66C6">
      <w:pPr>
        <w:pStyle w:val="FootnoteText"/>
      </w:pPr>
      <w:r w:rsidRPr="00AC5359">
        <w:rPr>
          <w:rStyle w:val="FootnoteReference"/>
        </w:rPr>
        <w:footnoteRef/>
      </w:r>
      <w:r w:rsidRPr="00AC5359">
        <w:t xml:space="preserve"> </w:t>
      </w:r>
      <w:r w:rsidRPr="00AC5359">
        <w:rPr>
          <w:i/>
        </w:rPr>
        <w:t>See</w:t>
      </w:r>
      <w:r w:rsidRPr="00AC5359">
        <w:t xml:space="preserve"> </w:t>
      </w:r>
      <w:r w:rsidRPr="00043F0E">
        <w:t xml:space="preserve">E-mail </w:t>
      </w:r>
      <w:r w:rsidRPr="00AC5359">
        <w:t xml:space="preserve">from Dr. John Gregory, </w:t>
      </w:r>
      <w:r>
        <w:t>CEO</w:t>
      </w:r>
      <w:r w:rsidRPr="00AC5359">
        <w:t>,</w:t>
      </w:r>
      <w:r>
        <w:t xml:space="preserve"> CruiseEmail, to Nissa Laughner</w:t>
      </w:r>
      <w:r w:rsidRPr="00AC5359">
        <w:t xml:space="preserve">, Attorney Advisor, </w:t>
      </w:r>
      <w:r w:rsidRPr="00BA43E6">
        <w:t>Spectrum Enforcement Division, FCC Enforcement Bureau</w:t>
      </w:r>
      <w:r w:rsidRPr="00AC5359">
        <w:t xml:space="preserve"> (Mar. 8, 2013, 10:01 EST)</w:t>
      </w:r>
      <w:r>
        <w:t xml:space="preserve"> (on file in EB-SED-13-</w:t>
      </w:r>
      <w:r w:rsidR="00E2714F">
        <w:t>0</w:t>
      </w:r>
      <w:r>
        <w:t xml:space="preserve">0009464).  </w:t>
      </w:r>
      <w:r w:rsidRPr="00AC5359">
        <w:t xml:space="preserve">CruiseEmail did not </w:t>
      </w:r>
      <w:r>
        <w:t xml:space="preserve">otherwise </w:t>
      </w:r>
      <w:r w:rsidRPr="00AC5359">
        <w:t>identify or describe these documents.</w:t>
      </w:r>
    </w:p>
  </w:footnote>
  <w:footnote w:id="18">
    <w:p w:rsidR="005E655B" w:rsidRPr="00AC5359" w:rsidRDefault="005E655B" w:rsidP="004B66C6">
      <w:pPr>
        <w:pStyle w:val="FootnoteText"/>
      </w:pPr>
      <w:r w:rsidRPr="00AC5359">
        <w:rPr>
          <w:rStyle w:val="FootnoteReference"/>
        </w:rPr>
        <w:footnoteRef/>
      </w:r>
      <w:r w:rsidRPr="00AC5359">
        <w:t xml:space="preserve"> </w:t>
      </w:r>
      <w:r w:rsidRPr="00AC5359">
        <w:rPr>
          <w:i/>
        </w:rPr>
        <w:t>See</w:t>
      </w:r>
      <w:r w:rsidRPr="00AC5359">
        <w:t xml:space="preserve"> E-mail from Nissa Laughner, Attorney Advisor, </w:t>
      </w:r>
      <w:r w:rsidRPr="00BA43E6">
        <w:t>Spectrum Enforcement Division, FCC Enforcement Bureau</w:t>
      </w:r>
      <w:r w:rsidRPr="00AC5359">
        <w:t xml:space="preserve">, to Dr. John Gregory, </w:t>
      </w:r>
      <w:r>
        <w:t>CEO</w:t>
      </w:r>
      <w:r w:rsidRPr="00AC5359">
        <w:t xml:space="preserve">, CruiseEmail (Mar. 8, 2013, 13:34 EST) </w:t>
      </w:r>
      <w:r>
        <w:t>(on file in EB-SED-13-</w:t>
      </w:r>
      <w:r w:rsidR="00E2714F">
        <w:t>0</w:t>
      </w:r>
      <w:r>
        <w:t xml:space="preserve">0009464) </w:t>
      </w:r>
      <w:r w:rsidRPr="00AC5359">
        <w:t>(</w:t>
      </w:r>
      <w:r>
        <w:t>Division Mar. 8, 2013 E-</w:t>
      </w:r>
      <w:r w:rsidRPr="00AC5359">
        <w:t xml:space="preserve">mail).  The Division recommended that </w:t>
      </w:r>
      <w:r>
        <w:t>CruiseEmail</w:t>
      </w:r>
      <w:r w:rsidRPr="00AC5359">
        <w:t xml:space="preserve"> </w:t>
      </w:r>
      <w:r>
        <w:t xml:space="preserve">send </w:t>
      </w:r>
      <w:r w:rsidRPr="00AC5359">
        <w:t xml:space="preserve">its response by overnight mail to ensure a timely filing.  </w:t>
      </w:r>
      <w:r w:rsidRPr="00AC5359">
        <w:rPr>
          <w:i/>
        </w:rPr>
        <w:t>See id</w:t>
      </w:r>
      <w:r w:rsidRPr="00AC5359">
        <w:t>.</w:t>
      </w:r>
    </w:p>
  </w:footnote>
  <w:footnote w:id="19">
    <w:p w:rsidR="005E655B" w:rsidRPr="00AC5359" w:rsidRDefault="005E655B" w:rsidP="004B66C6">
      <w:pPr>
        <w:pStyle w:val="FootnoteText"/>
      </w:pPr>
      <w:r w:rsidRPr="00AC5359">
        <w:rPr>
          <w:rStyle w:val="FootnoteReference"/>
        </w:rPr>
        <w:footnoteRef/>
      </w:r>
      <w:r w:rsidRPr="00AC5359">
        <w:t xml:space="preserve"> </w:t>
      </w:r>
      <w:r w:rsidRPr="00AC5359">
        <w:rPr>
          <w:i/>
        </w:rPr>
        <w:t>See id.</w:t>
      </w:r>
      <w:r w:rsidRPr="00C14024">
        <w:t>;</w:t>
      </w:r>
      <w:r w:rsidRPr="00AC5359">
        <w:rPr>
          <w:i/>
        </w:rPr>
        <w:t xml:space="preserve"> see also </w:t>
      </w:r>
      <w:r w:rsidRPr="00AC5359">
        <w:t>47 C.F.R. § 1.106(f)</w:t>
      </w:r>
      <w:r>
        <w:t xml:space="preserve"> </w:t>
      </w:r>
      <w:r w:rsidRPr="00AC5359">
        <w:t>(</w:t>
      </w:r>
      <w:r>
        <w:t>T</w:t>
      </w:r>
      <w:r w:rsidRPr="00AC5359">
        <w:t>he Commission may consider late-filed supplements to timely</w:t>
      </w:r>
      <w:r>
        <w:t>-</w:t>
      </w:r>
      <w:r w:rsidRPr="00AC5359">
        <w:t>filed petitions for reconsideration “upon leave granted upon a separate pleading for leave to file, which shall state the grounds therefor”)</w:t>
      </w:r>
      <w:r>
        <w:t>.</w:t>
      </w:r>
    </w:p>
  </w:footnote>
  <w:footnote w:id="20">
    <w:p w:rsidR="005E655B" w:rsidRDefault="005E655B" w:rsidP="004B66C6">
      <w:pPr>
        <w:pStyle w:val="FootnoteText"/>
      </w:pPr>
      <w:r>
        <w:rPr>
          <w:rStyle w:val="FootnoteReference"/>
        </w:rPr>
        <w:footnoteRef/>
      </w:r>
      <w:r>
        <w:t xml:space="preserve"> CruiseEmail’s </w:t>
      </w:r>
      <w:r w:rsidRPr="00B9009F">
        <w:t>Petition</w:t>
      </w:r>
      <w:r>
        <w:t>, although dated March 9, 2013 and postmarked March 11, 2013,</w:t>
      </w:r>
      <w:r w:rsidRPr="00B9009F">
        <w:t xml:space="preserve"> was not stamped as received by the Office of the Secretary until</w:t>
      </w:r>
      <w:r>
        <w:t xml:space="preserve"> March 18, 2013</w:t>
      </w:r>
      <w:r w:rsidRPr="00B9009F">
        <w:t xml:space="preserve">. </w:t>
      </w:r>
      <w:r>
        <w:t xml:space="preserve"> </w:t>
      </w:r>
      <w:r w:rsidRPr="00B9009F">
        <w:t xml:space="preserve">For purposes of computing time, </w:t>
      </w:r>
      <w:r>
        <w:t>“[</w:t>
      </w:r>
      <w:r w:rsidRPr="00B9009F">
        <w:t>t</w:t>
      </w:r>
      <w:r>
        <w:t>]</w:t>
      </w:r>
      <w:r w:rsidRPr="00B9009F">
        <w:t>he Secretary</w:t>
      </w:r>
      <w:r>
        <w:t>’</w:t>
      </w:r>
      <w:r w:rsidRPr="00B9009F">
        <w:t>s date stamp is authoritative and conclusive.</w:t>
      </w:r>
      <w:r>
        <w:t xml:space="preserve">”  </w:t>
      </w:r>
      <w:r w:rsidRPr="00B9009F">
        <w:rPr>
          <w:i/>
        </w:rPr>
        <w:t>Richardson Indep</w:t>
      </w:r>
      <w:r>
        <w:rPr>
          <w:i/>
        </w:rPr>
        <w:t xml:space="preserve">. </w:t>
      </w:r>
      <w:r w:rsidRPr="00B9009F">
        <w:rPr>
          <w:i/>
        </w:rPr>
        <w:t>Sch</w:t>
      </w:r>
      <w:r>
        <w:rPr>
          <w:i/>
        </w:rPr>
        <w:t>.</w:t>
      </w:r>
      <w:r w:rsidRPr="00B9009F">
        <w:rPr>
          <w:i/>
        </w:rPr>
        <w:t xml:space="preserve"> Dist</w:t>
      </w:r>
      <w:r>
        <w:rPr>
          <w:i/>
        </w:rPr>
        <w:t>.</w:t>
      </w:r>
      <w:r>
        <w:t xml:space="preserve">, Memorandum Opinion and Order, 5 FCC Rcd 3135, 3136, para. 9 (1990) (dismissing petitions and motions for leave to late-file a petition for reconsideration because they were, according to the Secretary’s date-stamp, one day late; and noting that “the Commission is without authority to extend or waive the statutory 30-day filing period for petitions for reconsideration, even if the petition is filed only one day late”).   </w:t>
      </w:r>
    </w:p>
  </w:footnote>
  <w:footnote w:id="21">
    <w:p w:rsidR="005E655B" w:rsidRPr="00AC5359" w:rsidRDefault="005E655B" w:rsidP="004B66C6">
      <w:pPr>
        <w:pStyle w:val="FootnoteText"/>
      </w:pPr>
      <w:r w:rsidRPr="00AC5359">
        <w:rPr>
          <w:rStyle w:val="FootnoteReference"/>
        </w:rPr>
        <w:footnoteRef/>
      </w:r>
      <w:r w:rsidRPr="00AC5359">
        <w:t xml:space="preserve"> 47 U.S.C. § 405(a); 47 C.F.R. § 1.106(f) (“petition</w:t>
      </w:r>
      <w:r>
        <w:t>[s]</w:t>
      </w:r>
      <w:r w:rsidRPr="00AC5359">
        <w:t xml:space="preserve"> for reconsideration and any supplement</w:t>
      </w:r>
      <w:r>
        <w:t>[s]</w:t>
      </w:r>
      <w:r w:rsidRPr="00AC5359">
        <w:t xml:space="preserve"> thereto shall be filed within 30 days from the date of public notice of the final Commission action, as that date is defined in [Section 1.4(b) of the </w:t>
      </w:r>
      <w:r>
        <w:t>Rules</w:t>
      </w:r>
      <w:r w:rsidRPr="00AC5359">
        <w:t xml:space="preserve">]”); </w:t>
      </w:r>
      <w:r w:rsidRPr="00AC5359">
        <w:rPr>
          <w:i/>
        </w:rPr>
        <w:t>see also</w:t>
      </w:r>
      <w:r>
        <w:t xml:space="preserve"> 47 C.F.R. § 1.4(b) (computation of time for Commission-related deadlines).</w:t>
      </w:r>
    </w:p>
  </w:footnote>
  <w:footnote w:id="22">
    <w:p w:rsidR="005E655B" w:rsidRPr="00AC5359" w:rsidRDefault="005E655B" w:rsidP="004B66C6">
      <w:pPr>
        <w:pStyle w:val="FootnoteText"/>
      </w:pPr>
      <w:r w:rsidRPr="00AC5359">
        <w:rPr>
          <w:rStyle w:val="FootnoteReference"/>
        </w:rPr>
        <w:footnoteRef/>
      </w:r>
      <w:r w:rsidR="00AE6B31">
        <w:rPr>
          <w:i/>
        </w:rPr>
        <w:t xml:space="preserve">See </w:t>
      </w:r>
      <w:r w:rsidRPr="00AC5359">
        <w:t>47 C.F.R. § 1.4(b)(2).</w:t>
      </w:r>
    </w:p>
  </w:footnote>
  <w:footnote w:id="23">
    <w:p w:rsidR="005E655B" w:rsidRDefault="005E655B" w:rsidP="004B66C6">
      <w:pPr>
        <w:pStyle w:val="FootnoteText"/>
      </w:pPr>
      <w:r>
        <w:rPr>
          <w:rStyle w:val="FootnoteReference"/>
        </w:rPr>
        <w:footnoteRef/>
      </w:r>
      <w:r>
        <w:t xml:space="preserve"> </w:t>
      </w:r>
      <w:r w:rsidRPr="00FD3FD0">
        <w:rPr>
          <w:i/>
        </w:rPr>
        <w:t>See</w:t>
      </w:r>
      <w:r>
        <w:t xml:space="preserve"> Division Feb. 7, 2013 E-mail; Division Feb. 20, 2013 E-mail; Division Mar. 8, 2013</w:t>
      </w:r>
      <w:r w:rsidRPr="00AC5359">
        <w:t xml:space="preserve"> </w:t>
      </w:r>
      <w:r>
        <w:t>E-</w:t>
      </w:r>
      <w:r w:rsidRPr="00AC5359">
        <w:t>mail</w:t>
      </w:r>
      <w:r>
        <w:t>.</w:t>
      </w:r>
    </w:p>
  </w:footnote>
  <w:footnote w:id="24">
    <w:p w:rsidR="005E655B" w:rsidRDefault="005E655B" w:rsidP="004B66C6">
      <w:pPr>
        <w:pStyle w:val="FootnoteText"/>
      </w:pPr>
      <w:r>
        <w:rPr>
          <w:rStyle w:val="FootnoteReference"/>
        </w:rPr>
        <w:footnoteRef/>
      </w:r>
      <w:r>
        <w:t xml:space="preserve"> </w:t>
      </w:r>
      <w:r w:rsidRPr="00DE274C">
        <w:rPr>
          <w:i/>
        </w:rPr>
        <w:t xml:space="preserve">See </w:t>
      </w:r>
      <w:r>
        <w:rPr>
          <w:i/>
        </w:rPr>
        <w:t>supra</w:t>
      </w:r>
      <w:r>
        <w:t xml:space="preserve"> note 20.</w:t>
      </w:r>
    </w:p>
  </w:footnote>
  <w:footnote w:id="25">
    <w:p w:rsidR="005E655B" w:rsidRPr="00AC5359" w:rsidRDefault="005E655B" w:rsidP="004B66C6">
      <w:pPr>
        <w:pStyle w:val="FootnoteText"/>
      </w:pPr>
      <w:r w:rsidRPr="00AC5359">
        <w:rPr>
          <w:rStyle w:val="FootnoteReference"/>
        </w:rPr>
        <w:footnoteRef/>
      </w:r>
      <w:r w:rsidRPr="00AC5359">
        <w:t xml:space="preserve"> </w:t>
      </w:r>
      <w:r w:rsidRPr="00AC5359">
        <w:rPr>
          <w:i/>
        </w:rPr>
        <w:t>Gardner v. FCC</w:t>
      </w:r>
      <w:r w:rsidRPr="00AC5359">
        <w:t>, 530 F.2d 1086, 1091 (D.C. Cir. 1976) (</w:t>
      </w:r>
      <w:r w:rsidRPr="00AC5359">
        <w:rPr>
          <w:i/>
        </w:rPr>
        <w:t>Gardner</w:t>
      </w:r>
      <w:r w:rsidRPr="00AC5359">
        <w:t>)</w:t>
      </w:r>
      <w:r>
        <w:t>.</w:t>
      </w:r>
    </w:p>
  </w:footnote>
  <w:footnote w:id="26">
    <w:p w:rsidR="005E655B" w:rsidRPr="008B33FD" w:rsidRDefault="005E655B" w:rsidP="004B66C6">
      <w:pPr>
        <w:widowControl/>
        <w:spacing w:after="120"/>
        <w:rPr>
          <w:snapToGrid/>
          <w:kern w:val="0"/>
          <w:sz w:val="20"/>
        </w:rPr>
      </w:pPr>
      <w:r w:rsidRPr="00AC5359">
        <w:rPr>
          <w:rStyle w:val="FootnoteReference"/>
        </w:rPr>
        <w:footnoteRef/>
      </w:r>
      <w:r w:rsidRPr="00AC5359">
        <w:rPr>
          <w:sz w:val="20"/>
        </w:rPr>
        <w:t xml:space="preserve"> </w:t>
      </w:r>
      <w:r>
        <w:rPr>
          <w:i/>
          <w:sz w:val="20"/>
        </w:rPr>
        <w:t>I</w:t>
      </w:r>
      <w:r w:rsidRPr="00AC5359">
        <w:rPr>
          <w:i/>
          <w:sz w:val="20"/>
        </w:rPr>
        <w:t>d</w:t>
      </w:r>
      <w:r w:rsidRPr="00AC5359">
        <w:rPr>
          <w:sz w:val="20"/>
        </w:rPr>
        <w:t xml:space="preserve">. at 1092 n.24 (limiting </w:t>
      </w:r>
      <w:r>
        <w:rPr>
          <w:sz w:val="20"/>
        </w:rPr>
        <w:t xml:space="preserve">Commission </w:t>
      </w:r>
      <w:r w:rsidRPr="00AC5359">
        <w:rPr>
          <w:sz w:val="20"/>
        </w:rPr>
        <w:t xml:space="preserve">discretionary authority to situations where a petitioner </w:t>
      </w:r>
      <w:r>
        <w:rPr>
          <w:sz w:val="20"/>
        </w:rPr>
        <w:t>can</w:t>
      </w:r>
      <w:r w:rsidRPr="00AC5359">
        <w:rPr>
          <w:sz w:val="20"/>
        </w:rPr>
        <w:t xml:space="preserve"> show “(a) when and how he received notice in fact, (b) that the time remaining was inadequate to allow him reasonably to meet the 30-day requirement (from date of issuance) of </w:t>
      </w:r>
      <w:r>
        <w:rPr>
          <w:sz w:val="20"/>
        </w:rPr>
        <w:t>[Section 405 of the Act]</w:t>
      </w:r>
      <w:r w:rsidRPr="00AC5359">
        <w:rPr>
          <w:sz w:val="20"/>
        </w:rPr>
        <w:t xml:space="preserve">, and (c) that he moved for reconsideration promptly on receiving actual notice”); </w:t>
      </w:r>
      <w:r w:rsidRPr="00AC5359">
        <w:rPr>
          <w:i/>
          <w:sz w:val="20"/>
        </w:rPr>
        <w:t xml:space="preserve">see also </w:t>
      </w:r>
      <w:r w:rsidRPr="00E9127A">
        <w:rPr>
          <w:i/>
          <w:sz w:val="20"/>
        </w:rPr>
        <w:t>Reuters Ltd. v. FCC</w:t>
      </w:r>
      <w:r w:rsidRPr="00E9127A">
        <w:rPr>
          <w:sz w:val="20"/>
        </w:rPr>
        <w:t>, 781 F.2d 946, 952</w:t>
      </w:r>
      <w:r w:rsidRPr="00E9127A">
        <w:rPr>
          <w:i/>
          <w:sz w:val="20"/>
        </w:rPr>
        <w:t xml:space="preserve"> </w:t>
      </w:r>
      <w:r w:rsidRPr="00E9127A">
        <w:rPr>
          <w:sz w:val="20"/>
        </w:rPr>
        <w:t>(D.C. Cir. 1986)</w:t>
      </w:r>
      <w:r w:rsidRPr="00E9127A">
        <w:rPr>
          <w:i/>
          <w:sz w:val="20"/>
        </w:rPr>
        <w:t xml:space="preserve"> </w:t>
      </w:r>
      <w:r w:rsidRPr="00E9127A">
        <w:rPr>
          <w:sz w:val="20"/>
        </w:rPr>
        <w:t xml:space="preserve">(emphasizing that the </w:t>
      </w:r>
      <w:r w:rsidRPr="00E9127A">
        <w:rPr>
          <w:i/>
          <w:sz w:val="20"/>
        </w:rPr>
        <w:t>Gardner</w:t>
      </w:r>
      <w:r w:rsidRPr="00E9127A">
        <w:rPr>
          <w:sz w:val="20"/>
        </w:rPr>
        <w:t xml:space="preserve"> </w:t>
      </w:r>
      <w:r>
        <w:rPr>
          <w:sz w:val="20"/>
        </w:rPr>
        <w:t xml:space="preserve">court limited its holding to the </w:t>
      </w:r>
      <w:r w:rsidRPr="00E9127A">
        <w:rPr>
          <w:sz w:val="20"/>
        </w:rPr>
        <w:t xml:space="preserve">“highly unusual circumstances presented there” and the prompt filing of the petition </w:t>
      </w:r>
      <w:r>
        <w:rPr>
          <w:sz w:val="20"/>
        </w:rPr>
        <w:t xml:space="preserve">after </w:t>
      </w:r>
      <w:r w:rsidRPr="00E9127A">
        <w:rPr>
          <w:sz w:val="20"/>
        </w:rPr>
        <w:t>receipt of informal notice)</w:t>
      </w:r>
      <w:r>
        <w:rPr>
          <w:sz w:val="20"/>
        </w:rPr>
        <w:t>.</w:t>
      </w:r>
      <w:r w:rsidRPr="00335C61">
        <w:rPr>
          <w:i/>
          <w:sz w:val="20"/>
        </w:rPr>
        <w:t xml:space="preserve"> </w:t>
      </w:r>
    </w:p>
  </w:footnote>
  <w:footnote w:id="27">
    <w:p w:rsidR="005E655B" w:rsidRPr="008B061F" w:rsidRDefault="005E655B" w:rsidP="004B66C6">
      <w:pPr>
        <w:pStyle w:val="FootnoteText"/>
      </w:pPr>
      <w:r>
        <w:rPr>
          <w:rStyle w:val="FootnoteReference"/>
        </w:rPr>
        <w:footnoteRef/>
      </w:r>
      <w:r>
        <w:t xml:space="preserve"> </w:t>
      </w:r>
      <w:r w:rsidRPr="00AC5359">
        <w:rPr>
          <w:i/>
        </w:rPr>
        <w:t>See</w:t>
      </w:r>
      <w:r>
        <w:rPr>
          <w:i/>
        </w:rPr>
        <w:t>, e.g.</w:t>
      </w:r>
      <w:r>
        <w:t>,</w:t>
      </w:r>
      <w:r w:rsidRPr="00AC5359">
        <w:t xml:space="preserve"> </w:t>
      </w:r>
      <w:r w:rsidRPr="00AC5359">
        <w:rPr>
          <w:i/>
        </w:rPr>
        <w:t>Motion of AT&amp;T Corp. to be Reclassified as a Non–Dominant Carrier</w:t>
      </w:r>
      <w:r>
        <w:t xml:space="preserve">, </w:t>
      </w:r>
      <w:r w:rsidRPr="00F22B23">
        <w:t>Order on Reconsideration, Order Denying Petition for Rulemaking, Second Order on Reconsideration</w:t>
      </w:r>
      <w:r>
        <w:t xml:space="preserve">, 12 FCC Rcd </w:t>
      </w:r>
      <w:r w:rsidRPr="00AC5359">
        <w:t xml:space="preserve">20787, 20809–10, para. </w:t>
      </w:r>
      <w:r>
        <w:t>44</w:t>
      </w:r>
      <w:r w:rsidRPr="00AC5359">
        <w:t xml:space="preserve"> (1997) (dismissing</w:t>
      </w:r>
      <w:r>
        <w:t xml:space="preserve"> </w:t>
      </w:r>
      <w:r w:rsidRPr="00AC5359">
        <w:t xml:space="preserve">late-filed petition despite arguments that the delay was caused, in part, by </w:t>
      </w:r>
      <w:r>
        <w:t xml:space="preserve">a blizzard in Washington, D.C.); </w:t>
      </w:r>
      <w:r w:rsidRPr="008B061F">
        <w:rPr>
          <w:i/>
        </w:rPr>
        <w:t>Adelphia Comm</w:t>
      </w:r>
      <w:r>
        <w:rPr>
          <w:i/>
        </w:rPr>
        <w:t>c’ns</w:t>
      </w:r>
      <w:r w:rsidRPr="008B061F">
        <w:rPr>
          <w:i/>
        </w:rPr>
        <w:t xml:space="preserve"> Corp</w:t>
      </w:r>
      <w:r w:rsidRPr="008B061F">
        <w:t>., Order, 12 FCC Rcd 10759</w:t>
      </w:r>
      <w:r>
        <w:t>, 10761 n.13</w:t>
      </w:r>
      <w:r w:rsidRPr="008B061F">
        <w:t xml:space="preserve"> (1997) (</w:t>
      </w:r>
      <w:r>
        <w:t>denying extension of time to file a petition</w:t>
      </w:r>
      <w:r w:rsidRPr="008B061F">
        <w:t xml:space="preserve"> where delay was caused by </w:t>
      </w:r>
      <w:r>
        <w:t xml:space="preserve">the </w:t>
      </w:r>
      <w:r w:rsidRPr="008B061F">
        <w:t>petitioner</w:t>
      </w:r>
      <w:r>
        <w:t>’</w:t>
      </w:r>
      <w:r w:rsidRPr="008B061F">
        <w:t xml:space="preserve">s inability to </w:t>
      </w:r>
      <w:r>
        <w:t>obtain a copy of the Commission’</w:t>
      </w:r>
      <w:r w:rsidRPr="008B061F">
        <w:t>s R</w:t>
      </w:r>
      <w:r>
        <w:t xml:space="preserve">ules of Practice and Procedure).  Furthermore, the Division informed CruiseEmail that, as an option, it could subsequently file a supplement to its timely petition that the Division would then consider accepting in due course.  CruiseEmail chose not to pursue this option.   </w:t>
      </w:r>
    </w:p>
  </w:footnote>
  <w:footnote w:id="28">
    <w:p w:rsidR="005E655B" w:rsidRPr="00AC5359" w:rsidRDefault="005E655B" w:rsidP="004B66C6">
      <w:pPr>
        <w:pStyle w:val="FootnoteText"/>
      </w:pPr>
      <w:r w:rsidRPr="00AC5359">
        <w:rPr>
          <w:rStyle w:val="FootnoteReference"/>
        </w:rPr>
        <w:footnoteRef/>
      </w:r>
      <w:r w:rsidRPr="00AC5359">
        <w:t xml:space="preserve"> </w:t>
      </w:r>
      <w:r w:rsidRPr="00AC5359">
        <w:rPr>
          <w:i/>
        </w:rPr>
        <w:t>See</w:t>
      </w:r>
      <w:r w:rsidRPr="00AC5359">
        <w:t xml:space="preserve"> 47 C.F.R § 1.106(c)</w:t>
      </w:r>
      <w:r>
        <w:t>–</w:t>
      </w:r>
      <w:r w:rsidRPr="00AC5359">
        <w:t>(d)</w:t>
      </w:r>
      <w:r>
        <w:t xml:space="preserve">.  </w:t>
      </w:r>
      <w:r w:rsidRPr="00AF7926">
        <w:rPr>
          <w:i/>
        </w:rPr>
        <w:t xml:space="preserve">See </w:t>
      </w:r>
      <w:r w:rsidR="00F7403D" w:rsidRPr="00F7403D">
        <w:rPr>
          <w:i/>
        </w:rPr>
        <w:t>also</w:t>
      </w:r>
      <w:r w:rsidR="00F7403D">
        <w:rPr>
          <w:i/>
        </w:rPr>
        <w:t xml:space="preserve">, </w:t>
      </w:r>
      <w:r w:rsidRPr="00AF7926">
        <w:rPr>
          <w:i/>
        </w:rPr>
        <w:t>e.g</w:t>
      </w:r>
      <w:r>
        <w:t xml:space="preserve">., </w:t>
      </w:r>
      <w:r w:rsidRPr="00AC5359">
        <w:rPr>
          <w:i/>
        </w:rPr>
        <w:t>EZ Sacramento, Inc</w:t>
      </w:r>
      <w:r w:rsidRPr="00AC5359">
        <w:t xml:space="preserve">., Memorandum Opinion and Order, 15 FCC Rcd 18257, 18257, para. 2 (Enf. Bur. 2000) </w:t>
      </w:r>
      <w:r>
        <w:t>(“R</w:t>
      </w:r>
      <w:r w:rsidRPr="001E1A2B">
        <w:t>econsideration is appropriate only where the petitioner either shows a material error or omission in the original order or raises additional facts not known or not exis</w:t>
      </w:r>
      <w:r>
        <w:t>ting until after the petitioner’</w:t>
      </w:r>
      <w:r w:rsidRPr="001E1A2B">
        <w:t>s last opportunity to present such matters.</w:t>
      </w:r>
      <w:r>
        <w:t>”).</w:t>
      </w:r>
    </w:p>
  </w:footnote>
  <w:footnote w:id="29">
    <w:p w:rsidR="005E655B" w:rsidRDefault="005E655B" w:rsidP="004B66C6">
      <w:pPr>
        <w:pStyle w:val="FootnoteText"/>
      </w:pPr>
      <w:r>
        <w:rPr>
          <w:rStyle w:val="FootnoteReference"/>
        </w:rPr>
        <w:footnoteRef/>
      </w:r>
      <w:r>
        <w:t xml:space="preserve"> In its Petition, CruiseEmail states:  “There is not any issues [sic] at the two stations KDS, or WHX.”  </w:t>
      </w:r>
      <w:r w:rsidRPr="003F2D86">
        <w:rPr>
          <w:i/>
        </w:rPr>
        <w:t>See</w:t>
      </w:r>
      <w:r>
        <w:t xml:space="preserve"> Petition at 2.  We view this as an implicit acknowledgement of liability with respect to the operation of these two stations at unauthorized locations during the timeframes specified in the </w:t>
      </w:r>
      <w:r w:rsidRPr="0023638C">
        <w:rPr>
          <w:i/>
        </w:rPr>
        <w:t>NAL</w:t>
      </w:r>
      <w:r>
        <w:t>.</w:t>
      </w:r>
    </w:p>
  </w:footnote>
  <w:footnote w:id="30">
    <w:p w:rsidR="005E655B" w:rsidRPr="00AC5359" w:rsidRDefault="005E655B" w:rsidP="004B66C6">
      <w:pPr>
        <w:pStyle w:val="FootnoteText"/>
      </w:pPr>
      <w:r w:rsidRPr="00AC5359">
        <w:rPr>
          <w:rStyle w:val="FootnoteReference"/>
        </w:rPr>
        <w:footnoteRef/>
      </w:r>
      <w:r w:rsidRPr="00AC5359">
        <w:t xml:space="preserve"> </w:t>
      </w:r>
      <w:r w:rsidRPr="00AC5359">
        <w:rPr>
          <w:i/>
        </w:rPr>
        <w:t>S</w:t>
      </w:r>
      <w:r>
        <w:rPr>
          <w:i/>
        </w:rPr>
        <w:t>ee id</w:t>
      </w:r>
      <w:r>
        <w:t xml:space="preserve">.  On April 23, 2008, the Wireless Bureau sent a letter to CruiseEmail requesting construction and operational status for its stations.  </w:t>
      </w:r>
      <w:r w:rsidRPr="003F60E9">
        <w:rPr>
          <w:i/>
        </w:rPr>
        <w:t>See</w:t>
      </w:r>
      <w:r>
        <w:t xml:space="preserve"> Letter from </w:t>
      </w:r>
      <w:r w:rsidRPr="00AC5359">
        <w:t>Scott Stone, Deputy Chief, Mobility Divisi</w:t>
      </w:r>
      <w:r>
        <w:t xml:space="preserve">on, FCC Wireless Telecommunications Bureau, to Dr. John Gregory, CruiseEmail (Apr. 23, 2008), attached to License WGM.  In its response, CruiseEmail indicated that it had relocated all three stations at various times between 2004 and 2008.  </w:t>
      </w:r>
      <w:r w:rsidRPr="00AC5359">
        <w:rPr>
          <w:i/>
        </w:rPr>
        <w:t>See</w:t>
      </w:r>
      <w:r>
        <w:t xml:space="preserve"> </w:t>
      </w:r>
      <w:r w:rsidRPr="00AC5359">
        <w:t xml:space="preserve">Letter from Dr. John Gregory, </w:t>
      </w:r>
      <w:r>
        <w:t>CEO</w:t>
      </w:r>
      <w:r w:rsidRPr="00AC5359">
        <w:t>,</w:t>
      </w:r>
      <w:r>
        <w:t xml:space="preserve"> CruiseEmail,</w:t>
      </w:r>
      <w:r w:rsidRPr="00AC5359">
        <w:t xml:space="preserve"> to Scott Stone, Deputy Chief, Mobility Division, FCC Wireless </w:t>
      </w:r>
      <w:r>
        <w:t xml:space="preserve">Telecommunications Bureau </w:t>
      </w:r>
      <w:r w:rsidRPr="00AC5359">
        <w:t>(May 30, 2008)</w:t>
      </w:r>
      <w:r>
        <w:t xml:space="preserve">, attached to License WGM.  On March 27, 2009, the Wireless Bureau sent a follow-up letter to CruiseEmail directing the company to file applications to amend its licenses to reflect new operating locations </w:t>
      </w:r>
      <w:r w:rsidRPr="009C2196">
        <w:t xml:space="preserve">and informing CruiseEmail </w:t>
      </w:r>
      <w:r>
        <w:t xml:space="preserve">that it was </w:t>
      </w:r>
      <w:r w:rsidRPr="00043344">
        <w:t xml:space="preserve">referring the matter to the </w:t>
      </w:r>
      <w:r>
        <w:t xml:space="preserve">Enforcement </w:t>
      </w:r>
      <w:r w:rsidRPr="00043344">
        <w:t>Bureau for investigation and possible sanction</w:t>
      </w:r>
      <w:r>
        <w:t xml:space="preserve">.  </w:t>
      </w:r>
      <w:r w:rsidRPr="003F60E9">
        <w:rPr>
          <w:i/>
        </w:rPr>
        <w:t>See</w:t>
      </w:r>
      <w:r>
        <w:t xml:space="preserve"> Letter from </w:t>
      </w:r>
      <w:r w:rsidRPr="00AC5359">
        <w:t>Scott Stone, Deputy Chief, Mobility Divisi</w:t>
      </w:r>
      <w:r>
        <w:t xml:space="preserve">on, FCC Wireless Telecommunications Bureau, to Dr. John Gregory, CruiseEmail (Mar. 27, 2009), attached to License WGM.  CruiseEmail subsequently filed applications to modify its licenses to reflect the new operating locations.  </w:t>
      </w:r>
      <w:r w:rsidRPr="003D2DF1">
        <w:rPr>
          <w:i/>
        </w:rPr>
        <w:t>See</w:t>
      </w:r>
      <w:r>
        <w:t xml:space="preserve"> File Nos. 0003890798 (KDS) (granted Aug. 12, 2009), </w:t>
      </w:r>
      <w:r w:rsidRPr="00B93146">
        <w:t>0003889330</w:t>
      </w:r>
      <w:r>
        <w:t xml:space="preserve"> (WGM) (granted Aug. 25, 2009), </w:t>
      </w:r>
      <w:r w:rsidRPr="00B93146">
        <w:t xml:space="preserve">0003890009 </w:t>
      </w:r>
      <w:r>
        <w:t xml:space="preserve">(WHX) </w:t>
      </w:r>
      <w:r w:rsidRPr="00B93146">
        <w:t>(granted Sept</w:t>
      </w:r>
      <w:r>
        <w:t xml:space="preserve">. </w:t>
      </w:r>
      <w:r w:rsidRPr="00B93146">
        <w:t>9, 2009).</w:t>
      </w:r>
    </w:p>
  </w:footnote>
  <w:footnote w:id="31">
    <w:p w:rsidR="005E655B" w:rsidRPr="00AC5359" w:rsidRDefault="005E655B" w:rsidP="004B66C6">
      <w:pPr>
        <w:pStyle w:val="FootnoteText"/>
      </w:pPr>
      <w:r w:rsidRPr="00AC5359">
        <w:rPr>
          <w:rStyle w:val="FootnoteReference"/>
        </w:rPr>
        <w:footnoteRef/>
      </w:r>
      <w:r w:rsidRPr="00AC5359">
        <w:t xml:space="preserve"> </w:t>
      </w:r>
      <w:r w:rsidRPr="00AC5359">
        <w:rPr>
          <w:i/>
        </w:rPr>
        <w:t>See</w:t>
      </w:r>
      <w:r w:rsidRPr="00AC5359">
        <w:t xml:space="preserve"> File No. 0003889330</w:t>
      </w:r>
      <w:r>
        <w:t xml:space="preserve"> (filed July 1, 2009, granted Aug. 25, 2009); </w:t>
      </w:r>
      <w:r w:rsidRPr="00890C49">
        <w:rPr>
          <w:i/>
        </w:rPr>
        <w:t>see also</w:t>
      </w:r>
      <w:r w:rsidRPr="00890C49">
        <w:t xml:space="preserve"> </w:t>
      </w:r>
      <w:r w:rsidRPr="00D4679D">
        <w:rPr>
          <w:i/>
        </w:rPr>
        <w:t>NAL</w:t>
      </w:r>
      <w:r>
        <w:t>, 25 FCC Rcd at 7387, para. 3 (noting CruiseEmail’s statement that, in 2005, it</w:t>
      </w:r>
      <w:r w:rsidRPr="00D4679D">
        <w:t xml:space="preserve"> moved </w:t>
      </w:r>
      <w:r>
        <w:t>S</w:t>
      </w:r>
      <w:r w:rsidRPr="00D4679D">
        <w:t>tation WGM from its licensed location in Lake Placid, Florida, to Fort Lauderdale, Florida</w:t>
      </w:r>
      <w:r>
        <w:t>,</w:t>
      </w:r>
      <w:r w:rsidRPr="00D4679D">
        <w:t xml:space="preserve"> after the Lake Placid station </w:t>
      </w:r>
      <w:r>
        <w:t>had been</w:t>
      </w:r>
      <w:r w:rsidRPr="00D4679D">
        <w:t xml:space="preserve"> destroyed by three major hurricanes</w:t>
      </w:r>
      <w:r>
        <w:t>).</w:t>
      </w:r>
    </w:p>
  </w:footnote>
  <w:footnote w:id="32">
    <w:p w:rsidR="005E655B" w:rsidRPr="00AC5359" w:rsidRDefault="005E655B" w:rsidP="004B66C6">
      <w:pPr>
        <w:pStyle w:val="FootnoteText"/>
      </w:pPr>
      <w:r w:rsidRPr="00AC5359">
        <w:rPr>
          <w:rStyle w:val="FootnoteReference"/>
        </w:rPr>
        <w:footnoteRef/>
      </w:r>
      <w:r w:rsidRPr="00AC5359">
        <w:t xml:space="preserve"> </w:t>
      </w:r>
      <w:r>
        <w:t>Even if CruiseEmail had erroneously interpreted t</w:t>
      </w:r>
      <w:r w:rsidRPr="00AC5359">
        <w:t>he Wireless Bureau</w:t>
      </w:r>
      <w:r>
        <w:t>’</w:t>
      </w:r>
      <w:r w:rsidRPr="00AC5359">
        <w:t xml:space="preserve">s </w:t>
      </w:r>
      <w:r>
        <w:t>directive</w:t>
      </w:r>
      <w:r w:rsidRPr="00AC5359">
        <w:t xml:space="preserve"> </w:t>
      </w:r>
      <w:r>
        <w:t xml:space="preserve">as detailing the steps necessary </w:t>
      </w:r>
      <w:r w:rsidRPr="00AC5359">
        <w:t>to ensure retroactive compliance</w:t>
      </w:r>
      <w:r>
        <w:t xml:space="preserve"> or otherwise relied on informal discussions with the Wireless Bureau</w:t>
      </w:r>
      <w:r w:rsidRPr="00AC5359">
        <w:t xml:space="preserve">, the Commission has repeatedly held that reliance on informal discussions or decisions by Commission staff does not mitigate forfeiture liability.  </w:t>
      </w:r>
      <w:r w:rsidRPr="00AC5359">
        <w:rPr>
          <w:i/>
        </w:rPr>
        <w:t>See, e.g.</w:t>
      </w:r>
      <w:r>
        <w:t>,</w:t>
      </w:r>
      <w:r w:rsidRPr="00AC5359">
        <w:rPr>
          <w:i/>
        </w:rPr>
        <w:t xml:space="preserve"> Kojo Worldwide Corp</w:t>
      </w:r>
      <w:r w:rsidRPr="00AC5359">
        <w:t>., Memorandum Opinion and Order, 24 FCC Rcd 14890, 14895</w:t>
      </w:r>
      <w:r>
        <w:t>–96</w:t>
      </w:r>
      <w:r w:rsidRPr="00AC5359">
        <w:t>, para</w:t>
      </w:r>
      <w:r>
        <w:t>s</w:t>
      </w:r>
      <w:r w:rsidRPr="00AC5359">
        <w:t>. 10</w:t>
      </w:r>
      <w:r>
        <w:t>–11</w:t>
      </w:r>
      <w:r w:rsidRPr="00AC5359">
        <w:t xml:space="preserve"> (2009) </w:t>
      </w:r>
      <w:r>
        <w:t xml:space="preserve">(refusing to mitigate forfeiture liability based on alleged </w:t>
      </w:r>
      <w:r w:rsidRPr="00AC5359">
        <w:t xml:space="preserve">staff promise </w:t>
      </w:r>
      <w:r>
        <w:t xml:space="preserve">not to </w:t>
      </w:r>
      <w:r w:rsidRPr="00AC5359">
        <w:t>enforce</w:t>
      </w:r>
      <w:r>
        <w:t xml:space="preserve"> certain</w:t>
      </w:r>
      <w:r w:rsidRPr="00AC5359">
        <w:t xml:space="preserve"> provisions of the Act).</w:t>
      </w:r>
    </w:p>
  </w:footnote>
  <w:footnote w:id="33">
    <w:p w:rsidR="005E655B" w:rsidRDefault="005E655B">
      <w:pPr>
        <w:pStyle w:val="FootnoteText"/>
      </w:pPr>
      <w:r>
        <w:rPr>
          <w:rStyle w:val="FootnoteReference"/>
        </w:rPr>
        <w:footnoteRef/>
      </w:r>
      <w:r>
        <w:t xml:space="preserve"> We note that had the </w:t>
      </w:r>
      <w:r w:rsidRPr="00FE6879">
        <w:rPr>
          <w:i/>
        </w:rPr>
        <w:t>NAL</w:t>
      </w:r>
      <w:r>
        <w:t xml:space="preserve"> in this proceeding been issued more recently, the proposed forfeiture would have reflected a higher upward adjustment based on the extended duration of the violations.  </w:t>
      </w:r>
      <w:r w:rsidRPr="00FE6879">
        <w:rPr>
          <w:i/>
        </w:rPr>
        <w:t>See, e.g.</w:t>
      </w:r>
      <w:r w:rsidRPr="004B66C6">
        <w:t xml:space="preserve">, </w:t>
      </w:r>
      <w:r w:rsidRPr="00FE6879">
        <w:rPr>
          <w:i/>
        </w:rPr>
        <w:t>Four Corners Broad.</w:t>
      </w:r>
      <w:r>
        <w:rPr>
          <w:i/>
        </w:rPr>
        <w:t>,</w:t>
      </w:r>
      <w:r w:rsidRPr="00FE6879">
        <w:rPr>
          <w:i/>
        </w:rPr>
        <w:t xml:space="preserve"> LLC</w:t>
      </w:r>
      <w:r>
        <w:t xml:space="preserve">, Notice of Apparent Liability for Forfeiture and Order, DA 13-2059, 2013 WL 5780524, at * 2, para. 6 (Enf. Bur. rel. </w:t>
      </w:r>
      <w:r w:rsidRPr="009A3777">
        <w:t>Oct</w:t>
      </w:r>
      <w:r>
        <w:t>.</w:t>
      </w:r>
      <w:r w:rsidRPr="009A3777">
        <w:t xml:space="preserve"> 2</w:t>
      </w:r>
      <w:r>
        <w:t>5</w:t>
      </w:r>
      <w:r w:rsidRPr="009A3777">
        <w:t>, 2013</w:t>
      </w:r>
      <w:r>
        <w:t xml:space="preserve">) (proposing a $13,000 upward adjustment of the $12,000 base forfeiture for operating three stations at locations other than their authorized locations based on the intentional nature of the violations and their duration); </w:t>
      </w:r>
      <w:r w:rsidRPr="009A3777">
        <w:rPr>
          <w:i/>
        </w:rPr>
        <w:t>Emigrant Storage</w:t>
      </w:r>
      <w:r>
        <w:rPr>
          <w:i/>
        </w:rPr>
        <w:t xml:space="preserve"> LLC</w:t>
      </w:r>
      <w:r>
        <w:t>, 27 FCC Rcd</w:t>
      </w:r>
      <w:r w:rsidRPr="009A3777">
        <w:t xml:space="preserve"> 8917</w:t>
      </w:r>
      <w:r>
        <w:t>, 8920</w:t>
      </w:r>
      <w:r w:rsidRPr="009A3777">
        <w:t xml:space="preserve"> n.26 </w:t>
      </w:r>
      <w:r>
        <w:t xml:space="preserve">(Enf. Bur. 2012) </w:t>
      </w:r>
      <w:r w:rsidRPr="009A3777">
        <w:t xml:space="preserve">(emphasizing that the </w:t>
      </w:r>
      <w:r>
        <w:t>“</w:t>
      </w:r>
      <w:r w:rsidRPr="009A3777">
        <w:t>relative duration of a violation is a critical factor,” as failure to take this factor into consideration when assessing forfeitures creates “perverse incentives”).</w:t>
      </w:r>
    </w:p>
  </w:footnote>
  <w:footnote w:id="34">
    <w:p w:rsidR="005E655B" w:rsidRPr="00AC5359" w:rsidRDefault="005E655B" w:rsidP="004B66C6">
      <w:pPr>
        <w:widowControl/>
        <w:spacing w:after="120"/>
        <w:rPr>
          <w:snapToGrid/>
          <w:kern w:val="0"/>
          <w:sz w:val="20"/>
        </w:rPr>
      </w:pPr>
      <w:r w:rsidRPr="00AC5359">
        <w:rPr>
          <w:rStyle w:val="FootnoteReference"/>
        </w:rPr>
        <w:footnoteRef/>
      </w:r>
      <w:r w:rsidRPr="00AC5359">
        <w:rPr>
          <w:sz w:val="20"/>
        </w:rPr>
        <w:t xml:space="preserve"> </w:t>
      </w:r>
      <w:r w:rsidRPr="00AC5359">
        <w:rPr>
          <w:snapToGrid/>
          <w:kern w:val="0"/>
          <w:sz w:val="20"/>
        </w:rPr>
        <w:t>47 U.S.C. §§ 154(i), 405; 47 C.F.R. §§ 0.111, 0.311, 1.106.</w:t>
      </w:r>
    </w:p>
  </w:footnote>
  <w:footnote w:id="35">
    <w:p w:rsidR="005E655B" w:rsidRPr="00AC5359" w:rsidRDefault="005E655B" w:rsidP="004B66C6">
      <w:pPr>
        <w:pStyle w:val="FootnoteText"/>
      </w:pPr>
      <w:r w:rsidRPr="00AC5359">
        <w:rPr>
          <w:rStyle w:val="FootnoteReference"/>
        </w:rPr>
        <w:footnoteRef/>
      </w:r>
      <w:r w:rsidRPr="00AC5359">
        <w:t xml:space="preserve"> 47 U.S.C. § 503(b); 47 C.F.R. §§ 0.111, 0.311, 1.80.</w:t>
      </w:r>
    </w:p>
  </w:footnote>
  <w:footnote w:id="36">
    <w:p w:rsidR="005E655B" w:rsidRPr="00AC5359" w:rsidRDefault="005E655B" w:rsidP="004B66C6">
      <w:pPr>
        <w:pStyle w:val="FootnoteText"/>
      </w:pPr>
      <w:r w:rsidRPr="00AC5359">
        <w:rPr>
          <w:rStyle w:val="FootnoteReference"/>
        </w:rPr>
        <w:footnoteRef/>
      </w:r>
      <w:r w:rsidRPr="00AC5359">
        <w:t xml:space="preserve"> 47 U.S.C. § 301; 47 C.F.R. § 1.903(a).</w:t>
      </w:r>
    </w:p>
  </w:footnote>
  <w:footnote w:id="37">
    <w:p w:rsidR="005E655B" w:rsidRPr="00AC5359" w:rsidRDefault="005E655B" w:rsidP="004B66C6">
      <w:pPr>
        <w:pStyle w:val="FootnoteText"/>
      </w:pPr>
      <w:r w:rsidRPr="00AC5359">
        <w:rPr>
          <w:rStyle w:val="FootnoteReference"/>
        </w:rPr>
        <w:footnoteRef/>
      </w:r>
      <w:r w:rsidRPr="00AC5359">
        <w:t xml:space="preserve"> 47 C.F.R. § 1.80.</w:t>
      </w:r>
    </w:p>
  </w:footnote>
  <w:footnote w:id="38">
    <w:p w:rsidR="005E655B" w:rsidRPr="00AC5359" w:rsidRDefault="005E655B" w:rsidP="004B66C6">
      <w:pPr>
        <w:pStyle w:val="FootnoteText"/>
      </w:pPr>
      <w:r w:rsidRPr="00AC5359">
        <w:rPr>
          <w:rStyle w:val="FootnoteReference"/>
        </w:rPr>
        <w:footnoteRef/>
      </w:r>
      <w:r w:rsidRPr="00AC5359">
        <w:t xml:space="preserve"> 47 U.S.C. § 504(a).</w:t>
      </w:r>
    </w:p>
  </w:footnote>
  <w:footnote w:id="39">
    <w:p w:rsidR="005E655B" w:rsidRPr="00AC5359" w:rsidRDefault="005E655B" w:rsidP="004B66C6">
      <w:pPr>
        <w:pStyle w:val="FootnoteText"/>
      </w:pPr>
      <w:r w:rsidRPr="00AC5359">
        <w:rPr>
          <w:rStyle w:val="FootnoteReference"/>
        </w:rPr>
        <w:footnoteRef/>
      </w:r>
      <w:r w:rsidRPr="00AC5359">
        <w:t xml:space="preserve"> </w:t>
      </w:r>
      <w:r w:rsidRPr="00AC5359">
        <w:rPr>
          <w:rFonts w:eastAsia="MS Mincho" w:cs="Arial"/>
        </w:rPr>
        <w:t>An FCC Form 159 and detailed instructions for completing the form may be obtained at http://www.fcc.gov/Forms/Form159/159.pdf.</w:t>
      </w:r>
    </w:p>
  </w:footnote>
  <w:footnote w:id="40">
    <w:p w:rsidR="005E655B" w:rsidRPr="00AC5359" w:rsidRDefault="005E655B" w:rsidP="004B66C6">
      <w:pPr>
        <w:pStyle w:val="FootnoteText"/>
      </w:pPr>
      <w:r w:rsidRPr="00AC5359">
        <w:rPr>
          <w:rStyle w:val="FootnoteReference"/>
        </w:rPr>
        <w:footnoteRef/>
      </w:r>
      <w:r w:rsidRPr="00AC5359">
        <w:t xml:space="preserve"> </w:t>
      </w:r>
      <w:r w:rsidRPr="00AC5359">
        <w:rPr>
          <w:i/>
        </w:rPr>
        <w:t>See</w:t>
      </w:r>
      <w:r w:rsidRPr="00AC5359">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F2" w:rsidRDefault="00682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5B" w:rsidRDefault="005E655B" w:rsidP="0054159A">
    <w:pPr>
      <w:pStyle w:val="Header"/>
      <w:rPr>
        <w:b w:val="0"/>
      </w:rPr>
    </w:pPr>
    <w:r>
      <w:tab/>
      <w:t>Federal Communications Commission</w:t>
    </w:r>
    <w:r>
      <w:tab/>
      <w:t>DA 14-</w:t>
    </w:r>
    <w:r w:rsidR="00321A48">
      <w:t>348</w:t>
    </w:r>
  </w:p>
  <w:p w:rsidR="005E655B" w:rsidRPr="00931F49" w:rsidRDefault="000F02EA">
    <w:pPr>
      <w:tabs>
        <w:tab w:val="left" w:pos="-720"/>
      </w:tabs>
      <w:suppressAutoHyphens/>
      <w:spacing w:line="19" w:lineRule="exact"/>
      <w:rPr>
        <w:spacing w:val="-2"/>
        <w:szCs w:val="22"/>
      </w:rPr>
    </w:pPr>
    <w:r>
      <w:rPr>
        <w:noProof/>
        <w:snapToGrid/>
        <w:szCs w:val="22"/>
      </w:rPr>
      <w:pict>
        <v:rect id="_x0000_s2049" style="position:absolute;margin-left:0;margin-top:0;width:468pt;height:.95pt;z-index:-251658752;mso-position-horizontal-relative:margin" o:allowincell="f" fillcolor="black" stroked="f" strokeweight=".05pt">
          <v:fill color2="black"/>
          <w10:wrap anchorx="margin"/>
        </v:rect>
      </w:pict>
    </w:r>
  </w:p>
  <w:p w:rsidR="005E655B" w:rsidRPr="00931F49" w:rsidRDefault="005E655B">
    <w:pPr>
      <w:spacing w:after="389" w:line="100" w:lineRule="exac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5B" w:rsidRDefault="005E655B">
    <w:pPr>
      <w:pStyle w:val="Header"/>
      <w:pBdr>
        <w:bottom w:val="single" w:sz="12" w:space="1" w:color="auto"/>
      </w:pBdr>
      <w:rPr>
        <w:b w:val="0"/>
      </w:rPr>
    </w:pPr>
    <w:r>
      <w:tab/>
      <w:t>Federal Communications Commission</w:t>
    </w:r>
    <w:r>
      <w:tab/>
      <w:t>DA 14-</w:t>
    </w:r>
    <w:r w:rsidR="00321A48">
      <w:t>348</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2EE809EC"/>
    <w:lvl w:ilvl="0">
      <w:start w:val="1"/>
      <w:numFmt w:val="decimal"/>
      <w:lvlText w:val="%1."/>
      <w:lvlJc w:val="left"/>
      <w:pPr>
        <w:tabs>
          <w:tab w:val="num" w:pos="1170"/>
        </w:tabs>
        <w:ind w:left="9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6B0D91"/>
    <w:multiLevelType w:val="hybridMultilevel"/>
    <w:tmpl w:val="B9ACB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2B48D2"/>
    <w:multiLevelType w:val="singleLevel"/>
    <w:tmpl w:val="C9C40FE0"/>
    <w:lvl w:ilvl="0">
      <w:start w:val="1"/>
      <w:numFmt w:val="decimal"/>
      <w:pStyle w:val="Paranum0"/>
      <w:lvlText w:val="%1."/>
      <w:lvlJc w:val="left"/>
      <w:pPr>
        <w:tabs>
          <w:tab w:val="num" w:pos="1170"/>
        </w:tabs>
        <w:ind w:left="1170" w:hanging="360"/>
      </w:pPr>
    </w:lvl>
  </w:abstractNum>
  <w:num w:numId="1">
    <w:abstractNumId w:val="7"/>
  </w:num>
  <w:num w:numId="2">
    <w:abstractNumId w:val="3"/>
  </w:num>
  <w:num w:numId="3">
    <w:abstractNumId w:val="9"/>
  </w:num>
  <w:num w:numId="4">
    <w:abstractNumId w:val="1"/>
  </w:num>
  <w:num w:numId="5">
    <w:abstractNumId w:val="4"/>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5968"/>
    <w:rsid w:val="00006402"/>
    <w:rsid w:val="0001333F"/>
    <w:rsid w:val="000228E4"/>
    <w:rsid w:val="000428A2"/>
    <w:rsid w:val="00043344"/>
    <w:rsid w:val="00050418"/>
    <w:rsid w:val="00051859"/>
    <w:rsid w:val="00056F7E"/>
    <w:rsid w:val="00057ED6"/>
    <w:rsid w:val="00060B18"/>
    <w:rsid w:val="00061645"/>
    <w:rsid w:val="000647B7"/>
    <w:rsid w:val="00084C76"/>
    <w:rsid w:val="000B2E48"/>
    <w:rsid w:val="000C61D2"/>
    <w:rsid w:val="000E2DD3"/>
    <w:rsid w:val="000E2E38"/>
    <w:rsid w:val="000F02EA"/>
    <w:rsid w:val="00107606"/>
    <w:rsid w:val="00122863"/>
    <w:rsid w:val="00131A6E"/>
    <w:rsid w:val="00141037"/>
    <w:rsid w:val="001446A7"/>
    <w:rsid w:val="00156E2D"/>
    <w:rsid w:val="00165968"/>
    <w:rsid w:val="001676A1"/>
    <w:rsid w:val="00171EBD"/>
    <w:rsid w:val="00175E61"/>
    <w:rsid w:val="00177A27"/>
    <w:rsid w:val="00177C14"/>
    <w:rsid w:val="00184D77"/>
    <w:rsid w:val="001B2005"/>
    <w:rsid w:val="001E1A2B"/>
    <w:rsid w:val="001E36A0"/>
    <w:rsid w:val="001E4DFF"/>
    <w:rsid w:val="001E65D2"/>
    <w:rsid w:val="00203EDB"/>
    <w:rsid w:val="00204E07"/>
    <w:rsid w:val="00206362"/>
    <w:rsid w:val="00214293"/>
    <w:rsid w:val="00216338"/>
    <w:rsid w:val="0021799B"/>
    <w:rsid w:val="002179E1"/>
    <w:rsid w:val="002223EF"/>
    <w:rsid w:val="002229B5"/>
    <w:rsid w:val="0023638C"/>
    <w:rsid w:val="00242572"/>
    <w:rsid w:val="00244890"/>
    <w:rsid w:val="00250EB0"/>
    <w:rsid w:val="00257FCF"/>
    <w:rsid w:val="00263B70"/>
    <w:rsid w:val="00264100"/>
    <w:rsid w:val="00283761"/>
    <w:rsid w:val="00293D89"/>
    <w:rsid w:val="002A4C35"/>
    <w:rsid w:val="002A5023"/>
    <w:rsid w:val="002B3A9A"/>
    <w:rsid w:val="002C35F5"/>
    <w:rsid w:val="002D598F"/>
    <w:rsid w:val="002F7D77"/>
    <w:rsid w:val="0030513E"/>
    <w:rsid w:val="00321A48"/>
    <w:rsid w:val="00335C61"/>
    <w:rsid w:val="00353DFA"/>
    <w:rsid w:val="003548F0"/>
    <w:rsid w:val="003631ED"/>
    <w:rsid w:val="00365379"/>
    <w:rsid w:val="003D0E5D"/>
    <w:rsid w:val="003E1F9D"/>
    <w:rsid w:val="003E22B2"/>
    <w:rsid w:val="003F2D86"/>
    <w:rsid w:val="00427AFB"/>
    <w:rsid w:val="00435A16"/>
    <w:rsid w:val="00483745"/>
    <w:rsid w:val="00487A0E"/>
    <w:rsid w:val="004B1E6C"/>
    <w:rsid w:val="004B66C6"/>
    <w:rsid w:val="004B678E"/>
    <w:rsid w:val="004B6AB2"/>
    <w:rsid w:val="004C058E"/>
    <w:rsid w:val="004C4CFE"/>
    <w:rsid w:val="004C6DB2"/>
    <w:rsid w:val="004E6D54"/>
    <w:rsid w:val="004F3CD5"/>
    <w:rsid w:val="005071F3"/>
    <w:rsid w:val="00507E44"/>
    <w:rsid w:val="0052505A"/>
    <w:rsid w:val="00534B1C"/>
    <w:rsid w:val="00537322"/>
    <w:rsid w:val="0054159A"/>
    <w:rsid w:val="00544D89"/>
    <w:rsid w:val="00563027"/>
    <w:rsid w:val="00564501"/>
    <w:rsid w:val="00571543"/>
    <w:rsid w:val="00575A56"/>
    <w:rsid w:val="005B569A"/>
    <w:rsid w:val="005B6E42"/>
    <w:rsid w:val="005C49C2"/>
    <w:rsid w:val="005C5C8E"/>
    <w:rsid w:val="005C739C"/>
    <w:rsid w:val="005E09B5"/>
    <w:rsid w:val="005E2DC3"/>
    <w:rsid w:val="005E4A66"/>
    <w:rsid w:val="005E655B"/>
    <w:rsid w:val="0060472D"/>
    <w:rsid w:val="006054F6"/>
    <w:rsid w:val="00606BEA"/>
    <w:rsid w:val="00621D50"/>
    <w:rsid w:val="00624D10"/>
    <w:rsid w:val="00632EEE"/>
    <w:rsid w:val="00633AE1"/>
    <w:rsid w:val="006455C2"/>
    <w:rsid w:val="00647776"/>
    <w:rsid w:val="00672A88"/>
    <w:rsid w:val="0067385C"/>
    <w:rsid w:val="006822F2"/>
    <w:rsid w:val="00692B97"/>
    <w:rsid w:val="00696E10"/>
    <w:rsid w:val="006970B0"/>
    <w:rsid w:val="006A091B"/>
    <w:rsid w:val="006A6DE1"/>
    <w:rsid w:val="006A7B33"/>
    <w:rsid w:val="006B2785"/>
    <w:rsid w:val="006B6F7D"/>
    <w:rsid w:val="006B7A70"/>
    <w:rsid w:val="006C0247"/>
    <w:rsid w:val="006D1C23"/>
    <w:rsid w:val="006F3E75"/>
    <w:rsid w:val="006F415D"/>
    <w:rsid w:val="006F63D9"/>
    <w:rsid w:val="00702CCD"/>
    <w:rsid w:val="007072F4"/>
    <w:rsid w:val="00722ADA"/>
    <w:rsid w:val="00740AE4"/>
    <w:rsid w:val="00746523"/>
    <w:rsid w:val="00762B88"/>
    <w:rsid w:val="00765B00"/>
    <w:rsid w:val="007711FA"/>
    <w:rsid w:val="007A7A1D"/>
    <w:rsid w:val="007C1AC6"/>
    <w:rsid w:val="007C2CE9"/>
    <w:rsid w:val="007C4D7A"/>
    <w:rsid w:val="007E647A"/>
    <w:rsid w:val="007E78A4"/>
    <w:rsid w:val="007F18AF"/>
    <w:rsid w:val="00803FF9"/>
    <w:rsid w:val="008141E9"/>
    <w:rsid w:val="00814864"/>
    <w:rsid w:val="00823F2F"/>
    <w:rsid w:val="00825E4C"/>
    <w:rsid w:val="00832CCF"/>
    <w:rsid w:val="0085084F"/>
    <w:rsid w:val="00860190"/>
    <w:rsid w:val="00890C49"/>
    <w:rsid w:val="00894FA4"/>
    <w:rsid w:val="008A7081"/>
    <w:rsid w:val="008B061F"/>
    <w:rsid w:val="008B33FD"/>
    <w:rsid w:val="008B3D24"/>
    <w:rsid w:val="008B757E"/>
    <w:rsid w:val="008C4A6B"/>
    <w:rsid w:val="008D4AA7"/>
    <w:rsid w:val="008D7BA1"/>
    <w:rsid w:val="008E0886"/>
    <w:rsid w:val="0090131D"/>
    <w:rsid w:val="009062A8"/>
    <w:rsid w:val="00906E48"/>
    <w:rsid w:val="00916156"/>
    <w:rsid w:val="00920D93"/>
    <w:rsid w:val="009456AC"/>
    <w:rsid w:val="0094731A"/>
    <w:rsid w:val="00966426"/>
    <w:rsid w:val="009704F0"/>
    <w:rsid w:val="00976B73"/>
    <w:rsid w:val="00976D74"/>
    <w:rsid w:val="00986233"/>
    <w:rsid w:val="00991597"/>
    <w:rsid w:val="0099798E"/>
    <w:rsid w:val="009A3777"/>
    <w:rsid w:val="009A3F1F"/>
    <w:rsid w:val="009B79BC"/>
    <w:rsid w:val="009C2B7F"/>
    <w:rsid w:val="009C4110"/>
    <w:rsid w:val="009D783F"/>
    <w:rsid w:val="009E0399"/>
    <w:rsid w:val="009E4E5F"/>
    <w:rsid w:val="009E73CC"/>
    <w:rsid w:val="009F650D"/>
    <w:rsid w:val="009F6825"/>
    <w:rsid w:val="00A039E4"/>
    <w:rsid w:val="00A048A9"/>
    <w:rsid w:val="00A053E3"/>
    <w:rsid w:val="00A106D6"/>
    <w:rsid w:val="00A1103F"/>
    <w:rsid w:val="00A14E8B"/>
    <w:rsid w:val="00A3318C"/>
    <w:rsid w:val="00A5764E"/>
    <w:rsid w:val="00A70B41"/>
    <w:rsid w:val="00A723C0"/>
    <w:rsid w:val="00A75367"/>
    <w:rsid w:val="00A95250"/>
    <w:rsid w:val="00AB52D9"/>
    <w:rsid w:val="00AC1CC9"/>
    <w:rsid w:val="00AC256E"/>
    <w:rsid w:val="00AC2668"/>
    <w:rsid w:val="00AD4BAE"/>
    <w:rsid w:val="00AD6199"/>
    <w:rsid w:val="00AE1938"/>
    <w:rsid w:val="00AE6B31"/>
    <w:rsid w:val="00AF7926"/>
    <w:rsid w:val="00B129D6"/>
    <w:rsid w:val="00B16BC4"/>
    <w:rsid w:val="00B24B7E"/>
    <w:rsid w:val="00B42C10"/>
    <w:rsid w:val="00B547A5"/>
    <w:rsid w:val="00B56C14"/>
    <w:rsid w:val="00B62473"/>
    <w:rsid w:val="00B66CAA"/>
    <w:rsid w:val="00B77E31"/>
    <w:rsid w:val="00B9009F"/>
    <w:rsid w:val="00B966E0"/>
    <w:rsid w:val="00BA2E58"/>
    <w:rsid w:val="00BA5882"/>
    <w:rsid w:val="00BA6BDB"/>
    <w:rsid w:val="00BB0EDA"/>
    <w:rsid w:val="00BB2B2C"/>
    <w:rsid w:val="00BC680E"/>
    <w:rsid w:val="00BC78D3"/>
    <w:rsid w:val="00BD6B2F"/>
    <w:rsid w:val="00BE566F"/>
    <w:rsid w:val="00BE6FF8"/>
    <w:rsid w:val="00BF464F"/>
    <w:rsid w:val="00BF7571"/>
    <w:rsid w:val="00BF7DB2"/>
    <w:rsid w:val="00C00513"/>
    <w:rsid w:val="00C14024"/>
    <w:rsid w:val="00C16224"/>
    <w:rsid w:val="00C22AF7"/>
    <w:rsid w:val="00C24D02"/>
    <w:rsid w:val="00C325DA"/>
    <w:rsid w:val="00C35F80"/>
    <w:rsid w:val="00C364B2"/>
    <w:rsid w:val="00C40B70"/>
    <w:rsid w:val="00C41B5A"/>
    <w:rsid w:val="00C626EE"/>
    <w:rsid w:val="00C63C02"/>
    <w:rsid w:val="00C85069"/>
    <w:rsid w:val="00C854B3"/>
    <w:rsid w:val="00C87010"/>
    <w:rsid w:val="00C91385"/>
    <w:rsid w:val="00C967B7"/>
    <w:rsid w:val="00CB1AFB"/>
    <w:rsid w:val="00CB39F7"/>
    <w:rsid w:val="00CC1458"/>
    <w:rsid w:val="00CC32AE"/>
    <w:rsid w:val="00CC5AFF"/>
    <w:rsid w:val="00CF30B8"/>
    <w:rsid w:val="00CF36EE"/>
    <w:rsid w:val="00CF6737"/>
    <w:rsid w:val="00D0221A"/>
    <w:rsid w:val="00D150FE"/>
    <w:rsid w:val="00D15A2D"/>
    <w:rsid w:val="00D242E3"/>
    <w:rsid w:val="00D25A2B"/>
    <w:rsid w:val="00D41305"/>
    <w:rsid w:val="00D4679D"/>
    <w:rsid w:val="00D47D16"/>
    <w:rsid w:val="00D51A35"/>
    <w:rsid w:val="00D51E34"/>
    <w:rsid w:val="00D54A61"/>
    <w:rsid w:val="00D723C6"/>
    <w:rsid w:val="00D802FA"/>
    <w:rsid w:val="00D81545"/>
    <w:rsid w:val="00D828F7"/>
    <w:rsid w:val="00D944BF"/>
    <w:rsid w:val="00DA0160"/>
    <w:rsid w:val="00DA312D"/>
    <w:rsid w:val="00DA3F54"/>
    <w:rsid w:val="00DB5B49"/>
    <w:rsid w:val="00DD195F"/>
    <w:rsid w:val="00DD2A3B"/>
    <w:rsid w:val="00DD73C1"/>
    <w:rsid w:val="00DE274C"/>
    <w:rsid w:val="00DE778B"/>
    <w:rsid w:val="00DE7E93"/>
    <w:rsid w:val="00DF4461"/>
    <w:rsid w:val="00E02DAE"/>
    <w:rsid w:val="00E0302B"/>
    <w:rsid w:val="00E07780"/>
    <w:rsid w:val="00E21732"/>
    <w:rsid w:val="00E227BB"/>
    <w:rsid w:val="00E22973"/>
    <w:rsid w:val="00E2714F"/>
    <w:rsid w:val="00E304F8"/>
    <w:rsid w:val="00E35F9A"/>
    <w:rsid w:val="00E57C72"/>
    <w:rsid w:val="00E656E9"/>
    <w:rsid w:val="00E724C8"/>
    <w:rsid w:val="00E763D5"/>
    <w:rsid w:val="00E83F1C"/>
    <w:rsid w:val="00E84ECE"/>
    <w:rsid w:val="00EA1E42"/>
    <w:rsid w:val="00EA36C7"/>
    <w:rsid w:val="00EA4360"/>
    <w:rsid w:val="00EB4652"/>
    <w:rsid w:val="00EF1433"/>
    <w:rsid w:val="00F03B9D"/>
    <w:rsid w:val="00F05290"/>
    <w:rsid w:val="00F07E82"/>
    <w:rsid w:val="00F10D95"/>
    <w:rsid w:val="00F11392"/>
    <w:rsid w:val="00F22B23"/>
    <w:rsid w:val="00F41335"/>
    <w:rsid w:val="00F4684E"/>
    <w:rsid w:val="00F50649"/>
    <w:rsid w:val="00F65197"/>
    <w:rsid w:val="00F7403D"/>
    <w:rsid w:val="00F7484F"/>
    <w:rsid w:val="00F80A26"/>
    <w:rsid w:val="00F81D75"/>
    <w:rsid w:val="00F90AC9"/>
    <w:rsid w:val="00FB5A16"/>
    <w:rsid w:val="00FB6247"/>
    <w:rsid w:val="00FB7FD0"/>
    <w:rsid w:val="00FC15FA"/>
    <w:rsid w:val="00FD0B6C"/>
    <w:rsid w:val="00FD3FD0"/>
    <w:rsid w:val="00FD5FF4"/>
    <w:rsid w:val="00FE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2EA"/>
    <w:pPr>
      <w:widowControl w:val="0"/>
    </w:pPr>
    <w:rPr>
      <w:snapToGrid w:val="0"/>
      <w:kern w:val="28"/>
      <w:sz w:val="22"/>
    </w:rPr>
  </w:style>
  <w:style w:type="paragraph" w:styleId="Heading1">
    <w:name w:val="heading 1"/>
    <w:basedOn w:val="Normal"/>
    <w:next w:val="ParaNum"/>
    <w:qFormat/>
    <w:rsid w:val="000F02E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02EA"/>
    <w:pPr>
      <w:keepNext/>
      <w:numPr>
        <w:ilvl w:val="1"/>
        <w:numId w:val="2"/>
      </w:numPr>
      <w:spacing w:after="120"/>
      <w:outlineLvl w:val="1"/>
    </w:pPr>
    <w:rPr>
      <w:b/>
    </w:rPr>
  </w:style>
  <w:style w:type="paragraph" w:styleId="Heading3">
    <w:name w:val="heading 3"/>
    <w:basedOn w:val="Normal"/>
    <w:next w:val="ParaNum"/>
    <w:qFormat/>
    <w:rsid w:val="000F02EA"/>
    <w:pPr>
      <w:keepNext/>
      <w:numPr>
        <w:ilvl w:val="2"/>
        <w:numId w:val="2"/>
      </w:numPr>
      <w:tabs>
        <w:tab w:val="left" w:pos="2160"/>
      </w:tabs>
      <w:spacing w:after="120"/>
      <w:outlineLvl w:val="2"/>
    </w:pPr>
    <w:rPr>
      <w:b/>
    </w:rPr>
  </w:style>
  <w:style w:type="paragraph" w:styleId="Heading4">
    <w:name w:val="heading 4"/>
    <w:basedOn w:val="Normal"/>
    <w:next w:val="ParaNum"/>
    <w:qFormat/>
    <w:rsid w:val="000F02EA"/>
    <w:pPr>
      <w:keepNext/>
      <w:numPr>
        <w:ilvl w:val="3"/>
        <w:numId w:val="2"/>
      </w:numPr>
      <w:tabs>
        <w:tab w:val="left" w:pos="2880"/>
      </w:tabs>
      <w:spacing w:after="120"/>
      <w:outlineLvl w:val="3"/>
    </w:pPr>
    <w:rPr>
      <w:b/>
    </w:rPr>
  </w:style>
  <w:style w:type="paragraph" w:styleId="Heading5">
    <w:name w:val="heading 5"/>
    <w:basedOn w:val="Normal"/>
    <w:next w:val="ParaNum"/>
    <w:qFormat/>
    <w:rsid w:val="000F02E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F02EA"/>
    <w:pPr>
      <w:numPr>
        <w:ilvl w:val="5"/>
        <w:numId w:val="2"/>
      </w:numPr>
      <w:tabs>
        <w:tab w:val="left" w:pos="4320"/>
      </w:tabs>
      <w:spacing w:after="120"/>
      <w:outlineLvl w:val="5"/>
    </w:pPr>
    <w:rPr>
      <w:b/>
    </w:rPr>
  </w:style>
  <w:style w:type="paragraph" w:styleId="Heading7">
    <w:name w:val="heading 7"/>
    <w:basedOn w:val="Normal"/>
    <w:next w:val="ParaNum"/>
    <w:qFormat/>
    <w:rsid w:val="000F02E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F02E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F02E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02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02EA"/>
  </w:style>
  <w:style w:type="paragraph" w:customStyle="1" w:styleId="ParaNum">
    <w:name w:val="ParaNum"/>
    <w:basedOn w:val="Normal"/>
    <w:link w:val="ParaNumChar"/>
    <w:rsid w:val="000F02EA"/>
    <w:pPr>
      <w:numPr>
        <w:numId w:val="1"/>
      </w:numPr>
      <w:tabs>
        <w:tab w:val="clear" w:pos="1080"/>
        <w:tab w:val="num" w:pos="1440"/>
      </w:tabs>
      <w:spacing w:after="120"/>
    </w:p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
    <w:link w:val="FootnoteTextChar"/>
    <w:rsid w:val="000F02EA"/>
    <w:pPr>
      <w:spacing w:after="120"/>
    </w:pPr>
  </w:style>
  <w:style w:type="character" w:styleId="FootnoteReference">
    <w:name w:val="footnote reference"/>
    <w:aliases w:val="Style 4,Appel note de bas de p,Style 12,(NECG) Footnote Reference,Style 124,Style 13,o,fr,Style 3"/>
    <w:rsid w:val="000F02EA"/>
    <w:rPr>
      <w:rFonts w:ascii="Times New Roman" w:hAnsi="Times New Roman"/>
      <w:dstrike w:val="0"/>
      <w:color w:val="auto"/>
      <w:sz w:val="20"/>
      <w:vertAlign w:val="superscript"/>
    </w:rPr>
  </w:style>
  <w:style w:type="paragraph" w:styleId="Header">
    <w:name w:val="header"/>
    <w:basedOn w:val="Normal"/>
    <w:autoRedefine/>
    <w:rsid w:val="000F02EA"/>
    <w:pPr>
      <w:tabs>
        <w:tab w:val="center" w:pos="4680"/>
        <w:tab w:val="right" w:pos="9360"/>
      </w:tabs>
    </w:pPr>
    <w:rPr>
      <w:b/>
    </w:rPr>
  </w:style>
  <w:style w:type="paragraph" w:styleId="Footer">
    <w:name w:val="footer"/>
    <w:basedOn w:val="Normal"/>
    <w:rsid w:val="000F02EA"/>
    <w:pPr>
      <w:tabs>
        <w:tab w:val="center" w:pos="4320"/>
        <w:tab w:val="right" w:pos="8640"/>
      </w:tabs>
    </w:pPr>
  </w:style>
  <w:style w:type="paragraph" w:customStyle="1" w:styleId="Paranum0">
    <w:name w:val="Paranum"/>
    <w:rsid w:val="00165968"/>
    <w:pPr>
      <w:numPr>
        <w:numId w:val="3"/>
      </w:numPr>
      <w:tabs>
        <w:tab w:val="left" w:pos="1440"/>
      </w:tabs>
      <w:spacing w:after="240"/>
      <w:ind w:left="0" w:firstLine="720"/>
      <w:jc w:val="both"/>
    </w:pPr>
    <w:rPr>
      <w:sz w:val="22"/>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link w:val="FootnoteText"/>
    <w:rsid w:val="00165968"/>
  </w:style>
  <w:style w:type="paragraph" w:styleId="TOAHeading">
    <w:name w:val="toa heading"/>
    <w:basedOn w:val="Normal"/>
    <w:next w:val="Normal"/>
    <w:semiHidden/>
    <w:rsid w:val="000F02EA"/>
    <w:pPr>
      <w:tabs>
        <w:tab w:val="right" w:pos="9360"/>
      </w:tabs>
      <w:suppressAutoHyphens/>
    </w:pPr>
  </w:style>
  <w:style w:type="paragraph" w:styleId="BalloonText">
    <w:name w:val="Balloon Text"/>
    <w:basedOn w:val="Normal"/>
    <w:link w:val="BalloonTextChar"/>
    <w:semiHidden/>
    <w:rsid w:val="008079A8"/>
    <w:rPr>
      <w:rFonts w:ascii="Tahoma" w:hAnsi="Tahoma"/>
      <w:sz w:val="16"/>
      <w:szCs w:val="16"/>
      <w:lang w:val="x-none" w:eastAsia="x-none"/>
    </w:rPr>
  </w:style>
  <w:style w:type="character" w:customStyle="1" w:styleId="ParaNumChar">
    <w:name w:val="ParaNum Char"/>
    <w:link w:val="ParaNum"/>
    <w:locked/>
    <w:rsid w:val="0054159A"/>
    <w:rPr>
      <w:snapToGrid w:val="0"/>
      <w:kern w:val="28"/>
      <w:sz w:val="22"/>
    </w:rPr>
  </w:style>
  <w:style w:type="character" w:styleId="Emphasis">
    <w:name w:val="Emphasis"/>
    <w:qFormat/>
    <w:rsid w:val="008772C5"/>
    <w:rPr>
      <w:i/>
      <w:iCs/>
    </w:rPr>
  </w:style>
  <w:style w:type="character" w:styleId="Hyperlink">
    <w:name w:val="Hyperlink"/>
    <w:rsid w:val="000F02EA"/>
    <w:rPr>
      <w:color w:val="0000FF"/>
      <w:u w:val="single"/>
    </w:rPr>
  </w:style>
  <w:style w:type="paragraph" w:styleId="EndnoteText">
    <w:name w:val="endnote text"/>
    <w:basedOn w:val="Normal"/>
    <w:link w:val="EndnoteTextChar"/>
    <w:semiHidden/>
    <w:rsid w:val="000F02EA"/>
    <w:rPr>
      <w:sz w:val="20"/>
    </w:rPr>
  </w:style>
  <w:style w:type="character" w:customStyle="1" w:styleId="EndnoteTextChar">
    <w:name w:val="Endnote Text Char"/>
    <w:link w:val="EndnoteText"/>
    <w:semiHidden/>
    <w:rsid w:val="0054159A"/>
    <w:rPr>
      <w:snapToGrid w:val="0"/>
      <w:kern w:val="28"/>
    </w:rPr>
  </w:style>
  <w:style w:type="character" w:styleId="EndnoteReference">
    <w:name w:val="endnote reference"/>
    <w:semiHidden/>
    <w:rsid w:val="000F02EA"/>
    <w:rPr>
      <w:vertAlign w:val="superscript"/>
    </w:rPr>
  </w:style>
  <w:style w:type="paragraph" w:styleId="TOC1">
    <w:name w:val="toc 1"/>
    <w:basedOn w:val="Normal"/>
    <w:next w:val="Normal"/>
    <w:semiHidden/>
    <w:rsid w:val="000F02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02EA"/>
    <w:pPr>
      <w:tabs>
        <w:tab w:val="left" w:pos="720"/>
        <w:tab w:val="right" w:leader="dot" w:pos="9360"/>
      </w:tabs>
      <w:suppressAutoHyphens/>
      <w:ind w:left="720" w:right="720" w:hanging="360"/>
    </w:pPr>
    <w:rPr>
      <w:noProof/>
    </w:rPr>
  </w:style>
  <w:style w:type="paragraph" w:styleId="TOC3">
    <w:name w:val="toc 3"/>
    <w:basedOn w:val="Normal"/>
    <w:next w:val="Normal"/>
    <w:semiHidden/>
    <w:rsid w:val="000F02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02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02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02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02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02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02EA"/>
    <w:pPr>
      <w:tabs>
        <w:tab w:val="left" w:pos="3240"/>
        <w:tab w:val="right" w:leader="dot" w:pos="9360"/>
      </w:tabs>
      <w:suppressAutoHyphens/>
      <w:ind w:left="3240" w:hanging="360"/>
    </w:pPr>
    <w:rPr>
      <w:noProof/>
    </w:rPr>
  </w:style>
  <w:style w:type="character" w:customStyle="1" w:styleId="EquationCaption">
    <w:name w:val="_Equation Caption"/>
    <w:rsid w:val="000F02EA"/>
  </w:style>
  <w:style w:type="character" w:styleId="PageNumber">
    <w:name w:val="page number"/>
    <w:basedOn w:val="DefaultParagraphFont"/>
    <w:rsid w:val="000F02EA"/>
  </w:style>
  <w:style w:type="paragraph" w:styleId="BlockText">
    <w:name w:val="Block Text"/>
    <w:basedOn w:val="Normal"/>
    <w:rsid w:val="000F02EA"/>
    <w:pPr>
      <w:spacing w:after="240"/>
      <w:ind w:left="1440" w:right="1440"/>
    </w:pPr>
  </w:style>
  <w:style w:type="paragraph" w:customStyle="1" w:styleId="Paratitle">
    <w:name w:val="Para title"/>
    <w:basedOn w:val="Normal"/>
    <w:rsid w:val="000F02EA"/>
    <w:pPr>
      <w:tabs>
        <w:tab w:val="center" w:pos="9270"/>
      </w:tabs>
      <w:spacing w:after="240"/>
    </w:pPr>
    <w:rPr>
      <w:spacing w:val="-2"/>
    </w:rPr>
  </w:style>
  <w:style w:type="paragraph" w:customStyle="1" w:styleId="Bullet">
    <w:name w:val="Bullet"/>
    <w:basedOn w:val="Normal"/>
    <w:rsid w:val="000F02EA"/>
    <w:pPr>
      <w:tabs>
        <w:tab w:val="left" w:pos="2160"/>
      </w:tabs>
      <w:spacing w:after="220"/>
      <w:ind w:left="2160" w:hanging="720"/>
    </w:pPr>
  </w:style>
  <w:style w:type="paragraph" w:customStyle="1" w:styleId="TableFormat">
    <w:name w:val="TableFormat"/>
    <w:basedOn w:val="Bullet"/>
    <w:rsid w:val="000F02EA"/>
    <w:pPr>
      <w:tabs>
        <w:tab w:val="clear" w:pos="2160"/>
        <w:tab w:val="left" w:pos="5040"/>
      </w:tabs>
      <w:ind w:left="5040" w:hanging="3600"/>
    </w:pPr>
  </w:style>
  <w:style w:type="paragraph" w:customStyle="1" w:styleId="TOCTitle">
    <w:name w:val="TOC Title"/>
    <w:basedOn w:val="Normal"/>
    <w:rsid w:val="000F02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02EA"/>
    <w:pPr>
      <w:jc w:val="center"/>
    </w:pPr>
    <w:rPr>
      <w:rFonts w:ascii="Times New Roman Bold" w:hAnsi="Times New Roman Bold"/>
      <w:b/>
      <w:bCs/>
      <w:caps/>
      <w:szCs w:val="22"/>
    </w:rPr>
  </w:style>
  <w:style w:type="character" w:customStyle="1" w:styleId="BalloonTextChar">
    <w:name w:val="Balloon Text Char"/>
    <w:link w:val="BalloonText"/>
    <w:semiHidden/>
    <w:rsid w:val="0054159A"/>
    <w:rPr>
      <w:rFonts w:ascii="Tahoma" w:hAnsi="Tahoma" w:cs="Tahoma"/>
      <w:snapToGrid w:val="0"/>
      <w:kern w:val="28"/>
      <w:sz w:val="16"/>
      <w:szCs w:val="16"/>
    </w:rPr>
  </w:style>
  <w:style w:type="character" w:styleId="CommentReference">
    <w:name w:val="annotation reference"/>
    <w:semiHidden/>
    <w:rsid w:val="00BC78D3"/>
    <w:rPr>
      <w:sz w:val="16"/>
      <w:szCs w:val="16"/>
    </w:rPr>
  </w:style>
  <w:style w:type="paragraph" w:styleId="CommentText">
    <w:name w:val="annotation text"/>
    <w:basedOn w:val="Normal"/>
    <w:semiHidden/>
    <w:rsid w:val="00BC78D3"/>
    <w:rPr>
      <w:sz w:val="20"/>
    </w:rPr>
  </w:style>
  <w:style w:type="paragraph" w:styleId="CommentSubject">
    <w:name w:val="annotation subject"/>
    <w:basedOn w:val="CommentText"/>
    <w:next w:val="CommentText"/>
    <w:semiHidden/>
    <w:rsid w:val="00BC78D3"/>
    <w:rPr>
      <w:b/>
      <w:bCs/>
    </w:rPr>
  </w:style>
  <w:style w:type="paragraph" w:styleId="Revision">
    <w:name w:val="Revision"/>
    <w:hidden/>
    <w:uiPriority w:val="99"/>
    <w:semiHidden/>
    <w:rsid w:val="00D0221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2EA"/>
    <w:pPr>
      <w:widowControl w:val="0"/>
    </w:pPr>
    <w:rPr>
      <w:snapToGrid w:val="0"/>
      <w:kern w:val="28"/>
      <w:sz w:val="22"/>
    </w:rPr>
  </w:style>
  <w:style w:type="paragraph" w:styleId="Heading1">
    <w:name w:val="heading 1"/>
    <w:basedOn w:val="Normal"/>
    <w:next w:val="ParaNum"/>
    <w:qFormat/>
    <w:rsid w:val="000F02E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02EA"/>
    <w:pPr>
      <w:keepNext/>
      <w:numPr>
        <w:ilvl w:val="1"/>
        <w:numId w:val="2"/>
      </w:numPr>
      <w:spacing w:after="120"/>
      <w:outlineLvl w:val="1"/>
    </w:pPr>
    <w:rPr>
      <w:b/>
    </w:rPr>
  </w:style>
  <w:style w:type="paragraph" w:styleId="Heading3">
    <w:name w:val="heading 3"/>
    <w:basedOn w:val="Normal"/>
    <w:next w:val="ParaNum"/>
    <w:qFormat/>
    <w:rsid w:val="000F02EA"/>
    <w:pPr>
      <w:keepNext/>
      <w:numPr>
        <w:ilvl w:val="2"/>
        <w:numId w:val="2"/>
      </w:numPr>
      <w:tabs>
        <w:tab w:val="left" w:pos="2160"/>
      </w:tabs>
      <w:spacing w:after="120"/>
      <w:outlineLvl w:val="2"/>
    </w:pPr>
    <w:rPr>
      <w:b/>
    </w:rPr>
  </w:style>
  <w:style w:type="paragraph" w:styleId="Heading4">
    <w:name w:val="heading 4"/>
    <w:basedOn w:val="Normal"/>
    <w:next w:val="ParaNum"/>
    <w:qFormat/>
    <w:rsid w:val="000F02EA"/>
    <w:pPr>
      <w:keepNext/>
      <w:numPr>
        <w:ilvl w:val="3"/>
        <w:numId w:val="2"/>
      </w:numPr>
      <w:tabs>
        <w:tab w:val="left" w:pos="2880"/>
      </w:tabs>
      <w:spacing w:after="120"/>
      <w:outlineLvl w:val="3"/>
    </w:pPr>
    <w:rPr>
      <w:b/>
    </w:rPr>
  </w:style>
  <w:style w:type="paragraph" w:styleId="Heading5">
    <w:name w:val="heading 5"/>
    <w:basedOn w:val="Normal"/>
    <w:next w:val="ParaNum"/>
    <w:qFormat/>
    <w:rsid w:val="000F02E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F02EA"/>
    <w:pPr>
      <w:numPr>
        <w:ilvl w:val="5"/>
        <w:numId w:val="2"/>
      </w:numPr>
      <w:tabs>
        <w:tab w:val="left" w:pos="4320"/>
      </w:tabs>
      <w:spacing w:after="120"/>
      <w:outlineLvl w:val="5"/>
    </w:pPr>
    <w:rPr>
      <w:b/>
    </w:rPr>
  </w:style>
  <w:style w:type="paragraph" w:styleId="Heading7">
    <w:name w:val="heading 7"/>
    <w:basedOn w:val="Normal"/>
    <w:next w:val="ParaNum"/>
    <w:qFormat/>
    <w:rsid w:val="000F02E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F02E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F02E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02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02EA"/>
  </w:style>
  <w:style w:type="paragraph" w:customStyle="1" w:styleId="ParaNum">
    <w:name w:val="ParaNum"/>
    <w:basedOn w:val="Normal"/>
    <w:link w:val="ParaNumChar"/>
    <w:rsid w:val="000F02EA"/>
    <w:pPr>
      <w:numPr>
        <w:numId w:val="1"/>
      </w:numPr>
      <w:tabs>
        <w:tab w:val="clear" w:pos="1080"/>
        <w:tab w:val="num" w:pos="1440"/>
      </w:tabs>
      <w:spacing w:after="120"/>
    </w:pPr>
  </w:style>
  <w:style w:type="paragraph" w:styleId="FootnoteText">
    <w:name w:val="footnote text"/>
    <w:aliases w:val="Footnote Text Char1,Footnote Text Char Char,rrfootnote Char Char,Footnote Text Char1 Char Char,Footnote Text Char Char Char Char,rrfootnote Char Char Char Char,rrfootnote Char1 Char Char,Footnote Text Char2 Char,Footnote Text Char2,f"/>
    <w:link w:val="FootnoteTextChar"/>
    <w:rsid w:val="000F02EA"/>
    <w:pPr>
      <w:spacing w:after="120"/>
    </w:pPr>
  </w:style>
  <w:style w:type="character" w:styleId="FootnoteReference">
    <w:name w:val="footnote reference"/>
    <w:aliases w:val="Style 4,Appel note de bas de p,Style 12,(NECG) Footnote Reference,Style 124,Style 13,o,fr,Style 3"/>
    <w:rsid w:val="000F02EA"/>
    <w:rPr>
      <w:rFonts w:ascii="Times New Roman" w:hAnsi="Times New Roman"/>
      <w:dstrike w:val="0"/>
      <w:color w:val="auto"/>
      <w:sz w:val="20"/>
      <w:vertAlign w:val="superscript"/>
    </w:rPr>
  </w:style>
  <w:style w:type="paragraph" w:styleId="Header">
    <w:name w:val="header"/>
    <w:basedOn w:val="Normal"/>
    <w:autoRedefine/>
    <w:rsid w:val="000F02EA"/>
    <w:pPr>
      <w:tabs>
        <w:tab w:val="center" w:pos="4680"/>
        <w:tab w:val="right" w:pos="9360"/>
      </w:tabs>
    </w:pPr>
    <w:rPr>
      <w:b/>
    </w:rPr>
  </w:style>
  <w:style w:type="paragraph" w:styleId="Footer">
    <w:name w:val="footer"/>
    <w:basedOn w:val="Normal"/>
    <w:rsid w:val="000F02EA"/>
    <w:pPr>
      <w:tabs>
        <w:tab w:val="center" w:pos="4320"/>
        <w:tab w:val="right" w:pos="8640"/>
      </w:tabs>
    </w:pPr>
  </w:style>
  <w:style w:type="paragraph" w:customStyle="1" w:styleId="Paranum0">
    <w:name w:val="Paranum"/>
    <w:rsid w:val="00165968"/>
    <w:pPr>
      <w:numPr>
        <w:numId w:val="3"/>
      </w:numPr>
      <w:tabs>
        <w:tab w:val="left" w:pos="1440"/>
      </w:tabs>
      <w:spacing w:after="240"/>
      <w:ind w:left="0" w:firstLine="720"/>
      <w:jc w:val="both"/>
    </w:pPr>
    <w:rPr>
      <w:sz w:val="22"/>
    </w:rPr>
  </w:style>
  <w:style w:type="character" w:customStyle="1" w:styleId="FootnoteTextChar">
    <w:name w:val="Footnote Text Char"/>
    <w:aliases w:val="Footnote Text Char1 Char,Footnote Text Char Char Char,rrfootnote Char Char Char,Footnote Text Char1 Char Char Char,Footnote Text Char Char Char Char Char,rrfootnote Char Char Char Char Char,rrfootnote Char1 Char Char Char,f Char"/>
    <w:link w:val="FootnoteText"/>
    <w:rsid w:val="00165968"/>
  </w:style>
  <w:style w:type="paragraph" w:styleId="TOAHeading">
    <w:name w:val="toa heading"/>
    <w:basedOn w:val="Normal"/>
    <w:next w:val="Normal"/>
    <w:semiHidden/>
    <w:rsid w:val="000F02EA"/>
    <w:pPr>
      <w:tabs>
        <w:tab w:val="right" w:pos="9360"/>
      </w:tabs>
      <w:suppressAutoHyphens/>
    </w:pPr>
  </w:style>
  <w:style w:type="paragraph" w:styleId="BalloonText">
    <w:name w:val="Balloon Text"/>
    <w:basedOn w:val="Normal"/>
    <w:link w:val="BalloonTextChar"/>
    <w:semiHidden/>
    <w:rsid w:val="008079A8"/>
    <w:rPr>
      <w:rFonts w:ascii="Tahoma" w:hAnsi="Tahoma"/>
      <w:sz w:val="16"/>
      <w:szCs w:val="16"/>
      <w:lang w:val="x-none" w:eastAsia="x-none"/>
    </w:rPr>
  </w:style>
  <w:style w:type="character" w:customStyle="1" w:styleId="ParaNumChar">
    <w:name w:val="ParaNum Char"/>
    <w:link w:val="ParaNum"/>
    <w:locked/>
    <w:rsid w:val="0054159A"/>
    <w:rPr>
      <w:snapToGrid w:val="0"/>
      <w:kern w:val="28"/>
      <w:sz w:val="22"/>
    </w:rPr>
  </w:style>
  <w:style w:type="character" w:styleId="Emphasis">
    <w:name w:val="Emphasis"/>
    <w:qFormat/>
    <w:rsid w:val="008772C5"/>
    <w:rPr>
      <w:i/>
      <w:iCs/>
    </w:rPr>
  </w:style>
  <w:style w:type="character" w:styleId="Hyperlink">
    <w:name w:val="Hyperlink"/>
    <w:rsid w:val="000F02EA"/>
    <w:rPr>
      <w:color w:val="0000FF"/>
      <w:u w:val="single"/>
    </w:rPr>
  </w:style>
  <w:style w:type="paragraph" w:styleId="EndnoteText">
    <w:name w:val="endnote text"/>
    <w:basedOn w:val="Normal"/>
    <w:link w:val="EndnoteTextChar"/>
    <w:semiHidden/>
    <w:rsid w:val="000F02EA"/>
    <w:rPr>
      <w:sz w:val="20"/>
    </w:rPr>
  </w:style>
  <w:style w:type="character" w:customStyle="1" w:styleId="EndnoteTextChar">
    <w:name w:val="Endnote Text Char"/>
    <w:link w:val="EndnoteText"/>
    <w:semiHidden/>
    <w:rsid w:val="0054159A"/>
    <w:rPr>
      <w:snapToGrid w:val="0"/>
      <w:kern w:val="28"/>
    </w:rPr>
  </w:style>
  <w:style w:type="character" w:styleId="EndnoteReference">
    <w:name w:val="endnote reference"/>
    <w:semiHidden/>
    <w:rsid w:val="000F02EA"/>
    <w:rPr>
      <w:vertAlign w:val="superscript"/>
    </w:rPr>
  </w:style>
  <w:style w:type="paragraph" w:styleId="TOC1">
    <w:name w:val="toc 1"/>
    <w:basedOn w:val="Normal"/>
    <w:next w:val="Normal"/>
    <w:semiHidden/>
    <w:rsid w:val="000F02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02EA"/>
    <w:pPr>
      <w:tabs>
        <w:tab w:val="left" w:pos="720"/>
        <w:tab w:val="right" w:leader="dot" w:pos="9360"/>
      </w:tabs>
      <w:suppressAutoHyphens/>
      <w:ind w:left="720" w:right="720" w:hanging="360"/>
    </w:pPr>
    <w:rPr>
      <w:noProof/>
    </w:rPr>
  </w:style>
  <w:style w:type="paragraph" w:styleId="TOC3">
    <w:name w:val="toc 3"/>
    <w:basedOn w:val="Normal"/>
    <w:next w:val="Normal"/>
    <w:semiHidden/>
    <w:rsid w:val="000F02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02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02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02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02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02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02EA"/>
    <w:pPr>
      <w:tabs>
        <w:tab w:val="left" w:pos="3240"/>
        <w:tab w:val="right" w:leader="dot" w:pos="9360"/>
      </w:tabs>
      <w:suppressAutoHyphens/>
      <w:ind w:left="3240" w:hanging="360"/>
    </w:pPr>
    <w:rPr>
      <w:noProof/>
    </w:rPr>
  </w:style>
  <w:style w:type="character" w:customStyle="1" w:styleId="EquationCaption">
    <w:name w:val="_Equation Caption"/>
    <w:rsid w:val="000F02EA"/>
  </w:style>
  <w:style w:type="character" w:styleId="PageNumber">
    <w:name w:val="page number"/>
    <w:basedOn w:val="DefaultParagraphFont"/>
    <w:rsid w:val="000F02EA"/>
  </w:style>
  <w:style w:type="paragraph" w:styleId="BlockText">
    <w:name w:val="Block Text"/>
    <w:basedOn w:val="Normal"/>
    <w:rsid w:val="000F02EA"/>
    <w:pPr>
      <w:spacing w:after="240"/>
      <w:ind w:left="1440" w:right="1440"/>
    </w:pPr>
  </w:style>
  <w:style w:type="paragraph" w:customStyle="1" w:styleId="Paratitle">
    <w:name w:val="Para title"/>
    <w:basedOn w:val="Normal"/>
    <w:rsid w:val="000F02EA"/>
    <w:pPr>
      <w:tabs>
        <w:tab w:val="center" w:pos="9270"/>
      </w:tabs>
      <w:spacing w:after="240"/>
    </w:pPr>
    <w:rPr>
      <w:spacing w:val="-2"/>
    </w:rPr>
  </w:style>
  <w:style w:type="paragraph" w:customStyle="1" w:styleId="Bullet">
    <w:name w:val="Bullet"/>
    <w:basedOn w:val="Normal"/>
    <w:rsid w:val="000F02EA"/>
    <w:pPr>
      <w:tabs>
        <w:tab w:val="left" w:pos="2160"/>
      </w:tabs>
      <w:spacing w:after="220"/>
      <w:ind w:left="2160" w:hanging="720"/>
    </w:pPr>
  </w:style>
  <w:style w:type="paragraph" w:customStyle="1" w:styleId="TableFormat">
    <w:name w:val="TableFormat"/>
    <w:basedOn w:val="Bullet"/>
    <w:rsid w:val="000F02EA"/>
    <w:pPr>
      <w:tabs>
        <w:tab w:val="clear" w:pos="2160"/>
        <w:tab w:val="left" w:pos="5040"/>
      </w:tabs>
      <w:ind w:left="5040" w:hanging="3600"/>
    </w:pPr>
  </w:style>
  <w:style w:type="paragraph" w:customStyle="1" w:styleId="TOCTitle">
    <w:name w:val="TOC Title"/>
    <w:basedOn w:val="Normal"/>
    <w:rsid w:val="000F02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02EA"/>
    <w:pPr>
      <w:jc w:val="center"/>
    </w:pPr>
    <w:rPr>
      <w:rFonts w:ascii="Times New Roman Bold" w:hAnsi="Times New Roman Bold"/>
      <w:b/>
      <w:bCs/>
      <w:caps/>
      <w:szCs w:val="22"/>
    </w:rPr>
  </w:style>
  <w:style w:type="character" w:customStyle="1" w:styleId="BalloonTextChar">
    <w:name w:val="Balloon Text Char"/>
    <w:link w:val="BalloonText"/>
    <w:semiHidden/>
    <w:rsid w:val="0054159A"/>
    <w:rPr>
      <w:rFonts w:ascii="Tahoma" w:hAnsi="Tahoma" w:cs="Tahoma"/>
      <w:snapToGrid w:val="0"/>
      <w:kern w:val="28"/>
      <w:sz w:val="16"/>
      <w:szCs w:val="16"/>
    </w:rPr>
  </w:style>
  <w:style w:type="character" w:styleId="CommentReference">
    <w:name w:val="annotation reference"/>
    <w:semiHidden/>
    <w:rsid w:val="00BC78D3"/>
    <w:rPr>
      <w:sz w:val="16"/>
      <w:szCs w:val="16"/>
    </w:rPr>
  </w:style>
  <w:style w:type="paragraph" w:styleId="CommentText">
    <w:name w:val="annotation text"/>
    <w:basedOn w:val="Normal"/>
    <w:semiHidden/>
    <w:rsid w:val="00BC78D3"/>
    <w:rPr>
      <w:sz w:val="20"/>
    </w:rPr>
  </w:style>
  <w:style w:type="paragraph" w:styleId="CommentSubject">
    <w:name w:val="annotation subject"/>
    <w:basedOn w:val="CommentText"/>
    <w:next w:val="CommentText"/>
    <w:semiHidden/>
    <w:rsid w:val="00BC78D3"/>
    <w:rPr>
      <w:b/>
      <w:bCs/>
    </w:rPr>
  </w:style>
  <w:style w:type="paragraph" w:styleId="Revision">
    <w:name w:val="Revision"/>
    <w:hidden/>
    <w:uiPriority w:val="99"/>
    <w:semiHidden/>
    <w:rsid w:val="00D022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1685</Words>
  <Characters>9423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2014-03-13T13:13:00Z</cp:lastPrinted>
  <dcterms:created xsi:type="dcterms:W3CDTF">2014-03-13T18:09:00Z</dcterms:created>
  <dcterms:modified xsi:type="dcterms:W3CDTF">2014-03-13T18:09:00Z</dcterms:modified>
  <cp:category> </cp:category>
  <cp:contentStatus> </cp:contentStatus>
</cp:coreProperties>
</file>