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7D" w:rsidRDefault="00AC6E7D">
      <w:pPr>
        <w:jc w:val="center"/>
        <w:rPr>
          <w:b/>
        </w:rPr>
      </w:pPr>
      <w:bookmarkStart w:id="0" w:name="_GoBack"/>
      <w:bookmarkEnd w:id="0"/>
      <w:r>
        <w:rPr>
          <w:b/>
        </w:rPr>
        <w:t>Before the</w:t>
      </w:r>
    </w:p>
    <w:p w:rsidR="00AC6E7D" w:rsidRDefault="00AC6E7D">
      <w:pPr>
        <w:jc w:val="center"/>
        <w:rPr>
          <w:b/>
        </w:rPr>
      </w:pPr>
      <w:r>
        <w:rPr>
          <w:b/>
        </w:rPr>
        <w:t>Federal Communications Commission</w:t>
      </w:r>
    </w:p>
    <w:p w:rsidR="00AC6E7D" w:rsidRDefault="00AC6E7D">
      <w:pPr>
        <w:jc w:val="center"/>
        <w:rPr>
          <w:b/>
        </w:rPr>
      </w:pPr>
      <w:r>
        <w:rPr>
          <w:b/>
        </w:rPr>
        <w:t>Washington, D.C. 20554</w:t>
      </w:r>
    </w:p>
    <w:p w:rsidR="00AC6E7D" w:rsidRDefault="00AC6E7D">
      <w:pPr>
        <w:rPr>
          <w:rStyle w:val="EquationCaption"/>
        </w:rPr>
      </w:pPr>
    </w:p>
    <w:p w:rsidR="00AC6E7D" w:rsidRDefault="00AC6E7D">
      <w:pPr>
        <w:rPr>
          <w:rStyle w:val="EquationCaption"/>
        </w:rPr>
      </w:pPr>
    </w:p>
    <w:tbl>
      <w:tblPr>
        <w:tblW w:w="0" w:type="auto"/>
        <w:tblLayout w:type="fixed"/>
        <w:tblLook w:val="0000" w:firstRow="0" w:lastRow="0" w:firstColumn="0" w:lastColumn="0" w:noHBand="0" w:noVBand="0"/>
      </w:tblPr>
      <w:tblGrid>
        <w:gridCol w:w="4698"/>
        <w:gridCol w:w="630"/>
        <w:gridCol w:w="4248"/>
      </w:tblGrid>
      <w:tr w:rsidR="00AC6E7D">
        <w:tc>
          <w:tcPr>
            <w:tcW w:w="4698" w:type="dxa"/>
          </w:tcPr>
          <w:p w:rsidR="00AC6E7D" w:rsidRDefault="00AC6E7D">
            <w:pPr>
              <w:tabs>
                <w:tab w:val="center" w:pos="4680"/>
              </w:tabs>
              <w:suppressAutoHyphens/>
              <w:rPr>
                <w:spacing w:val="-2"/>
              </w:rPr>
            </w:pPr>
            <w:r>
              <w:rPr>
                <w:spacing w:val="-2"/>
              </w:rPr>
              <w:t>In the Matter of</w:t>
            </w:r>
          </w:p>
          <w:p w:rsidR="00C567FC" w:rsidRDefault="00C567FC">
            <w:pPr>
              <w:tabs>
                <w:tab w:val="center" w:pos="4680"/>
              </w:tabs>
              <w:suppressAutoHyphens/>
              <w:rPr>
                <w:spacing w:val="-2"/>
              </w:rPr>
            </w:pPr>
          </w:p>
          <w:p w:rsidR="00C567FC" w:rsidRDefault="00C567FC">
            <w:pPr>
              <w:tabs>
                <w:tab w:val="center" w:pos="4680"/>
              </w:tabs>
              <w:suppressAutoHyphens/>
              <w:rPr>
                <w:spacing w:val="-2"/>
              </w:rPr>
            </w:pPr>
            <w:r>
              <w:rPr>
                <w:spacing w:val="-2"/>
              </w:rPr>
              <w:t>Comcast Cable Communications, LLC</w:t>
            </w:r>
          </w:p>
          <w:p w:rsidR="00C567FC" w:rsidRDefault="00C567FC">
            <w:pPr>
              <w:tabs>
                <w:tab w:val="center" w:pos="4680"/>
              </w:tabs>
              <w:suppressAutoHyphens/>
              <w:rPr>
                <w:spacing w:val="-2"/>
              </w:rPr>
            </w:pPr>
          </w:p>
          <w:p w:rsidR="00C567FC" w:rsidRDefault="00C567FC">
            <w:pPr>
              <w:tabs>
                <w:tab w:val="center" w:pos="4680"/>
              </w:tabs>
              <w:suppressAutoHyphens/>
              <w:rPr>
                <w:spacing w:val="-2"/>
              </w:rPr>
            </w:pPr>
            <w:r>
              <w:rPr>
                <w:spacing w:val="-2"/>
              </w:rPr>
              <w:t>Orders Setting Basic Equipment Rates</w:t>
            </w:r>
          </w:p>
          <w:p w:rsidR="00C567FC" w:rsidRDefault="00C567FC">
            <w:pPr>
              <w:tabs>
                <w:tab w:val="center" w:pos="4680"/>
              </w:tabs>
              <w:suppressAutoHyphens/>
              <w:rPr>
                <w:spacing w:val="-2"/>
              </w:rPr>
            </w:pPr>
          </w:p>
          <w:p w:rsidR="00906D55" w:rsidRDefault="00906D55">
            <w:pPr>
              <w:tabs>
                <w:tab w:val="center" w:pos="4680"/>
              </w:tabs>
              <w:suppressAutoHyphens/>
              <w:rPr>
                <w:spacing w:val="-2"/>
              </w:rPr>
            </w:pPr>
            <w:r>
              <w:rPr>
                <w:spacing w:val="-2"/>
              </w:rPr>
              <w:t>Appeal of Local Rate Orders and</w:t>
            </w:r>
          </w:p>
          <w:p w:rsidR="00906D55" w:rsidRDefault="00906D55">
            <w:pPr>
              <w:tabs>
                <w:tab w:val="center" w:pos="4680"/>
              </w:tabs>
              <w:suppressAutoHyphens/>
              <w:rPr>
                <w:spacing w:val="-2"/>
              </w:rPr>
            </w:pPr>
          </w:p>
          <w:p w:rsidR="00C567FC" w:rsidRDefault="00C567FC">
            <w:pPr>
              <w:tabs>
                <w:tab w:val="center" w:pos="4680"/>
              </w:tabs>
              <w:suppressAutoHyphens/>
              <w:rPr>
                <w:spacing w:val="-2"/>
              </w:rPr>
            </w:pPr>
            <w:r>
              <w:rPr>
                <w:spacing w:val="-2"/>
              </w:rPr>
              <w:t>Petition for Emergency Stay</w:t>
            </w:r>
          </w:p>
          <w:p w:rsidR="00AC6E7D" w:rsidRDefault="00AC6E7D">
            <w:pPr>
              <w:tabs>
                <w:tab w:val="center" w:pos="4680"/>
              </w:tabs>
              <w:suppressAutoHyphens/>
              <w:rPr>
                <w:spacing w:val="-2"/>
              </w:rPr>
            </w:pPr>
          </w:p>
          <w:p w:rsidR="00AC6E7D" w:rsidRDefault="00AC6E7D"/>
        </w:tc>
        <w:tc>
          <w:tcPr>
            <w:tcW w:w="630" w:type="dxa"/>
          </w:tcPr>
          <w:p w:rsidR="00AC6E7D" w:rsidRDefault="00AC6E7D">
            <w:pPr>
              <w:tabs>
                <w:tab w:val="center" w:pos="4680"/>
              </w:tabs>
              <w:suppressAutoHyphens/>
              <w:rPr>
                <w:b/>
                <w:spacing w:val="-2"/>
              </w:rPr>
            </w:pPr>
            <w:r>
              <w:rPr>
                <w:b/>
                <w:spacing w:val="-2"/>
              </w:rPr>
              <w:t>)</w:t>
            </w:r>
          </w:p>
          <w:p w:rsidR="00AC6E7D" w:rsidRDefault="00AC6E7D">
            <w:pPr>
              <w:tabs>
                <w:tab w:val="center" w:pos="4680"/>
              </w:tabs>
              <w:suppressAutoHyphens/>
              <w:rPr>
                <w:b/>
                <w:spacing w:val="-2"/>
              </w:rPr>
            </w:pPr>
            <w:r>
              <w:rPr>
                <w:b/>
                <w:spacing w:val="-2"/>
              </w:rPr>
              <w:t>)</w:t>
            </w:r>
          </w:p>
          <w:p w:rsidR="00AC6E7D" w:rsidRDefault="00AC6E7D">
            <w:pPr>
              <w:tabs>
                <w:tab w:val="center" w:pos="4680"/>
              </w:tabs>
              <w:suppressAutoHyphens/>
              <w:rPr>
                <w:b/>
                <w:spacing w:val="-2"/>
              </w:rPr>
            </w:pPr>
            <w:r>
              <w:rPr>
                <w:b/>
                <w:spacing w:val="-2"/>
              </w:rPr>
              <w:t>)</w:t>
            </w:r>
          </w:p>
          <w:p w:rsidR="00AC6E7D" w:rsidRDefault="00AC6E7D">
            <w:pPr>
              <w:tabs>
                <w:tab w:val="center" w:pos="4680"/>
              </w:tabs>
              <w:suppressAutoHyphens/>
              <w:rPr>
                <w:b/>
                <w:spacing w:val="-2"/>
              </w:rPr>
            </w:pPr>
            <w:r>
              <w:rPr>
                <w:b/>
                <w:spacing w:val="-2"/>
              </w:rPr>
              <w:t>)</w:t>
            </w:r>
          </w:p>
          <w:p w:rsidR="00AC6E7D" w:rsidRDefault="00AC6E7D">
            <w:pPr>
              <w:tabs>
                <w:tab w:val="center" w:pos="4680"/>
              </w:tabs>
              <w:suppressAutoHyphens/>
              <w:rPr>
                <w:b/>
                <w:spacing w:val="-2"/>
              </w:rPr>
            </w:pPr>
            <w:r>
              <w:rPr>
                <w:b/>
                <w:spacing w:val="-2"/>
              </w:rPr>
              <w:t>)</w:t>
            </w:r>
          </w:p>
          <w:p w:rsidR="00AC6E7D" w:rsidRDefault="00AC6E7D">
            <w:pPr>
              <w:tabs>
                <w:tab w:val="center" w:pos="4680"/>
              </w:tabs>
              <w:suppressAutoHyphens/>
              <w:rPr>
                <w:b/>
                <w:spacing w:val="-2"/>
              </w:rPr>
            </w:pPr>
            <w:r>
              <w:rPr>
                <w:b/>
                <w:spacing w:val="-2"/>
              </w:rPr>
              <w:t>)</w:t>
            </w:r>
          </w:p>
          <w:p w:rsidR="00AC6E7D" w:rsidRDefault="00AC6E7D">
            <w:pPr>
              <w:tabs>
                <w:tab w:val="center" w:pos="4680"/>
              </w:tabs>
              <w:suppressAutoHyphens/>
              <w:rPr>
                <w:b/>
                <w:spacing w:val="-2"/>
              </w:rPr>
            </w:pPr>
            <w:r>
              <w:rPr>
                <w:b/>
                <w:spacing w:val="-2"/>
              </w:rPr>
              <w:t>)</w:t>
            </w:r>
          </w:p>
          <w:p w:rsidR="00AC6E7D" w:rsidRDefault="00AC6E7D">
            <w:pPr>
              <w:tabs>
                <w:tab w:val="center" w:pos="4680"/>
              </w:tabs>
              <w:suppressAutoHyphens/>
              <w:rPr>
                <w:b/>
                <w:spacing w:val="-2"/>
              </w:rPr>
            </w:pPr>
            <w:r>
              <w:rPr>
                <w:b/>
                <w:spacing w:val="-2"/>
              </w:rPr>
              <w:t>)</w:t>
            </w:r>
          </w:p>
          <w:p w:rsidR="00AC6E7D" w:rsidRDefault="00AC6E7D">
            <w:pPr>
              <w:tabs>
                <w:tab w:val="center" w:pos="4680"/>
              </w:tabs>
              <w:suppressAutoHyphens/>
              <w:rPr>
                <w:spacing w:val="-2"/>
              </w:rPr>
            </w:pPr>
            <w:r>
              <w:rPr>
                <w:b/>
                <w:spacing w:val="-2"/>
              </w:rPr>
              <w:t>)</w:t>
            </w:r>
          </w:p>
        </w:tc>
        <w:tc>
          <w:tcPr>
            <w:tcW w:w="4248" w:type="dxa"/>
          </w:tcPr>
          <w:p w:rsidR="00AC6E7D" w:rsidRDefault="00C146C4">
            <w:pPr>
              <w:tabs>
                <w:tab w:val="center" w:pos="4680"/>
              </w:tabs>
              <w:suppressAutoHyphens/>
              <w:rPr>
                <w:spacing w:val="-2"/>
              </w:rPr>
            </w:pPr>
            <w:r w:rsidRPr="00C146C4">
              <w:rPr>
                <w:spacing w:val="-2"/>
              </w:rPr>
              <w:t>File No. CSB-0749</w:t>
            </w:r>
            <w:r w:rsidR="00D52E5F">
              <w:rPr>
                <w:spacing w:val="-2"/>
              </w:rPr>
              <w:t>-A</w:t>
            </w:r>
          </w:p>
          <w:p w:rsidR="00AC6E7D" w:rsidRDefault="00C146C4" w:rsidP="00C146C4">
            <w:pPr>
              <w:tabs>
                <w:tab w:val="center" w:pos="4680"/>
              </w:tabs>
              <w:suppressAutoHyphens/>
              <w:jc w:val="left"/>
              <w:rPr>
                <w:spacing w:val="-2"/>
              </w:rPr>
            </w:pPr>
            <w:r>
              <w:rPr>
                <w:spacing w:val="-2"/>
              </w:rPr>
              <w:t>North Metro Telecommunications Commission;</w:t>
            </w:r>
          </w:p>
          <w:p w:rsidR="00AC6E7D" w:rsidRDefault="00C146C4" w:rsidP="00C146C4">
            <w:pPr>
              <w:tabs>
                <w:tab w:val="center" w:pos="4680"/>
              </w:tabs>
              <w:suppressAutoHyphens/>
              <w:jc w:val="left"/>
              <w:rPr>
                <w:spacing w:val="-2"/>
              </w:rPr>
            </w:pPr>
            <w:r>
              <w:rPr>
                <w:spacing w:val="-2"/>
              </w:rPr>
              <w:t>North Suburban Communications Commission;</w:t>
            </w:r>
          </w:p>
          <w:p w:rsidR="00C146C4" w:rsidRDefault="00C146C4" w:rsidP="00C146C4">
            <w:pPr>
              <w:tabs>
                <w:tab w:val="center" w:pos="4680"/>
              </w:tabs>
              <w:suppressAutoHyphens/>
              <w:jc w:val="left"/>
              <w:rPr>
                <w:spacing w:val="-2"/>
              </w:rPr>
            </w:pPr>
            <w:r>
              <w:rPr>
                <w:spacing w:val="-2"/>
              </w:rPr>
              <w:t>Ramsey/Washington Counties Suburban Cable Commission;</w:t>
            </w:r>
          </w:p>
          <w:p w:rsidR="00C146C4" w:rsidRDefault="00C146C4" w:rsidP="00C146C4">
            <w:pPr>
              <w:tabs>
                <w:tab w:val="center" w:pos="4680"/>
              </w:tabs>
              <w:suppressAutoHyphens/>
              <w:jc w:val="left"/>
              <w:rPr>
                <w:spacing w:val="-2"/>
              </w:rPr>
            </w:pPr>
            <w:r>
              <w:rPr>
                <w:spacing w:val="-2"/>
              </w:rPr>
              <w:t>South Washington County Telecommunications Commission</w:t>
            </w:r>
          </w:p>
          <w:p w:rsidR="00C146C4" w:rsidRDefault="00C146C4" w:rsidP="00C146C4">
            <w:pPr>
              <w:tabs>
                <w:tab w:val="center" w:pos="4680"/>
              </w:tabs>
              <w:suppressAutoHyphens/>
              <w:jc w:val="left"/>
              <w:rPr>
                <w:spacing w:val="-2"/>
              </w:rPr>
            </w:pPr>
          </w:p>
        </w:tc>
      </w:tr>
    </w:tbl>
    <w:p w:rsidR="00AC6E7D" w:rsidRDefault="00AC6E7D">
      <w:pPr>
        <w:tabs>
          <w:tab w:val="left" w:pos="-720"/>
        </w:tabs>
        <w:suppressAutoHyphens/>
        <w:spacing w:line="227" w:lineRule="auto"/>
        <w:rPr>
          <w:spacing w:val="-2"/>
        </w:rPr>
      </w:pPr>
    </w:p>
    <w:p w:rsidR="00AC6E7D" w:rsidRDefault="00AC6E7D">
      <w:pPr>
        <w:tabs>
          <w:tab w:val="left" w:pos="-720"/>
        </w:tabs>
        <w:suppressAutoHyphens/>
        <w:spacing w:line="227" w:lineRule="auto"/>
        <w:rPr>
          <w:spacing w:val="-2"/>
        </w:rPr>
      </w:pPr>
    </w:p>
    <w:p w:rsidR="00AC6E7D" w:rsidRDefault="009D5914">
      <w:pPr>
        <w:pStyle w:val="Title"/>
      </w:pPr>
      <w:r>
        <w:fldChar w:fldCharType="begin"/>
      </w:r>
      <w:r w:rsidR="00AC6E7D">
        <w:instrText xml:space="preserve"> AUTOTEXTLIST  \* MERGEFORMAT </w:instrText>
      </w:r>
      <w:r>
        <w:fldChar w:fldCharType="separate"/>
      </w:r>
      <w:r w:rsidR="00C567FC">
        <w:t>ORDER</w:t>
      </w:r>
      <w:r>
        <w:fldChar w:fldCharType="end"/>
      </w:r>
    </w:p>
    <w:p w:rsidR="00AC6E7D" w:rsidRDefault="00AC6E7D"/>
    <w:p w:rsidR="00AC6E7D" w:rsidRDefault="00AC6E7D">
      <w:pPr>
        <w:rPr>
          <w:b/>
          <w:spacing w:val="-2"/>
        </w:rPr>
      </w:pPr>
      <w:r>
        <w:rPr>
          <w:b/>
          <w:spacing w:val="-2"/>
        </w:rPr>
        <w:t xml:space="preserve">     Adopted:  </w:t>
      </w:r>
      <w:r w:rsidR="0051094F">
        <w:rPr>
          <w:b/>
          <w:spacing w:val="-2"/>
        </w:rPr>
        <w:t xml:space="preserve">March </w:t>
      </w:r>
      <w:r w:rsidR="007E22BC">
        <w:rPr>
          <w:b/>
          <w:spacing w:val="-2"/>
        </w:rPr>
        <w:t>18</w:t>
      </w:r>
      <w:r w:rsidR="0024141B">
        <w:rPr>
          <w:b/>
          <w:spacing w:val="-2"/>
        </w:rPr>
        <w:t>, 20</w:t>
      </w:r>
      <w:r w:rsidR="00C146C4">
        <w:rPr>
          <w:b/>
          <w:spacing w:val="-2"/>
        </w:rPr>
        <w:t>1</w:t>
      </w:r>
      <w:r w:rsidR="0051094F">
        <w:rPr>
          <w:b/>
          <w:spacing w:val="-2"/>
        </w:rPr>
        <w:t>4</w:t>
      </w:r>
      <w:r w:rsidR="0024141B">
        <w:rPr>
          <w:b/>
          <w:spacing w:val="-2"/>
        </w:rPr>
        <w:tab/>
      </w:r>
      <w:r w:rsidR="0024141B">
        <w:rPr>
          <w:b/>
          <w:spacing w:val="-2"/>
        </w:rPr>
        <w:tab/>
      </w:r>
      <w:r>
        <w:rPr>
          <w:spacing w:val="-2"/>
        </w:rPr>
        <w:tab/>
      </w:r>
      <w:r>
        <w:rPr>
          <w:spacing w:val="-2"/>
        </w:rPr>
        <w:tab/>
      </w:r>
      <w:r>
        <w:rPr>
          <w:spacing w:val="-2"/>
        </w:rPr>
        <w:tab/>
      </w:r>
      <w:r>
        <w:rPr>
          <w:b/>
          <w:spacing w:val="-2"/>
        </w:rPr>
        <w:t xml:space="preserve">Released:  </w:t>
      </w:r>
      <w:r w:rsidR="0051094F">
        <w:rPr>
          <w:b/>
          <w:spacing w:val="-2"/>
        </w:rPr>
        <w:t>March</w:t>
      </w:r>
      <w:r w:rsidR="00174786">
        <w:rPr>
          <w:b/>
          <w:spacing w:val="-2"/>
        </w:rPr>
        <w:t xml:space="preserve"> </w:t>
      </w:r>
      <w:r w:rsidR="00384D4D">
        <w:rPr>
          <w:b/>
          <w:spacing w:val="-2"/>
        </w:rPr>
        <w:t>19</w:t>
      </w:r>
      <w:r w:rsidR="0024141B">
        <w:rPr>
          <w:b/>
          <w:spacing w:val="-2"/>
        </w:rPr>
        <w:t>, 20</w:t>
      </w:r>
      <w:r w:rsidR="00C146C4">
        <w:rPr>
          <w:b/>
          <w:spacing w:val="-2"/>
        </w:rPr>
        <w:t>1</w:t>
      </w:r>
      <w:r w:rsidR="0051094F">
        <w:rPr>
          <w:b/>
          <w:spacing w:val="-2"/>
        </w:rPr>
        <w:t>4</w:t>
      </w:r>
    </w:p>
    <w:p w:rsidR="00AC6E7D" w:rsidRDefault="00AC6E7D"/>
    <w:p w:rsidR="00FF09E3" w:rsidRDefault="00FF09E3"/>
    <w:p w:rsidR="00AC6E7D" w:rsidRDefault="00AC6E7D">
      <w:pPr>
        <w:rPr>
          <w:spacing w:val="-2"/>
        </w:rPr>
      </w:pPr>
      <w:r>
        <w:t xml:space="preserve">By the </w:t>
      </w:r>
      <w:r w:rsidR="00650E40">
        <w:t>Deputy Chief</w:t>
      </w:r>
      <w:r w:rsidR="00174786">
        <w:t xml:space="preserve">, </w:t>
      </w:r>
      <w:r w:rsidR="005509CE">
        <w:t xml:space="preserve">Policy Division, </w:t>
      </w:r>
      <w:r w:rsidR="00301370">
        <w:rPr>
          <w:spacing w:val="-2"/>
        </w:rPr>
        <w:t>Media Bureau</w:t>
      </w:r>
      <w:r>
        <w:rPr>
          <w:spacing w:val="-2"/>
        </w:rPr>
        <w:t>:</w:t>
      </w:r>
    </w:p>
    <w:p w:rsidR="00AC6E7D" w:rsidRDefault="00AC6E7D" w:rsidP="009F725E">
      <w:pPr>
        <w:pStyle w:val="Heading1"/>
        <w:numPr>
          <w:ilvl w:val="0"/>
          <w:numId w:val="0"/>
        </w:numPr>
      </w:pPr>
    </w:p>
    <w:p w:rsidR="008C0486" w:rsidRDefault="008C0486" w:rsidP="00D81A39">
      <w:pPr>
        <w:pStyle w:val="Heading1"/>
        <w:jc w:val="left"/>
      </w:pPr>
      <w:r>
        <w:t>INTRODUCTION</w:t>
      </w:r>
    </w:p>
    <w:p w:rsidR="00C567FC" w:rsidRDefault="006A16E3" w:rsidP="00D664BE">
      <w:pPr>
        <w:pStyle w:val="ParaNum"/>
        <w:jc w:val="left"/>
      </w:pPr>
      <w:r>
        <w:t>We d</w:t>
      </w:r>
      <w:r w:rsidR="00D664BE">
        <w:t>ismiss</w:t>
      </w:r>
      <w:r>
        <w:t xml:space="preserve"> </w:t>
      </w:r>
      <w:r w:rsidR="00D664BE">
        <w:t>Comcast’s</w:t>
      </w:r>
      <w:r>
        <w:t xml:space="preserve"> </w:t>
      </w:r>
      <w:r w:rsidR="00F024E3">
        <w:t>a</w:t>
      </w:r>
      <w:r>
        <w:t>ppeal</w:t>
      </w:r>
      <w:r w:rsidR="00F024E3">
        <w:t xml:space="preserve"> of several local cable rate orders</w:t>
      </w:r>
      <w:r w:rsidR="00D664BE">
        <w:t xml:space="preserve"> with respect to </w:t>
      </w:r>
      <w:r w:rsidR="00B320F9">
        <w:t>pay-by</w:t>
      </w:r>
      <w:r w:rsidR="00804928">
        <w:t>-</w:t>
      </w:r>
      <w:r w:rsidR="00B320F9">
        <w:t xml:space="preserve">phone convenience </w:t>
      </w:r>
      <w:r w:rsidR="00650E40" w:rsidRPr="00650E40">
        <w:t xml:space="preserve">fees, </w:t>
      </w:r>
      <w:r w:rsidR="00B320F9">
        <w:t xml:space="preserve">grant the </w:t>
      </w:r>
      <w:r w:rsidR="00F024E3">
        <w:t>a</w:t>
      </w:r>
      <w:r w:rsidR="00B320F9">
        <w:t>ppeal with regard to charging different</w:t>
      </w:r>
      <w:r w:rsidR="00B320F9" w:rsidRPr="00650E40">
        <w:t xml:space="preserve"> </w:t>
      </w:r>
      <w:r w:rsidR="00F024E3">
        <w:t xml:space="preserve">rates for </w:t>
      </w:r>
      <w:r w:rsidR="00912828">
        <w:t xml:space="preserve">different models of </w:t>
      </w:r>
      <w:r w:rsidR="00650E40" w:rsidRPr="00650E40">
        <w:t>converter</w:t>
      </w:r>
      <w:r w:rsidR="00F024E3">
        <w:t xml:space="preserve"> boxes</w:t>
      </w:r>
      <w:r w:rsidR="00B320F9">
        <w:t xml:space="preserve"> when equipment costs have been aggregated to calculate a single maximum rate</w:t>
      </w:r>
      <w:r>
        <w:t>,</w:t>
      </w:r>
      <w:r w:rsidR="00650E40" w:rsidRPr="00650E40">
        <w:t xml:space="preserve"> and </w:t>
      </w:r>
      <w:r w:rsidR="00B320F9">
        <w:t xml:space="preserve">deny the </w:t>
      </w:r>
      <w:r w:rsidR="00F024E3">
        <w:t>a</w:t>
      </w:r>
      <w:r w:rsidR="00B320F9">
        <w:t xml:space="preserve">ppeal with respect to the </w:t>
      </w:r>
      <w:r w:rsidR="00650E40" w:rsidRPr="00650E40">
        <w:t xml:space="preserve">unbundling </w:t>
      </w:r>
      <w:r w:rsidR="00B320F9">
        <w:t xml:space="preserve">of equipment and service rates.  </w:t>
      </w:r>
      <w:r w:rsidR="00C567FC">
        <w:t xml:space="preserve">On </w:t>
      </w:r>
      <w:r w:rsidR="00C146C4">
        <w:t>May 14, 2013</w:t>
      </w:r>
      <w:r w:rsidR="00C567FC">
        <w:t>, Comcast Cable Communications, LLC ("Comcast") filed a</w:t>
      </w:r>
      <w:r w:rsidR="00DB66D0">
        <w:t xml:space="preserve"> consolidated</w:t>
      </w:r>
      <w:r w:rsidR="00C146C4">
        <w:t xml:space="preserve"> </w:t>
      </w:r>
      <w:r w:rsidR="001D5165">
        <w:t>a</w:t>
      </w:r>
      <w:r w:rsidR="002B5195" w:rsidRPr="002B5195">
        <w:t xml:space="preserve">ppeal of </w:t>
      </w:r>
      <w:r w:rsidR="001D5165">
        <w:t>l</w:t>
      </w:r>
      <w:r w:rsidR="002B5195" w:rsidRPr="002B5195">
        <w:t xml:space="preserve">ocal </w:t>
      </w:r>
      <w:r w:rsidR="00304880">
        <w:t xml:space="preserve">cable </w:t>
      </w:r>
      <w:r w:rsidR="001D5165">
        <w:t>r</w:t>
      </w:r>
      <w:r w:rsidR="002B5195" w:rsidRPr="002B5195">
        <w:t xml:space="preserve">ate </w:t>
      </w:r>
      <w:r w:rsidR="001D5165">
        <w:t>o</w:t>
      </w:r>
      <w:r w:rsidR="002B5195" w:rsidRPr="002B5195">
        <w:t xml:space="preserve">rders </w:t>
      </w:r>
      <w:r w:rsidR="00C146C4">
        <w:t>issued by four local franchising authorities</w:t>
      </w:r>
      <w:r w:rsidR="008F318B">
        <w:t xml:space="preserve"> in Minnesota</w:t>
      </w:r>
      <w:r w:rsidR="00C146C4">
        <w:t xml:space="preserve"> (“LFAs”)</w:t>
      </w:r>
      <w:r w:rsidR="002B5195">
        <w:t>.  These LFAs are</w:t>
      </w:r>
      <w:r w:rsidR="00C146C4">
        <w:t xml:space="preserve"> North Metro Telecommunications Commission</w:t>
      </w:r>
      <w:r w:rsidR="00173735">
        <w:t xml:space="preserve"> (“NMTC”)</w:t>
      </w:r>
      <w:r w:rsidR="002B5195">
        <w:t>,</w:t>
      </w:r>
      <w:r w:rsidR="00A54676">
        <w:t xml:space="preserve"> N</w:t>
      </w:r>
      <w:r w:rsidR="00C146C4">
        <w:t>orth Suburban Communications Commission</w:t>
      </w:r>
      <w:r w:rsidR="00173735">
        <w:t xml:space="preserve"> (“NSCC”)</w:t>
      </w:r>
      <w:r w:rsidR="002B5195">
        <w:t>,</w:t>
      </w:r>
      <w:r w:rsidR="00A54676">
        <w:t xml:space="preserve"> </w:t>
      </w:r>
      <w:r w:rsidR="00C146C4">
        <w:t>Ramsey/Washington Counties Suburban Cable Commission</w:t>
      </w:r>
      <w:r w:rsidR="00173735">
        <w:t xml:space="preserve"> (“RWCSCC”)</w:t>
      </w:r>
      <w:r w:rsidR="007545E1">
        <w:t>,</w:t>
      </w:r>
      <w:r w:rsidR="00A54676">
        <w:t xml:space="preserve"> and </w:t>
      </w:r>
      <w:r w:rsidR="00C146C4">
        <w:t>South Washington County Telecommunications Commission</w:t>
      </w:r>
      <w:r w:rsidR="00173735">
        <w:t xml:space="preserve"> (“SWCTC”)</w:t>
      </w:r>
      <w:r w:rsidR="00A54676">
        <w:t>.</w:t>
      </w:r>
      <w:r w:rsidR="003B415B">
        <w:rPr>
          <w:rStyle w:val="FootnoteReference"/>
        </w:rPr>
        <w:footnoteReference w:id="2"/>
      </w:r>
      <w:r w:rsidR="00A54676">
        <w:t xml:space="preserve"> </w:t>
      </w:r>
      <w:r w:rsidR="00906D55">
        <w:t xml:space="preserve"> </w:t>
      </w:r>
      <w:r w:rsidR="00906D55" w:rsidRPr="00906D55">
        <w:t xml:space="preserve">Subsequently, Comcast filed a second </w:t>
      </w:r>
      <w:r w:rsidR="001D5165">
        <w:t>a</w:t>
      </w:r>
      <w:r w:rsidR="00906D55" w:rsidRPr="00906D55">
        <w:t xml:space="preserve">ppeal with regard to a fifth </w:t>
      </w:r>
      <w:r w:rsidR="001D5165">
        <w:t>l</w:t>
      </w:r>
      <w:r w:rsidR="00906D55" w:rsidRPr="00906D55">
        <w:t xml:space="preserve">ocal </w:t>
      </w:r>
      <w:r w:rsidR="007545E1">
        <w:t xml:space="preserve">cable rate </w:t>
      </w:r>
      <w:r w:rsidR="001D5165">
        <w:t>o</w:t>
      </w:r>
      <w:r w:rsidR="00906D55" w:rsidRPr="00906D55">
        <w:t>rder</w:t>
      </w:r>
      <w:r w:rsidR="004B3A9C">
        <w:t xml:space="preserve">, </w:t>
      </w:r>
      <w:r w:rsidR="006F47E5">
        <w:t>also i</w:t>
      </w:r>
      <w:r w:rsidR="00906D55" w:rsidRPr="00906D55">
        <w:t>ssued by NSCC.</w:t>
      </w:r>
      <w:r w:rsidR="00DB66D0">
        <w:rPr>
          <w:rStyle w:val="FootnoteReference"/>
        </w:rPr>
        <w:footnoteReference w:id="3"/>
      </w:r>
      <w:r w:rsidR="00906D55" w:rsidRPr="00906D55">
        <w:t xml:space="preserve">  </w:t>
      </w:r>
      <w:r w:rsidR="004B3A9C">
        <w:t xml:space="preserve"> </w:t>
      </w:r>
      <w:r w:rsidR="004B3A9C" w:rsidRPr="004B3A9C">
        <w:t>The</w:t>
      </w:r>
      <w:r w:rsidR="001D5165">
        <w:t xml:space="preserve"> appeals were consolidated (“Consolidated Appeal”)</w:t>
      </w:r>
      <w:r w:rsidR="00304880">
        <w:t xml:space="preserve"> procedurally at the request of the parties</w:t>
      </w:r>
      <w:r w:rsidR="00BB6908">
        <w:t>.</w:t>
      </w:r>
      <w:r w:rsidR="00BB6908">
        <w:rPr>
          <w:rStyle w:val="FootnoteReference"/>
        </w:rPr>
        <w:footnoteReference w:id="4"/>
      </w:r>
      <w:r w:rsidR="001D5165">
        <w:t xml:space="preserve">  The</w:t>
      </w:r>
      <w:r w:rsidR="004B3A9C" w:rsidRPr="004B3A9C">
        <w:t xml:space="preserve"> </w:t>
      </w:r>
      <w:r w:rsidR="00A46AED">
        <w:t>l</w:t>
      </w:r>
      <w:r w:rsidR="004B3A9C" w:rsidRPr="004B3A9C">
        <w:t xml:space="preserve">ocal </w:t>
      </w:r>
      <w:r w:rsidR="00A46AED">
        <w:t>rate or</w:t>
      </w:r>
      <w:r w:rsidR="004B3A9C" w:rsidRPr="004B3A9C">
        <w:t xml:space="preserve">ders </w:t>
      </w:r>
      <w:r w:rsidR="00A46AED">
        <w:t xml:space="preserve">(together, the “Local Orders”) </w:t>
      </w:r>
      <w:r w:rsidR="004B3A9C" w:rsidRPr="004B3A9C">
        <w:t>affect several communities in Minnesota</w:t>
      </w:r>
      <w:r w:rsidR="004B3A9C">
        <w:t xml:space="preserve"> and a</w:t>
      </w:r>
      <w:r w:rsidR="004B3A9C" w:rsidRPr="004B3A9C">
        <w:t xml:space="preserve">re the result of the LFAs’ review of Comcast’s 2012 </w:t>
      </w:r>
      <w:r w:rsidR="00A46AED">
        <w:t>and</w:t>
      </w:r>
      <w:r w:rsidR="004B3A9C" w:rsidRPr="004B3A9C">
        <w:t xml:space="preserve"> 2013 FCC Form 1205</w:t>
      </w:r>
      <w:r w:rsidR="00A46AED">
        <w:t>s</w:t>
      </w:r>
      <w:r w:rsidR="004B3A9C" w:rsidRPr="004B3A9C">
        <w:t xml:space="preserve"> ("Comcast 1205</w:t>
      </w:r>
      <w:r w:rsidR="00A46AED">
        <w:t>s</w:t>
      </w:r>
      <w:r w:rsidR="004B3A9C" w:rsidRPr="004B3A9C">
        <w:t xml:space="preserve">"), </w:t>
      </w:r>
      <w:r w:rsidR="007545E1">
        <w:t>which set</w:t>
      </w:r>
      <w:r w:rsidR="007545E1" w:rsidRPr="004B3A9C">
        <w:t xml:space="preserve"> </w:t>
      </w:r>
      <w:r w:rsidR="004B3A9C" w:rsidRPr="004B3A9C">
        <w:t xml:space="preserve">the maximum permitted rates that Comcast may charge for equipment used to receive the basic service tier ("BST"). </w:t>
      </w:r>
      <w:r w:rsidR="004B3A9C">
        <w:t xml:space="preserve"> Comcast also filed </w:t>
      </w:r>
      <w:r w:rsidR="004B3A9C">
        <w:lastRenderedPageBreak/>
        <w:t>requests to stay the Local Orders</w:t>
      </w:r>
      <w:r w:rsidR="006F47E5">
        <w:t xml:space="preserve"> (“Stay Petitions”).</w:t>
      </w:r>
      <w:r w:rsidR="004B3A9C">
        <w:rPr>
          <w:rStyle w:val="FootnoteReference"/>
        </w:rPr>
        <w:footnoteReference w:id="5"/>
      </w:r>
      <w:r w:rsidR="009F725E">
        <w:t xml:space="preserve"> </w:t>
      </w:r>
      <w:r w:rsidR="007D0D6D">
        <w:t xml:space="preserve">  </w:t>
      </w:r>
      <w:r w:rsidR="008C0486">
        <w:t>In this Order</w:t>
      </w:r>
      <w:r w:rsidR="00FF0CFF">
        <w:t xml:space="preserve">, we dismiss </w:t>
      </w:r>
      <w:r w:rsidR="00F81412">
        <w:t>one issue in</w:t>
      </w:r>
      <w:r w:rsidR="00D24E46">
        <w:t xml:space="preserve"> </w:t>
      </w:r>
      <w:r w:rsidR="008C0486">
        <w:t xml:space="preserve">the </w:t>
      </w:r>
      <w:r w:rsidR="001D5165">
        <w:t>Consolidated Appeal</w:t>
      </w:r>
      <w:r w:rsidR="008C0486">
        <w:t xml:space="preserve"> for lack of jurisdiction</w:t>
      </w:r>
      <w:r w:rsidR="00BB6DB9">
        <w:t>,</w:t>
      </w:r>
      <w:r w:rsidR="00F81412">
        <w:t xml:space="preserve"> deny th</w:t>
      </w:r>
      <w:r w:rsidR="00FF0CFF">
        <w:t xml:space="preserve">e </w:t>
      </w:r>
      <w:r w:rsidR="00A46AED">
        <w:t xml:space="preserve">Consolidated </w:t>
      </w:r>
      <w:r w:rsidR="00FF0CFF">
        <w:t>Appeal in part and grant</w:t>
      </w:r>
      <w:r w:rsidR="001D5165">
        <w:t xml:space="preserve"> it </w:t>
      </w:r>
      <w:r w:rsidR="00FF0CFF">
        <w:t>in part, remand the Local Orders for further action consistent with this Order</w:t>
      </w:r>
      <w:r w:rsidR="00304880">
        <w:t>,</w:t>
      </w:r>
      <w:r w:rsidR="00FF0CFF">
        <w:t xml:space="preserve"> and</w:t>
      </w:r>
      <w:r w:rsidR="008C0486">
        <w:t xml:space="preserve"> </w:t>
      </w:r>
      <w:r w:rsidR="00D52E5F" w:rsidRPr="00D52E5F">
        <w:t>dismiss th</w:t>
      </w:r>
      <w:r w:rsidR="00D52E5F">
        <w:t>e Stay P</w:t>
      </w:r>
      <w:r w:rsidR="00D52E5F" w:rsidRPr="00D52E5F">
        <w:t>etitions as moot</w:t>
      </w:r>
      <w:r w:rsidR="00F8169C" w:rsidRPr="00F8169C">
        <w:t xml:space="preserve"> pursuant to the Cable Act and our rules.</w:t>
      </w:r>
      <w:r w:rsidR="00F8169C" w:rsidRPr="00F8169C">
        <w:rPr>
          <w:vertAlign w:val="superscript"/>
        </w:rPr>
        <w:footnoteReference w:id="6"/>
      </w:r>
    </w:p>
    <w:p w:rsidR="00FF0CFF" w:rsidRDefault="00FF0CFF" w:rsidP="00E71EF5">
      <w:pPr>
        <w:pStyle w:val="Heading1"/>
        <w:jc w:val="left"/>
      </w:pPr>
      <w:r>
        <w:t>Background</w:t>
      </w:r>
    </w:p>
    <w:p w:rsidR="00A75478" w:rsidRDefault="00643CFC" w:rsidP="00E71EF5">
      <w:pPr>
        <w:pStyle w:val="ParaNum"/>
        <w:jc w:val="left"/>
      </w:pPr>
      <w:r w:rsidRPr="00E71EF5">
        <w:rPr>
          <w:i/>
        </w:rPr>
        <w:t>Local Rate Appeals</w:t>
      </w:r>
      <w:r>
        <w:t xml:space="preserve">. </w:t>
      </w:r>
      <w:r w:rsidR="00A75478">
        <w:t xml:space="preserve"> </w:t>
      </w:r>
      <w:r w:rsidR="00A75478" w:rsidRPr="00A75478">
        <w:t>The Communication</w:t>
      </w:r>
      <w:r w:rsidR="00A75478">
        <w:t>s Act of 1934, as amended,</w:t>
      </w:r>
      <w:r w:rsidR="00A75478" w:rsidRPr="00A75478">
        <w:t xml:space="preserve"> provides that, where effective competition is absent, rates for the BST and associated equipment are subject to regulation by </w:t>
      </w:r>
      <w:r w:rsidR="006D704D">
        <w:t>LFAs</w:t>
      </w:r>
      <w:r w:rsidR="00A75478" w:rsidRPr="00A75478">
        <w:t>.</w:t>
      </w:r>
      <w:r w:rsidR="00A75478">
        <w:rPr>
          <w:rStyle w:val="FootnoteReference"/>
        </w:rPr>
        <w:footnoteReference w:id="7"/>
      </w:r>
      <w:r w:rsidR="00A75478" w:rsidRPr="00A75478">
        <w:t xml:space="preserve"> </w:t>
      </w:r>
      <w:r w:rsidR="006D704D">
        <w:t xml:space="preserve"> </w:t>
      </w:r>
      <w:r w:rsidR="00A75478" w:rsidRPr="00A75478">
        <w:t>Rates for the BST and equipment should not exceed rates that would be charged by systems facing effective competition, as determined in accordance with Commission regulations for setting rates.</w:t>
      </w:r>
      <w:r w:rsidR="006D704D">
        <w:rPr>
          <w:rStyle w:val="FootnoteReference"/>
        </w:rPr>
        <w:footnoteReference w:id="8"/>
      </w:r>
      <w:r w:rsidR="00A75478" w:rsidRPr="00A75478">
        <w:t xml:space="preserve"> If the cable operator fails to meet its burden of proof, has improperly calculated its rates, or is unresponsive to requests for relevant information, the franchising authority may use the “best information available” to review the operator's proposed rates and, if appropriate, adjust them and order refunds.</w:t>
      </w:r>
      <w:r w:rsidR="006D704D">
        <w:rPr>
          <w:rStyle w:val="FootnoteReference"/>
        </w:rPr>
        <w:footnoteReference w:id="9"/>
      </w:r>
    </w:p>
    <w:p w:rsidR="00FF0CFF" w:rsidRDefault="00643CFC" w:rsidP="00E71EF5">
      <w:pPr>
        <w:pStyle w:val="ParaNum"/>
        <w:jc w:val="left"/>
      </w:pPr>
      <w:r>
        <w:t>Rate o</w:t>
      </w:r>
      <w:r w:rsidR="00FF0CFF">
        <w:t>rders issued by LFA</w:t>
      </w:r>
      <w:r>
        <w:t>s</w:t>
      </w:r>
      <w:r w:rsidR="00FF0CFF">
        <w:t xml:space="preserve"> may be appealed to the Commission.</w:t>
      </w:r>
      <w:r w:rsidR="00FF0CFF">
        <w:rPr>
          <w:rStyle w:val="FootnoteReference"/>
        </w:rPr>
        <w:footnoteReference w:id="10"/>
      </w:r>
      <w:r w:rsidR="00FF0CFF">
        <w:t xml:space="preserve">  In resolving an appeal of a local rate order, the Commission will not conduct a </w:t>
      </w:r>
      <w:r w:rsidR="00FF0CFF" w:rsidRPr="00F632C4">
        <w:rPr>
          <w:i/>
        </w:rPr>
        <w:t>de novo</w:t>
      </w:r>
      <w:r w:rsidR="00FF0CFF">
        <w:t xml:space="preserve"> review of the rate filings</w:t>
      </w:r>
      <w:r w:rsidR="006D704D">
        <w:t xml:space="preserve">.  </w:t>
      </w:r>
      <w:r w:rsidR="00FF0CFF">
        <w:t xml:space="preserve"> </w:t>
      </w:r>
      <w:r w:rsidR="006D704D">
        <w:t xml:space="preserve">The Commission will </w:t>
      </w:r>
      <w:r w:rsidR="00FF0CFF">
        <w:t xml:space="preserve">sustain the LFA's decision if it </w:t>
      </w:r>
      <w:r w:rsidR="006D704D" w:rsidRPr="006D704D">
        <w:t>determines that the LFA acted reasonably in applying the Commission's rules</w:t>
      </w:r>
      <w:r w:rsidR="00FF0CFF">
        <w:t>.</w:t>
      </w:r>
      <w:r w:rsidR="00FF0CFF">
        <w:rPr>
          <w:rStyle w:val="FootnoteReference"/>
        </w:rPr>
        <w:footnoteReference w:id="11"/>
      </w:r>
      <w:r w:rsidR="00FF0CFF">
        <w:t xml:space="preserve"> </w:t>
      </w:r>
      <w:r w:rsidR="00735925" w:rsidRPr="00F632C4" w:rsidDel="00735925">
        <w:rPr>
          <w:rStyle w:val="FootnoteReference"/>
          <w:color w:val="000000"/>
        </w:rPr>
        <w:t xml:space="preserve"> </w:t>
      </w:r>
      <w:bookmarkStart w:id="1" w:name="Document1zzIa5c0c7d34fb611de9b8c85033233"/>
      <w:bookmarkEnd w:id="1"/>
    </w:p>
    <w:p w:rsidR="00CB1FE4" w:rsidRDefault="00643CFC" w:rsidP="00E71EF5">
      <w:pPr>
        <w:pStyle w:val="ParaNum"/>
        <w:jc w:val="left"/>
      </w:pPr>
      <w:r w:rsidRPr="00643CFC">
        <w:rPr>
          <w:i/>
        </w:rPr>
        <w:t>FCC Form 1205</w:t>
      </w:r>
      <w:r>
        <w:t xml:space="preserve">.  </w:t>
      </w:r>
      <w:r w:rsidR="00E274E7" w:rsidRPr="00E274E7">
        <w:t xml:space="preserve">LFAs have jurisdiction to regulate the cable operator's rates for the installation and lease of equipment used by </w:t>
      </w:r>
      <w:r w:rsidR="00E274E7">
        <w:t>subscribers to receive the BST.</w:t>
      </w:r>
      <w:r w:rsidR="00E274E7">
        <w:rPr>
          <w:rStyle w:val="FootnoteReference"/>
        </w:rPr>
        <w:footnoteReference w:id="12"/>
      </w:r>
      <w:r w:rsidR="00E274E7">
        <w:t xml:space="preserve">  </w:t>
      </w:r>
      <w:r w:rsidR="00587E24" w:rsidRPr="00587E24">
        <w:t xml:space="preserve">All equipment in the customer’s home used to receive the BST is subject to rate regulation, regardless of whether such equipment is </w:t>
      </w:r>
      <w:r w:rsidR="00ED20C4">
        <w:t xml:space="preserve">also </w:t>
      </w:r>
      <w:r w:rsidR="00587E24" w:rsidRPr="00587E24">
        <w:t>used to receive other tiers of regulated or unregulated programming services.</w:t>
      </w:r>
      <w:r w:rsidR="00587E24" w:rsidRPr="00587E24">
        <w:rPr>
          <w:vertAlign w:val="superscript"/>
        </w:rPr>
        <w:footnoteReference w:id="13"/>
      </w:r>
      <w:r w:rsidR="00587E24" w:rsidRPr="00587E24">
        <w:t xml:space="preserve"> </w:t>
      </w:r>
      <w:r w:rsidR="00587E24">
        <w:t xml:space="preserve"> </w:t>
      </w:r>
      <w:r w:rsidR="00587E24" w:rsidRPr="00587E24">
        <w:t xml:space="preserve">The covered equipment includes converter boxes, remote control units, and inside wiring.  </w:t>
      </w:r>
      <w:r w:rsidR="00735925">
        <w:t>Regulated c</w:t>
      </w:r>
      <w:r w:rsidR="00FF0CFF">
        <w:t xml:space="preserve">able operators </w:t>
      </w:r>
      <w:r w:rsidR="00304880">
        <w:t>that have not been found by the Commission to be subject to effective competition</w:t>
      </w:r>
      <w:r w:rsidR="00FF0CFF">
        <w:t xml:space="preserve"> compute cost-based equipment and installation rates </w:t>
      </w:r>
      <w:r w:rsidR="00304880">
        <w:t xml:space="preserve">annually </w:t>
      </w:r>
      <w:r w:rsidR="00FF0CFF">
        <w:t>using FCC Form 1205.</w:t>
      </w:r>
      <w:r w:rsidR="00FF0CFF">
        <w:rPr>
          <w:rStyle w:val="FootnoteReference"/>
        </w:rPr>
        <w:footnoteReference w:id="14"/>
      </w:r>
      <w:r w:rsidR="00FF0CFF" w:rsidRPr="006E4235">
        <w:t xml:space="preserve"> </w:t>
      </w:r>
      <w:r w:rsidR="00FF0CFF">
        <w:t xml:space="preserve"> </w:t>
      </w:r>
      <w:r w:rsidR="00E274E7">
        <w:t xml:space="preserve">The FCC </w:t>
      </w:r>
      <w:r w:rsidR="00735925">
        <w:t>Form 1205</w:t>
      </w:r>
      <w:r w:rsidR="007549A3">
        <w:t>s</w:t>
      </w:r>
      <w:r w:rsidR="00735925">
        <w:t xml:space="preserve"> are filed </w:t>
      </w:r>
      <w:r w:rsidR="006177B3">
        <w:t xml:space="preserve">with </w:t>
      </w:r>
      <w:r w:rsidR="00C23A3F">
        <w:t>and</w:t>
      </w:r>
      <w:r w:rsidR="007549A3">
        <w:t xml:space="preserve"> are</w:t>
      </w:r>
      <w:r w:rsidR="00C23A3F">
        <w:t xml:space="preserve"> </w:t>
      </w:r>
      <w:r w:rsidR="00FF0CFF" w:rsidRPr="006E4235">
        <w:t>su</w:t>
      </w:r>
      <w:r w:rsidR="00FF0CFF">
        <w:t>bject to re</w:t>
      </w:r>
      <w:r w:rsidR="00304880">
        <w:t>view</w:t>
      </w:r>
      <w:r w:rsidR="00FF0CFF">
        <w:t xml:space="preserve"> by the LFA</w:t>
      </w:r>
      <w:r w:rsidR="00304880">
        <w:t>s</w:t>
      </w:r>
      <w:r w:rsidR="00FF0CFF">
        <w:t xml:space="preserve">. </w:t>
      </w:r>
    </w:p>
    <w:p w:rsidR="00135322" w:rsidRDefault="00135322" w:rsidP="00D533E0">
      <w:pPr>
        <w:pStyle w:val="ParaNum"/>
        <w:jc w:val="left"/>
      </w:pPr>
      <w:r>
        <w:rPr>
          <w:i/>
        </w:rPr>
        <w:t xml:space="preserve">The </w:t>
      </w:r>
      <w:r w:rsidR="00600C90">
        <w:rPr>
          <w:i/>
        </w:rPr>
        <w:t>Consolidated Appeal</w:t>
      </w:r>
      <w:r w:rsidRPr="00D664BE">
        <w:t>.</w:t>
      </w:r>
      <w:r>
        <w:t xml:space="preserve"> </w:t>
      </w:r>
      <w:r w:rsidR="00600C90">
        <w:t>In its Consolidated Appeal, Comcast seeks relief from</w:t>
      </w:r>
      <w:r w:rsidR="00382BFF">
        <w:t xml:space="preserve"> the</w:t>
      </w:r>
      <w:r w:rsidR="00202C9C">
        <w:t xml:space="preserve"> </w:t>
      </w:r>
      <w:r w:rsidR="00600C90" w:rsidRPr="00202C9C">
        <w:t>Local</w:t>
      </w:r>
      <w:r w:rsidR="00600C90">
        <w:t xml:space="preserve"> Orders </w:t>
      </w:r>
      <w:r w:rsidR="00912828">
        <w:t xml:space="preserve">to the extent they </w:t>
      </w:r>
      <w:r w:rsidR="00563191">
        <w:t>(1)</w:t>
      </w:r>
      <w:r w:rsidR="00D664BE" w:rsidRPr="00D664BE">
        <w:t xml:space="preserve"> disallow a pay-by-phone convenience fee charged by Comcast to customers who wish to pay their bill over the telephone;</w:t>
      </w:r>
      <w:r w:rsidR="00563191">
        <w:t xml:space="preserve"> </w:t>
      </w:r>
      <w:r w:rsidR="00D664BE">
        <w:t xml:space="preserve">(2) </w:t>
      </w:r>
      <w:r w:rsidR="00563191">
        <w:t xml:space="preserve">require Comcast to have a single rate for </w:t>
      </w:r>
      <w:r w:rsidR="00382BFF">
        <w:t xml:space="preserve">different </w:t>
      </w:r>
      <w:r w:rsidR="00E07084">
        <w:t>model</w:t>
      </w:r>
      <w:r w:rsidR="00045F60">
        <w:t>s of</w:t>
      </w:r>
      <w:r w:rsidR="00E07084">
        <w:t xml:space="preserve"> </w:t>
      </w:r>
      <w:r w:rsidR="00563191">
        <w:t xml:space="preserve">converters when the costs for the converters have been </w:t>
      </w:r>
      <w:r w:rsidR="00E07084">
        <w:t xml:space="preserve">aggregated </w:t>
      </w:r>
      <w:r w:rsidR="00563191">
        <w:t>under our rules</w:t>
      </w:r>
      <w:r w:rsidR="00D664BE">
        <w:t xml:space="preserve">; </w:t>
      </w:r>
      <w:r w:rsidR="00563191">
        <w:t xml:space="preserve">and (3) require Comcast to separately </w:t>
      </w:r>
      <w:r w:rsidR="00E07084">
        <w:t xml:space="preserve">calculate and </w:t>
      </w:r>
      <w:r w:rsidR="00563191">
        <w:t>list all rates that are for equipment costs that are included in package rates</w:t>
      </w:r>
      <w:r w:rsidR="00D664BE">
        <w:t>.</w:t>
      </w:r>
    </w:p>
    <w:p w:rsidR="00F632C4" w:rsidRDefault="00F632C4" w:rsidP="00E71EF5">
      <w:pPr>
        <w:pStyle w:val="Heading1"/>
        <w:jc w:val="left"/>
      </w:pPr>
      <w:r w:rsidRPr="00E71EF5">
        <w:t>DISCUSSION</w:t>
      </w:r>
    </w:p>
    <w:p w:rsidR="00FF09E3" w:rsidRPr="00FF09E3" w:rsidRDefault="00F632C4" w:rsidP="00E71EF5">
      <w:pPr>
        <w:pStyle w:val="Heading1"/>
        <w:numPr>
          <w:ilvl w:val="0"/>
          <w:numId w:val="0"/>
        </w:numPr>
        <w:ind w:left="720"/>
        <w:jc w:val="left"/>
      </w:pPr>
      <w:r>
        <w:t>A.</w:t>
      </w:r>
      <w:r>
        <w:tab/>
      </w:r>
      <w:r w:rsidR="00D833D7">
        <w:t>PAY</w:t>
      </w:r>
      <w:r w:rsidR="00E274E7">
        <w:t>-</w:t>
      </w:r>
      <w:r w:rsidR="00D833D7">
        <w:t>BY</w:t>
      </w:r>
      <w:r w:rsidR="00E274E7">
        <w:t>-</w:t>
      </w:r>
      <w:r w:rsidR="00D833D7">
        <w:t>PHONE</w:t>
      </w:r>
      <w:r w:rsidR="00804928">
        <w:t xml:space="preserve"> </w:t>
      </w:r>
      <w:r w:rsidR="00D833D7">
        <w:t>FEE</w:t>
      </w:r>
      <w:r w:rsidR="00275B83">
        <w:t xml:space="preserve"> </w:t>
      </w:r>
    </w:p>
    <w:p w:rsidR="00E10E62" w:rsidRPr="00A46AED" w:rsidRDefault="00E274E7" w:rsidP="00E71EF5">
      <w:pPr>
        <w:pStyle w:val="ParaNum"/>
        <w:jc w:val="left"/>
        <w:rPr>
          <w:spacing w:val="-2"/>
          <w:szCs w:val="22"/>
        </w:rPr>
      </w:pPr>
      <w:r>
        <w:t xml:space="preserve">We decline to review the reasonableness of the Local Orders with respect to the pay-by-phone convenience fee.  </w:t>
      </w:r>
      <w:r w:rsidR="0038168A" w:rsidRPr="0038168A">
        <w:t xml:space="preserve">In the Local Orders, the LFAs disallow a convenience fee of $5.99 charged </w:t>
      </w:r>
      <w:r w:rsidR="009766E7">
        <w:t xml:space="preserve">by Comcast </w:t>
      </w:r>
      <w:r w:rsidR="0038168A" w:rsidRPr="0038168A">
        <w:t>to customers who wish to pay their bill over the phone.</w:t>
      </w:r>
      <w:r w:rsidR="0038168A">
        <w:t xml:space="preserve">  </w:t>
      </w:r>
      <w:r w:rsidR="00F4237E">
        <w:t>The LFAs postulate that th</w:t>
      </w:r>
      <w:r w:rsidR="002142B5">
        <w:t>is</w:t>
      </w:r>
      <w:r w:rsidR="00F4237E">
        <w:t xml:space="preserve"> fee</w:t>
      </w:r>
      <w:r w:rsidR="0038168A" w:rsidRPr="0038168A">
        <w:t xml:space="preserve"> would have been included in the service rate at the time the cable systems became subject to rate regulation in 1993</w:t>
      </w:r>
      <w:r w:rsidR="00F4237E">
        <w:t>.</w:t>
      </w:r>
      <w:r w:rsidR="003511EA">
        <w:rPr>
          <w:rStyle w:val="FootnoteReference"/>
        </w:rPr>
        <w:footnoteReference w:id="15"/>
      </w:r>
      <w:r w:rsidR="00304880">
        <w:t xml:space="preserve"> </w:t>
      </w:r>
      <w:r w:rsidR="007A4DAD">
        <w:t xml:space="preserve"> </w:t>
      </w:r>
      <w:r w:rsidR="00F4237E">
        <w:t xml:space="preserve">The LFAs claim that </w:t>
      </w:r>
      <w:r w:rsidR="0038168A">
        <w:t>there is no evidence that the fee was removed or unbundled from th</w:t>
      </w:r>
      <w:r w:rsidR="00F4237E">
        <w:t>e</w:t>
      </w:r>
      <w:r w:rsidR="0038168A">
        <w:t xml:space="preserve"> service rate</w:t>
      </w:r>
      <w:r w:rsidR="00F4237E">
        <w:t xml:space="preserve"> at </w:t>
      </w:r>
      <w:r w:rsidR="00110EF7">
        <w:t>that time and</w:t>
      </w:r>
      <w:r w:rsidR="00135322">
        <w:t xml:space="preserve"> conclude that</w:t>
      </w:r>
      <w:r w:rsidR="00110EF7">
        <w:t xml:space="preserve"> </w:t>
      </w:r>
      <w:r w:rsidR="009766E7">
        <w:t xml:space="preserve">charging the fee now </w:t>
      </w:r>
      <w:r w:rsidR="00110EF7">
        <w:t>would amount to a</w:t>
      </w:r>
      <w:r w:rsidR="00110EF7" w:rsidRPr="00110EF7">
        <w:t xml:space="preserve"> double recovery of service costs.  In its Consolidated Appeal, Comcast argues that the LFAs have exceeded their authority and misapplied the Commission’s rate rules by disallowing Comcast’s $5.99 pay</w:t>
      </w:r>
      <w:r w:rsidR="00283CED">
        <w:t>-</w:t>
      </w:r>
      <w:r w:rsidR="00110EF7" w:rsidRPr="00110EF7">
        <w:t>bill</w:t>
      </w:r>
      <w:r w:rsidR="00283CED">
        <w:t>-</w:t>
      </w:r>
      <w:r w:rsidR="00110EF7" w:rsidRPr="00110EF7">
        <w:t>by</w:t>
      </w:r>
      <w:r w:rsidR="00283CED">
        <w:t>-</w:t>
      </w:r>
      <w:r w:rsidR="00110EF7" w:rsidRPr="00110EF7">
        <w:t>telephone convenience fee.</w:t>
      </w:r>
      <w:r w:rsidR="008D61C9">
        <w:rPr>
          <w:rStyle w:val="FootnoteReference"/>
        </w:rPr>
        <w:footnoteReference w:id="16"/>
      </w:r>
      <w:r w:rsidR="00110EF7" w:rsidRPr="00110EF7">
        <w:t xml:space="preserve">  </w:t>
      </w:r>
      <w:r w:rsidR="0038168A" w:rsidRPr="0038168A">
        <w:t>Comcast argues that the pay</w:t>
      </w:r>
      <w:r w:rsidR="000E2805">
        <w:t>-</w:t>
      </w:r>
      <w:r w:rsidR="0038168A" w:rsidRPr="0038168A">
        <w:t>by</w:t>
      </w:r>
      <w:r w:rsidR="000E2805">
        <w:t>-</w:t>
      </w:r>
      <w:r w:rsidR="0038168A" w:rsidRPr="0038168A">
        <w:t>phone option was not available in th</w:t>
      </w:r>
      <w:r w:rsidR="00110EF7">
        <w:t>e relevant</w:t>
      </w:r>
      <w:r w:rsidR="0038168A" w:rsidRPr="0038168A">
        <w:t xml:space="preserve"> systems in 1993 and therefore no costs associated with that option would have been included in the initial rate for cable services.</w:t>
      </w:r>
      <w:r w:rsidR="00D105C5">
        <w:rPr>
          <w:rStyle w:val="FootnoteReference"/>
        </w:rPr>
        <w:footnoteReference w:id="17"/>
      </w:r>
      <w:r w:rsidR="00A36112">
        <w:t xml:space="preserve"> </w:t>
      </w:r>
      <w:r w:rsidR="0038168A">
        <w:t xml:space="preserve"> </w:t>
      </w:r>
      <w:r w:rsidR="00FF09E3" w:rsidRPr="00A46AED">
        <w:rPr>
          <w:spacing w:val="-2"/>
          <w:szCs w:val="22"/>
        </w:rPr>
        <w:t>Comcast asks the Commission</w:t>
      </w:r>
      <w:r w:rsidR="00A46AED">
        <w:rPr>
          <w:spacing w:val="-2"/>
          <w:szCs w:val="22"/>
        </w:rPr>
        <w:t xml:space="preserve"> </w:t>
      </w:r>
      <w:r w:rsidR="00FF09E3" w:rsidRPr="00A46AED">
        <w:rPr>
          <w:spacing w:val="-2"/>
          <w:szCs w:val="22"/>
        </w:rPr>
        <w:t xml:space="preserve">to reverse that part of the Local Orders that finds that Comcast cannot charge a convenience fee of $5.99 to subscribers who pay their bill over the telephone.  </w:t>
      </w:r>
      <w:r w:rsidR="00E10E62" w:rsidRPr="00A46AED">
        <w:rPr>
          <w:spacing w:val="-2"/>
          <w:szCs w:val="22"/>
        </w:rPr>
        <w:t xml:space="preserve">  </w:t>
      </w:r>
    </w:p>
    <w:p w:rsidR="00D833D7" w:rsidRPr="0038168A" w:rsidRDefault="00897CCD" w:rsidP="00E71EF5">
      <w:pPr>
        <w:pStyle w:val="ParaNum"/>
        <w:jc w:val="left"/>
      </w:pPr>
      <w:r w:rsidRPr="0038168A">
        <w:t xml:space="preserve">   </w:t>
      </w:r>
      <w:r w:rsidR="00110EF7" w:rsidRPr="00110EF7">
        <w:t>We address this issue first because it involves a question of jurisdiction.</w:t>
      </w:r>
      <w:r w:rsidR="00110EF7">
        <w:t xml:space="preserve">  </w:t>
      </w:r>
      <w:r w:rsidR="0038168A">
        <w:t>B</w:t>
      </w:r>
      <w:r w:rsidR="00D24E46" w:rsidRPr="0038168A">
        <w:t xml:space="preserve">ased on our own precedent, </w:t>
      </w:r>
      <w:r w:rsidR="00110EF7">
        <w:t xml:space="preserve">and </w:t>
      </w:r>
      <w:r w:rsidR="0038168A">
        <w:t xml:space="preserve">without comment on the </w:t>
      </w:r>
      <w:r w:rsidR="0038168A" w:rsidRPr="0038168A">
        <w:rPr>
          <w:spacing w:val="-2"/>
          <w:szCs w:val="22"/>
        </w:rPr>
        <w:t>merits of either party’s arguments</w:t>
      </w:r>
      <w:r w:rsidR="0038168A">
        <w:rPr>
          <w:spacing w:val="-2"/>
          <w:szCs w:val="22"/>
        </w:rPr>
        <w:t xml:space="preserve">, </w:t>
      </w:r>
      <w:r w:rsidR="00D24E46" w:rsidRPr="0038168A">
        <w:t>w</w:t>
      </w:r>
      <w:r w:rsidR="008F6CD9" w:rsidRPr="0038168A">
        <w:t xml:space="preserve">e </w:t>
      </w:r>
      <w:r w:rsidRPr="0038168A">
        <w:t>decline to</w:t>
      </w:r>
      <w:r w:rsidR="008F6CD9" w:rsidRPr="0038168A">
        <w:t xml:space="preserve"> rule on the reasonableness of the </w:t>
      </w:r>
      <w:r w:rsidR="00BA4B15">
        <w:t>Local Orders</w:t>
      </w:r>
      <w:r w:rsidRPr="0038168A">
        <w:t xml:space="preserve"> with regard to this issue.</w:t>
      </w:r>
      <w:r w:rsidR="00075F59" w:rsidRPr="0038168A">
        <w:t xml:space="preserve">  I</w:t>
      </w:r>
      <w:r w:rsidR="00D833D7" w:rsidRPr="0038168A">
        <w:t>nstead, w</w:t>
      </w:r>
      <w:r w:rsidRPr="0038168A">
        <w:t xml:space="preserve">e dismiss this part of the </w:t>
      </w:r>
      <w:r w:rsidR="0038168A">
        <w:t xml:space="preserve">Consolidated </w:t>
      </w:r>
      <w:r w:rsidRPr="0038168A">
        <w:t xml:space="preserve">Appeal </w:t>
      </w:r>
      <w:r w:rsidR="008F6CD9" w:rsidRPr="0038168A">
        <w:t xml:space="preserve">because </w:t>
      </w:r>
      <w:r w:rsidR="00C81195" w:rsidRPr="0038168A">
        <w:t xml:space="preserve">we have determined in previous decisions that </w:t>
      </w:r>
      <w:r w:rsidR="008F6CD9" w:rsidRPr="0038168A">
        <w:t>these types of fees, such as late fees, returned check fees</w:t>
      </w:r>
      <w:r w:rsidR="00133C01" w:rsidRPr="0038168A">
        <w:t>,</w:t>
      </w:r>
      <w:r w:rsidR="008F6CD9" w:rsidRPr="0038168A">
        <w:t xml:space="preserve"> and other similar miscellaneous subscriber charges</w:t>
      </w:r>
      <w:r w:rsidR="0038168A">
        <w:t>,</w:t>
      </w:r>
      <w:r w:rsidR="008F6CD9" w:rsidRPr="0038168A">
        <w:t xml:space="preserve"> are within the purview of local franchising authorities</w:t>
      </w:r>
      <w:r w:rsidR="00476DBA">
        <w:t xml:space="preserve"> and not part of our regulatory scheme</w:t>
      </w:r>
      <w:r w:rsidR="008F6CD9" w:rsidRPr="0038168A">
        <w:t>.</w:t>
      </w:r>
      <w:r w:rsidR="008F6CD9">
        <w:rPr>
          <w:rStyle w:val="FootnoteReference"/>
          <w:spacing w:val="-2"/>
          <w:szCs w:val="22"/>
        </w:rPr>
        <w:footnoteReference w:id="18"/>
      </w:r>
      <w:r w:rsidR="008F6CD9" w:rsidRPr="0038168A">
        <w:t xml:space="preserve">  </w:t>
      </w:r>
      <w:r w:rsidR="00C81195" w:rsidRPr="0038168A">
        <w:t xml:space="preserve">A convenience fee </w:t>
      </w:r>
      <w:r w:rsidR="00D833D7" w:rsidRPr="0038168A">
        <w:t>charged for a particular payment method chosen by the subscriber</w:t>
      </w:r>
      <w:r w:rsidR="00C81195" w:rsidRPr="0038168A">
        <w:t xml:space="preserve"> falls into this category of miscellaneous fees</w:t>
      </w:r>
      <w:r w:rsidR="00F251DA" w:rsidRPr="0038168A">
        <w:t>.</w:t>
      </w:r>
      <w:r w:rsidR="00F251DA">
        <w:rPr>
          <w:rStyle w:val="FootnoteReference"/>
          <w:spacing w:val="-2"/>
          <w:szCs w:val="22"/>
        </w:rPr>
        <w:footnoteReference w:id="19"/>
      </w:r>
      <w:r w:rsidR="00F251DA" w:rsidRPr="0038168A">
        <w:t xml:space="preserve">  </w:t>
      </w:r>
      <w:r w:rsidR="00662730" w:rsidRPr="0038168A">
        <w:t xml:space="preserve">Local authorities may regulate such fees if they are permitted to under State or local </w:t>
      </w:r>
      <w:r w:rsidR="00D833D7" w:rsidRPr="0038168A">
        <w:t xml:space="preserve">consumer protection or other </w:t>
      </w:r>
      <w:r w:rsidR="00662730" w:rsidRPr="0038168A">
        <w:t xml:space="preserve">law.  </w:t>
      </w:r>
      <w:r w:rsidR="00D833D7" w:rsidRPr="0038168A">
        <w:t>Therefore, r</w:t>
      </w:r>
      <w:r w:rsidR="00C81195" w:rsidRPr="0038168A">
        <w:t>esolution of this issue would be more appropriately addresse</w:t>
      </w:r>
      <w:r w:rsidR="00F251DA" w:rsidRPr="0038168A">
        <w:t>d</w:t>
      </w:r>
      <w:r w:rsidR="00C81195" w:rsidRPr="0038168A">
        <w:t xml:space="preserve"> </w:t>
      </w:r>
      <w:r w:rsidR="00662730" w:rsidRPr="0038168A">
        <w:t xml:space="preserve">through </w:t>
      </w:r>
      <w:r w:rsidR="00133C01" w:rsidRPr="0038168A">
        <w:t xml:space="preserve">negotiations with or appeal to the LFAs, or </w:t>
      </w:r>
      <w:r w:rsidR="00662730" w:rsidRPr="0038168A">
        <w:t xml:space="preserve">appeal to a State or local court.  </w:t>
      </w:r>
    </w:p>
    <w:p w:rsidR="00FF09E3" w:rsidRDefault="00662730" w:rsidP="00E71EF5">
      <w:pPr>
        <w:pStyle w:val="ParaNum"/>
        <w:jc w:val="left"/>
        <w:rPr>
          <w:spacing w:val="-2"/>
          <w:szCs w:val="22"/>
        </w:rPr>
      </w:pPr>
      <w:r>
        <w:rPr>
          <w:spacing w:val="-2"/>
          <w:szCs w:val="22"/>
        </w:rPr>
        <w:t xml:space="preserve">Thus, we </w:t>
      </w:r>
      <w:r w:rsidR="00C81195">
        <w:rPr>
          <w:spacing w:val="-2"/>
          <w:szCs w:val="22"/>
        </w:rPr>
        <w:t>dismiss</w:t>
      </w:r>
      <w:r>
        <w:rPr>
          <w:spacing w:val="-2"/>
          <w:szCs w:val="22"/>
        </w:rPr>
        <w:t xml:space="preserve"> </w:t>
      </w:r>
      <w:r w:rsidR="00075F59">
        <w:rPr>
          <w:spacing w:val="-2"/>
          <w:szCs w:val="22"/>
        </w:rPr>
        <w:t xml:space="preserve">this part of the Consolidated </w:t>
      </w:r>
      <w:r>
        <w:rPr>
          <w:spacing w:val="-2"/>
          <w:szCs w:val="22"/>
        </w:rPr>
        <w:t xml:space="preserve">Appeal and decline to rule on the reasonableness of the </w:t>
      </w:r>
      <w:r w:rsidR="0038168A">
        <w:rPr>
          <w:spacing w:val="-2"/>
          <w:szCs w:val="22"/>
        </w:rPr>
        <w:t>Local Orders on this issue.</w:t>
      </w:r>
    </w:p>
    <w:p w:rsidR="00643CFC" w:rsidRDefault="00F632C4" w:rsidP="00E71EF5">
      <w:pPr>
        <w:pStyle w:val="Heading1"/>
        <w:numPr>
          <w:ilvl w:val="0"/>
          <w:numId w:val="0"/>
        </w:numPr>
        <w:ind w:left="720"/>
        <w:jc w:val="left"/>
        <w:rPr>
          <w:spacing w:val="-2"/>
          <w:szCs w:val="22"/>
        </w:rPr>
      </w:pPr>
      <w:r>
        <w:rPr>
          <w:spacing w:val="-2"/>
          <w:szCs w:val="22"/>
        </w:rPr>
        <w:t>B.</w:t>
      </w:r>
      <w:r>
        <w:rPr>
          <w:spacing w:val="-2"/>
          <w:szCs w:val="22"/>
        </w:rPr>
        <w:tab/>
      </w:r>
      <w:r w:rsidR="00643CFC" w:rsidRPr="00E71EF5">
        <w:t>CONVERTER</w:t>
      </w:r>
      <w:r w:rsidR="00643CFC">
        <w:rPr>
          <w:spacing w:val="-2"/>
          <w:szCs w:val="22"/>
        </w:rPr>
        <w:t xml:space="preserve"> </w:t>
      </w:r>
      <w:r w:rsidR="00643CFC" w:rsidRPr="00643CFC">
        <w:t>CHARGES</w:t>
      </w:r>
    </w:p>
    <w:p w:rsidR="00430002" w:rsidRPr="00E71EF5" w:rsidRDefault="00FE5FD7" w:rsidP="00E71EF5">
      <w:pPr>
        <w:pStyle w:val="ParaNum"/>
        <w:jc w:val="left"/>
        <w:rPr>
          <w:spacing w:val="-2"/>
          <w:szCs w:val="22"/>
        </w:rPr>
      </w:pPr>
      <w:r>
        <w:t xml:space="preserve">We find the Local Orders to be unreasonable with respect to the </w:t>
      </w:r>
      <w:r w:rsidR="00C54913">
        <w:t xml:space="preserve">restriction on </w:t>
      </w:r>
      <w:r w:rsidRPr="00FE5FD7">
        <w:t xml:space="preserve">separate pricing of aggregated </w:t>
      </w:r>
      <w:r w:rsidR="00430002">
        <w:t xml:space="preserve">basic-only </w:t>
      </w:r>
      <w:r w:rsidRPr="00FE5FD7">
        <w:t xml:space="preserve">converters.  </w:t>
      </w:r>
      <w:r w:rsidR="00430002">
        <w:t xml:space="preserve">Our aggregation rules </w:t>
      </w:r>
      <w:r w:rsidR="00430002" w:rsidRPr="00430002">
        <w:t xml:space="preserve">permit an operator to aggregate </w:t>
      </w:r>
      <w:r w:rsidR="0059235B">
        <w:t xml:space="preserve">the </w:t>
      </w:r>
      <w:r w:rsidR="00430002" w:rsidRPr="00430002">
        <w:t>costs of basic-only subscribers' equipment</w:t>
      </w:r>
      <w:r w:rsidR="0018000C">
        <w:t>.</w:t>
      </w:r>
      <w:r w:rsidR="00430002">
        <w:rPr>
          <w:rStyle w:val="FootnoteReference"/>
        </w:rPr>
        <w:footnoteReference w:id="20"/>
      </w:r>
      <w:r w:rsidR="00C54913">
        <w:t xml:space="preserve">  However, the co</w:t>
      </w:r>
      <w:r w:rsidR="00C54913" w:rsidRPr="00C54913">
        <w:t>sts of equipment used by basic-only subscribers may not be aggregated with costs of equipment used by non-basic-only subscribers.</w:t>
      </w:r>
      <w:r w:rsidR="00C54913">
        <w:rPr>
          <w:rStyle w:val="FootnoteReference"/>
        </w:rPr>
        <w:footnoteReference w:id="21"/>
      </w:r>
      <w:r w:rsidR="00C54913">
        <w:t xml:space="preserve">  In its FCC Form 1205, Comcast aggregated its basic-only converters, including both </w:t>
      </w:r>
      <w:r w:rsidR="00C54913" w:rsidRPr="00C54913">
        <w:t>high definition (“HD”) and standard definition (“SD”)</w:t>
      </w:r>
      <w:r w:rsidR="00C54913">
        <w:t xml:space="preserve"> converters.  Comcast then set two different rates for its</w:t>
      </w:r>
      <w:r w:rsidR="00174A52">
        <w:t xml:space="preserve"> </w:t>
      </w:r>
      <w:r w:rsidR="00C54913">
        <w:t>converters</w:t>
      </w:r>
      <w:r w:rsidR="00A73D7B">
        <w:t xml:space="preserve">, both less than the maximum permitted rate </w:t>
      </w:r>
      <w:r w:rsidR="00AD55FE">
        <w:t>(“MPR”)</w:t>
      </w:r>
      <w:r w:rsidR="00072225">
        <w:t xml:space="preserve"> </w:t>
      </w:r>
      <w:r w:rsidR="00A73D7B">
        <w:t>calculated on the FCC Form 1205</w:t>
      </w:r>
      <w:r w:rsidR="00C54913">
        <w:t>.</w:t>
      </w:r>
    </w:p>
    <w:p w:rsidR="00AC5639" w:rsidRPr="00AC5639" w:rsidRDefault="00110EF7" w:rsidP="00E71EF5">
      <w:pPr>
        <w:pStyle w:val="ParaNum"/>
        <w:jc w:val="left"/>
        <w:rPr>
          <w:spacing w:val="-2"/>
          <w:szCs w:val="22"/>
        </w:rPr>
      </w:pPr>
      <w:r>
        <w:t xml:space="preserve">In the Local Orders, the </w:t>
      </w:r>
      <w:r w:rsidR="00DF16CC">
        <w:t xml:space="preserve">LFAs </w:t>
      </w:r>
      <w:r w:rsidR="009766E7">
        <w:t xml:space="preserve">require Comcast to file </w:t>
      </w:r>
      <w:r w:rsidR="00AC5639">
        <w:t xml:space="preserve">revised </w:t>
      </w:r>
      <w:r w:rsidR="009766E7">
        <w:t>FCC Form 1205</w:t>
      </w:r>
      <w:r w:rsidR="002142B5">
        <w:t>s</w:t>
      </w:r>
      <w:r w:rsidR="00AC5639">
        <w:t xml:space="preserve"> to </w:t>
      </w:r>
      <w:r w:rsidR="006467BF">
        <w:t xml:space="preserve">separately </w:t>
      </w:r>
      <w:r w:rsidR="00AC5639">
        <w:t xml:space="preserve">justify Comcast’s </w:t>
      </w:r>
      <w:r w:rsidR="00C54913">
        <w:t xml:space="preserve">selected </w:t>
      </w:r>
      <w:r w:rsidR="00FE5FD7">
        <w:t xml:space="preserve">rates </w:t>
      </w:r>
      <w:r w:rsidR="009766E7">
        <w:t xml:space="preserve">for </w:t>
      </w:r>
      <w:r w:rsidR="00FE5FD7" w:rsidRPr="00FE5FD7">
        <w:t>HD and SD</w:t>
      </w:r>
      <w:r w:rsidR="00FE5FD7">
        <w:t xml:space="preserve"> </w:t>
      </w:r>
      <w:r w:rsidR="009766E7">
        <w:t xml:space="preserve">converters used by subscribers to the basic tier (“basic-only converters”).  The LFAs argue that because Comcast aggregated </w:t>
      </w:r>
      <w:r w:rsidR="002142B5">
        <w:t xml:space="preserve">the costs of </w:t>
      </w:r>
      <w:r w:rsidR="001C056E">
        <w:t xml:space="preserve">its </w:t>
      </w:r>
      <w:r w:rsidR="00FE5FD7">
        <w:t xml:space="preserve">HD and SD </w:t>
      </w:r>
      <w:r w:rsidR="009766E7">
        <w:t>basic-only c</w:t>
      </w:r>
      <w:r w:rsidR="002142B5">
        <w:t xml:space="preserve">onverters in its FCC Form 1205 and calculated a single </w:t>
      </w:r>
      <w:r w:rsidR="004F0A76">
        <w:t>MPR</w:t>
      </w:r>
      <w:r w:rsidR="00FE5FD7">
        <w:t xml:space="preserve"> for basic-only converters</w:t>
      </w:r>
      <w:r w:rsidR="002142B5">
        <w:t xml:space="preserve">, it cannot charge separate rates for its HD and SD </w:t>
      </w:r>
      <w:r w:rsidR="0025470D">
        <w:t xml:space="preserve">basic-only </w:t>
      </w:r>
      <w:r w:rsidR="002142B5">
        <w:t>converters.</w:t>
      </w:r>
      <w:r w:rsidR="001722B5">
        <w:rPr>
          <w:rStyle w:val="FootnoteReference"/>
        </w:rPr>
        <w:footnoteReference w:id="22"/>
      </w:r>
      <w:r w:rsidR="002142B5">
        <w:t xml:space="preserve"> </w:t>
      </w:r>
      <w:r w:rsidR="001722B5">
        <w:t xml:space="preserve"> </w:t>
      </w:r>
      <w:r w:rsidR="00FB3236">
        <w:t xml:space="preserve">In the Local Orders, the LFAs do not challenge </w:t>
      </w:r>
      <w:r w:rsidR="004203F8">
        <w:t>Comcast</w:t>
      </w:r>
      <w:r w:rsidR="00FB3236">
        <w:t xml:space="preserve">’s aggregation of its basic-only converters but challenge Comcast’s ability to charge </w:t>
      </w:r>
      <w:r w:rsidR="00AD55FE">
        <w:t xml:space="preserve">different </w:t>
      </w:r>
      <w:r w:rsidR="00FB3236">
        <w:t>prices for the converters once a single MPR has been calculated.</w:t>
      </w:r>
      <w:r w:rsidR="00C116A4">
        <w:rPr>
          <w:rStyle w:val="FootnoteReference"/>
        </w:rPr>
        <w:footnoteReference w:id="23"/>
      </w:r>
      <w:r w:rsidR="00FB3236">
        <w:t xml:space="preserve">  Comcast</w:t>
      </w:r>
      <w:r w:rsidR="004203F8">
        <w:t xml:space="preserve"> </w:t>
      </w:r>
      <w:r w:rsidR="004F0A76">
        <w:t>claims that its equipment aggregating and discounting practices are fully consistent with Commission rules and precedent.</w:t>
      </w:r>
      <w:r w:rsidR="00D105C5">
        <w:rPr>
          <w:rStyle w:val="FootnoteReference"/>
        </w:rPr>
        <w:footnoteReference w:id="24"/>
      </w:r>
      <w:r w:rsidR="004F0A76">
        <w:t xml:space="preserve"> </w:t>
      </w:r>
    </w:p>
    <w:p w:rsidR="007B46BF" w:rsidRPr="007B46BF" w:rsidRDefault="00FB3236" w:rsidP="00E71EF5">
      <w:pPr>
        <w:pStyle w:val="ParaNum"/>
        <w:jc w:val="left"/>
        <w:rPr>
          <w:spacing w:val="-2"/>
          <w:szCs w:val="22"/>
        </w:rPr>
      </w:pPr>
      <w:r>
        <w:t xml:space="preserve">We have previously </w:t>
      </w:r>
      <w:r w:rsidR="00AD55FE">
        <w:t xml:space="preserve">addressed </w:t>
      </w:r>
      <w:r>
        <w:t xml:space="preserve">the issue of separate pricing of aggregated equipment </w:t>
      </w:r>
      <w:r w:rsidR="00C116A4">
        <w:t>in the context of non-ba</w:t>
      </w:r>
      <w:r>
        <w:t>sic-only equipment.  Significantly, we stated that once equipment has been aggregated, a cable operator “is under no specific obligation to charge the same price for each item of equipment that, on its Form 1205, is aggregated.”</w:t>
      </w:r>
      <w:r>
        <w:rPr>
          <w:rStyle w:val="FootnoteReference"/>
        </w:rPr>
        <w:footnoteReference w:id="25"/>
      </w:r>
      <w:r w:rsidR="00C116A4">
        <w:t xml:space="preserve">  Subsequently, </w:t>
      </w:r>
      <w:r w:rsidR="00A2523E">
        <w:t xml:space="preserve">we re-affirmed </w:t>
      </w:r>
      <w:r w:rsidR="00A2523E" w:rsidRPr="00A2523E">
        <w:t xml:space="preserve">that holding and </w:t>
      </w:r>
      <w:r w:rsidR="00A2523E">
        <w:t xml:space="preserve">found </w:t>
      </w:r>
      <w:r w:rsidR="00A2523E" w:rsidRPr="00A2523E">
        <w:t xml:space="preserve">that </w:t>
      </w:r>
      <w:r w:rsidR="00A2523E">
        <w:t>a cable operator is</w:t>
      </w:r>
      <w:r w:rsidR="00A2523E" w:rsidRPr="00A2523E">
        <w:t xml:space="preserve"> </w:t>
      </w:r>
      <w:r w:rsidR="00A2523E">
        <w:t>“</w:t>
      </w:r>
      <w:r w:rsidR="00A2523E" w:rsidRPr="00A2523E">
        <w:t>not obliged to establish a particular relationship between the rates for its different kinds of aggregated converters.</w:t>
      </w:r>
      <w:r w:rsidR="00A2523E">
        <w:t>”</w:t>
      </w:r>
      <w:r w:rsidR="00A2523E">
        <w:rPr>
          <w:rStyle w:val="FootnoteReference"/>
        </w:rPr>
        <w:footnoteReference w:id="26"/>
      </w:r>
      <w:r w:rsidR="00B023E0">
        <w:t xml:space="preserve">  In other words, once several pieces of equipment of a single type </w:t>
      </w:r>
      <w:r w:rsidR="003E6CF5">
        <w:t>(</w:t>
      </w:r>
      <w:r w:rsidR="00AD55FE">
        <w:rPr>
          <w:i/>
        </w:rPr>
        <w:t>e.g.,</w:t>
      </w:r>
      <w:r w:rsidR="003E6CF5">
        <w:t xml:space="preserve"> converter</w:t>
      </w:r>
      <w:r w:rsidR="00AD55FE">
        <w:t xml:space="preserve"> box</w:t>
      </w:r>
      <w:r w:rsidR="003E6CF5">
        <w:t xml:space="preserve">) </w:t>
      </w:r>
      <w:r w:rsidR="00B023E0">
        <w:t>have been</w:t>
      </w:r>
      <w:r w:rsidR="003E6CF5">
        <w:t xml:space="preserve"> grouped together and averaged to determine a single </w:t>
      </w:r>
      <w:r w:rsidR="00564A8C">
        <w:t>MPR</w:t>
      </w:r>
      <w:r w:rsidR="003E6CF5">
        <w:t xml:space="preserve">, </w:t>
      </w:r>
      <w:r w:rsidR="00072225">
        <w:t>there is no requirement that a single rate be charged for the equipment or that different rates charged remain in the same proportion to each other as the costs of the equipment.</w:t>
      </w:r>
      <w:r w:rsidR="003E6CF5">
        <w:t xml:space="preserve">  As long as all charges per unit are under or equal to the </w:t>
      </w:r>
      <w:r w:rsidR="00564A8C">
        <w:t>MPR</w:t>
      </w:r>
      <w:r w:rsidR="003E6CF5">
        <w:t>, and the pricing scheme is not discriminatory,</w:t>
      </w:r>
      <w:r w:rsidR="00496D61">
        <w:rPr>
          <w:rStyle w:val="FootnoteReference"/>
        </w:rPr>
        <w:footnoteReference w:id="27"/>
      </w:r>
      <w:r w:rsidR="003E6CF5">
        <w:t xml:space="preserve"> our rules do not prohibit </w:t>
      </w:r>
      <w:r w:rsidR="00155EA4">
        <w:t xml:space="preserve">different </w:t>
      </w:r>
      <w:r w:rsidR="003E6CF5">
        <w:t xml:space="preserve">charges for separate classes of converters. </w:t>
      </w:r>
      <w:r w:rsidR="00A2523E" w:rsidRPr="00A2523E">
        <w:t xml:space="preserve"> </w:t>
      </w:r>
      <w:r w:rsidR="007B46BF">
        <w:t xml:space="preserve"> </w:t>
      </w:r>
      <w:r w:rsidR="00155EA4">
        <w:t>Although t</w:t>
      </w:r>
      <w:r w:rsidR="00283CED">
        <w:t xml:space="preserve">he equipment </w:t>
      </w:r>
      <w:r w:rsidR="00155EA4">
        <w:t xml:space="preserve">at issue </w:t>
      </w:r>
      <w:r w:rsidR="00283CED">
        <w:t xml:space="preserve">in </w:t>
      </w:r>
      <w:r w:rsidR="003E6CF5">
        <w:t>our prior orders</w:t>
      </w:r>
      <w:r w:rsidR="00283CED">
        <w:t xml:space="preserve"> was </w:t>
      </w:r>
      <w:r w:rsidR="00EC30CE">
        <w:t xml:space="preserve">non-basic-only equipment, </w:t>
      </w:r>
      <w:r w:rsidR="00283CED">
        <w:t xml:space="preserve">the same rationale applies to the </w:t>
      </w:r>
      <w:r w:rsidR="003E6CF5">
        <w:t xml:space="preserve">basic-only </w:t>
      </w:r>
      <w:r w:rsidR="00283CED">
        <w:t>equipment here</w:t>
      </w:r>
      <w:r w:rsidR="00EC30CE">
        <w:t xml:space="preserve">.  </w:t>
      </w:r>
      <w:r w:rsidR="004F0B0C">
        <w:t>T</w:t>
      </w:r>
      <w:r w:rsidR="00EC30CE">
        <w:t xml:space="preserve">he </w:t>
      </w:r>
      <w:r w:rsidR="00283CED">
        <w:t xml:space="preserve">establishment of </w:t>
      </w:r>
      <w:r w:rsidR="00072225">
        <w:t xml:space="preserve">different </w:t>
      </w:r>
      <w:r w:rsidR="00EC30CE">
        <w:t>pric</w:t>
      </w:r>
      <w:r w:rsidR="00283CED">
        <w:t>es for</w:t>
      </w:r>
      <w:r w:rsidR="00EC30CE">
        <w:t xml:space="preserve"> aggregated equipment is not </w:t>
      </w:r>
      <w:r w:rsidR="00283CED">
        <w:t>prohibited</w:t>
      </w:r>
      <w:r w:rsidR="002826BD">
        <w:t xml:space="preserve"> </w:t>
      </w:r>
      <w:r w:rsidR="00EC30CE">
        <w:t xml:space="preserve">under our rules. </w:t>
      </w:r>
      <w:r w:rsidR="00283CED">
        <w:t xml:space="preserve">The only relevant </w:t>
      </w:r>
      <w:r w:rsidR="009C483B">
        <w:t>requirement is that a</w:t>
      </w:r>
      <w:r w:rsidR="00330C0A">
        <w:t>ll of the separate prices must be equal to or less than the calculated MPR.</w:t>
      </w:r>
    </w:p>
    <w:p w:rsidR="00DF3959" w:rsidRPr="00EC30CE" w:rsidRDefault="007B46BF" w:rsidP="00E71EF5">
      <w:pPr>
        <w:pStyle w:val="ParaNum"/>
        <w:jc w:val="left"/>
        <w:rPr>
          <w:spacing w:val="-2"/>
          <w:szCs w:val="22"/>
        </w:rPr>
      </w:pPr>
      <w:r w:rsidRPr="007B46BF">
        <w:t xml:space="preserve">In the Local Orders, the LFAs </w:t>
      </w:r>
      <w:r>
        <w:t xml:space="preserve">also </w:t>
      </w:r>
      <w:r w:rsidRPr="007B46BF">
        <w:t>require Comcast to file revised FCC Form 1205s to</w:t>
      </w:r>
      <w:r w:rsidR="009D32D9">
        <w:t xml:space="preserve"> separately</w:t>
      </w:r>
      <w:r w:rsidRPr="007B46BF">
        <w:t xml:space="preserve"> justify Comcast’s charges for </w:t>
      </w:r>
      <w:r w:rsidR="0018000C">
        <w:t xml:space="preserve">specific models of </w:t>
      </w:r>
      <w:r w:rsidRPr="007B46BF">
        <w:t xml:space="preserve">converters used by subscribers to </w:t>
      </w:r>
      <w:r w:rsidR="009D32D9">
        <w:t>non-</w:t>
      </w:r>
      <w:r w:rsidRPr="007B46BF">
        <w:t>basic</w:t>
      </w:r>
      <w:r>
        <w:t xml:space="preserve"> tier</w:t>
      </w:r>
      <w:r w:rsidR="009D32D9">
        <w:t>s</w:t>
      </w:r>
      <w:r>
        <w:t xml:space="preserve"> of service</w:t>
      </w:r>
      <w:r w:rsidRPr="007B46BF">
        <w:t xml:space="preserve"> </w:t>
      </w:r>
      <w:r>
        <w:t>(“</w:t>
      </w:r>
      <w:r w:rsidRPr="007B46BF">
        <w:t>non-basic-only converters</w:t>
      </w:r>
      <w:r>
        <w:t xml:space="preserve">”).  Comcast denies that it is charging </w:t>
      </w:r>
      <w:r w:rsidR="00496D61">
        <w:t>different</w:t>
      </w:r>
      <w:r>
        <w:t xml:space="preserve"> prices for </w:t>
      </w:r>
      <w:r w:rsidR="0018000C">
        <w:t xml:space="preserve">different models of </w:t>
      </w:r>
      <w:r>
        <w:t>non-basic-only converter</w:t>
      </w:r>
      <w:r w:rsidR="00B320F9">
        <w:t>s</w:t>
      </w:r>
      <w:r w:rsidR="006C7208">
        <w:t>.</w:t>
      </w:r>
      <w:r w:rsidR="00D105C5">
        <w:rPr>
          <w:rStyle w:val="FootnoteReference"/>
        </w:rPr>
        <w:footnoteReference w:id="28"/>
      </w:r>
      <w:r>
        <w:t xml:space="preserve">  </w:t>
      </w:r>
      <w:r w:rsidR="0018000C">
        <w:t>We need not resolve the factual dispute as to whether Comcast charges different prices for different models of converter boxes in the communities because,</w:t>
      </w:r>
      <w:r>
        <w:t xml:space="preserve"> a</w:t>
      </w:r>
      <w:r w:rsidR="00C81494">
        <w:t xml:space="preserve">s we previously stated in the orders cited above, </w:t>
      </w:r>
      <w:r w:rsidR="006B4542">
        <w:t xml:space="preserve">our rules do not </w:t>
      </w:r>
      <w:r w:rsidR="00476DBA">
        <w:t>restrict</w:t>
      </w:r>
      <w:r w:rsidR="00C81494">
        <w:t xml:space="preserve"> the separate pricing of </w:t>
      </w:r>
      <w:r>
        <w:t>aggregated</w:t>
      </w:r>
      <w:r w:rsidR="00C81494">
        <w:t xml:space="preserve"> converters</w:t>
      </w:r>
      <w:r w:rsidR="00B320F9">
        <w:t xml:space="preserve"> as long as all rates are less than or equal to the calculated MPR</w:t>
      </w:r>
      <w:r w:rsidR="00C81494">
        <w:t xml:space="preserve">.  </w:t>
      </w:r>
      <w:r w:rsidR="00EC30CE">
        <w:t>For this reason, we find the Local Orders to be inconsistent with our precedent and therefore unreasonable with respect to this issue.</w:t>
      </w:r>
    </w:p>
    <w:p w:rsidR="00643CFC" w:rsidRDefault="00F632C4" w:rsidP="00E71EF5">
      <w:pPr>
        <w:pStyle w:val="Heading1"/>
        <w:numPr>
          <w:ilvl w:val="0"/>
          <w:numId w:val="0"/>
        </w:numPr>
        <w:ind w:left="720"/>
        <w:jc w:val="left"/>
        <w:rPr>
          <w:spacing w:val="-2"/>
          <w:szCs w:val="22"/>
        </w:rPr>
      </w:pPr>
      <w:r>
        <w:t>C.</w:t>
      </w:r>
      <w:r>
        <w:tab/>
      </w:r>
      <w:r w:rsidR="00643CFC" w:rsidRPr="00643CFC">
        <w:t>EQUIPMENT</w:t>
      </w:r>
      <w:r w:rsidR="00643CFC">
        <w:rPr>
          <w:spacing w:val="-2"/>
          <w:szCs w:val="22"/>
        </w:rPr>
        <w:t xml:space="preserve"> </w:t>
      </w:r>
      <w:r w:rsidR="00643CFC" w:rsidRPr="00643CFC">
        <w:t>UNBUNDLING</w:t>
      </w:r>
    </w:p>
    <w:p w:rsidR="00643CFC" w:rsidRPr="00643CFC" w:rsidRDefault="004D0C03" w:rsidP="00E71EF5">
      <w:pPr>
        <w:pStyle w:val="ParaNum"/>
        <w:jc w:val="left"/>
      </w:pPr>
      <w:r>
        <w:t xml:space="preserve">We find the Local Orders to be reasonable with respect to </w:t>
      </w:r>
      <w:r w:rsidR="00816B61">
        <w:t xml:space="preserve">the </w:t>
      </w:r>
      <w:r>
        <w:t>unbundling</w:t>
      </w:r>
      <w:r w:rsidR="00111D88">
        <w:t xml:space="preserve"> </w:t>
      </w:r>
      <w:r w:rsidR="00816B61">
        <w:t xml:space="preserve">of </w:t>
      </w:r>
      <w:r>
        <w:t xml:space="preserve">equipment and service prices.  </w:t>
      </w:r>
      <w:r w:rsidR="001A7C2A">
        <w:t xml:space="preserve">In the Local Orders, the LFAs require Comcast to remove all costs for regulated </w:t>
      </w:r>
      <w:r w:rsidR="00AC74FC">
        <w:t>equipment from</w:t>
      </w:r>
      <w:r w:rsidR="001A7C2A">
        <w:t xml:space="preserve"> </w:t>
      </w:r>
      <w:r w:rsidR="00CD1E39">
        <w:t xml:space="preserve">charges </w:t>
      </w:r>
      <w:r w:rsidR="001A7C2A">
        <w:t>Comcast</w:t>
      </w:r>
      <w:r w:rsidR="00CD1E39">
        <w:t xml:space="preserve"> identifies as the</w:t>
      </w:r>
      <w:r w:rsidR="00F8169C">
        <w:t xml:space="preserve"> </w:t>
      </w:r>
      <w:r w:rsidR="001A7C2A">
        <w:t>HD Technology Fee, HD DVR Service Fee</w:t>
      </w:r>
      <w:r w:rsidR="00C14707">
        <w:t>,</w:t>
      </w:r>
      <w:r w:rsidR="001A7C2A">
        <w:t xml:space="preserve"> and Digital Adapter Additional Outlet Service Fee.  In its Consolidated </w:t>
      </w:r>
      <w:r w:rsidR="00D105C5">
        <w:t>Reply</w:t>
      </w:r>
      <w:r w:rsidR="001A7C2A">
        <w:t xml:space="preserve">, Comcast offers to separately identify any equipment fees that </w:t>
      </w:r>
      <w:r w:rsidR="00AC74FC">
        <w:t>are</w:t>
      </w:r>
      <w:r w:rsidR="001A7C2A">
        <w:t xml:space="preserve"> included in its service bundles</w:t>
      </w:r>
      <w:r w:rsidR="00AC74FC">
        <w:t xml:space="preserve"> and claims that some of its services do not have an “equipment component.”</w:t>
      </w:r>
      <w:r w:rsidR="006F2DFB">
        <w:rPr>
          <w:rStyle w:val="FootnoteReference"/>
          <w:spacing w:val="-2"/>
          <w:szCs w:val="22"/>
        </w:rPr>
        <w:footnoteReference w:id="29"/>
      </w:r>
      <w:r w:rsidR="00AC74FC">
        <w:t xml:space="preserve">  Comcast also argues that</w:t>
      </w:r>
      <w:r w:rsidR="009C483B">
        <w:t>,</w:t>
      </w:r>
      <w:r w:rsidR="00AC74FC">
        <w:t xml:space="preserve"> because the service packages are unregulated, the equipment component need not be separately stated.</w:t>
      </w:r>
      <w:r w:rsidR="006F2DFB">
        <w:rPr>
          <w:rStyle w:val="FootnoteReference"/>
        </w:rPr>
        <w:footnoteReference w:id="30"/>
      </w:r>
      <w:r w:rsidR="00AC74FC">
        <w:t xml:space="preserve">  The LFAs respond that each </w:t>
      </w:r>
      <w:r w:rsidR="00816B61">
        <w:t xml:space="preserve">of the </w:t>
      </w:r>
      <w:r w:rsidR="00AC74FC">
        <w:t>service fee</w:t>
      </w:r>
      <w:r w:rsidR="00816B61">
        <w:t>s</w:t>
      </w:r>
      <w:r w:rsidR="00AC74FC">
        <w:t xml:space="preserve"> has at some point included equipment as part of its package</w:t>
      </w:r>
      <w:r w:rsidR="00496D61">
        <w:t xml:space="preserve"> even if the name of the fee doesn’t reflect the inclusion of equipment</w:t>
      </w:r>
      <w:r w:rsidR="00AC74FC">
        <w:t>.</w:t>
      </w:r>
      <w:r w:rsidR="006F2DFB">
        <w:rPr>
          <w:rStyle w:val="FootnoteReference"/>
        </w:rPr>
        <w:footnoteReference w:id="31"/>
      </w:r>
    </w:p>
    <w:p w:rsidR="00F849C2" w:rsidRDefault="00B85FEA" w:rsidP="00E71EF5">
      <w:pPr>
        <w:pStyle w:val="ParaNum"/>
        <w:jc w:val="left"/>
      </w:pPr>
      <w:r>
        <w:t xml:space="preserve">  </w:t>
      </w:r>
      <w:r w:rsidR="00805A35" w:rsidRPr="00805A35">
        <w:t>Section 76.923(b) of the Commission’s rules requires cable operators to establish separate equipment and programming rates when setting initial regulated rates, by first unbundling</w:t>
      </w:r>
      <w:r w:rsidR="009C483B">
        <w:t xml:space="preserve"> (or separating)</w:t>
      </w:r>
      <w:r w:rsidR="00805A35" w:rsidRPr="00805A35">
        <w:t xml:space="preserve"> equipment costs from total regulated revenues.</w:t>
      </w:r>
      <w:r w:rsidR="00805A35" w:rsidRPr="004D4726">
        <w:rPr>
          <w:rStyle w:val="FootnoteReference"/>
        </w:rPr>
        <w:footnoteReference w:id="32"/>
      </w:r>
      <w:r>
        <w:t xml:space="preserve">  </w:t>
      </w:r>
      <w:r w:rsidR="002826BD">
        <w:t xml:space="preserve">As noted above, </w:t>
      </w:r>
      <w:r w:rsidR="004D0C03">
        <w:t xml:space="preserve">regulated </w:t>
      </w:r>
      <w:r w:rsidR="002826BD" w:rsidRPr="002826BD">
        <w:rPr>
          <w:spacing w:val="-2"/>
          <w:szCs w:val="22"/>
        </w:rPr>
        <w:t>cable operators computed their total regulated revenue per subscriber</w:t>
      </w:r>
      <w:r w:rsidR="002826BD">
        <w:rPr>
          <w:spacing w:val="-2"/>
          <w:szCs w:val="22"/>
        </w:rPr>
        <w:t xml:space="preserve">, adjusted this revenue to reflect competitive rates, and then removed </w:t>
      </w:r>
      <w:r w:rsidR="002826BD" w:rsidRPr="002826BD">
        <w:rPr>
          <w:spacing w:val="-2"/>
          <w:szCs w:val="22"/>
        </w:rPr>
        <w:t xml:space="preserve">equipment and installation costs </w:t>
      </w:r>
      <w:r w:rsidR="002826BD">
        <w:rPr>
          <w:spacing w:val="-2"/>
          <w:szCs w:val="22"/>
        </w:rPr>
        <w:t xml:space="preserve">from the reduced revenue.  This unbundling of equipment </w:t>
      </w:r>
      <w:r w:rsidR="009D32D9">
        <w:rPr>
          <w:spacing w:val="-2"/>
          <w:szCs w:val="22"/>
        </w:rPr>
        <w:t xml:space="preserve">from </w:t>
      </w:r>
      <w:r w:rsidR="002826BD">
        <w:rPr>
          <w:spacing w:val="-2"/>
          <w:szCs w:val="22"/>
        </w:rPr>
        <w:t xml:space="preserve">service allowed equipment rates to be determined using a </w:t>
      </w:r>
      <w:r w:rsidR="002826BD" w:rsidRPr="002826BD">
        <w:rPr>
          <w:spacing w:val="-2"/>
          <w:szCs w:val="22"/>
        </w:rPr>
        <w:t>cost-based methodology</w:t>
      </w:r>
      <w:r w:rsidR="00BD14AC">
        <w:rPr>
          <w:spacing w:val="-2"/>
          <w:szCs w:val="22"/>
        </w:rPr>
        <w:t xml:space="preserve">, </w:t>
      </w:r>
      <w:r w:rsidR="00900232">
        <w:rPr>
          <w:spacing w:val="-2"/>
          <w:szCs w:val="22"/>
        </w:rPr>
        <w:t xml:space="preserve">as required by the Cable Act.  </w:t>
      </w:r>
      <w:r w:rsidR="00BD14AC">
        <w:rPr>
          <w:spacing w:val="-2"/>
          <w:szCs w:val="22"/>
        </w:rPr>
        <w:t>T</w:t>
      </w:r>
      <w:r w:rsidR="00900232">
        <w:rPr>
          <w:spacing w:val="-2"/>
          <w:szCs w:val="22"/>
        </w:rPr>
        <w:t xml:space="preserve">he statutory scheme of cost-based equipment prices and competitive service rates </w:t>
      </w:r>
      <w:r w:rsidR="00BD14AC">
        <w:rPr>
          <w:spacing w:val="-2"/>
          <w:szCs w:val="22"/>
        </w:rPr>
        <w:t>has not</w:t>
      </w:r>
      <w:r w:rsidR="0012197B">
        <w:rPr>
          <w:spacing w:val="-2"/>
          <w:szCs w:val="22"/>
        </w:rPr>
        <w:t xml:space="preserve"> </w:t>
      </w:r>
      <w:r w:rsidR="00900232">
        <w:rPr>
          <w:spacing w:val="-2"/>
          <w:szCs w:val="22"/>
        </w:rPr>
        <w:t>changed</w:t>
      </w:r>
      <w:r w:rsidR="00BD14AC">
        <w:rPr>
          <w:spacing w:val="-2"/>
          <w:szCs w:val="22"/>
        </w:rPr>
        <w:t>; thus the unbundling requirement remains in effect today</w:t>
      </w:r>
      <w:r w:rsidR="00AC74FC">
        <w:t>.</w:t>
      </w:r>
      <w:r w:rsidR="00000C01">
        <w:rPr>
          <w:rStyle w:val="FootnoteReference"/>
          <w:spacing w:val="-2"/>
          <w:szCs w:val="22"/>
        </w:rPr>
        <w:footnoteReference w:id="33"/>
      </w:r>
      <w:r w:rsidR="00AC74FC">
        <w:t xml:space="preserve"> </w:t>
      </w:r>
      <w:r w:rsidR="00F25F67">
        <w:t xml:space="preserve"> </w:t>
      </w:r>
      <w:r w:rsidR="00BD14AC">
        <w:t xml:space="preserve">Further, </w:t>
      </w:r>
      <w:r w:rsidR="00805A35" w:rsidRPr="00805A35">
        <w:t xml:space="preserve">Section 629(a) </w:t>
      </w:r>
      <w:r w:rsidR="00F849C2">
        <w:t xml:space="preserve">of the Cable Act </w:t>
      </w:r>
      <w:r w:rsidR="00805A35" w:rsidRPr="00805A35">
        <w:t>allows multichannel video programming distributors, including cable operators, to offer subscriber premises equipment for accessing multichannel video programming and other services offered over the system "if the system operator’s charges to consumers for such devices and equipment are separately stated and not subsidized by charges for any such service."</w:t>
      </w:r>
      <w:r w:rsidR="00805A35" w:rsidRPr="004D4726">
        <w:rPr>
          <w:rStyle w:val="FootnoteReference"/>
        </w:rPr>
        <w:footnoteReference w:id="34"/>
      </w:r>
    </w:p>
    <w:p w:rsidR="006B13E1" w:rsidRDefault="006651BF" w:rsidP="00E71EF5">
      <w:pPr>
        <w:pStyle w:val="ParaNum"/>
        <w:jc w:val="left"/>
        <w:rPr>
          <w:spacing w:val="-2"/>
          <w:szCs w:val="22"/>
        </w:rPr>
      </w:pPr>
      <w:r>
        <w:rPr>
          <w:spacing w:val="-2"/>
          <w:szCs w:val="22"/>
        </w:rPr>
        <w:t>Although</w:t>
      </w:r>
      <w:r w:rsidR="001F1129">
        <w:rPr>
          <w:spacing w:val="-2"/>
          <w:szCs w:val="22"/>
        </w:rPr>
        <w:t xml:space="preserve"> Congress sunset regulation of the </w:t>
      </w:r>
      <w:r>
        <w:rPr>
          <w:spacing w:val="-2"/>
          <w:szCs w:val="22"/>
        </w:rPr>
        <w:t xml:space="preserve">cable programming services tier (“CPST”) for services provided after March 31, 1999, </w:t>
      </w:r>
      <w:r w:rsidR="001F1129">
        <w:rPr>
          <w:spacing w:val="-2"/>
          <w:szCs w:val="22"/>
        </w:rPr>
        <w:t xml:space="preserve">LFAs </w:t>
      </w:r>
      <w:r>
        <w:rPr>
          <w:spacing w:val="-2"/>
          <w:szCs w:val="22"/>
        </w:rPr>
        <w:t xml:space="preserve">were allowed to continue </w:t>
      </w:r>
      <w:r w:rsidR="001F1129">
        <w:rPr>
          <w:spacing w:val="-2"/>
          <w:szCs w:val="22"/>
        </w:rPr>
        <w:t xml:space="preserve">to regulate the </w:t>
      </w:r>
      <w:r>
        <w:rPr>
          <w:spacing w:val="-2"/>
          <w:szCs w:val="22"/>
        </w:rPr>
        <w:t>BST</w:t>
      </w:r>
      <w:r w:rsidR="001F1129">
        <w:rPr>
          <w:spacing w:val="-2"/>
          <w:szCs w:val="22"/>
        </w:rPr>
        <w:t xml:space="preserve"> in systems not found to be subject to </w:t>
      </w:r>
      <w:r>
        <w:rPr>
          <w:spacing w:val="-2"/>
          <w:szCs w:val="22"/>
        </w:rPr>
        <w:t>effective competition.</w:t>
      </w:r>
      <w:r>
        <w:rPr>
          <w:rStyle w:val="FootnoteReference"/>
          <w:spacing w:val="-2"/>
          <w:szCs w:val="22"/>
        </w:rPr>
        <w:footnoteReference w:id="35"/>
      </w:r>
      <w:r w:rsidR="00F849C2">
        <w:rPr>
          <w:spacing w:val="-2"/>
          <w:szCs w:val="22"/>
        </w:rPr>
        <w:t xml:space="preserve">  For </w:t>
      </w:r>
      <w:r w:rsidR="007B44DE">
        <w:rPr>
          <w:spacing w:val="-2"/>
          <w:szCs w:val="22"/>
        </w:rPr>
        <w:t xml:space="preserve">regulated </w:t>
      </w:r>
      <w:r w:rsidR="003014E7">
        <w:rPr>
          <w:spacing w:val="-2"/>
          <w:szCs w:val="22"/>
        </w:rPr>
        <w:t xml:space="preserve">cable </w:t>
      </w:r>
      <w:r w:rsidR="00F849C2">
        <w:rPr>
          <w:spacing w:val="-2"/>
          <w:szCs w:val="22"/>
        </w:rPr>
        <w:t>system</w:t>
      </w:r>
      <w:r w:rsidR="003014E7">
        <w:rPr>
          <w:spacing w:val="-2"/>
          <w:szCs w:val="22"/>
        </w:rPr>
        <w:t>s</w:t>
      </w:r>
      <w:r w:rsidR="00F849C2">
        <w:rPr>
          <w:spacing w:val="-2"/>
          <w:szCs w:val="22"/>
        </w:rPr>
        <w:t xml:space="preserve"> not foun</w:t>
      </w:r>
      <w:r w:rsidR="003014E7">
        <w:rPr>
          <w:spacing w:val="-2"/>
          <w:szCs w:val="22"/>
        </w:rPr>
        <w:t>d t</w:t>
      </w:r>
      <w:r w:rsidR="00F849C2">
        <w:rPr>
          <w:spacing w:val="-2"/>
          <w:szCs w:val="22"/>
        </w:rPr>
        <w:t xml:space="preserve">o be subject to effective competition, all customer premises equipment </w:t>
      </w:r>
      <w:r w:rsidR="009C483B">
        <w:rPr>
          <w:spacing w:val="-2"/>
          <w:szCs w:val="22"/>
        </w:rPr>
        <w:t xml:space="preserve">used to receive the BST </w:t>
      </w:r>
      <w:r w:rsidR="00F849C2">
        <w:rPr>
          <w:spacing w:val="-2"/>
          <w:szCs w:val="22"/>
        </w:rPr>
        <w:t>remained</w:t>
      </w:r>
      <w:r w:rsidR="007B44DE">
        <w:rPr>
          <w:spacing w:val="-2"/>
          <w:szCs w:val="22"/>
        </w:rPr>
        <w:t xml:space="preserve"> regulated</w:t>
      </w:r>
      <w:r w:rsidR="00F849C2">
        <w:rPr>
          <w:spacing w:val="-2"/>
          <w:szCs w:val="22"/>
        </w:rPr>
        <w:t xml:space="preserve">, but service charges for </w:t>
      </w:r>
      <w:r w:rsidR="00B6714A">
        <w:rPr>
          <w:spacing w:val="-2"/>
          <w:szCs w:val="22"/>
        </w:rPr>
        <w:t xml:space="preserve">the </w:t>
      </w:r>
      <w:r w:rsidR="00F849C2">
        <w:rPr>
          <w:spacing w:val="-2"/>
          <w:szCs w:val="22"/>
        </w:rPr>
        <w:t>CPST</w:t>
      </w:r>
      <w:r w:rsidR="007B44DE">
        <w:rPr>
          <w:spacing w:val="-2"/>
          <w:szCs w:val="22"/>
        </w:rPr>
        <w:t xml:space="preserve">s became unregulated.  </w:t>
      </w:r>
      <w:r w:rsidR="00F849C2">
        <w:rPr>
          <w:spacing w:val="-2"/>
          <w:szCs w:val="22"/>
        </w:rPr>
        <w:t xml:space="preserve">As a result, the Commission issued several decisions </w:t>
      </w:r>
      <w:r w:rsidR="000E1046">
        <w:rPr>
          <w:spacing w:val="-2"/>
          <w:szCs w:val="22"/>
        </w:rPr>
        <w:t>clarifying</w:t>
      </w:r>
      <w:r w:rsidR="003014E7">
        <w:rPr>
          <w:spacing w:val="-2"/>
          <w:szCs w:val="22"/>
        </w:rPr>
        <w:t xml:space="preserve"> that </w:t>
      </w:r>
      <w:r w:rsidR="007B44DE">
        <w:rPr>
          <w:spacing w:val="-2"/>
          <w:szCs w:val="22"/>
        </w:rPr>
        <w:t xml:space="preserve">certain </w:t>
      </w:r>
      <w:r w:rsidR="003014E7">
        <w:rPr>
          <w:spacing w:val="-2"/>
          <w:szCs w:val="22"/>
        </w:rPr>
        <w:t xml:space="preserve">non-BST services were </w:t>
      </w:r>
      <w:r w:rsidR="00921EA2">
        <w:rPr>
          <w:spacing w:val="-2"/>
          <w:szCs w:val="22"/>
        </w:rPr>
        <w:t xml:space="preserve">now </w:t>
      </w:r>
      <w:r w:rsidR="004D4726">
        <w:rPr>
          <w:spacing w:val="-2"/>
          <w:szCs w:val="22"/>
        </w:rPr>
        <w:t>unregulated services.</w:t>
      </w:r>
      <w:r w:rsidR="004D4726">
        <w:rPr>
          <w:rStyle w:val="FootnoteReference"/>
          <w:spacing w:val="-2"/>
          <w:szCs w:val="22"/>
        </w:rPr>
        <w:footnoteReference w:id="36"/>
      </w:r>
      <w:r>
        <w:rPr>
          <w:spacing w:val="-2"/>
          <w:szCs w:val="22"/>
        </w:rPr>
        <w:t xml:space="preserve">  </w:t>
      </w:r>
      <w:r w:rsidR="009D32D9">
        <w:rPr>
          <w:spacing w:val="-2"/>
          <w:szCs w:val="22"/>
        </w:rPr>
        <w:t>However, t</w:t>
      </w:r>
      <w:r w:rsidR="00E8728B">
        <w:rPr>
          <w:spacing w:val="-2"/>
          <w:szCs w:val="22"/>
        </w:rPr>
        <w:t>he e</w:t>
      </w:r>
      <w:r w:rsidR="004D4726">
        <w:rPr>
          <w:spacing w:val="-2"/>
          <w:szCs w:val="22"/>
        </w:rPr>
        <w:t>quipment</w:t>
      </w:r>
      <w:r w:rsidR="00E8728B">
        <w:rPr>
          <w:spacing w:val="-2"/>
          <w:szCs w:val="22"/>
        </w:rPr>
        <w:t xml:space="preserve"> regulations </w:t>
      </w:r>
      <w:r w:rsidR="007B44DE">
        <w:rPr>
          <w:spacing w:val="-2"/>
          <w:szCs w:val="22"/>
        </w:rPr>
        <w:t xml:space="preserve">still </w:t>
      </w:r>
      <w:r w:rsidR="00E8728B">
        <w:rPr>
          <w:spacing w:val="-2"/>
          <w:szCs w:val="22"/>
        </w:rPr>
        <w:t>apply to all the equipment in a subscriber’s home that is provided and ma</w:t>
      </w:r>
      <w:r w:rsidR="006B13E1">
        <w:rPr>
          <w:spacing w:val="-2"/>
          <w:szCs w:val="22"/>
        </w:rPr>
        <w:t xml:space="preserve">intained by the cable operator and </w:t>
      </w:r>
      <w:r w:rsidR="00E8728B">
        <w:rPr>
          <w:spacing w:val="-2"/>
          <w:szCs w:val="22"/>
        </w:rPr>
        <w:t xml:space="preserve">that is used to receive the BST, even if it </w:t>
      </w:r>
      <w:r w:rsidR="006B13E1">
        <w:rPr>
          <w:spacing w:val="-2"/>
          <w:szCs w:val="22"/>
        </w:rPr>
        <w:t xml:space="preserve">is </w:t>
      </w:r>
      <w:r w:rsidR="001F1129">
        <w:rPr>
          <w:spacing w:val="-2"/>
          <w:szCs w:val="22"/>
        </w:rPr>
        <w:t xml:space="preserve">also </w:t>
      </w:r>
      <w:r w:rsidR="006B13E1">
        <w:rPr>
          <w:spacing w:val="-2"/>
          <w:szCs w:val="22"/>
        </w:rPr>
        <w:t xml:space="preserve">used to </w:t>
      </w:r>
      <w:r w:rsidR="00E8728B">
        <w:rPr>
          <w:spacing w:val="-2"/>
          <w:szCs w:val="22"/>
        </w:rPr>
        <w:t xml:space="preserve">receive additional tiers of </w:t>
      </w:r>
      <w:r>
        <w:rPr>
          <w:spacing w:val="-2"/>
          <w:szCs w:val="22"/>
        </w:rPr>
        <w:t xml:space="preserve">unregulated </w:t>
      </w:r>
      <w:r w:rsidR="00E8728B">
        <w:rPr>
          <w:spacing w:val="-2"/>
          <w:szCs w:val="22"/>
        </w:rPr>
        <w:t>service</w:t>
      </w:r>
      <w:r>
        <w:rPr>
          <w:spacing w:val="-2"/>
          <w:szCs w:val="22"/>
        </w:rPr>
        <w:t>s</w:t>
      </w:r>
      <w:r w:rsidR="00E8728B">
        <w:rPr>
          <w:spacing w:val="-2"/>
          <w:szCs w:val="22"/>
        </w:rPr>
        <w:t>.</w:t>
      </w:r>
      <w:r w:rsidR="00E8728B">
        <w:rPr>
          <w:rStyle w:val="FootnoteReference"/>
          <w:spacing w:val="-2"/>
          <w:szCs w:val="22"/>
        </w:rPr>
        <w:footnoteReference w:id="37"/>
      </w:r>
      <w:r w:rsidR="007B44DE">
        <w:rPr>
          <w:spacing w:val="-2"/>
          <w:szCs w:val="22"/>
        </w:rPr>
        <w:t xml:space="preserve">  So, even as pricing schemes become more complex with the </w:t>
      </w:r>
      <w:r w:rsidR="00A71FC2">
        <w:rPr>
          <w:spacing w:val="-2"/>
          <w:szCs w:val="22"/>
        </w:rPr>
        <w:t xml:space="preserve">de-regulation of the CPSTs, the </w:t>
      </w:r>
      <w:r w:rsidR="007B44DE">
        <w:rPr>
          <w:spacing w:val="-2"/>
          <w:szCs w:val="22"/>
        </w:rPr>
        <w:t>digital transition</w:t>
      </w:r>
      <w:r w:rsidR="001F1129">
        <w:rPr>
          <w:spacing w:val="-2"/>
          <w:szCs w:val="22"/>
        </w:rPr>
        <w:t>,</w:t>
      </w:r>
      <w:r w:rsidR="007B44DE">
        <w:rPr>
          <w:spacing w:val="-2"/>
          <w:szCs w:val="22"/>
        </w:rPr>
        <w:t xml:space="preserve"> and the development of advanced technologies, regulated equipment rates must still be separately calculated and separately listed on rate cards.</w:t>
      </w:r>
    </w:p>
    <w:p w:rsidR="00643CFC" w:rsidRPr="001F1129" w:rsidRDefault="006B13E1">
      <w:pPr>
        <w:pStyle w:val="ParaNum"/>
        <w:jc w:val="left"/>
        <w:rPr>
          <w:spacing w:val="-2"/>
          <w:szCs w:val="22"/>
        </w:rPr>
      </w:pPr>
      <w:r>
        <w:rPr>
          <w:spacing w:val="-2"/>
          <w:szCs w:val="22"/>
        </w:rPr>
        <w:t xml:space="preserve">In light of our equipment unbundling and rate regulation rules, we find </w:t>
      </w:r>
      <w:r w:rsidRPr="006B13E1">
        <w:rPr>
          <w:spacing w:val="-2"/>
          <w:szCs w:val="22"/>
        </w:rPr>
        <w:t xml:space="preserve">the </w:t>
      </w:r>
      <w:r>
        <w:rPr>
          <w:spacing w:val="-2"/>
          <w:szCs w:val="22"/>
        </w:rPr>
        <w:t>LFAs</w:t>
      </w:r>
      <w:r w:rsidR="009C483B">
        <w:rPr>
          <w:spacing w:val="-2"/>
          <w:szCs w:val="22"/>
        </w:rPr>
        <w:t>’</w:t>
      </w:r>
      <w:r>
        <w:rPr>
          <w:spacing w:val="-2"/>
          <w:szCs w:val="22"/>
        </w:rPr>
        <w:t xml:space="preserve"> </w:t>
      </w:r>
      <w:r w:rsidRPr="006B13E1">
        <w:rPr>
          <w:spacing w:val="-2"/>
          <w:szCs w:val="22"/>
        </w:rPr>
        <w:t>require</w:t>
      </w:r>
      <w:r>
        <w:rPr>
          <w:spacing w:val="-2"/>
          <w:szCs w:val="22"/>
        </w:rPr>
        <w:t xml:space="preserve">ment that </w:t>
      </w:r>
      <w:r w:rsidRPr="006B13E1">
        <w:rPr>
          <w:spacing w:val="-2"/>
          <w:szCs w:val="22"/>
        </w:rPr>
        <w:t>Comcast remove all costs for regulated equipment from Comcast’s HD Technology Fee, HD DVR Service Fee</w:t>
      </w:r>
      <w:r w:rsidR="001F1129">
        <w:rPr>
          <w:spacing w:val="-2"/>
          <w:szCs w:val="22"/>
        </w:rPr>
        <w:t>,</w:t>
      </w:r>
      <w:r w:rsidRPr="006B13E1">
        <w:rPr>
          <w:spacing w:val="-2"/>
          <w:szCs w:val="22"/>
        </w:rPr>
        <w:t xml:space="preserve"> and Digital Adapte</w:t>
      </w:r>
      <w:r>
        <w:rPr>
          <w:spacing w:val="-2"/>
          <w:szCs w:val="22"/>
        </w:rPr>
        <w:t>r Additional Outlet Service Fee as stated in the Local Orders to be reasonable.</w:t>
      </w:r>
    </w:p>
    <w:p w:rsidR="00FF09E3" w:rsidRDefault="005508E5" w:rsidP="00E71EF5">
      <w:pPr>
        <w:pStyle w:val="Heading1"/>
        <w:jc w:val="left"/>
      </w:pPr>
      <w:r>
        <w:t>STAY PETITION</w:t>
      </w:r>
      <w:r w:rsidR="00C81494">
        <w:t>S</w:t>
      </w:r>
    </w:p>
    <w:p w:rsidR="00DB3B58" w:rsidRPr="00C81494" w:rsidRDefault="00C81494" w:rsidP="00E71EF5">
      <w:pPr>
        <w:pStyle w:val="ParaNum"/>
        <w:jc w:val="left"/>
        <w:rPr>
          <w:spacing w:val="-2"/>
          <w:szCs w:val="22"/>
        </w:rPr>
      </w:pPr>
      <w:r>
        <w:t xml:space="preserve">Because we decide herein the Consolidated Appeal on </w:t>
      </w:r>
      <w:r w:rsidR="001A7C2A">
        <w:t>its</w:t>
      </w:r>
      <w:r>
        <w:t xml:space="preserve"> merits, we decline to rule on the Stay Petitions and dismiss them as moot.   </w:t>
      </w:r>
      <w:r w:rsidR="00DB3B58" w:rsidRPr="00C81494">
        <w:rPr>
          <w:spacing w:val="-2"/>
          <w:szCs w:val="22"/>
        </w:rPr>
        <w:t xml:space="preserve"> </w:t>
      </w:r>
    </w:p>
    <w:p w:rsidR="00643CFC" w:rsidRDefault="00643CFC" w:rsidP="00E71EF5">
      <w:pPr>
        <w:pStyle w:val="Heading1"/>
        <w:jc w:val="left"/>
        <w:rPr>
          <w:spacing w:val="-2"/>
          <w:szCs w:val="22"/>
        </w:rPr>
      </w:pPr>
      <w:r w:rsidRPr="00643CFC">
        <w:t>ORDERING</w:t>
      </w:r>
      <w:r>
        <w:rPr>
          <w:spacing w:val="-2"/>
          <w:szCs w:val="22"/>
        </w:rPr>
        <w:t xml:space="preserve"> </w:t>
      </w:r>
      <w:r w:rsidRPr="00643CFC">
        <w:t>CLAUSES</w:t>
      </w:r>
    </w:p>
    <w:p w:rsidR="00A3624A" w:rsidRPr="00A3624A" w:rsidRDefault="00397FCC" w:rsidP="00E71EF5">
      <w:pPr>
        <w:pStyle w:val="ParaNum"/>
        <w:jc w:val="left"/>
        <w:rPr>
          <w:spacing w:val="-2"/>
          <w:szCs w:val="22"/>
        </w:rPr>
      </w:pPr>
      <w:r>
        <w:t xml:space="preserve">Accordingly, IT IS ORDERED that the </w:t>
      </w:r>
      <w:r w:rsidR="00A3624A">
        <w:t>Petition</w:t>
      </w:r>
      <w:r w:rsidR="00F81412">
        <w:t>s</w:t>
      </w:r>
      <w:r w:rsidR="00A3624A">
        <w:t xml:space="preserve"> for Emergency Stay </w:t>
      </w:r>
      <w:r w:rsidR="00F81412">
        <w:t>ARE</w:t>
      </w:r>
      <w:r w:rsidR="007F528B">
        <w:t xml:space="preserve"> </w:t>
      </w:r>
      <w:r w:rsidR="00190C79">
        <w:t>D</w:t>
      </w:r>
      <w:r w:rsidR="00643CFC">
        <w:t>ISMISSED</w:t>
      </w:r>
      <w:r>
        <w:t xml:space="preserve"> </w:t>
      </w:r>
      <w:r w:rsidR="00643CFC">
        <w:t>AS MOOT.</w:t>
      </w:r>
    </w:p>
    <w:p w:rsidR="007F528B" w:rsidRPr="00C81494" w:rsidRDefault="007F528B" w:rsidP="00E71EF5">
      <w:pPr>
        <w:pStyle w:val="ParaNum"/>
        <w:jc w:val="left"/>
        <w:rPr>
          <w:spacing w:val="-2"/>
          <w:szCs w:val="22"/>
        </w:rPr>
      </w:pPr>
      <w:r>
        <w:t>IT IS FURTHER ORDERED that the</w:t>
      </w:r>
      <w:r w:rsidR="009961A6">
        <w:t xml:space="preserve"> issue of the $5.99 convenience fee is dismissed, and</w:t>
      </w:r>
      <w:r w:rsidR="007D0D6D">
        <w:t>,</w:t>
      </w:r>
      <w:r w:rsidR="009961A6">
        <w:t xml:space="preserve"> to that extent, the </w:t>
      </w:r>
      <w:r w:rsidR="00C81494">
        <w:t>Consolidated</w:t>
      </w:r>
      <w:r w:rsidR="009A2FFB">
        <w:t xml:space="preserve"> </w:t>
      </w:r>
      <w:r w:rsidR="009961A6">
        <w:t xml:space="preserve">Appeal </w:t>
      </w:r>
      <w:r w:rsidR="009A2FFB">
        <w:t xml:space="preserve">IS </w:t>
      </w:r>
      <w:r w:rsidR="00A46AED">
        <w:t>DISMISSED</w:t>
      </w:r>
      <w:r w:rsidR="009961A6">
        <w:t xml:space="preserve"> IN PART</w:t>
      </w:r>
      <w:r>
        <w:t>.</w:t>
      </w:r>
    </w:p>
    <w:p w:rsidR="00C81494" w:rsidRPr="007F528B" w:rsidRDefault="00C81494" w:rsidP="00E71EF5">
      <w:pPr>
        <w:pStyle w:val="ParaNum"/>
        <w:jc w:val="left"/>
        <w:rPr>
          <w:spacing w:val="-2"/>
          <w:szCs w:val="22"/>
        </w:rPr>
      </w:pPr>
      <w:r>
        <w:t>IT IS FURTHER ORDERED that the Consolidated Appeal IS GRANTED IN PART AND DENIED IN PART</w:t>
      </w:r>
      <w:r w:rsidR="008F318B">
        <w:t>, as discussed above,</w:t>
      </w:r>
      <w:r>
        <w:t xml:space="preserve"> and the Local Orders ARE REMANDED to the local franchising authorities for further action consistent with this Order.</w:t>
      </w:r>
    </w:p>
    <w:p w:rsidR="00301370" w:rsidRPr="00A3624A" w:rsidRDefault="00301370" w:rsidP="00E71EF5">
      <w:pPr>
        <w:pStyle w:val="ParaNum"/>
        <w:jc w:val="left"/>
        <w:rPr>
          <w:spacing w:val="-2"/>
          <w:szCs w:val="22"/>
        </w:rPr>
      </w:pPr>
      <w:r>
        <w:t>This action is taken pursuant to authority delegated by section 0.283 of the Commission's rules, 47 C.F.R. § 0.283.</w:t>
      </w:r>
    </w:p>
    <w:p w:rsidR="00301370" w:rsidRDefault="00301370" w:rsidP="00E71EF5">
      <w:pPr>
        <w:numPr>
          <w:ilvl w:val="1"/>
          <w:numId w:val="0"/>
        </w:numPr>
        <w:tabs>
          <w:tab w:val="left" w:pos="-1440"/>
          <w:tab w:val="left" w:pos="-720"/>
        </w:tabs>
        <w:suppressAutoHyphens/>
        <w:spacing w:line="240" w:lineRule="atLeast"/>
        <w:jc w:val="lef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FED</w:t>
      </w:r>
      <w:r w:rsidR="00C81494">
        <w:rPr>
          <w:spacing w:val="-2"/>
          <w:szCs w:val="22"/>
        </w:rPr>
        <w:t>ERA</w:t>
      </w:r>
      <w:r>
        <w:rPr>
          <w:spacing w:val="-2"/>
          <w:szCs w:val="22"/>
        </w:rPr>
        <w:t>L COMMUNICATIONS COMMISSION</w:t>
      </w:r>
    </w:p>
    <w:p w:rsidR="00301370" w:rsidRDefault="00301370" w:rsidP="00E71EF5">
      <w:pPr>
        <w:numPr>
          <w:ilvl w:val="1"/>
          <w:numId w:val="0"/>
        </w:numPr>
        <w:tabs>
          <w:tab w:val="left" w:pos="-1440"/>
          <w:tab w:val="left" w:pos="-720"/>
        </w:tabs>
        <w:suppressAutoHyphens/>
        <w:spacing w:line="240" w:lineRule="atLeast"/>
        <w:jc w:val="left"/>
        <w:rPr>
          <w:spacing w:val="-2"/>
          <w:szCs w:val="22"/>
        </w:rPr>
      </w:pPr>
    </w:p>
    <w:p w:rsidR="00301370" w:rsidRDefault="00301370" w:rsidP="00E71EF5">
      <w:pPr>
        <w:numPr>
          <w:ilvl w:val="1"/>
          <w:numId w:val="0"/>
        </w:numPr>
        <w:tabs>
          <w:tab w:val="left" w:pos="-1440"/>
          <w:tab w:val="left" w:pos="-720"/>
        </w:tabs>
        <w:suppressAutoHyphens/>
        <w:spacing w:line="240" w:lineRule="atLeast"/>
        <w:jc w:val="left"/>
        <w:rPr>
          <w:spacing w:val="-2"/>
          <w:szCs w:val="22"/>
        </w:rPr>
      </w:pPr>
    </w:p>
    <w:p w:rsidR="00301370" w:rsidRDefault="00301370" w:rsidP="00E71EF5">
      <w:pPr>
        <w:numPr>
          <w:ilvl w:val="1"/>
          <w:numId w:val="0"/>
        </w:numPr>
        <w:tabs>
          <w:tab w:val="left" w:pos="-1440"/>
          <w:tab w:val="left" w:pos="-720"/>
        </w:tabs>
        <w:suppressAutoHyphens/>
        <w:spacing w:line="240" w:lineRule="atLeast"/>
        <w:jc w:val="lef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sidR="000F4189">
        <w:rPr>
          <w:spacing w:val="-2"/>
          <w:szCs w:val="22"/>
        </w:rPr>
        <w:t xml:space="preserve">John </w:t>
      </w:r>
      <w:r w:rsidR="00A85850">
        <w:rPr>
          <w:spacing w:val="-2"/>
          <w:szCs w:val="22"/>
        </w:rPr>
        <w:t xml:space="preserve">B. </w:t>
      </w:r>
      <w:r w:rsidR="000F4189">
        <w:rPr>
          <w:spacing w:val="-2"/>
          <w:szCs w:val="22"/>
        </w:rPr>
        <w:t>Norton,</w:t>
      </w:r>
    </w:p>
    <w:p w:rsidR="00301370" w:rsidRDefault="000F4189" w:rsidP="00E71EF5">
      <w:pPr>
        <w:numPr>
          <w:ilvl w:val="1"/>
          <w:numId w:val="0"/>
        </w:numPr>
        <w:tabs>
          <w:tab w:val="left" w:pos="-1440"/>
          <w:tab w:val="left" w:pos="-720"/>
        </w:tabs>
        <w:suppressAutoHyphens/>
        <w:spacing w:line="240" w:lineRule="atLeast"/>
        <w:jc w:val="lef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Deputy Chief, Policy Division</w:t>
      </w:r>
    </w:p>
    <w:p w:rsidR="00301370" w:rsidRPr="00767134" w:rsidRDefault="00301370" w:rsidP="00E71EF5">
      <w:pPr>
        <w:numPr>
          <w:ilvl w:val="1"/>
          <w:numId w:val="0"/>
        </w:numPr>
        <w:tabs>
          <w:tab w:val="left" w:pos="-1440"/>
          <w:tab w:val="left" w:pos="-720"/>
        </w:tabs>
        <w:suppressAutoHyphens/>
        <w:spacing w:line="240" w:lineRule="atLeast"/>
        <w:jc w:val="left"/>
        <w:rPr>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Media Bureau</w:t>
      </w:r>
      <w:r w:rsidR="00817178" w:rsidRPr="00767134">
        <w:rPr>
          <w:szCs w:val="22"/>
        </w:rPr>
        <w:t xml:space="preserve"> </w:t>
      </w:r>
    </w:p>
    <w:p w:rsidR="00AC6E7D" w:rsidRDefault="00AC6E7D" w:rsidP="00E71EF5">
      <w:pPr>
        <w:numPr>
          <w:ilvl w:val="1"/>
          <w:numId w:val="0"/>
        </w:numPr>
        <w:tabs>
          <w:tab w:val="left" w:pos="-1440"/>
          <w:tab w:val="left" w:pos="-720"/>
        </w:tabs>
        <w:suppressAutoHyphens/>
        <w:spacing w:line="240" w:lineRule="atLeast"/>
        <w:jc w:val="left"/>
      </w:pPr>
    </w:p>
    <w:sectPr w:rsidR="00AC6E7D" w:rsidSect="00754AC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886" w:right="1440" w:bottom="1440" w:left="1440" w:header="720" w:footer="4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AB" w:rsidRDefault="00AE2FAB">
      <w:pPr>
        <w:spacing w:line="20" w:lineRule="exact"/>
      </w:pPr>
    </w:p>
  </w:endnote>
  <w:endnote w:type="continuationSeparator" w:id="0">
    <w:p w:rsidR="00AE2FAB" w:rsidRDefault="00AE2FAB">
      <w:r>
        <w:t xml:space="preserve"> </w:t>
      </w:r>
    </w:p>
  </w:endnote>
  <w:endnote w:type="continuationNotice" w:id="1">
    <w:p w:rsidR="00AE2FAB" w:rsidRDefault="00AE2F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88" w:rsidRDefault="009D5914" w:rsidP="00754ACF">
    <w:pPr>
      <w:pStyle w:val="Footer"/>
      <w:framePr w:wrap="around" w:vAnchor="text" w:hAnchor="margin" w:xAlign="center" w:y="1"/>
    </w:pPr>
    <w:r>
      <w:fldChar w:fldCharType="begin"/>
    </w:r>
    <w:r w:rsidR="00AC4D88">
      <w:instrText xml:space="preserve">PAGE  </w:instrText>
    </w:r>
    <w:r>
      <w:fldChar w:fldCharType="end"/>
    </w:r>
  </w:p>
  <w:p w:rsidR="00AC4D88" w:rsidRDefault="00AC4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88" w:rsidRDefault="009D5914" w:rsidP="00754ACF">
    <w:pPr>
      <w:pStyle w:val="Footer"/>
      <w:framePr w:wrap="around" w:vAnchor="text" w:hAnchor="margin" w:xAlign="center" w:y="1"/>
    </w:pPr>
    <w:r>
      <w:fldChar w:fldCharType="begin"/>
    </w:r>
    <w:r w:rsidR="00AC4D88">
      <w:instrText xml:space="preserve">PAGE  </w:instrText>
    </w:r>
    <w:r>
      <w:fldChar w:fldCharType="separate"/>
    </w:r>
    <w:r w:rsidR="00FF2069">
      <w:rPr>
        <w:noProof/>
      </w:rPr>
      <w:t>7</w:t>
    </w:r>
    <w:r>
      <w:fldChar w:fldCharType="end"/>
    </w:r>
  </w:p>
  <w:p w:rsidR="00AC4D88" w:rsidRDefault="00AC4D88">
    <w:pPr>
      <w:spacing w:before="140" w:line="100" w:lineRule="exact"/>
      <w:rPr>
        <w:sz w:val="10"/>
      </w:rPr>
    </w:pPr>
  </w:p>
  <w:p w:rsidR="00AC4D88" w:rsidRDefault="00AC4D88">
    <w:pPr>
      <w:suppressAutoHyphens/>
      <w:spacing w:line="227" w:lineRule="auto"/>
    </w:pPr>
  </w:p>
  <w:p w:rsidR="00AC4D88" w:rsidRDefault="00AC4D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88" w:rsidRDefault="00AC4D8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AB" w:rsidRDefault="00AE2FAB">
      <w:r>
        <w:separator/>
      </w:r>
    </w:p>
  </w:footnote>
  <w:footnote w:type="continuationSeparator" w:id="0">
    <w:p w:rsidR="00AE2FAB" w:rsidRDefault="00AE2FAB">
      <w:pPr>
        <w:pStyle w:val="Footer"/>
      </w:pPr>
      <w:r>
        <w:separator/>
      </w:r>
    </w:p>
    <w:p w:rsidR="00AE2FAB" w:rsidRDefault="00AE2FAB">
      <w:pPr>
        <w:pStyle w:val="Footer"/>
      </w:pPr>
      <w:r>
        <w:t>(…continued from previous page)</w:t>
      </w:r>
    </w:p>
  </w:footnote>
  <w:footnote w:type="continuationNotice" w:id="1">
    <w:p w:rsidR="00AE2FAB" w:rsidRDefault="00AE2FAB">
      <w:pPr>
        <w:jc w:val="right"/>
        <w:rPr>
          <w:sz w:val="20"/>
        </w:rPr>
      </w:pPr>
      <w:r>
        <w:rPr>
          <w:sz w:val="20"/>
        </w:rPr>
        <w:t>(continued.…)</w:t>
      </w:r>
    </w:p>
  </w:footnote>
  <w:footnote w:id="2">
    <w:p w:rsidR="003B415B" w:rsidRDefault="003B415B">
      <w:pPr>
        <w:pStyle w:val="FootnoteText"/>
      </w:pPr>
      <w:r>
        <w:rPr>
          <w:rStyle w:val="FootnoteReference"/>
        </w:rPr>
        <w:footnoteRef/>
      </w:r>
      <w:r>
        <w:t xml:space="preserve"> </w:t>
      </w:r>
      <w:r w:rsidRPr="00E9448E">
        <w:rPr>
          <w:i/>
        </w:rPr>
        <w:t>Appeal of Local Rate Orders by Comcast Cable Communications, LLC</w:t>
      </w:r>
      <w:r>
        <w:t>, filed May 14, 2013</w:t>
      </w:r>
      <w:r w:rsidR="00972BE8">
        <w:t xml:space="preserve"> (“First Appeal”)</w:t>
      </w:r>
      <w:r>
        <w:t>.</w:t>
      </w:r>
    </w:p>
  </w:footnote>
  <w:footnote w:id="3">
    <w:p w:rsidR="00DB66D0" w:rsidRDefault="00DB66D0">
      <w:pPr>
        <w:pStyle w:val="FootnoteText"/>
      </w:pPr>
      <w:r>
        <w:rPr>
          <w:rStyle w:val="FootnoteReference"/>
        </w:rPr>
        <w:footnoteRef/>
      </w:r>
      <w:r>
        <w:t xml:space="preserve"> </w:t>
      </w:r>
      <w:r w:rsidRPr="00E9448E">
        <w:rPr>
          <w:i/>
        </w:rPr>
        <w:t xml:space="preserve">Comcast Cable Communications, LLC Appeal of the North Suburban Cable Communications </w:t>
      </w:r>
      <w:r w:rsidR="00B95437" w:rsidRPr="00E9448E">
        <w:rPr>
          <w:i/>
        </w:rPr>
        <w:t>Commission</w:t>
      </w:r>
      <w:r w:rsidRPr="00E9448E">
        <w:rPr>
          <w:i/>
        </w:rPr>
        <w:t xml:space="preserve"> Rate Order</w:t>
      </w:r>
      <w:r>
        <w:t>, filed</w:t>
      </w:r>
      <w:r w:rsidR="00B95437">
        <w:t xml:space="preserve"> June 3, 2013</w:t>
      </w:r>
      <w:r w:rsidR="00972BE8">
        <w:t xml:space="preserve"> (“Second Appeal”)</w:t>
      </w:r>
      <w:r w:rsidR="004B3A9C">
        <w:t>.</w:t>
      </w:r>
    </w:p>
  </w:footnote>
  <w:footnote w:id="4">
    <w:p w:rsidR="00BB6908" w:rsidRDefault="00BB6908">
      <w:pPr>
        <w:pStyle w:val="FootnoteText"/>
      </w:pPr>
      <w:r>
        <w:rPr>
          <w:rStyle w:val="FootnoteReference"/>
        </w:rPr>
        <w:footnoteRef/>
      </w:r>
      <w:r>
        <w:t xml:space="preserve"> </w:t>
      </w:r>
      <w:r w:rsidRPr="00D81A39">
        <w:rPr>
          <w:i/>
        </w:rPr>
        <w:t>See</w:t>
      </w:r>
      <w:r>
        <w:t xml:space="preserve"> Letter </w:t>
      </w:r>
      <w:r w:rsidRPr="00BB6908">
        <w:t xml:space="preserve">dated March 28, 2013 </w:t>
      </w:r>
      <w:r>
        <w:t xml:space="preserve">to John </w:t>
      </w:r>
      <w:r w:rsidR="00804928">
        <w:t xml:space="preserve">B. </w:t>
      </w:r>
      <w:r>
        <w:t>Norton, Deputy Chief, Policy Division, Media Bureau from Steven J. Horvitz, Attorney for Comcast and Steven J. Gu</w:t>
      </w:r>
      <w:r w:rsidR="00D81A39">
        <w:t>z</w:t>
      </w:r>
      <w:r>
        <w:t>zetta, attorney for the LFAs.</w:t>
      </w:r>
    </w:p>
  </w:footnote>
  <w:footnote w:id="5">
    <w:p w:rsidR="004B3A9C" w:rsidRDefault="004B3A9C" w:rsidP="00D533E0">
      <w:pPr>
        <w:pStyle w:val="FootnoteText"/>
        <w:jc w:val="left"/>
      </w:pPr>
      <w:r>
        <w:rPr>
          <w:rStyle w:val="FootnoteReference"/>
        </w:rPr>
        <w:footnoteRef/>
      </w:r>
      <w:r>
        <w:t xml:space="preserve"> </w:t>
      </w:r>
      <w:r w:rsidRPr="004B3A9C">
        <w:rPr>
          <w:i/>
        </w:rPr>
        <w:t>Emergency Petition of Comcast Cable Communications, LLC for Immediate Stay of Local Rate Orders</w:t>
      </w:r>
      <w:r w:rsidRPr="004B3A9C">
        <w:t>, filed May 14, 2013</w:t>
      </w:r>
      <w:r>
        <w:t xml:space="preserve">; and </w:t>
      </w:r>
      <w:r w:rsidRPr="004B3A9C">
        <w:rPr>
          <w:i/>
        </w:rPr>
        <w:t>Comcast Cable Communications, LLC Emergency Petition for Immediate Stay of the North Suburban Cable Communications Commission Rate Order</w:t>
      </w:r>
      <w:r w:rsidRPr="004B3A9C">
        <w:t>, filed June 3, 2013.</w:t>
      </w:r>
      <w:r>
        <w:t xml:space="preserve"> </w:t>
      </w:r>
      <w:r w:rsidR="006B3EAF" w:rsidRPr="006B3EAF">
        <w:t>The LFAs filed oppositions to the Stay Petitions on May 21, 2013 and June 7, 2013, and a consolidated opposition (“Consolidated Opposition”) to the Consolidated Appeal on June 18, 2013.  Comcast replied to the stay oppositions and also to the Consolidated Opposition (“Consolidated Reply”).</w:t>
      </w:r>
    </w:p>
  </w:footnote>
  <w:footnote w:id="6">
    <w:p w:rsidR="00F8169C" w:rsidRDefault="00F8169C" w:rsidP="00F8169C">
      <w:pPr>
        <w:pStyle w:val="FootnoteText"/>
      </w:pPr>
      <w:r>
        <w:rPr>
          <w:rStyle w:val="FootnoteReference"/>
        </w:rPr>
        <w:footnoteRef/>
      </w:r>
      <w:r>
        <w:t xml:space="preserve"> </w:t>
      </w:r>
      <w:r w:rsidRPr="00E71EF5">
        <w:rPr>
          <w:i/>
        </w:rPr>
        <w:t>See</w:t>
      </w:r>
      <w:r>
        <w:t xml:space="preserve"> </w:t>
      </w:r>
      <w:r w:rsidRPr="00174786">
        <w:t xml:space="preserve">47 U.S.C. § 543 </w:t>
      </w:r>
      <w:r>
        <w:t>(b) (5) (B) and 47 C.F.R. § 76.944</w:t>
      </w:r>
      <w:r w:rsidRPr="00174786">
        <w:t>.</w:t>
      </w:r>
    </w:p>
  </w:footnote>
  <w:footnote w:id="7">
    <w:p w:rsidR="00A75478" w:rsidRDefault="00A75478" w:rsidP="007E22BC">
      <w:pPr>
        <w:pStyle w:val="FootnoteText"/>
      </w:pPr>
      <w:r>
        <w:rPr>
          <w:rStyle w:val="FootnoteReference"/>
        </w:rPr>
        <w:footnoteRef/>
      </w:r>
      <w:r>
        <w:t xml:space="preserve"> </w:t>
      </w:r>
      <w:r w:rsidRPr="007E22BC">
        <w:rPr>
          <w:i/>
        </w:rPr>
        <w:t>See</w:t>
      </w:r>
      <w:r w:rsidRPr="007E22BC">
        <w:t xml:space="preserve"> </w:t>
      </w:r>
      <w:r w:rsidRPr="00A75478">
        <w:t>47 U.S.C. §§ 151 et seq.</w:t>
      </w:r>
      <w:r>
        <w:t>;</w:t>
      </w:r>
      <w:r w:rsidR="006D704D" w:rsidRPr="006D704D">
        <w:t xml:space="preserve"> </w:t>
      </w:r>
      <w:r w:rsidR="006D704D">
        <w:t xml:space="preserve">47 U.S.C. </w:t>
      </w:r>
      <w:r w:rsidR="007E22BC">
        <w:t xml:space="preserve">§ </w:t>
      </w:r>
      <w:r w:rsidR="006D704D">
        <w:t>543</w:t>
      </w:r>
      <w:r w:rsidR="007E22BC">
        <w:t xml:space="preserve"> </w:t>
      </w:r>
      <w:r w:rsidR="006D704D">
        <w:t>(a)</w:t>
      </w:r>
      <w:r w:rsidR="007E22BC">
        <w:t xml:space="preserve"> </w:t>
      </w:r>
      <w:r w:rsidR="006D704D">
        <w:t>(2).</w:t>
      </w:r>
    </w:p>
  </w:footnote>
  <w:footnote w:id="8">
    <w:p w:rsidR="006D704D" w:rsidRDefault="006D704D" w:rsidP="007E22BC">
      <w:pPr>
        <w:pStyle w:val="FootnoteText"/>
      </w:pPr>
      <w:r>
        <w:rPr>
          <w:rStyle w:val="FootnoteReference"/>
        </w:rPr>
        <w:footnoteRef/>
      </w:r>
      <w:r>
        <w:t xml:space="preserve"> </w:t>
      </w:r>
      <w:r w:rsidRPr="006D704D">
        <w:t>47 U.S.C. § 543</w:t>
      </w:r>
      <w:r w:rsidR="007E22BC">
        <w:t xml:space="preserve"> </w:t>
      </w:r>
      <w:r w:rsidRPr="006D704D">
        <w:t>(b); 47 C.F.R. § 76.922</w:t>
      </w:r>
      <w:r>
        <w:t xml:space="preserve">, </w:t>
      </w:r>
      <w:r w:rsidRPr="00E71EF5">
        <w:rPr>
          <w:i/>
        </w:rPr>
        <w:t>et seq</w:t>
      </w:r>
      <w:r w:rsidRPr="006D704D">
        <w:t>.</w:t>
      </w:r>
    </w:p>
  </w:footnote>
  <w:footnote w:id="9">
    <w:p w:rsidR="006D704D" w:rsidRDefault="006D704D">
      <w:pPr>
        <w:pStyle w:val="FootnoteText"/>
      </w:pPr>
      <w:r>
        <w:rPr>
          <w:rStyle w:val="FootnoteReference"/>
        </w:rPr>
        <w:footnoteRef/>
      </w:r>
      <w:r>
        <w:t xml:space="preserve"> </w:t>
      </w:r>
      <w:r w:rsidRPr="006D704D">
        <w:t xml:space="preserve">47 C.F.R. § 76.937(d); </w:t>
      </w:r>
      <w:r w:rsidRPr="00E71EF5">
        <w:rPr>
          <w:i/>
        </w:rPr>
        <w:t>Falcon Classic Cable</w:t>
      </w:r>
      <w:r w:rsidRPr="006D704D">
        <w:t xml:space="preserve">, 15 FCC Rcd 5717, 5720 (2000) ¶ 10; </w:t>
      </w:r>
      <w:r w:rsidRPr="00E71EF5">
        <w:rPr>
          <w:i/>
        </w:rPr>
        <w:t>Western Reserve Cablevision, Inc</w:t>
      </w:r>
      <w:r w:rsidRPr="006D704D">
        <w:t>., 14 FCC Rcd 13391, 13398 (1999)</w:t>
      </w:r>
      <w:r>
        <w:t>.</w:t>
      </w:r>
    </w:p>
  </w:footnote>
  <w:footnote w:id="10">
    <w:p w:rsidR="00FF0CFF" w:rsidRPr="00D452FC" w:rsidRDefault="00FF0CFF" w:rsidP="00FF0CFF">
      <w:pPr>
        <w:pStyle w:val="FootnoteText"/>
        <w:jc w:val="left"/>
      </w:pPr>
      <w:r>
        <w:rPr>
          <w:rStyle w:val="FootnoteReference"/>
        </w:rPr>
        <w:footnoteRef/>
      </w:r>
      <w:r>
        <w:t xml:space="preserve"> </w:t>
      </w:r>
      <w:r w:rsidRPr="00D452FC">
        <w:t>47 U.S.C. § 543</w:t>
      </w:r>
      <w:r>
        <w:t xml:space="preserve"> </w:t>
      </w:r>
      <w:r w:rsidRPr="00D452FC">
        <w:t>(b)</w:t>
      </w:r>
      <w:r>
        <w:t xml:space="preserve"> </w:t>
      </w:r>
      <w:r w:rsidRPr="00D452FC">
        <w:t>(5)</w:t>
      </w:r>
      <w:r>
        <w:t xml:space="preserve"> </w:t>
      </w:r>
      <w:r w:rsidRPr="00D452FC">
        <w:t>(B); 47 C.F.R. § 76.944</w:t>
      </w:r>
      <w:r>
        <w:t xml:space="preserve"> </w:t>
      </w:r>
      <w:r w:rsidRPr="00D452FC">
        <w:t>(b).</w:t>
      </w:r>
    </w:p>
  </w:footnote>
  <w:footnote w:id="11">
    <w:p w:rsidR="00FF0CFF" w:rsidRPr="00D452FC" w:rsidRDefault="00FF0CFF" w:rsidP="00FF0CFF">
      <w:pPr>
        <w:pStyle w:val="FootnoteText"/>
        <w:jc w:val="left"/>
      </w:pPr>
      <w:r>
        <w:rPr>
          <w:rStyle w:val="FootnoteReference"/>
        </w:rPr>
        <w:footnoteRef/>
      </w:r>
      <w:r>
        <w:t xml:space="preserve"> </w:t>
      </w:r>
      <w:r w:rsidRPr="00D452FC">
        <w:rPr>
          <w:i/>
        </w:rPr>
        <w:t>Implementation of Sections of the Cable Television Consumer Protection and Competition Act of 1992: Rate Regulation</w:t>
      </w:r>
      <w:r w:rsidRPr="00D452FC">
        <w:t>, 8 FCC Rcd 5631, 5731 (1993) (“</w:t>
      </w:r>
      <w:r w:rsidRPr="00D452FC">
        <w:rPr>
          <w:i/>
        </w:rPr>
        <w:t>Rate Order</w:t>
      </w:r>
      <w:r>
        <w:t>”</w:t>
      </w:r>
      <w:r w:rsidRPr="00D452FC">
        <w:t>); 9 FCC Rcd 4316, 4346 (1994) (“</w:t>
      </w:r>
      <w:r w:rsidRPr="00D452FC">
        <w:rPr>
          <w:i/>
        </w:rPr>
        <w:t>Third Reconsideration</w:t>
      </w:r>
      <w:r w:rsidRPr="00D452FC">
        <w:t>”).</w:t>
      </w:r>
      <w:r w:rsidR="006D704D" w:rsidRPr="006D704D">
        <w:t xml:space="preserve"> </w:t>
      </w:r>
      <w:r w:rsidR="00382BFF">
        <w:t xml:space="preserve"> </w:t>
      </w:r>
      <w:r w:rsidR="006D704D" w:rsidRPr="006D704D">
        <w:t>If the Commission reverses a franchising authority's decision, it will not substitute its own decision, but instead will remand the issue to the franchising authority with instructions to resolve the case consistent with the Commission's decision on appeal.</w:t>
      </w:r>
      <w:r w:rsidR="00804928">
        <w:t xml:space="preserve"> </w:t>
      </w:r>
      <w:r w:rsidR="006D704D" w:rsidRPr="006D704D">
        <w:t xml:space="preserve"> </w:t>
      </w:r>
      <w:r w:rsidR="006D704D" w:rsidRPr="00E71EF5">
        <w:rPr>
          <w:i/>
        </w:rPr>
        <w:t>Id</w:t>
      </w:r>
      <w:r w:rsidR="006D704D" w:rsidRPr="006D704D">
        <w:t>. at 5732.</w:t>
      </w:r>
    </w:p>
  </w:footnote>
  <w:footnote w:id="12">
    <w:p w:rsidR="00E274E7" w:rsidRDefault="00E274E7">
      <w:pPr>
        <w:pStyle w:val="FootnoteText"/>
      </w:pPr>
      <w:r>
        <w:rPr>
          <w:rStyle w:val="FootnoteReference"/>
        </w:rPr>
        <w:footnoteRef/>
      </w:r>
      <w:r>
        <w:t xml:space="preserve"> </w:t>
      </w:r>
      <w:r w:rsidRPr="00E274E7">
        <w:t>47 U.S.C. § 543 (a) (2) (A), (b) (1), (b) (3) (A).</w:t>
      </w:r>
    </w:p>
  </w:footnote>
  <w:footnote w:id="13">
    <w:p w:rsidR="00587E24" w:rsidRPr="006E4235" w:rsidRDefault="00587E24" w:rsidP="00587E24">
      <w:pPr>
        <w:pStyle w:val="FootnoteText"/>
        <w:jc w:val="left"/>
      </w:pPr>
      <w:r>
        <w:rPr>
          <w:rStyle w:val="FootnoteReference"/>
        </w:rPr>
        <w:footnoteRef/>
      </w:r>
      <w:r>
        <w:t xml:space="preserve"> </w:t>
      </w:r>
      <w:r w:rsidRPr="006E4235">
        <w:t>47 C.F.R. §76.923</w:t>
      </w:r>
      <w:r>
        <w:t xml:space="preserve"> </w:t>
      </w:r>
      <w:r w:rsidRPr="006E4235">
        <w:t>(a).</w:t>
      </w:r>
      <w:r>
        <w:t xml:space="preserve"> </w:t>
      </w:r>
      <w:r w:rsidRPr="00DC369C">
        <w:rPr>
          <w:snapToGrid w:val="0"/>
        </w:rPr>
        <w:t>The BST is defined by statute as “any service tier which includes the retransmission of local television broadcast signals.”</w:t>
      </w:r>
      <w:r w:rsidRPr="00DC369C">
        <w:t xml:space="preserve"> </w:t>
      </w:r>
      <w:r w:rsidRPr="00B11A2D">
        <w:rPr>
          <w:i/>
          <w:snapToGrid w:val="0"/>
        </w:rPr>
        <w:t xml:space="preserve">See </w:t>
      </w:r>
      <w:r w:rsidRPr="00DC369C">
        <w:rPr>
          <w:snapToGrid w:val="0"/>
        </w:rPr>
        <w:t>47 U.S.C. §522 (3).</w:t>
      </w:r>
      <w:r w:rsidRPr="00DC369C">
        <w:t xml:space="preserve"> </w:t>
      </w:r>
      <w:r w:rsidRPr="00DC369C">
        <w:rPr>
          <w:snapToGrid w:val="0"/>
        </w:rPr>
        <w:t xml:space="preserve">The BST includes, at a minimum, the broadcast signals </w:t>
      </w:r>
      <w:r w:rsidR="00ED20C4" w:rsidRPr="00DC369C">
        <w:rPr>
          <w:snapToGrid w:val="0"/>
        </w:rPr>
        <w:t>(except superstations)</w:t>
      </w:r>
      <w:r w:rsidR="00563191">
        <w:rPr>
          <w:snapToGrid w:val="0"/>
        </w:rPr>
        <w:t xml:space="preserve"> </w:t>
      </w:r>
      <w:r w:rsidRPr="00DC369C">
        <w:rPr>
          <w:snapToGrid w:val="0"/>
        </w:rPr>
        <w:t>distributed by the cable operator, along with any public, educational, or government access channels required by the local franchising authority</w:t>
      </w:r>
      <w:r w:rsidR="00ED20C4">
        <w:rPr>
          <w:snapToGrid w:val="0"/>
        </w:rPr>
        <w:t>,</w:t>
      </w:r>
      <w:r w:rsidRPr="00DC369C">
        <w:rPr>
          <w:snapToGrid w:val="0"/>
        </w:rPr>
        <w:t xml:space="preserve"> as well as any additional video programming signals</w:t>
      </w:r>
      <w:r w:rsidR="00D664BE">
        <w:rPr>
          <w:snapToGrid w:val="0"/>
        </w:rPr>
        <w:t xml:space="preserve"> or services</w:t>
      </w:r>
      <w:r w:rsidRPr="00DC369C">
        <w:rPr>
          <w:snapToGrid w:val="0"/>
        </w:rPr>
        <w:t xml:space="preserve"> added to the basic tier by the cable operator.  </w:t>
      </w:r>
      <w:r w:rsidRPr="00DC369C">
        <w:rPr>
          <w:i/>
          <w:snapToGrid w:val="0"/>
        </w:rPr>
        <w:t>See</w:t>
      </w:r>
      <w:r>
        <w:rPr>
          <w:snapToGrid w:val="0"/>
        </w:rPr>
        <w:t xml:space="preserve"> </w:t>
      </w:r>
      <w:r w:rsidRPr="00DC369C">
        <w:rPr>
          <w:snapToGrid w:val="0"/>
        </w:rPr>
        <w:t>47 U.S.C. § 543 (b</w:t>
      </w:r>
      <w:r>
        <w:rPr>
          <w:snapToGrid w:val="0"/>
        </w:rPr>
        <w:t xml:space="preserve">) (7); 47 C.F.R. § 76.901 (a). </w:t>
      </w:r>
      <w:r>
        <w:t xml:space="preserve">   </w:t>
      </w:r>
    </w:p>
  </w:footnote>
  <w:footnote w:id="14">
    <w:p w:rsidR="00FF0CFF" w:rsidRPr="006E4235" w:rsidRDefault="00FF0CFF" w:rsidP="00FF0CFF">
      <w:pPr>
        <w:spacing w:after="120"/>
        <w:rPr>
          <w:sz w:val="20"/>
        </w:rPr>
      </w:pPr>
      <w:r w:rsidRPr="006E4235">
        <w:rPr>
          <w:rStyle w:val="FootnoteReference"/>
        </w:rPr>
        <w:footnoteRef/>
      </w:r>
      <w:r>
        <w:t xml:space="preserve"> </w:t>
      </w:r>
      <w:r w:rsidRPr="00B3380A">
        <w:rPr>
          <w:i/>
          <w:sz w:val="20"/>
        </w:rPr>
        <w:t>See</w:t>
      </w:r>
      <w:r w:rsidRPr="006E4235">
        <w:rPr>
          <w:sz w:val="20"/>
        </w:rPr>
        <w:t xml:space="preserve"> FCC Form 1205, </w:t>
      </w:r>
      <w:r w:rsidRPr="00B3380A">
        <w:rPr>
          <w:i/>
          <w:sz w:val="20"/>
        </w:rPr>
        <w:t>Determining Regulated Equipment and Installation Costs</w:t>
      </w:r>
      <w:r w:rsidRPr="006E4235">
        <w:rPr>
          <w:sz w:val="20"/>
        </w:rPr>
        <w:t xml:space="preserve"> (June 1996).</w:t>
      </w:r>
      <w:r w:rsidR="00D81A39">
        <w:rPr>
          <w:sz w:val="20"/>
        </w:rPr>
        <w:t xml:space="preserve">  </w:t>
      </w:r>
      <w:r w:rsidR="00D81A39" w:rsidRPr="00D81A39">
        <w:rPr>
          <w:i/>
          <w:sz w:val="20"/>
        </w:rPr>
        <w:t>See also</w:t>
      </w:r>
      <w:r w:rsidR="00D81A39">
        <w:rPr>
          <w:sz w:val="20"/>
        </w:rPr>
        <w:t xml:space="preserve"> 47 U.S.C. §</w:t>
      </w:r>
      <w:r w:rsidR="00304880">
        <w:rPr>
          <w:sz w:val="20"/>
        </w:rPr>
        <w:t xml:space="preserve"> 623</w:t>
      </w:r>
      <w:r w:rsidR="00D81A39">
        <w:rPr>
          <w:sz w:val="20"/>
        </w:rPr>
        <w:t xml:space="preserve"> </w:t>
      </w:r>
      <w:r w:rsidR="00304880">
        <w:rPr>
          <w:sz w:val="20"/>
        </w:rPr>
        <w:t>(a</w:t>
      </w:r>
      <w:r w:rsidR="00D81A39">
        <w:rPr>
          <w:sz w:val="20"/>
        </w:rPr>
        <w:t>)</w:t>
      </w:r>
      <w:r w:rsidR="007E22BC">
        <w:rPr>
          <w:sz w:val="20"/>
        </w:rPr>
        <w:t xml:space="preserve"> </w:t>
      </w:r>
      <w:r w:rsidR="00304880">
        <w:rPr>
          <w:sz w:val="20"/>
        </w:rPr>
        <w:t>(2)</w:t>
      </w:r>
      <w:r w:rsidR="00D81A39">
        <w:rPr>
          <w:sz w:val="20"/>
        </w:rPr>
        <w:t xml:space="preserve"> (</w:t>
      </w:r>
      <w:r w:rsidR="00275B83">
        <w:rPr>
          <w:sz w:val="20"/>
        </w:rPr>
        <w:t>c</w:t>
      </w:r>
      <w:r w:rsidR="00D81A39">
        <w:rPr>
          <w:sz w:val="20"/>
        </w:rPr>
        <w:t>able systems subject to effective competition are not subject to rate regulation).</w:t>
      </w:r>
    </w:p>
  </w:footnote>
  <w:footnote w:id="15">
    <w:p w:rsidR="003511EA" w:rsidRDefault="003511EA" w:rsidP="002826BD">
      <w:pPr>
        <w:pStyle w:val="FootnoteText"/>
        <w:jc w:val="left"/>
      </w:pPr>
      <w:r>
        <w:rPr>
          <w:rStyle w:val="FootnoteReference"/>
        </w:rPr>
        <w:footnoteRef/>
      </w:r>
      <w:r>
        <w:t xml:space="preserve"> </w:t>
      </w:r>
      <w:r w:rsidR="00972BE8" w:rsidRPr="00972BE8">
        <w:t xml:space="preserve">Consolidated Opposition </w:t>
      </w:r>
      <w:r w:rsidR="00972BE8">
        <w:t xml:space="preserve">at 29.  </w:t>
      </w:r>
      <w:r w:rsidRPr="003511EA">
        <w:t>When establishing initial regulated rates, cable operators computed their total regulated revenue per subscriber from programming tiers and equipment installations and leases</w:t>
      </w:r>
      <w:r w:rsidR="007A4DAD">
        <w:t xml:space="preserve"> and then</w:t>
      </w:r>
      <w:r w:rsidRPr="003511EA">
        <w:t xml:space="preserve"> adjusted </w:t>
      </w:r>
      <w:r>
        <w:t xml:space="preserve">this revenue </w:t>
      </w:r>
      <w:r w:rsidRPr="003511EA">
        <w:t xml:space="preserve">based on benchmarks </w:t>
      </w:r>
      <w:r>
        <w:t xml:space="preserve">that reflected competitive rates </w:t>
      </w:r>
      <w:r w:rsidRPr="003511EA">
        <w:t>or</w:t>
      </w:r>
      <w:r>
        <w:t xml:space="preserve"> by reducing the revenue by the </w:t>
      </w:r>
      <w:r w:rsidRPr="003511EA">
        <w:t>differential between competitive and non-competitive cable systems</w:t>
      </w:r>
      <w:r w:rsidR="007A4DAD">
        <w:t>.  Cable operators then</w:t>
      </w:r>
      <w:r w:rsidR="00A36112">
        <w:t xml:space="preserve"> removed</w:t>
      </w:r>
      <w:r w:rsidRPr="003511EA">
        <w:t xml:space="preserve"> subscriber equipment and installation costs and allocated the remaining regulated revenue among then-regulated programming tiers to establish programming tier rates</w:t>
      </w:r>
      <w:r>
        <w:t>.</w:t>
      </w:r>
      <w:r w:rsidRPr="003511EA">
        <w:t xml:space="preserve"> </w:t>
      </w:r>
      <w:r>
        <w:t xml:space="preserve"> </w:t>
      </w:r>
      <w:r w:rsidR="007A4DAD">
        <w:t>Equipment prices were established using a cost-based methodology.  From that point on, service and equipment rate increases were calculated separately</w:t>
      </w:r>
      <w:r w:rsidR="007A4DAD" w:rsidRPr="008D61C9">
        <w:rPr>
          <w:i/>
        </w:rPr>
        <w:t>.</w:t>
      </w:r>
      <w:r w:rsidR="00972BE8" w:rsidRPr="008D61C9">
        <w:rPr>
          <w:i/>
        </w:rPr>
        <w:t xml:space="preserve">  </w:t>
      </w:r>
      <w:r w:rsidR="008D61C9" w:rsidRPr="008D61C9">
        <w:rPr>
          <w:i/>
        </w:rPr>
        <w:t>See</w:t>
      </w:r>
      <w:r w:rsidR="008D61C9">
        <w:t xml:space="preserve"> </w:t>
      </w:r>
      <w:r w:rsidR="00972BE8" w:rsidRPr="008D61C9">
        <w:rPr>
          <w:i/>
        </w:rPr>
        <w:t>Rate Order</w:t>
      </w:r>
      <w:r w:rsidR="00972BE8">
        <w:t xml:space="preserve">, </w:t>
      </w:r>
      <w:r w:rsidR="00972BE8" w:rsidRPr="00972BE8">
        <w:t>8 FCC Rcd 5631 (1993)</w:t>
      </w:r>
      <w:r w:rsidR="008D61C9">
        <w:t>.</w:t>
      </w:r>
    </w:p>
  </w:footnote>
  <w:footnote w:id="16">
    <w:p w:rsidR="008D61C9" w:rsidRDefault="008D61C9">
      <w:pPr>
        <w:pStyle w:val="FootnoteText"/>
      </w:pPr>
      <w:r>
        <w:rPr>
          <w:rStyle w:val="FootnoteReference"/>
        </w:rPr>
        <w:footnoteRef/>
      </w:r>
      <w:r>
        <w:t xml:space="preserve"> </w:t>
      </w:r>
      <w:r w:rsidR="00D105C5">
        <w:t>First Appeal at 2.</w:t>
      </w:r>
    </w:p>
  </w:footnote>
  <w:footnote w:id="17">
    <w:p w:rsidR="00D105C5" w:rsidRDefault="00D105C5">
      <w:pPr>
        <w:pStyle w:val="FootnoteText"/>
      </w:pPr>
      <w:r>
        <w:rPr>
          <w:rStyle w:val="FootnoteReference"/>
        </w:rPr>
        <w:footnoteRef/>
      </w:r>
      <w:r>
        <w:t xml:space="preserve"> </w:t>
      </w:r>
      <w:r w:rsidRPr="00D105C5">
        <w:rPr>
          <w:i/>
        </w:rPr>
        <w:t>Id.</w:t>
      </w:r>
      <w:r>
        <w:t xml:space="preserve"> at 6.</w:t>
      </w:r>
    </w:p>
  </w:footnote>
  <w:footnote w:id="18">
    <w:p w:rsidR="008F6CD9" w:rsidRDefault="008F6CD9" w:rsidP="008F6CD9">
      <w:pPr>
        <w:pStyle w:val="FootnoteText"/>
        <w:jc w:val="left"/>
      </w:pPr>
      <w:r>
        <w:rPr>
          <w:rStyle w:val="FootnoteReference"/>
        </w:rPr>
        <w:footnoteRef/>
      </w:r>
      <w:r>
        <w:t xml:space="preserve"> </w:t>
      </w:r>
      <w:r w:rsidR="00133C01" w:rsidRPr="00E9448E">
        <w:rPr>
          <w:i/>
        </w:rPr>
        <w:t>See, e.g.</w:t>
      </w:r>
      <w:r w:rsidR="00133C01">
        <w:t xml:space="preserve">, </w:t>
      </w:r>
      <w:r w:rsidRPr="008F6CD9">
        <w:rPr>
          <w:i/>
        </w:rPr>
        <w:t>Falcon Cablevision</w:t>
      </w:r>
      <w:r>
        <w:t xml:space="preserve">, 11 FCC Rcd 10511 (CSB 1996); </w:t>
      </w:r>
      <w:r w:rsidRPr="008F6CD9">
        <w:rPr>
          <w:i/>
        </w:rPr>
        <w:t>Charter Communications</w:t>
      </w:r>
      <w:r w:rsidRPr="008F6CD9">
        <w:t>, 20 FCC Rcd 3503 (MB 2005)</w:t>
      </w:r>
      <w:r>
        <w:t>.</w:t>
      </w:r>
    </w:p>
  </w:footnote>
  <w:footnote w:id="19">
    <w:p w:rsidR="00F251DA" w:rsidRDefault="00F251DA">
      <w:pPr>
        <w:pStyle w:val="FootnoteText"/>
      </w:pPr>
      <w:r>
        <w:rPr>
          <w:rStyle w:val="FootnoteReference"/>
        </w:rPr>
        <w:footnoteRef/>
      </w:r>
      <w:r>
        <w:t xml:space="preserve"> </w:t>
      </w:r>
      <w:r w:rsidRPr="00F251DA">
        <w:t xml:space="preserve">If there were no choice of payment methods, then such a fee </w:t>
      </w:r>
      <w:r w:rsidR="00110EF7">
        <w:t>might</w:t>
      </w:r>
      <w:r w:rsidRPr="00F251DA">
        <w:t xml:space="preserve"> be consid</w:t>
      </w:r>
      <w:r>
        <w:t xml:space="preserve">ered part of the </w:t>
      </w:r>
      <w:r w:rsidR="009B30C8">
        <w:t xml:space="preserve">regulated cable </w:t>
      </w:r>
      <w:r>
        <w:t>service charge</w:t>
      </w:r>
      <w:r w:rsidR="00072225">
        <w:t xml:space="preserve"> because all customers would be required to pay the fee as part of their cable bill</w:t>
      </w:r>
      <w:r w:rsidRPr="00F251DA">
        <w:t>.</w:t>
      </w:r>
    </w:p>
  </w:footnote>
  <w:footnote w:id="20">
    <w:p w:rsidR="00430002" w:rsidRDefault="00430002">
      <w:pPr>
        <w:pStyle w:val="FootnoteText"/>
      </w:pPr>
      <w:r>
        <w:rPr>
          <w:rStyle w:val="FootnoteReference"/>
        </w:rPr>
        <w:footnoteRef/>
      </w:r>
      <w:r>
        <w:t xml:space="preserve"> </w:t>
      </w:r>
      <w:r w:rsidRPr="00E71EF5">
        <w:rPr>
          <w:i/>
        </w:rPr>
        <w:t>See Implementation of Section 301(j) of the Telecommunications Act of 1996, Aggregation of Equipment Costs by Cable Operators</w:t>
      </w:r>
      <w:r w:rsidRPr="00430002">
        <w:t>, Report and Order, 11 FCC Rcd 6778</w:t>
      </w:r>
      <w:r>
        <w:t>, 6789</w:t>
      </w:r>
      <w:r w:rsidRPr="00430002">
        <w:t xml:space="preserve"> (1996)</w:t>
      </w:r>
      <w:r w:rsidR="00E80D17">
        <w:t xml:space="preserve">; </w:t>
      </w:r>
      <w:r w:rsidR="00973CC1">
        <w:t>47 C.F.R. § 76.923 (c)</w:t>
      </w:r>
      <w:r w:rsidR="007E22BC">
        <w:t xml:space="preserve"> </w:t>
      </w:r>
      <w:r w:rsidR="00973CC1">
        <w:t>(2)</w:t>
      </w:r>
      <w:r w:rsidR="00E80D17">
        <w:t xml:space="preserve">.  </w:t>
      </w:r>
      <w:r w:rsidR="00E80D17" w:rsidRPr="00E71EF5">
        <w:rPr>
          <w:i/>
        </w:rPr>
        <w:t>See also</w:t>
      </w:r>
      <w:r w:rsidR="00E80D17">
        <w:t xml:space="preserve"> </w:t>
      </w:r>
      <w:r w:rsidR="00E80D17" w:rsidRPr="00E80D17">
        <w:t>47 C.F.R. § 76.923 (c) (</w:t>
      </w:r>
      <w:r w:rsidR="00E80D17">
        <w:t>1) (“Costs of customer equipment . . . may be aggregated . . . into broad categories . . . of the same type . . . regardless of the levels of functionality</w:t>
      </w:r>
      <w:r w:rsidR="00111D88">
        <w:t xml:space="preserve"> . . . </w:t>
      </w:r>
      <w:r w:rsidR="00E80D17">
        <w:t>”)</w:t>
      </w:r>
    </w:p>
  </w:footnote>
  <w:footnote w:id="21">
    <w:p w:rsidR="00C54913" w:rsidRDefault="00C54913">
      <w:pPr>
        <w:pStyle w:val="FootnoteText"/>
      </w:pPr>
      <w:r>
        <w:rPr>
          <w:rStyle w:val="FootnoteReference"/>
        </w:rPr>
        <w:footnoteRef/>
      </w:r>
      <w:r>
        <w:t xml:space="preserve"> </w:t>
      </w:r>
      <w:r w:rsidRPr="00E71EF5">
        <w:rPr>
          <w:i/>
        </w:rPr>
        <w:t>Id.</w:t>
      </w:r>
    </w:p>
  </w:footnote>
  <w:footnote w:id="22">
    <w:p w:rsidR="001722B5" w:rsidRDefault="001722B5" w:rsidP="006F2DFB">
      <w:pPr>
        <w:pStyle w:val="FootnoteText"/>
        <w:jc w:val="left"/>
      </w:pPr>
      <w:r>
        <w:rPr>
          <w:rStyle w:val="FootnoteReference"/>
        </w:rPr>
        <w:footnoteRef/>
      </w:r>
      <w:r>
        <w:t xml:space="preserve"> </w:t>
      </w:r>
      <w:r w:rsidR="00D105C5">
        <w:t>Consolidated Opposition at 11.</w:t>
      </w:r>
    </w:p>
  </w:footnote>
  <w:footnote w:id="23">
    <w:p w:rsidR="00C116A4" w:rsidRDefault="00C116A4" w:rsidP="006F2DFB">
      <w:pPr>
        <w:pStyle w:val="FootnoteText"/>
        <w:jc w:val="left"/>
      </w:pPr>
      <w:r>
        <w:rPr>
          <w:rStyle w:val="FootnoteReference"/>
        </w:rPr>
        <w:footnoteRef/>
      </w:r>
      <w:r>
        <w:t xml:space="preserve"> </w:t>
      </w:r>
      <w:r w:rsidR="006B4542">
        <w:t>I</w:t>
      </w:r>
      <w:r>
        <w:t>n the Consolidated Opposition</w:t>
      </w:r>
      <w:r w:rsidR="00D01881">
        <w:t xml:space="preserve"> </w:t>
      </w:r>
      <w:r w:rsidR="006B4542">
        <w:t xml:space="preserve">the LFAs </w:t>
      </w:r>
      <w:r w:rsidR="00BA4B15">
        <w:t>question</w:t>
      </w:r>
      <w:r w:rsidR="00D01881">
        <w:t xml:space="preserve"> Comcast’s ability to aggregate the basic-only converters in the first place. </w:t>
      </w:r>
      <w:r w:rsidR="00A85850">
        <w:t xml:space="preserve"> </w:t>
      </w:r>
      <w:r w:rsidR="00D01881">
        <w:t>However, the LFAs did not challenge the aggregation of the basic-only converters in the Local Orders and we do not address that issue in this Order.</w:t>
      </w:r>
    </w:p>
  </w:footnote>
  <w:footnote w:id="24">
    <w:p w:rsidR="00D105C5" w:rsidRDefault="00D105C5" w:rsidP="006F2DFB">
      <w:pPr>
        <w:pStyle w:val="FootnoteText"/>
        <w:jc w:val="left"/>
      </w:pPr>
      <w:r>
        <w:rPr>
          <w:rStyle w:val="FootnoteReference"/>
        </w:rPr>
        <w:footnoteRef/>
      </w:r>
      <w:r>
        <w:t xml:space="preserve"> </w:t>
      </w:r>
      <w:r w:rsidRPr="00D105C5">
        <w:t xml:space="preserve">Consolidated Reply at </w:t>
      </w:r>
      <w:r>
        <w:t>2.</w:t>
      </w:r>
    </w:p>
  </w:footnote>
  <w:footnote w:id="25">
    <w:p w:rsidR="00FB3236" w:rsidRDefault="00FB3236" w:rsidP="006F2DFB">
      <w:pPr>
        <w:pStyle w:val="FootnoteText"/>
        <w:jc w:val="left"/>
      </w:pPr>
      <w:r>
        <w:rPr>
          <w:rStyle w:val="FootnoteReference"/>
        </w:rPr>
        <w:footnoteRef/>
      </w:r>
      <w:r>
        <w:t xml:space="preserve"> </w:t>
      </w:r>
      <w:r w:rsidRPr="00C116A4">
        <w:rPr>
          <w:i/>
        </w:rPr>
        <w:t>See Comcast Cablevision of Dallas, Inc.,</w:t>
      </w:r>
      <w:r w:rsidR="00C116A4" w:rsidRPr="00C116A4">
        <w:rPr>
          <w:i/>
        </w:rPr>
        <w:t xml:space="preserve"> et al</w:t>
      </w:r>
      <w:r w:rsidR="00C116A4">
        <w:t xml:space="preserve">., </w:t>
      </w:r>
      <w:r w:rsidRPr="00FB3236">
        <w:t>19 FCC Rcd 10628</w:t>
      </w:r>
      <w:r w:rsidR="00C116A4">
        <w:t>, 10636 (MB 2004) (</w:t>
      </w:r>
      <w:r w:rsidRPr="00FB3236">
        <w:t>approving separate rates for aggregated non-basic equipment)</w:t>
      </w:r>
      <w:r w:rsidR="00C116A4">
        <w:t>.</w:t>
      </w:r>
    </w:p>
  </w:footnote>
  <w:footnote w:id="26">
    <w:p w:rsidR="00A2523E" w:rsidRDefault="00A2523E" w:rsidP="006F2DFB">
      <w:pPr>
        <w:pStyle w:val="FootnoteText"/>
        <w:jc w:val="left"/>
      </w:pPr>
      <w:r>
        <w:rPr>
          <w:rStyle w:val="FootnoteReference"/>
        </w:rPr>
        <w:footnoteRef/>
      </w:r>
      <w:r>
        <w:t xml:space="preserve"> </w:t>
      </w:r>
      <w:r w:rsidRPr="00A2523E">
        <w:rPr>
          <w:i/>
        </w:rPr>
        <w:t>See Comcast Cable of Dallas, Inc.</w:t>
      </w:r>
      <w:r>
        <w:t>,</w:t>
      </w:r>
      <w:r w:rsidRPr="00A2523E">
        <w:t xml:space="preserve"> 19 FCC Rcd 17421</w:t>
      </w:r>
      <w:r>
        <w:t xml:space="preserve">, </w:t>
      </w:r>
      <w:r w:rsidR="00EC30CE">
        <w:t>17424</w:t>
      </w:r>
      <w:r>
        <w:t xml:space="preserve"> (MB 2004).</w:t>
      </w:r>
    </w:p>
  </w:footnote>
  <w:footnote w:id="27">
    <w:p w:rsidR="00496D61" w:rsidRDefault="00496D61">
      <w:pPr>
        <w:pStyle w:val="FootnoteText"/>
      </w:pPr>
      <w:r>
        <w:rPr>
          <w:rStyle w:val="FootnoteReference"/>
        </w:rPr>
        <w:footnoteRef/>
      </w:r>
      <w:r>
        <w:t xml:space="preserve"> </w:t>
      </w:r>
      <w:r w:rsidRPr="00D664BE">
        <w:rPr>
          <w:i/>
        </w:rPr>
        <w:t>See</w:t>
      </w:r>
      <w:r>
        <w:t xml:space="preserve"> 47 U.S.C § 543(e).</w:t>
      </w:r>
    </w:p>
  </w:footnote>
  <w:footnote w:id="28">
    <w:p w:rsidR="00D105C5" w:rsidRDefault="00D105C5" w:rsidP="006F2DFB">
      <w:pPr>
        <w:pStyle w:val="FootnoteText"/>
        <w:jc w:val="left"/>
      </w:pPr>
      <w:r>
        <w:rPr>
          <w:rStyle w:val="FootnoteReference"/>
        </w:rPr>
        <w:footnoteRef/>
      </w:r>
      <w:r>
        <w:t xml:space="preserve"> First Appeal at 6.</w:t>
      </w:r>
    </w:p>
  </w:footnote>
  <w:footnote w:id="29">
    <w:p w:rsidR="006F2DFB" w:rsidRDefault="006F2DFB" w:rsidP="006F2DFB">
      <w:pPr>
        <w:pStyle w:val="FootnoteText"/>
      </w:pPr>
      <w:r>
        <w:rPr>
          <w:rStyle w:val="FootnoteReference"/>
        </w:rPr>
        <w:footnoteRef/>
      </w:r>
      <w:r>
        <w:t xml:space="preserve"> Consolidated Reply at 17-18</w:t>
      </w:r>
    </w:p>
  </w:footnote>
  <w:footnote w:id="30">
    <w:p w:rsidR="006F2DFB" w:rsidRDefault="006F2DFB">
      <w:pPr>
        <w:pStyle w:val="FootnoteText"/>
      </w:pPr>
      <w:r>
        <w:rPr>
          <w:rStyle w:val="FootnoteReference"/>
        </w:rPr>
        <w:footnoteRef/>
      </w:r>
      <w:r>
        <w:t xml:space="preserve"> </w:t>
      </w:r>
      <w:r w:rsidRPr="006F2DFB">
        <w:rPr>
          <w:i/>
        </w:rPr>
        <w:t>Id</w:t>
      </w:r>
      <w:r>
        <w:t>. at 23-25.</w:t>
      </w:r>
    </w:p>
  </w:footnote>
  <w:footnote w:id="31">
    <w:p w:rsidR="006F2DFB" w:rsidRDefault="006F2DFB">
      <w:pPr>
        <w:pStyle w:val="FootnoteText"/>
      </w:pPr>
      <w:r>
        <w:rPr>
          <w:rStyle w:val="FootnoteReference"/>
        </w:rPr>
        <w:footnoteRef/>
      </w:r>
      <w:r>
        <w:t xml:space="preserve"> Consolidated Opposition at 22.</w:t>
      </w:r>
    </w:p>
  </w:footnote>
  <w:footnote w:id="32">
    <w:p w:rsidR="00805A35" w:rsidRPr="002B0B1C" w:rsidRDefault="00805A35" w:rsidP="006F2DFB">
      <w:pPr>
        <w:pStyle w:val="FootnoteText"/>
        <w:jc w:val="left"/>
      </w:pPr>
      <w:r>
        <w:rPr>
          <w:rStyle w:val="FootnoteReference"/>
        </w:rPr>
        <w:footnoteRef/>
      </w:r>
      <w:r>
        <w:t xml:space="preserve"> 47 C.F.R. § 76.923</w:t>
      </w:r>
      <w:r w:rsidR="00AC74FC">
        <w:t xml:space="preserve"> </w:t>
      </w:r>
      <w:r>
        <w:t xml:space="preserve">(b).  </w:t>
      </w:r>
      <w:r>
        <w:rPr>
          <w:i/>
        </w:rPr>
        <w:t>See</w:t>
      </w:r>
      <w:r>
        <w:t xml:space="preserve"> FCC Form 1200, </w:t>
      </w:r>
      <w:r w:rsidRPr="00000C01">
        <w:rPr>
          <w:i/>
        </w:rPr>
        <w:t>Setting Initial Maximum Permitted Rates for Regulated Cable Services Pursuant to Rules Adopted February 22, 1994</w:t>
      </w:r>
      <w:r>
        <w:t xml:space="preserve">, </w:t>
      </w:r>
      <w:r w:rsidR="00000C01">
        <w:t>“</w:t>
      </w:r>
      <w:r>
        <w:t>First-Time Filers Form” (May 1994).</w:t>
      </w:r>
    </w:p>
  </w:footnote>
  <w:footnote w:id="33">
    <w:p w:rsidR="00000C01" w:rsidRDefault="00000C01" w:rsidP="006F2DFB">
      <w:pPr>
        <w:pStyle w:val="FootnoteText"/>
        <w:jc w:val="left"/>
      </w:pPr>
      <w:r>
        <w:rPr>
          <w:rStyle w:val="FootnoteReference"/>
        </w:rPr>
        <w:footnoteRef/>
      </w:r>
      <w:r>
        <w:t xml:space="preserve"> </w:t>
      </w:r>
      <w:r w:rsidR="000E1046">
        <w:t xml:space="preserve">We disagree with </w:t>
      </w:r>
      <w:r>
        <w:t>Comcast</w:t>
      </w:r>
      <w:r w:rsidR="000E1046">
        <w:t>’s argument that</w:t>
      </w:r>
      <w:r>
        <w:t xml:space="preserve"> the Commission’s CableCARD rule, 47 C.F.R. 76.1205 (b)</w:t>
      </w:r>
      <w:r w:rsidR="007E22BC">
        <w:t xml:space="preserve"> </w:t>
      </w:r>
      <w:r>
        <w:t>(5)(ii)(B)(2)</w:t>
      </w:r>
      <w:r w:rsidR="000E1046">
        <w:t>,</w:t>
      </w:r>
      <w:r>
        <w:t xml:space="preserve"> support</w:t>
      </w:r>
      <w:r w:rsidR="000E1046">
        <w:t>s</w:t>
      </w:r>
      <w:r>
        <w:t xml:space="preserve"> </w:t>
      </w:r>
      <w:r w:rsidR="000E1046">
        <w:t xml:space="preserve">their claim </w:t>
      </w:r>
      <w:r>
        <w:t>that the unbundling rules no longer apply</w:t>
      </w:r>
      <w:r w:rsidR="000E1046">
        <w:t>.  T</w:t>
      </w:r>
      <w:r>
        <w:t>hat section reiterates that a cable operator must separately disclose to consumers in a conspicuous manner</w:t>
      </w:r>
      <w:r w:rsidR="00900232">
        <w:t>, with written information</w:t>
      </w:r>
      <w:r w:rsidR="007B44DE">
        <w:t>,</w:t>
      </w:r>
      <w:r>
        <w:t xml:space="preserve"> any fees for the rental of CableCARDS and operator-supplied navigation devices.  </w:t>
      </w:r>
      <w:r w:rsidR="00F849C2" w:rsidRPr="00F849C2">
        <w:rPr>
          <w:i/>
        </w:rPr>
        <w:t>See</w:t>
      </w:r>
      <w:r w:rsidR="00F849C2">
        <w:t xml:space="preserve"> </w:t>
      </w:r>
      <w:r w:rsidRPr="00000C01">
        <w:t>47 C.F.R. 76.1205 (b)(5)(i)</w:t>
      </w:r>
      <w:r w:rsidR="00F849C2">
        <w:t>.</w:t>
      </w:r>
      <w:r w:rsidR="00E24342">
        <w:t xml:space="preserve"> </w:t>
      </w:r>
      <w:r w:rsidR="00E24342" w:rsidRPr="00E24342">
        <w:rPr>
          <w:i/>
        </w:rPr>
        <w:t>See also</w:t>
      </w:r>
      <w:r w:rsidR="00E24342">
        <w:t xml:space="preserve">, </w:t>
      </w:r>
      <w:r w:rsidR="00E24342" w:rsidRPr="00E24342">
        <w:t>47 C.F.R § 76.1206.</w:t>
      </w:r>
    </w:p>
  </w:footnote>
  <w:footnote w:id="34">
    <w:p w:rsidR="00805A35" w:rsidRDefault="00805A35" w:rsidP="006F2DFB">
      <w:pPr>
        <w:pStyle w:val="FootnoteText"/>
        <w:jc w:val="left"/>
      </w:pPr>
      <w:r>
        <w:rPr>
          <w:rStyle w:val="FootnoteReference"/>
        </w:rPr>
        <w:footnoteRef/>
      </w:r>
      <w:r>
        <w:t xml:space="preserve"> 47 U.S.C. § 549</w:t>
      </w:r>
      <w:r w:rsidR="00E24342">
        <w:t xml:space="preserve"> </w:t>
      </w:r>
      <w:r>
        <w:t xml:space="preserve">(a).  </w:t>
      </w:r>
    </w:p>
  </w:footnote>
  <w:footnote w:id="35">
    <w:p w:rsidR="006651BF" w:rsidRDefault="006651BF">
      <w:pPr>
        <w:pStyle w:val="FootnoteText"/>
      </w:pPr>
      <w:r>
        <w:rPr>
          <w:rStyle w:val="FootnoteReference"/>
        </w:rPr>
        <w:footnoteRef/>
      </w:r>
      <w:r>
        <w:t xml:space="preserve"> 47 U.S.C. § 543 (e)</w:t>
      </w:r>
      <w:r w:rsidR="007E22BC">
        <w:t xml:space="preserve"> </w:t>
      </w:r>
      <w:r>
        <w:t>(4).</w:t>
      </w:r>
    </w:p>
  </w:footnote>
  <w:footnote w:id="36">
    <w:p w:rsidR="004D4726" w:rsidRDefault="004D4726" w:rsidP="006F2DFB">
      <w:pPr>
        <w:pStyle w:val="FootnoteText"/>
        <w:jc w:val="left"/>
      </w:pPr>
      <w:r>
        <w:rPr>
          <w:rStyle w:val="FootnoteReference"/>
        </w:rPr>
        <w:footnoteRef/>
      </w:r>
      <w:r w:rsidR="00E24342">
        <w:rPr>
          <w:i/>
        </w:rPr>
        <w:t xml:space="preserve"> </w:t>
      </w:r>
      <w:r w:rsidRPr="004D4726">
        <w:rPr>
          <w:i/>
        </w:rPr>
        <w:t>See Comcast Cablevision of Dallas, Inc</w:t>
      </w:r>
      <w:r w:rsidRPr="004D4726">
        <w:t xml:space="preserve">., 19 FCC Rcd 10628 (MB 2004); </w:t>
      </w:r>
      <w:r w:rsidRPr="004D4726">
        <w:rPr>
          <w:i/>
        </w:rPr>
        <w:t>Comcast Cable of Indiana/Michigan/Texas, Inc.</w:t>
      </w:r>
      <w:r w:rsidRPr="004D4726">
        <w:t xml:space="preserve">, 19 FCC Rcd 16344 (MB 2004); </w:t>
      </w:r>
      <w:r w:rsidRPr="004D4726">
        <w:rPr>
          <w:i/>
        </w:rPr>
        <w:t>Comcast Cablevision of Dallas, Inc.</w:t>
      </w:r>
      <w:r w:rsidRPr="004D4726">
        <w:t>, 19 FCC Rcd 22687 (MB 2004)</w:t>
      </w:r>
    </w:p>
  </w:footnote>
  <w:footnote w:id="37">
    <w:p w:rsidR="00E8728B" w:rsidRDefault="00E8728B">
      <w:pPr>
        <w:pStyle w:val="FootnoteText"/>
      </w:pPr>
      <w:r>
        <w:rPr>
          <w:rStyle w:val="FootnoteReference"/>
        </w:rPr>
        <w:footnoteRef/>
      </w:r>
      <w:r>
        <w:t xml:space="preserve"> </w:t>
      </w:r>
      <w:r w:rsidRPr="00E8728B">
        <w:rPr>
          <w:i/>
        </w:rPr>
        <w:t>See</w:t>
      </w:r>
      <w:r>
        <w:t xml:space="preserve"> 47 C.F.R. </w:t>
      </w:r>
      <w:r w:rsidR="001F1129" w:rsidRPr="001F1129">
        <w:t>§</w:t>
      </w:r>
      <w:r w:rsidR="001F1129">
        <w:t xml:space="preserve"> </w:t>
      </w:r>
      <w:r>
        <w:t>76.923</w:t>
      </w:r>
      <w:r w:rsidR="007E22BC">
        <w:t xml:space="preserve"> </w:t>
      </w:r>
      <w:r>
        <w:t>(a)</w:t>
      </w:r>
      <w:r w:rsidR="0018000C">
        <w:t xml:space="preserve">; </w:t>
      </w:r>
      <w:r w:rsidR="0018000C">
        <w:rPr>
          <w:i/>
        </w:rPr>
        <w:t>s</w:t>
      </w:r>
      <w:r w:rsidR="000F4189" w:rsidRPr="00D664BE">
        <w:rPr>
          <w:i/>
        </w:rPr>
        <w:t>ee also</w:t>
      </w:r>
      <w:r w:rsidR="000F4189">
        <w:t xml:space="preserve"> </w:t>
      </w:r>
      <w:r w:rsidR="000F4189" w:rsidRPr="000F4189">
        <w:t>47 U.S.C. § 543 (</w:t>
      </w:r>
      <w:r w:rsidR="000F4189">
        <w:t>b</w:t>
      </w:r>
      <w:r w:rsidR="000F4189" w:rsidRPr="000F4189">
        <w:t>)</w:t>
      </w:r>
      <w:r w:rsidR="007E22BC">
        <w:t xml:space="preserve"> </w:t>
      </w:r>
      <w:r w:rsidR="000F4189" w:rsidRPr="000F4189">
        <w:t>(</w:t>
      </w:r>
      <w:r w:rsidR="000F4189">
        <w:t>3</w:t>
      </w:r>
      <w:r w:rsidR="000F4189" w:rsidRPr="000F418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81" w:rsidRDefault="00D00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88" w:rsidRDefault="00AC4D88">
    <w:pPr>
      <w:tabs>
        <w:tab w:val="center" w:pos="4680"/>
        <w:tab w:val="right" w:pos="9360"/>
      </w:tabs>
      <w:suppressAutoHyphens/>
      <w:spacing w:line="227" w:lineRule="auto"/>
      <w:rPr>
        <w:b/>
        <w:spacing w:val="-2"/>
      </w:rPr>
    </w:pPr>
  </w:p>
  <w:p w:rsidR="00AC4D88" w:rsidRDefault="00AC4D88">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 xml:space="preserve">DA </w:t>
    </w:r>
    <w:r w:rsidR="00300A6F">
      <w:rPr>
        <w:b/>
      </w:rPr>
      <w:t>14</w:t>
    </w:r>
    <w:r>
      <w:rPr>
        <w:b/>
      </w:rPr>
      <w:t>-</w:t>
    </w:r>
    <w:r w:rsidR="00384D4D">
      <w:rPr>
        <w:b/>
      </w:rPr>
      <w:t>364</w:t>
    </w:r>
  </w:p>
  <w:p w:rsidR="00AC4D88" w:rsidRDefault="00463B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B9D2080" wp14:editId="35F4AB3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C4D88" w:rsidRDefault="00AC4D8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88" w:rsidRDefault="00AC4D88">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 xml:space="preserve">DA </w:t>
    </w:r>
    <w:r w:rsidR="00300A6F">
      <w:rPr>
        <w:b/>
      </w:rPr>
      <w:t>14</w:t>
    </w:r>
    <w:r>
      <w:rPr>
        <w:b/>
      </w:rPr>
      <w:t>-</w:t>
    </w:r>
    <w:r w:rsidR="00384D4D">
      <w:rPr>
        <w:b/>
      </w:rPr>
      <w:t>364</w:t>
    </w:r>
  </w:p>
  <w:p w:rsidR="00AC4D88" w:rsidRDefault="00463B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Ga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Y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DFkzGa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AC4D88" w:rsidRDefault="00AC4D88">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507AE6"/>
    <w:lvl w:ilvl="0">
      <w:start w:val="1"/>
      <w:numFmt w:val="decimal"/>
      <w:lvlText w:val="%1."/>
      <w:lvlJc w:val="left"/>
      <w:pPr>
        <w:tabs>
          <w:tab w:val="num" w:pos="1800"/>
        </w:tabs>
        <w:ind w:left="1800" w:hanging="360"/>
      </w:pPr>
    </w:lvl>
  </w:abstractNum>
  <w:abstractNum w:abstractNumId="1">
    <w:nsid w:val="FFFFFF7D"/>
    <w:multiLevelType w:val="singleLevel"/>
    <w:tmpl w:val="D4B25540"/>
    <w:lvl w:ilvl="0">
      <w:start w:val="1"/>
      <w:numFmt w:val="decimal"/>
      <w:lvlText w:val="%1."/>
      <w:lvlJc w:val="left"/>
      <w:pPr>
        <w:tabs>
          <w:tab w:val="num" w:pos="1440"/>
        </w:tabs>
        <w:ind w:left="1440" w:hanging="360"/>
      </w:pPr>
    </w:lvl>
  </w:abstractNum>
  <w:abstractNum w:abstractNumId="2">
    <w:nsid w:val="FFFFFF7E"/>
    <w:multiLevelType w:val="singleLevel"/>
    <w:tmpl w:val="0082CE66"/>
    <w:lvl w:ilvl="0">
      <w:start w:val="1"/>
      <w:numFmt w:val="decimal"/>
      <w:lvlText w:val="%1."/>
      <w:lvlJc w:val="left"/>
      <w:pPr>
        <w:tabs>
          <w:tab w:val="num" w:pos="1080"/>
        </w:tabs>
        <w:ind w:left="1080" w:hanging="360"/>
      </w:pPr>
    </w:lvl>
  </w:abstractNum>
  <w:abstractNum w:abstractNumId="3">
    <w:nsid w:val="FFFFFF7F"/>
    <w:multiLevelType w:val="singleLevel"/>
    <w:tmpl w:val="76B8D92C"/>
    <w:lvl w:ilvl="0">
      <w:start w:val="1"/>
      <w:numFmt w:val="decimal"/>
      <w:lvlText w:val="%1."/>
      <w:lvlJc w:val="left"/>
      <w:pPr>
        <w:tabs>
          <w:tab w:val="num" w:pos="720"/>
        </w:tabs>
        <w:ind w:left="720" w:hanging="360"/>
      </w:pPr>
    </w:lvl>
  </w:abstractNum>
  <w:abstractNum w:abstractNumId="4">
    <w:nsid w:val="FFFFFF80"/>
    <w:multiLevelType w:val="singleLevel"/>
    <w:tmpl w:val="260A98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D87B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8079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0413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BE2974"/>
    <w:lvl w:ilvl="0">
      <w:start w:val="1"/>
      <w:numFmt w:val="decimal"/>
      <w:lvlText w:val="%1."/>
      <w:lvlJc w:val="left"/>
      <w:pPr>
        <w:tabs>
          <w:tab w:val="num" w:pos="360"/>
        </w:tabs>
        <w:ind w:left="360" w:hanging="360"/>
      </w:pPr>
    </w:lvl>
  </w:abstractNum>
  <w:abstractNum w:abstractNumId="9">
    <w:nsid w:val="FFFFFF89"/>
    <w:multiLevelType w:val="singleLevel"/>
    <w:tmpl w:val="BF5E25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13">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4">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6">
    <w:nsid w:val="248246F3"/>
    <w:multiLevelType w:val="singleLevel"/>
    <w:tmpl w:val="B1F45678"/>
    <w:lvl w:ilvl="0">
      <w:start w:val="1"/>
      <w:numFmt w:val="decimal"/>
      <w:lvlText w:val="%1."/>
      <w:lvlJc w:val="left"/>
      <w:pPr>
        <w:tabs>
          <w:tab w:val="num" w:pos="1080"/>
        </w:tabs>
        <w:ind w:left="0" w:firstLine="720"/>
      </w:pPr>
    </w:lvl>
  </w:abstractNum>
  <w:abstractNum w:abstractNumId="17">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9">
    <w:nsid w:val="305E3024"/>
    <w:multiLevelType w:val="singleLevel"/>
    <w:tmpl w:val="EA9E5D9A"/>
    <w:lvl w:ilvl="0">
      <w:start w:val="2"/>
      <w:numFmt w:val="decimal"/>
      <w:lvlText w:val="%1."/>
      <w:lvlJc w:val="left"/>
      <w:pPr>
        <w:tabs>
          <w:tab w:val="num" w:pos="1080"/>
        </w:tabs>
        <w:ind w:left="0" w:firstLine="720"/>
      </w:pPr>
    </w:lvl>
  </w:abstractNum>
  <w:abstractNum w:abstractNumId="20">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21">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2">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3">
    <w:nsid w:val="43D27EFD"/>
    <w:multiLevelType w:val="singleLevel"/>
    <w:tmpl w:val="42701C86"/>
    <w:lvl w:ilvl="0">
      <w:start w:val="1"/>
      <w:numFmt w:val="decimal"/>
      <w:lvlText w:val="%1."/>
      <w:lvlJc w:val="left"/>
      <w:pPr>
        <w:tabs>
          <w:tab w:val="num" w:pos="1440"/>
        </w:tabs>
        <w:ind w:left="1440" w:hanging="720"/>
      </w:pPr>
    </w:lvl>
  </w:abstractNum>
  <w:abstractNum w:abstractNumId="24">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5">
    <w:nsid w:val="5FFF125B"/>
    <w:multiLevelType w:val="singleLevel"/>
    <w:tmpl w:val="B1F45678"/>
    <w:lvl w:ilvl="0">
      <w:start w:val="1"/>
      <w:numFmt w:val="decimal"/>
      <w:lvlText w:val="%1."/>
      <w:lvlJc w:val="left"/>
      <w:pPr>
        <w:tabs>
          <w:tab w:val="num" w:pos="1080"/>
        </w:tabs>
        <w:ind w:left="0" w:firstLine="720"/>
      </w:pPr>
    </w:lvl>
  </w:abstractNum>
  <w:abstractNum w:abstractNumId="26">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03621C9"/>
    <w:multiLevelType w:val="singleLevel"/>
    <w:tmpl w:val="373411A8"/>
    <w:lvl w:ilvl="0">
      <w:start w:val="1"/>
      <w:numFmt w:val="decimal"/>
      <w:lvlText w:val="%1."/>
      <w:lvlJc w:val="left"/>
      <w:pPr>
        <w:tabs>
          <w:tab w:val="num" w:pos="1080"/>
        </w:tabs>
        <w:ind w:left="0" w:firstLine="720"/>
      </w:pPr>
    </w:lvl>
  </w:abstractNum>
  <w:abstractNum w:abstractNumId="29">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0">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7"/>
  </w:num>
  <w:num w:numId="2">
    <w:abstractNumId w:val="16"/>
  </w:num>
  <w:num w:numId="3">
    <w:abstractNumId w:val="11"/>
  </w:num>
  <w:num w:numId="4">
    <w:abstractNumId w:val="25"/>
  </w:num>
  <w:num w:numId="5">
    <w:abstractNumId w:val="28"/>
  </w:num>
  <w:num w:numId="6">
    <w:abstractNumId w:val="19"/>
  </w:num>
  <w:num w:numId="7">
    <w:abstractNumId w:val="20"/>
  </w:num>
  <w:num w:numId="8">
    <w:abstractNumId w:val="23"/>
  </w:num>
  <w:num w:numId="9">
    <w:abstractNumId w:val="1"/>
  </w:num>
  <w:num w:numId="10">
    <w:abstractNumId w:val="0"/>
  </w:num>
  <w:num w:numId="11">
    <w:abstractNumId w:val="12"/>
  </w:num>
  <w:num w:numId="12">
    <w:abstractNumId w:val="18"/>
  </w:num>
  <w:num w:numId="13">
    <w:abstractNumId w:val="11"/>
  </w:num>
  <w:num w:numId="14">
    <w:abstractNumId w:val="24"/>
  </w:num>
  <w:num w:numId="15">
    <w:abstractNumId w:val="13"/>
  </w:num>
  <w:num w:numId="16">
    <w:abstractNumId w:val="22"/>
  </w:num>
  <w:num w:numId="17">
    <w:abstractNumId w:val="14"/>
  </w:num>
  <w:num w:numId="18">
    <w:abstractNumId w:val="29"/>
  </w:num>
  <w:num w:numId="19">
    <w:abstractNumId w:val="10"/>
  </w:num>
  <w:num w:numId="20">
    <w:abstractNumId w:val="26"/>
  </w:num>
  <w:num w:numId="21">
    <w:abstractNumId w:val="17"/>
  </w:num>
  <w:num w:numId="22">
    <w:abstractNumId w:val="10"/>
  </w:num>
  <w:num w:numId="23">
    <w:abstractNumId w:val="26"/>
  </w:num>
  <w:num w:numId="24">
    <w:abstractNumId w:val="26"/>
  </w:num>
  <w:num w:numId="25">
    <w:abstractNumId w:val="26"/>
  </w:num>
  <w:num w:numId="26">
    <w:abstractNumId w:val="30"/>
  </w:num>
  <w:num w:numId="27">
    <w:abstractNumId w:val="15"/>
  </w:num>
  <w:num w:numId="28">
    <w:abstractNumId w:val="1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21"/>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0"/>
  </w:num>
  <w:num w:numId="51">
    <w:abstractNumId w:val="10"/>
  </w:num>
  <w:num w:numId="52">
    <w:abstractNumId w:val="17"/>
  </w:num>
  <w:num w:numId="53">
    <w:abstractNumId w:val="17"/>
  </w:num>
  <w:num w:numId="54">
    <w:abstractNumId w:val="10"/>
  </w:num>
  <w:num w:numId="55">
    <w:abstractNumId w:val="10"/>
  </w:num>
  <w:num w:numId="56">
    <w:abstractNumId w:val="10"/>
  </w:num>
  <w:num w:numId="57">
    <w:abstractNumId w:val="10"/>
  </w:num>
  <w:num w:numId="58">
    <w:abstractNumId w:val="10"/>
  </w:num>
  <w:num w:numId="59">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AA"/>
    <w:rsid w:val="00000C01"/>
    <w:rsid w:val="00007D83"/>
    <w:rsid w:val="0001393E"/>
    <w:rsid w:val="0001410E"/>
    <w:rsid w:val="000203CD"/>
    <w:rsid w:val="000214F1"/>
    <w:rsid w:val="0002444C"/>
    <w:rsid w:val="00045F60"/>
    <w:rsid w:val="00055435"/>
    <w:rsid w:val="00072225"/>
    <w:rsid w:val="00075F59"/>
    <w:rsid w:val="00077C29"/>
    <w:rsid w:val="00093215"/>
    <w:rsid w:val="000A3101"/>
    <w:rsid w:val="000B480A"/>
    <w:rsid w:val="000E1046"/>
    <w:rsid w:val="000E2805"/>
    <w:rsid w:val="000E3138"/>
    <w:rsid w:val="000F4189"/>
    <w:rsid w:val="001066D3"/>
    <w:rsid w:val="00110EF7"/>
    <w:rsid w:val="00111D88"/>
    <w:rsid w:val="0012197B"/>
    <w:rsid w:val="00133C01"/>
    <w:rsid w:val="00135322"/>
    <w:rsid w:val="00136B2B"/>
    <w:rsid w:val="00155EA4"/>
    <w:rsid w:val="001657AA"/>
    <w:rsid w:val="001722B5"/>
    <w:rsid w:val="00173735"/>
    <w:rsid w:val="001745D5"/>
    <w:rsid w:val="00174786"/>
    <w:rsid w:val="00174A52"/>
    <w:rsid w:val="0018000C"/>
    <w:rsid w:val="00181882"/>
    <w:rsid w:val="001877C1"/>
    <w:rsid w:val="00190C79"/>
    <w:rsid w:val="001A59ED"/>
    <w:rsid w:val="001A7C2A"/>
    <w:rsid w:val="001B046C"/>
    <w:rsid w:val="001B0BB4"/>
    <w:rsid w:val="001C056E"/>
    <w:rsid w:val="001C5CE1"/>
    <w:rsid w:val="001D5165"/>
    <w:rsid w:val="001F1129"/>
    <w:rsid w:val="001F16D0"/>
    <w:rsid w:val="00202C9C"/>
    <w:rsid w:val="002142B5"/>
    <w:rsid w:val="00231889"/>
    <w:rsid w:val="0024141B"/>
    <w:rsid w:val="0025470D"/>
    <w:rsid w:val="002655DA"/>
    <w:rsid w:val="00266744"/>
    <w:rsid w:val="002740C9"/>
    <w:rsid w:val="00275B83"/>
    <w:rsid w:val="00281E7B"/>
    <w:rsid w:val="002826BD"/>
    <w:rsid w:val="00283CED"/>
    <w:rsid w:val="00285B2A"/>
    <w:rsid w:val="002A71F6"/>
    <w:rsid w:val="002B5195"/>
    <w:rsid w:val="00300A6F"/>
    <w:rsid w:val="00301370"/>
    <w:rsid w:val="003014E7"/>
    <w:rsid w:val="00304880"/>
    <w:rsid w:val="003134B6"/>
    <w:rsid w:val="00330C0A"/>
    <w:rsid w:val="00332C12"/>
    <w:rsid w:val="00347ED7"/>
    <w:rsid w:val="003511EA"/>
    <w:rsid w:val="00363AB0"/>
    <w:rsid w:val="00370649"/>
    <w:rsid w:val="0038168A"/>
    <w:rsid w:val="00382BFF"/>
    <w:rsid w:val="00384D4D"/>
    <w:rsid w:val="00387C19"/>
    <w:rsid w:val="00396D59"/>
    <w:rsid w:val="00397FCC"/>
    <w:rsid w:val="003B415B"/>
    <w:rsid w:val="003E228D"/>
    <w:rsid w:val="003E61FE"/>
    <w:rsid w:val="003E6CF5"/>
    <w:rsid w:val="00411EDF"/>
    <w:rsid w:val="00414C6D"/>
    <w:rsid w:val="0041655B"/>
    <w:rsid w:val="004203F8"/>
    <w:rsid w:val="00420729"/>
    <w:rsid w:val="00430002"/>
    <w:rsid w:val="004417DB"/>
    <w:rsid w:val="004509AA"/>
    <w:rsid w:val="00463157"/>
    <w:rsid w:val="00463B48"/>
    <w:rsid w:val="004716F2"/>
    <w:rsid w:val="004749F6"/>
    <w:rsid w:val="00476DBA"/>
    <w:rsid w:val="00496D61"/>
    <w:rsid w:val="004B3A9C"/>
    <w:rsid w:val="004C7DC0"/>
    <w:rsid w:val="004D08F6"/>
    <w:rsid w:val="004D0C03"/>
    <w:rsid w:val="004D4726"/>
    <w:rsid w:val="004F0A76"/>
    <w:rsid w:val="004F0B0C"/>
    <w:rsid w:val="004F7403"/>
    <w:rsid w:val="0051094F"/>
    <w:rsid w:val="005129B9"/>
    <w:rsid w:val="00515E77"/>
    <w:rsid w:val="0052054A"/>
    <w:rsid w:val="005508E5"/>
    <w:rsid w:val="005509CE"/>
    <w:rsid w:val="00563191"/>
    <w:rsid w:val="00564A8C"/>
    <w:rsid w:val="00571B78"/>
    <w:rsid w:val="00575A6B"/>
    <w:rsid w:val="005805BA"/>
    <w:rsid w:val="005868DE"/>
    <w:rsid w:val="00587E24"/>
    <w:rsid w:val="00592334"/>
    <w:rsid w:val="0059235B"/>
    <w:rsid w:val="005B22AA"/>
    <w:rsid w:val="00600C90"/>
    <w:rsid w:val="006123A5"/>
    <w:rsid w:val="006177B3"/>
    <w:rsid w:val="006203C5"/>
    <w:rsid w:val="00643CFC"/>
    <w:rsid w:val="006467BF"/>
    <w:rsid w:val="00650E40"/>
    <w:rsid w:val="00662730"/>
    <w:rsid w:val="006651BF"/>
    <w:rsid w:val="00677013"/>
    <w:rsid w:val="00693146"/>
    <w:rsid w:val="006A16E3"/>
    <w:rsid w:val="006B13E1"/>
    <w:rsid w:val="006B3EAF"/>
    <w:rsid w:val="006B4542"/>
    <w:rsid w:val="006C7208"/>
    <w:rsid w:val="006D704D"/>
    <w:rsid w:val="006E2DB9"/>
    <w:rsid w:val="006E61A5"/>
    <w:rsid w:val="006F020F"/>
    <w:rsid w:val="006F2DFB"/>
    <w:rsid w:val="006F47E5"/>
    <w:rsid w:val="00707B68"/>
    <w:rsid w:val="007119CB"/>
    <w:rsid w:val="00735925"/>
    <w:rsid w:val="00744068"/>
    <w:rsid w:val="007545E1"/>
    <w:rsid w:val="007549A3"/>
    <w:rsid w:val="00754ACF"/>
    <w:rsid w:val="00765A14"/>
    <w:rsid w:val="007944AA"/>
    <w:rsid w:val="007946A5"/>
    <w:rsid w:val="007A4DAD"/>
    <w:rsid w:val="007B44DE"/>
    <w:rsid w:val="007B46BF"/>
    <w:rsid w:val="007B7C9B"/>
    <w:rsid w:val="007D0D6D"/>
    <w:rsid w:val="007D6E5F"/>
    <w:rsid w:val="007E22BC"/>
    <w:rsid w:val="007F0358"/>
    <w:rsid w:val="007F418F"/>
    <w:rsid w:val="007F528B"/>
    <w:rsid w:val="007F701D"/>
    <w:rsid w:val="00804928"/>
    <w:rsid w:val="00805A35"/>
    <w:rsid w:val="00805C70"/>
    <w:rsid w:val="008104BC"/>
    <w:rsid w:val="00816B61"/>
    <w:rsid w:val="00817178"/>
    <w:rsid w:val="00894D55"/>
    <w:rsid w:val="00896D3F"/>
    <w:rsid w:val="00897CCD"/>
    <w:rsid w:val="008A7681"/>
    <w:rsid w:val="008C0486"/>
    <w:rsid w:val="008D61C9"/>
    <w:rsid w:val="008F1CA9"/>
    <w:rsid w:val="008F318B"/>
    <w:rsid w:val="008F6CD9"/>
    <w:rsid w:val="00900232"/>
    <w:rsid w:val="00906D55"/>
    <w:rsid w:val="00912828"/>
    <w:rsid w:val="00913A92"/>
    <w:rsid w:val="00917B12"/>
    <w:rsid w:val="00921EA2"/>
    <w:rsid w:val="0097000C"/>
    <w:rsid w:val="00972BE8"/>
    <w:rsid w:val="00973CC1"/>
    <w:rsid w:val="00974432"/>
    <w:rsid w:val="009766E7"/>
    <w:rsid w:val="009961A6"/>
    <w:rsid w:val="009A2FFB"/>
    <w:rsid w:val="009A5601"/>
    <w:rsid w:val="009A5A33"/>
    <w:rsid w:val="009B30C8"/>
    <w:rsid w:val="009C483B"/>
    <w:rsid w:val="009D32D9"/>
    <w:rsid w:val="009D5914"/>
    <w:rsid w:val="009F0EAC"/>
    <w:rsid w:val="009F725E"/>
    <w:rsid w:val="00A11939"/>
    <w:rsid w:val="00A2523E"/>
    <w:rsid w:val="00A36112"/>
    <w:rsid w:val="00A3624A"/>
    <w:rsid w:val="00A4001C"/>
    <w:rsid w:val="00A46AED"/>
    <w:rsid w:val="00A54676"/>
    <w:rsid w:val="00A71FC2"/>
    <w:rsid w:val="00A73D7B"/>
    <w:rsid w:val="00A75478"/>
    <w:rsid w:val="00A85850"/>
    <w:rsid w:val="00AA0CBE"/>
    <w:rsid w:val="00AC27B8"/>
    <w:rsid w:val="00AC4981"/>
    <w:rsid w:val="00AC4D88"/>
    <w:rsid w:val="00AC5639"/>
    <w:rsid w:val="00AC6E7D"/>
    <w:rsid w:val="00AC74FC"/>
    <w:rsid w:val="00AD34D3"/>
    <w:rsid w:val="00AD55FE"/>
    <w:rsid w:val="00AE2FAB"/>
    <w:rsid w:val="00B023E0"/>
    <w:rsid w:val="00B24AA1"/>
    <w:rsid w:val="00B320F9"/>
    <w:rsid w:val="00B3777B"/>
    <w:rsid w:val="00B6714A"/>
    <w:rsid w:val="00B827AF"/>
    <w:rsid w:val="00B85FEA"/>
    <w:rsid w:val="00B95437"/>
    <w:rsid w:val="00BA35C5"/>
    <w:rsid w:val="00BA4B15"/>
    <w:rsid w:val="00BB24B0"/>
    <w:rsid w:val="00BB6908"/>
    <w:rsid w:val="00BB6DB9"/>
    <w:rsid w:val="00BD14AC"/>
    <w:rsid w:val="00BD4A45"/>
    <w:rsid w:val="00BD4BF0"/>
    <w:rsid w:val="00C045C2"/>
    <w:rsid w:val="00C11021"/>
    <w:rsid w:val="00C116A4"/>
    <w:rsid w:val="00C146C4"/>
    <w:rsid w:val="00C14707"/>
    <w:rsid w:val="00C23A3F"/>
    <w:rsid w:val="00C25083"/>
    <w:rsid w:val="00C4071B"/>
    <w:rsid w:val="00C505C8"/>
    <w:rsid w:val="00C54913"/>
    <w:rsid w:val="00C567FC"/>
    <w:rsid w:val="00C66696"/>
    <w:rsid w:val="00C6726D"/>
    <w:rsid w:val="00C76B5A"/>
    <w:rsid w:val="00C81195"/>
    <w:rsid w:val="00C81494"/>
    <w:rsid w:val="00C91291"/>
    <w:rsid w:val="00CB1FE4"/>
    <w:rsid w:val="00CC7809"/>
    <w:rsid w:val="00CD1E39"/>
    <w:rsid w:val="00CD5F5F"/>
    <w:rsid w:val="00CF0F88"/>
    <w:rsid w:val="00CF3E95"/>
    <w:rsid w:val="00CF46C7"/>
    <w:rsid w:val="00CF5A23"/>
    <w:rsid w:val="00D00081"/>
    <w:rsid w:val="00D01881"/>
    <w:rsid w:val="00D105C5"/>
    <w:rsid w:val="00D13EC1"/>
    <w:rsid w:val="00D20035"/>
    <w:rsid w:val="00D24E46"/>
    <w:rsid w:val="00D25278"/>
    <w:rsid w:val="00D33E07"/>
    <w:rsid w:val="00D416C1"/>
    <w:rsid w:val="00D418F1"/>
    <w:rsid w:val="00D45C57"/>
    <w:rsid w:val="00D52E5F"/>
    <w:rsid w:val="00D533E0"/>
    <w:rsid w:val="00D574A2"/>
    <w:rsid w:val="00D664BE"/>
    <w:rsid w:val="00D81A39"/>
    <w:rsid w:val="00D833D7"/>
    <w:rsid w:val="00D9097B"/>
    <w:rsid w:val="00DA36D4"/>
    <w:rsid w:val="00DA380E"/>
    <w:rsid w:val="00DB3B58"/>
    <w:rsid w:val="00DB66D0"/>
    <w:rsid w:val="00DC79CB"/>
    <w:rsid w:val="00DF16CC"/>
    <w:rsid w:val="00DF3959"/>
    <w:rsid w:val="00E07084"/>
    <w:rsid w:val="00E10E62"/>
    <w:rsid w:val="00E24342"/>
    <w:rsid w:val="00E274E7"/>
    <w:rsid w:val="00E31DBE"/>
    <w:rsid w:val="00E42B29"/>
    <w:rsid w:val="00E50F69"/>
    <w:rsid w:val="00E71EF5"/>
    <w:rsid w:val="00E7354F"/>
    <w:rsid w:val="00E80D17"/>
    <w:rsid w:val="00E81002"/>
    <w:rsid w:val="00E84F6F"/>
    <w:rsid w:val="00E8728B"/>
    <w:rsid w:val="00E9448E"/>
    <w:rsid w:val="00EA3D45"/>
    <w:rsid w:val="00EB19DB"/>
    <w:rsid w:val="00EC30CE"/>
    <w:rsid w:val="00ED20C4"/>
    <w:rsid w:val="00EE40EC"/>
    <w:rsid w:val="00EF1276"/>
    <w:rsid w:val="00EF3B8D"/>
    <w:rsid w:val="00EF5179"/>
    <w:rsid w:val="00F024E3"/>
    <w:rsid w:val="00F15431"/>
    <w:rsid w:val="00F24580"/>
    <w:rsid w:val="00F251DA"/>
    <w:rsid w:val="00F25F67"/>
    <w:rsid w:val="00F30F2E"/>
    <w:rsid w:val="00F404B6"/>
    <w:rsid w:val="00F4237E"/>
    <w:rsid w:val="00F56018"/>
    <w:rsid w:val="00F632C4"/>
    <w:rsid w:val="00F72E99"/>
    <w:rsid w:val="00F74240"/>
    <w:rsid w:val="00F7603F"/>
    <w:rsid w:val="00F80B49"/>
    <w:rsid w:val="00F81412"/>
    <w:rsid w:val="00F8169C"/>
    <w:rsid w:val="00F849C2"/>
    <w:rsid w:val="00F857FD"/>
    <w:rsid w:val="00FB3236"/>
    <w:rsid w:val="00FB7757"/>
    <w:rsid w:val="00FD4908"/>
    <w:rsid w:val="00FE4DE8"/>
    <w:rsid w:val="00FE5FD7"/>
    <w:rsid w:val="00FF09E3"/>
    <w:rsid w:val="00FF0CFF"/>
    <w:rsid w:val="00FF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napToGrid w:val="0"/>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basedOn w:val="DefaultParagraphFont"/>
    <w:semiHidden/>
    <w:rPr>
      <w:vertAlign w:val="superscript"/>
    </w:rPr>
  </w:style>
  <w:style w:type="paragraph" w:styleId="FootnoteText">
    <w:name w:val="footnote text"/>
    <w:link w:val="FootnoteTextChar"/>
    <w:semiHidden/>
    <w:pPr>
      <w:tabs>
        <w:tab w:val="left" w:pos="720"/>
        <w:tab w:val="left" w:pos="1440"/>
        <w:tab w:val="left" w:pos="2160"/>
      </w:tabs>
      <w:spacing w:after="120"/>
      <w:jc w:val="both"/>
    </w:pPr>
  </w:style>
  <w:style w:type="character" w:styleId="FootnoteReference">
    <w:name w:val="footnote reference"/>
    <w:basedOn w:val="DefaultParagraphFont"/>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pPr>
      <w:pBdr>
        <w:bottom w:val="single" w:sz="12" w:space="5" w:color="auto"/>
      </w:pBdr>
      <w:shd w:val="clear" w:color="auto" w:fill="FFFFFF"/>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PageNumber">
    <w:name w:val="page number"/>
    <w:basedOn w:val="DefaultParagraphFont"/>
    <w:rsid w:val="00754ACF"/>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ListBullet">
    <w:name w:val="List Bullet"/>
    <w:basedOn w:val="Normal"/>
    <w:pPr>
      <w:numPr>
        <w:numId w:val="29"/>
      </w:numPr>
    </w:pPr>
  </w:style>
  <w:style w:type="paragraph" w:styleId="ListBullet2">
    <w:name w:val="List Bullet 2"/>
    <w:basedOn w:val="Normal"/>
    <w:pPr>
      <w:numPr>
        <w:numId w:val="30"/>
      </w:numPr>
    </w:pPr>
  </w:style>
  <w:style w:type="paragraph" w:styleId="ListBullet3">
    <w:name w:val="List Bullet 3"/>
    <w:basedOn w:val="Normal"/>
    <w:pPr>
      <w:numPr>
        <w:numId w:val="31"/>
      </w:numPr>
    </w:pPr>
  </w:style>
  <w:style w:type="paragraph" w:styleId="ListBullet4">
    <w:name w:val="List Bullet 4"/>
    <w:basedOn w:val="Normal"/>
    <w:pPr>
      <w:numPr>
        <w:numId w:val="32"/>
      </w:numPr>
    </w:pPr>
  </w:style>
  <w:style w:type="paragraph" w:styleId="ListBullet5">
    <w:name w:val="List Bullet 5"/>
    <w:basedOn w:val="Normal"/>
    <w:pPr>
      <w:numPr>
        <w:numId w:val="33"/>
      </w:numPr>
    </w:pPr>
  </w:style>
  <w:style w:type="paragraph" w:styleId="ListParagraph">
    <w:name w:val="List Paragraph"/>
    <w:basedOn w:val="Normal"/>
    <w:uiPriority w:val="34"/>
    <w:qFormat/>
    <w:rsid w:val="008C0486"/>
    <w:pPr>
      <w:ind w:left="720"/>
      <w:contextualSpacing/>
    </w:pPr>
  </w:style>
  <w:style w:type="character" w:customStyle="1" w:styleId="FootnoteTextChar">
    <w:name w:val="Footnote Text Char"/>
    <w:basedOn w:val="DefaultParagraphFont"/>
    <w:link w:val="FootnoteText"/>
    <w:semiHidden/>
    <w:rsid w:val="002B5195"/>
  </w:style>
  <w:style w:type="paragraph" w:styleId="BalloonText">
    <w:name w:val="Balloon Text"/>
    <w:basedOn w:val="Normal"/>
    <w:link w:val="BalloonTextChar"/>
    <w:uiPriority w:val="99"/>
    <w:semiHidden/>
    <w:unhideWhenUsed/>
    <w:rsid w:val="006F020F"/>
    <w:rPr>
      <w:rFonts w:ascii="Tahoma" w:hAnsi="Tahoma" w:cs="Tahoma"/>
      <w:sz w:val="16"/>
      <w:szCs w:val="16"/>
    </w:rPr>
  </w:style>
  <w:style w:type="character" w:customStyle="1" w:styleId="BalloonTextChar">
    <w:name w:val="Balloon Text Char"/>
    <w:basedOn w:val="DefaultParagraphFont"/>
    <w:link w:val="BalloonText"/>
    <w:uiPriority w:val="99"/>
    <w:semiHidden/>
    <w:rsid w:val="006F020F"/>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napToGrid w:val="0"/>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basedOn w:val="DefaultParagraphFont"/>
    <w:semiHidden/>
    <w:rPr>
      <w:vertAlign w:val="superscript"/>
    </w:rPr>
  </w:style>
  <w:style w:type="paragraph" w:styleId="FootnoteText">
    <w:name w:val="footnote text"/>
    <w:link w:val="FootnoteTextChar"/>
    <w:semiHidden/>
    <w:pPr>
      <w:tabs>
        <w:tab w:val="left" w:pos="720"/>
        <w:tab w:val="left" w:pos="1440"/>
        <w:tab w:val="left" w:pos="2160"/>
      </w:tabs>
      <w:spacing w:after="120"/>
      <w:jc w:val="both"/>
    </w:pPr>
  </w:style>
  <w:style w:type="character" w:styleId="FootnoteReference">
    <w:name w:val="footnote reference"/>
    <w:basedOn w:val="DefaultParagraphFont"/>
    <w:semiHidden/>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pPr>
      <w:pBdr>
        <w:bottom w:val="single" w:sz="12" w:space="5" w:color="auto"/>
      </w:pBdr>
      <w:shd w:val="clear" w:color="auto" w:fill="FFFFFF"/>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paragraph" w:styleId="DocumentMap">
    <w:name w:val="Document Map"/>
    <w:basedOn w:val="Normal"/>
    <w:semiHidden/>
    <w:pPr>
      <w:shd w:val="clear" w:color="auto" w:fill="000080"/>
    </w:pPr>
    <w:rPr>
      <w:rFonts w:ascii="Tahoma" w:hAnsi="Tahoma"/>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PageNumber">
    <w:name w:val="page number"/>
    <w:basedOn w:val="DefaultParagraphFont"/>
    <w:rsid w:val="00754ACF"/>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ListBullet">
    <w:name w:val="List Bullet"/>
    <w:basedOn w:val="Normal"/>
    <w:pPr>
      <w:numPr>
        <w:numId w:val="29"/>
      </w:numPr>
    </w:pPr>
  </w:style>
  <w:style w:type="paragraph" w:styleId="ListBullet2">
    <w:name w:val="List Bullet 2"/>
    <w:basedOn w:val="Normal"/>
    <w:pPr>
      <w:numPr>
        <w:numId w:val="30"/>
      </w:numPr>
    </w:pPr>
  </w:style>
  <w:style w:type="paragraph" w:styleId="ListBullet3">
    <w:name w:val="List Bullet 3"/>
    <w:basedOn w:val="Normal"/>
    <w:pPr>
      <w:numPr>
        <w:numId w:val="31"/>
      </w:numPr>
    </w:pPr>
  </w:style>
  <w:style w:type="paragraph" w:styleId="ListBullet4">
    <w:name w:val="List Bullet 4"/>
    <w:basedOn w:val="Normal"/>
    <w:pPr>
      <w:numPr>
        <w:numId w:val="32"/>
      </w:numPr>
    </w:pPr>
  </w:style>
  <w:style w:type="paragraph" w:styleId="ListBullet5">
    <w:name w:val="List Bullet 5"/>
    <w:basedOn w:val="Normal"/>
    <w:pPr>
      <w:numPr>
        <w:numId w:val="33"/>
      </w:numPr>
    </w:pPr>
  </w:style>
  <w:style w:type="paragraph" w:styleId="ListParagraph">
    <w:name w:val="List Paragraph"/>
    <w:basedOn w:val="Normal"/>
    <w:uiPriority w:val="34"/>
    <w:qFormat/>
    <w:rsid w:val="008C0486"/>
    <w:pPr>
      <w:ind w:left="720"/>
      <w:contextualSpacing/>
    </w:pPr>
  </w:style>
  <w:style w:type="character" w:customStyle="1" w:styleId="FootnoteTextChar">
    <w:name w:val="Footnote Text Char"/>
    <w:basedOn w:val="DefaultParagraphFont"/>
    <w:link w:val="FootnoteText"/>
    <w:semiHidden/>
    <w:rsid w:val="002B5195"/>
  </w:style>
  <w:style w:type="paragraph" w:styleId="BalloonText">
    <w:name w:val="Balloon Text"/>
    <w:basedOn w:val="Normal"/>
    <w:link w:val="BalloonTextChar"/>
    <w:uiPriority w:val="99"/>
    <w:semiHidden/>
    <w:unhideWhenUsed/>
    <w:rsid w:val="006F020F"/>
    <w:rPr>
      <w:rFonts w:ascii="Tahoma" w:hAnsi="Tahoma" w:cs="Tahoma"/>
      <w:sz w:val="16"/>
      <w:szCs w:val="16"/>
    </w:rPr>
  </w:style>
  <w:style w:type="character" w:customStyle="1" w:styleId="BalloonTextChar">
    <w:name w:val="Balloon Text Char"/>
    <w:basedOn w:val="DefaultParagraphFont"/>
    <w:link w:val="BalloonText"/>
    <w:uiPriority w:val="99"/>
    <w:semiHidden/>
    <w:rsid w:val="006F020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MEDIA%20BUREAU%20TEMPLATES\MB%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 ORDERS</Template>
  <TotalTime>0</TotalTime>
  <Pages>2</Pages>
  <Words>2339</Words>
  <Characters>12653</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FCC ORDERS</vt:lpstr>
    </vt:vector>
  </TitlesOfParts>
  <Manager/>
  <Company/>
  <LinksUpToDate>false</LinksUpToDate>
  <CharactersWithSpaces>15049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2005-04-22T19:43:00Z</cp:lastPrinted>
  <dcterms:created xsi:type="dcterms:W3CDTF">2014-03-18T18:51:00Z</dcterms:created>
  <dcterms:modified xsi:type="dcterms:W3CDTF">2014-03-18T18:51:00Z</dcterms:modified>
  <cp:category> </cp:category>
  <cp:contentStatus> </cp:contentStatus>
</cp:coreProperties>
</file>