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8BC" w:rsidRDefault="004658BC">
      <w:pPr>
        <w:pStyle w:val="Header"/>
        <w:tabs>
          <w:tab w:val="clear" w:pos="4320"/>
          <w:tab w:val="clear" w:pos="8640"/>
        </w:tabs>
        <w:sectPr w:rsidR="004658BC">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1440" w:left="720" w:header="720" w:footer="1440" w:gutter="0"/>
          <w:cols w:space="720"/>
          <w:titlePg/>
        </w:sectPr>
      </w:pPr>
      <w:bookmarkStart w:id="1" w:name="_GoBack"/>
      <w:bookmarkEnd w:id="1"/>
      <w:r>
        <w:t xml:space="preserve"> </w:t>
      </w:r>
    </w:p>
    <w:p w:rsidR="004658BC" w:rsidRDefault="004658BC">
      <w:pPr>
        <w:tabs>
          <w:tab w:val="right" w:pos="9360"/>
        </w:tabs>
        <w:suppressAutoHyphens/>
        <w:spacing w:line="227" w:lineRule="auto"/>
        <w:jc w:val="right"/>
        <w:rPr>
          <w:rFonts w:ascii="Times" w:hAnsi="Times"/>
          <w:b/>
          <w:spacing w:val="-2"/>
          <w:sz w:val="22"/>
        </w:rPr>
      </w:pPr>
      <w:r>
        <w:rPr>
          <w:rFonts w:ascii="Times" w:hAnsi="Times"/>
          <w:b/>
          <w:spacing w:val="-2"/>
          <w:sz w:val="22"/>
        </w:rPr>
        <w:lastRenderedPageBreak/>
        <w:tab/>
        <w:t>DA</w:t>
      </w:r>
      <w:r w:rsidR="0015701E">
        <w:rPr>
          <w:rFonts w:ascii="Times" w:hAnsi="Times"/>
          <w:b/>
          <w:spacing w:val="-2"/>
          <w:sz w:val="22"/>
        </w:rPr>
        <w:t xml:space="preserve"> 14-366</w:t>
      </w:r>
      <w:r>
        <w:rPr>
          <w:rFonts w:ascii="Times" w:hAnsi="Times"/>
          <w:b/>
          <w:spacing w:val="-2"/>
          <w:sz w:val="22"/>
        </w:rPr>
        <w:tab/>
      </w:r>
    </w:p>
    <w:p w:rsidR="004658BC" w:rsidRDefault="004658BC">
      <w:pPr>
        <w:tabs>
          <w:tab w:val="right" w:pos="9360"/>
        </w:tabs>
        <w:suppressAutoHyphens/>
        <w:spacing w:line="227" w:lineRule="auto"/>
        <w:rPr>
          <w:rFonts w:ascii="Times" w:hAnsi="Times"/>
          <w:b/>
          <w:spacing w:val="-2"/>
          <w:sz w:val="22"/>
        </w:rPr>
      </w:pPr>
      <w:r>
        <w:rPr>
          <w:rFonts w:ascii="Times" w:hAnsi="Times"/>
          <w:b/>
          <w:spacing w:val="-2"/>
          <w:sz w:val="22"/>
        </w:rPr>
        <w:tab/>
      </w:r>
    </w:p>
    <w:p w:rsidR="004658BC" w:rsidRDefault="004658BC">
      <w:pPr>
        <w:tabs>
          <w:tab w:val="right" w:pos="9360"/>
        </w:tabs>
        <w:suppressAutoHyphens/>
        <w:spacing w:line="227" w:lineRule="auto"/>
        <w:rPr>
          <w:rFonts w:ascii="Times" w:hAnsi="Times"/>
          <w:spacing w:val="-2"/>
          <w:sz w:val="22"/>
        </w:rPr>
      </w:pPr>
      <w:r>
        <w:rPr>
          <w:rFonts w:ascii="Times" w:hAnsi="Times"/>
          <w:b/>
          <w:spacing w:val="-2"/>
          <w:sz w:val="22"/>
        </w:rPr>
        <w:tab/>
        <w:t xml:space="preserve">Released:  </w:t>
      </w:r>
      <w:r w:rsidR="00276871">
        <w:rPr>
          <w:rFonts w:ascii="Times" w:hAnsi="Times"/>
          <w:b/>
          <w:spacing w:val="-2"/>
          <w:sz w:val="22"/>
        </w:rPr>
        <w:t>March</w:t>
      </w:r>
      <w:r>
        <w:rPr>
          <w:rFonts w:ascii="Times" w:hAnsi="Times"/>
          <w:b/>
          <w:spacing w:val="-2"/>
          <w:sz w:val="22"/>
        </w:rPr>
        <w:t xml:space="preserve"> </w:t>
      </w:r>
      <w:r w:rsidR="00D07281">
        <w:rPr>
          <w:rFonts w:ascii="Times" w:hAnsi="Times"/>
          <w:b/>
          <w:spacing w:val="-2"/>
          <w:sz w:val="22"/>
        </w:rPr>
        <w:t>18</w:t>
      </w:r>
      <w:r>
        <w:rPr>
          <w:rFonts w:ascii="Times" w:hAnsi="Times"/>
          <w:b/>
          <w:spacing w:val="-2"/>
          <w:sz w:val="22"/>
        </w:rPr>
        <w:t>, 201</w:t>
      </w:r>
      <w:r w:rsidR="00D37B7E">
        <w:rPr>
          <w:rFonts w:ascii="Times" w:hAnsi="Times"/>
          <w:b/>
          <w:spacing w:val="-2"/>
          <w:sz w:val="22"/>
        </w:rPr>
        <w:t>4</w:t>
      </w:r>
      <w:r>
        <w:rPr>
          <w:rFonts w:ascii="Times" w:hAnsi="Times"/>
          <w:b/>
          <w:spacing w:val="-2"/>
          <w:sz w:val="22"/>
        </w:rPr>
        <w:t xml:space="preserve">        </w:t>
      </w:r>
    </w:p>
    <w:p w:rsidR="004658BC" w:rsidRDefault="004658BC">
      <w:pPr>
        <w:tabs>
          <w:tab w:val="left" w:pos="-720"/>
        </w:tabs>
        <w:suppressAutoHyphens/>
        <w:spacing w:line="227" w:lineRule="auto"/>
        <w:jc w:val="both"/>
        <w:rPr>
          <w:rFonts w:ascii="Times" w:hAnsi="Times"/>
          <w:spacing w:val="-2"/>
          <w:sz w:val="22"/>
        </w:rPr>
      </w:pPr>
    </w:p>
    <w:p w:rsidR="00D07281" w:rsidRDefault="00D3752A">
      <w:pPr>
        <w:pStyle w:val="BodyText"/>
      </w:pPr>
      <w:r>
        <w:t xml:space="preserve">WIRELESS TELECOMMUNICATIONS BUREAU EXTENDS PERIOD </w:t>
      </w:r>
    </w:p>
    <w:p w:rsidR="004658BC" w:rsidRDefault="00D3752A">
      <w:pPr>
        <w:pStyle w:val="BodyText"/>
      </w:pPr>
      <w:r>
        <w:t xml:space="preserve">TO FILE COMMENTS </w:t>
      </w:r>
      <w:r w:rsidR="00D07281">
        <w:t xml:space="preserve">AND REPLY COMMENTS </w:t>
      </w:r>
      <w:r>
        <w:t xml:space="preserve">ON </w:t>
      </w:r>
      <w:r w:rsidR="00D07281" w:rsidRPr="00D07281">
        <w:t>ClearRF REQUEST FOR DETERMINATION OF EQUIVALENT PROTECTION</w:t>
      </w:r>
    </w:p>
    <w:p w:rsidR="004658BC" w:rsidRDefault="004658BC">
      <w:pPr>
        <w:pStyle w:val="BodyText"/>
      </w:pPr>
    </w:p>
    <w:p w:rsidR="004658BC" w:rsidRDefault="004658BC">
      <w:pPr>
        <w:pStyle w:val="BodyText"/>
        <w:shd w:val="clear" w:color="auto" w:fill="FFFFFF"/>
      </w:pPr>
      <w:r>
        <w:t xml:space="preserve">WT Docket No. </w:t>
      </w:r>
      <w:r w:rsidR="00D07281" w:rsidRPr="00D07281">
        <w:t>10-4</w:t>
      </w:r>
    </w:p>
    <w:p w:rsidR="004658BC" w:rsidRDefault="004658BC">
      <w:pPr>
        <w:pStyle w:val="BodyText"/>
      </w:pPr>
    </w:p>
    <w:p w:rsidR="00D07281" w:rsidRPr="00D07281" w:rsidRDefault="00D07281" w:rsidP="00D07281">
      <w:pPr>
        <w:pStyle w:val="Heading2"/>
        <w:numPr>
          <w:ilvl w:val="0"/>
          <w:numId w:val="0"/>
        </w:numPr>
        <w:spacing w:after="0"/>
        <w:rPr>
          <w:szCs w:val="22"/>
        </w:rPr>
      </w:pPr>
      <w:r w:rsidRPr="00D07281">
        <w:rPr>
          <w:szCs w:val="22"/>
        </w:rPr>
        <w:t>Comment Date:  March 2</w:t>
      </w:r>
      <w:r>
        <w:rPr>
          <w:szCs w:val="22"/>
        </w:rPr>
        <w:t>7</w:t>
      </w:r>
      <w:r w:rsidRPr="00D07281">
        <w:rPr>
          <w:szCs w:val="22"/>
        </w:rPr>
        <w:t>, 2014</w:t>
      </w:r>
    </w:p>
    <w:p w:rsidR="004658BC" w:rsidRDefault="00D07281" w:rsidP="00D07281">
      <w:pPr>
        <w:pStyle w:val="Heading2"/>
        <w:numPr>
          <w:ilvl w:val="0"/>
          <w:numId w:val="0"/>
        </w:numPr>
        <w:jc w:val="left"/>
        <w:rPr>
          <w:szCs w:val="22"/>
        </w:rPr>
      </w:pPr>
      <w:r w:rsidRPr="00D07281">
        <w:rPr>
          <w:szCs w:val="22"/>
        </w:rPr>
        <w:t xml:space="preserve">Reply Comment Date:  </w:t>
      </w:r>
      <w:r>
        <w:rPr>
          <w:szCs w:val="22"/>
        </w:rPr>
        <w:t>April 3</w:t>
      </w:r>
      <w:r w:rsidRPr="00D07281">
        <w:rPr>
          <w:szCs w:val="22"/>
        </w:rPr>
        <w:t>, 2014</w:t>
      </w:r>
    </w:p>
    <w:p w:rsidR="004658BC" w:rsidRDefault="004658BC" w:rsidP="00D37B7E">
      <w:pPr>
        <w:ind w:firstLine="720"/>
        <w:rPr>
          <w:sz w:val="22"/>
          <w:szCs w:val="22"/>
        </w:rPr>
      </w:pPr>
      <w:r>
        <w:rPr>
          <w:sz w:val="22"/>
          <w:szCs w:val="22"/>
        </w:rPr>
        <w:t xml:space="preserve">By this </w:t>
      </w:r>
      <w:r w:rsidRPr="00E5386E">
        <w:rPr>
          <w:i/>
          <w:sz w:val="22"/>
          <w:szCs w:val="22"/>
        </w:rPr>
        <w:t>Public Notice</w:t>
      </w:r>
      <w:r>
        <w:rPr>
          <w:sz w:val="22"/>
          <w:szCs w:val="22"/>
        </w:rPr>
        <w:t>, we extend the deadline for filing comments</w:t>
      </w:r>
      <w:r w:rsidR="00D07281">
        <w:rPr>
          <w:sz w:val="22"/>
          <w:szCs w:val="22"/>
        </w:rPr>
        <w:t xml:space="preserve"> and reply comments</w:t>
      </w:r>
      <w:r w:rsidR="00D37B7E">
        <w:rPr>
          <w:sz w:val="22"/>
          <w:szCs w:val="22"/>
        </w:rPr>
        <w:t xml:space="preserve"> </w:t>
      </w:r>
      <w:r w:rsidR="00D07281">
        <w:rPr>
          <w:sz w:val="22"/>
          <w:szCs w:val="22"/>
        </w:rPr>
        <w:t>o</w:t>
      </w:r>
      <w:r w:rsidR="00D37B7E">
        <w:rPr>
          <w:sz w:val="22"/>
          <w:szCs w:val="22"/>
        </w:rPr>
        <w:t xml:space="preserve">n </w:t>
      </w:r>
      <w:r w:rsidR="00D07281">
        <w:rPr>
          <w:sz w:val="22"/>
          <w:szCs w:val="22"/>
        </w:rPr>
        <w:t>the ClearRF request for a determination of equivalent protection (</w:t>
      </w:r>
      <w:r w:rsidR="006E277D">
        <w:rPr>
          <w:sz w:val="22"/>
          <w:szCs w:val="22"/>
        </w:rPr>
        <w:t>C</w:t>
      </w:r>
      <w:r w:rsidR="00104062">
        <w:rPr>
          <w:sz w:val="22"/>
          <w:szCs w:val="22"/>
        </w:rPr>
        <w:t>lear</w:t>
      </w:r>
      <w:r w:rsidR="006E277D">
        <w:rPr>
          <w:sz w:val="22"/>
          <w:szCs w:val="22"/>
        </w:rPr>
        <w:t xml:space="preserve">RF </w:t>
      </w:r>
      <w:r w:rsidR="00D07281">
        <w:rPr>
          <w:sz w:val="22"/>
          <w:szCs w:val="22"/>
        </w:rPr>
        <w:t>Request),</w:t>
      </w:r>
      <w:r w:rsidR="00D07281">
        <w:rPr>
          <w:rStyle w:val="FootnoteReference"/>
          <w:sz w:val="22"/>
          <w:szCs w:val="22"/>
        </w:rPr>
        <w:footnoteReference w:id="1"/>
      </w:r>
      <w:r>
        <w:rPr>
          <w:sz w:val="22"/>
          <w:szCs w:val="22"/>
        </w:rPr>
        <w:t xml:space="preserve"> </w:t>
      </w:r>
      <w:r w:rsidR="003F46A8">
        <w:rPr>
          <w:sz w:val="22"/>
          <w:szCs w:val="22"/>
        </w:rPr>
        <w:t xml:space="preserve">to allow parties to more thoroughly address the technical issues raised in the </w:t>
      </w:r>
      <w:r w:rsidR="00D07281">
        <w:rPr>
          <w:sz w:val="22"/>
          <w:szCs w:val="22"/>
        </w:rPr>
        <w:t>Request</w:t>
      </w:r>
      <w:r w:rsidR="00D37B7E" w:rsidRPr="00D37B7E">
        <w:rPr>
          <w:sz w:val="22"/>
          <w:szCs w:val="22"/>
        </w:rPr>
        <w:t>.</w:t>
      </w:r>
      <w:r w:rsidR="00493744">
        <w:rPr>
          <w:sz w:val="22"/>
          <w:szCs w:val="22"/>
        </w:rPr>
        <w:t xml:space="preserve">  Interested parties </w:t>
      </w:r>
      <w:r>
        <w:rPr>
          <w:sz w:val="22"/>
          <w:szCs w:val="22"/>
        </w:rPr>
        <w:t xml:space="preserve">now </w:t>
      </w:r>
      <w:r w:rsidR="00493744">
        <w:rPr>
          <w:sz w:val="22"/>
          <w:szCs w:val="22"/>
        </w:rPr>
        <w:t xml:space="preserve">will </w:t>
      </w:r>
      <w:r>
        <w:rPr>
          <w:sz w:val="22"/>
          <w:szCs w:val="22"/>
        </w:rPr>
        <w:t xml:space="preserve">have until </w:t>
      </w:r>
      <w:r w:rsidR="00D07281">
        <w:rPr>
          <w:sz w:val="22"/>
          <w:szCs w:val="22"/>
        </w:rPr>
        <w:t>March 27</w:t>
      </w:r>
      <w:r w:rsidR="00D37B7E" w:rsidRPr="00D37B7E">
        <w:rPr>
          <w:sz w:val="22"/>
          <w:szCs w:val="22"/>
        </w:rPr>
        <w:t>, 2014</w:t>
      </w:r>
      <w:r w:rsidR="00D37B7E">
        <w:rPr>
          <w:sz w:val="22"/>
          <w:szCs w:val="22"/>
        </w:rPr>
        <w:t xml:space="preserve">, </w:t>
      </w:r>
      <w:r>
        <w:rPr>
          <w:sz w:val="22"/>
          <w:szCs w:val="22"/>
        </w:rPr>
        <w:t xml:space="preserve">to file </w:t>
      </w:r>
      <w:r w:rsidR="00D07281">
        <w:rPr>
          <w:sz w:val="22"/>
          <w:szCs w:val="22"/>
        </w:rPr>
        <w:t xml:space="preserve">comments and April 3, 2014, to file </w:t>
      </w:r>
      <w:r>
        <w:rPr>
          <w:sz w:val="22"/>
          <w:szCs w:val="22"/>
        </w:rPr>
        <w:t>reply comments</w:t>
      </w:r>
      <w:r w:rsidR="003F46A8">
        <w:rPr>
          <w:sz w:val="22"/>
          <w:szCs w:val="22"/>
        </w:rPr>
        <w:t>.</w:t>
      </w:r>
      <w:r w:rsidR="003671E0">
        <w:rPr>
          <w:rStyle w:val="FootnoteReference"/>
          <w:sz w:val="22"/>
          <w:szCs w:val="22"/>
        </w:rPr>
        <w:footnoteReference w:id="2"/>
      </w:r>
    </w:p>
    <w:p w:rsidR="004658BC" w:rsidRDefault="004658BC">
      <w:pPr>
        <w:ind w:firstLine="720"/>
        <w:rPr>
          <w:sz w:val="22"/>
          <w:szCs w:val="22"/>
        </w:rPr>
      </w:pPr>
    </w:p>
    <w:p w:rsidR="003671E0" w:rsidRDefault="003671E0" w:rsidP="00D95086">
      <w:pPr>
        <w:ind w:firstLine="720"/>
        <w:rPr>
          <w:sz w:val="22"/>
          <w:szCs w:val="22"/>
        </w:rPr>
      </w:pPr>
      <w:r>
        <w:rPr>
          <w:sz w:val="22"/>
          <w:szCs w:val="22"/>
        </w:rPr>
        <w:t>On March</w:t>
      </w:r>
      <w:r w:rsidR="004658BC">
        <w:rPr>
          <w:sz w:val="22"/>
          <w:szCs w:val="22"/>
        </w:rPr>
        <w:t xml:space="preserve"> </w:t>
      </w:r>
      <w:r>
        <w:rPr>
          <w:sz w:val="22"/>
          <w:szCs w:val="22"/>
        </w:rPr>
        <w:t>1</w:t>
      </w:r>
      <w:r w:rsidR="001D21E4">
        <w:rPr>
          <w:sz w:val="22"/>
          <w:szCs w:val="22"/>
        </w:rPr>
        <w:t>8</w:t>
      </w:r>
      <w:r w:rsidR="004658BC">
        <w:rPr>
          <w:sz w:val="22"/>
          <w:szCs w:val="22"/>
        </w:rPr>
        <w:t>, 201</w:t>
      </w:r>
      <w:r w:rsidR="001D21E4">
        <w:rPr>
          <w:sz w:val="22"/>
          <w:szCs w:val="22"/>
        </w:rPr>
        <w:t>4</w:t>
      </w:r>
      <w:r w:rsidR="004658BC">
        <w:rPr>
          <w:sz w:val="22"/>
          <w:szCs w:val="22"/>
        </w:rPr>
        <w:t xml:space="preserve">, CTIA – The Wireless Association </w:t>
      </w:r>
      <w:r w:rsidR="006E277D">
        <w:rPr>
          <w:sz w:val="22"/>
          <w:szCs w:val="22"/>
        </w:rPr>
        <w:t>(</w:t>
      </w:r>
      <w:r w:rsidR="00955656">
        <w:rPr>
          <w:sz w:val="22"/>
          <w:szCs w:val="22"/>
        </w:rPr>
        <w:t xml:space="preserve">CTIA) </w:t>
      </w:r>
      <w:r w:rsidR="004658BC">
        <w:rPr>
          <w:sz w:val="22"/>
          <w:szCs w:val="22"/>
        </w:rPr>
        <w:t>filed</w:t>
      </w:r>
      <w:r w:rsidR="00645FB0">
        <w:rPr>
          <w:sz w:val="22"/>
          <w:szCs w:val="22"/>
        </w:rPr>
        <w:t xml:space="preserve"> </w:t>
      </w:r>
      <w:r>
        <w:rPr>
          <w:sz w:val="22"/>
          <w:szCs w:val="22"/>
        </w:rPr>
        <w:t xml:space="preserve">a </w:t>
      </w:r>
      <w:r w:rsidR="00645FB0">
        <w:rPr>
          <w:sz w:val="22"/>
          <w:szCs w:val="22"/>
        </w:rPr>
        <w:t>request to extend the</w:t>
      </w:r>
      <w:r w:rsidR="00645FB0" w:rsidRPr="00645FB0">
        <w:rPr>
          <w:sz w:val="22"/>
          <w:szCs w:val="22"/>
        </w:rPr>
        <w:t xml:space="preserve"> comment </w:t>
      </w:r>
      <w:r>
        <w:rPr>
          <w:sz w:val="22"/>
          <w:szCs w:val="22"/>
        </w:rPr>
        <w:t xml:space="preserve">and reply comment </w:t>
      </w:r>
      <w:r w:rsidR="00645FB0" w:rsidRPr="00645FB0">
        <w:rPr>
          <w:sz w:val="22"/>
          <w:szCs w:val="22"/>
        </w:rPr>
        <w:t>deadline</w:t>
      </w:r>
      <w:r>
        <w:rPr>
          <w:sz w:val="22"/>
          <w:szCs w:val="22"/>
        </w:rPr>
        <w:t>s</w:t>
      </w:r>
      <w:r w:rsidR="00645FB0" w:rsidRPr="00645FB0">
        <w:rPr>
          <w:sz w:val="22"/>
          <w:szCs w:val="22"/>
        </w:rPr>
        <w:t xml:space="preserve"> </w:t>
      </w:r>
      <w:r w:rsidR="006E277D">
        <w:rPr>
          <w:sz w:val="22"/>
          <w:szCs w:val="22"/>
        </w:rPr>
        <w:t xml:space="preserve">on the ClearRF Request </w:t>
      </w:r>
      <w:r w:rsidR="00645FB0" w:rsidRPr="00645FB0">
        <w:rPr>
          <w:sz w:val="22"/>
          <w:szCs w:val="22"/>
        </w:rPr>
        <w:t xml:space="preserve">by </w:t>
      </w:r>
      <w:r>
        <w:rPr>
          <w:sz w:val="22"/>
          <w:szCs w:val="22"/>
        </w:rPr>
        <w:t>7</w:t>
      </w:r>
      <w:r w:rsidR="00645FB0" w:rsidRPr="00645FB0">
        <w:rPr>
          <w:sz w:val="22"/>
          <w:szCs w:val="22"/>
        </w:rPr>
        <w:t xml:space="preserve"> days</w:t>
      </w:r>
      <w:r w:rsidR="00822AE8">
        <w:rPr>
          <w:sz w:val="22"/>
          <w:szCs w:val="22"/>
        </w:rPr>
        <w:t>,</w:t>
      </w:r>
      <w:r w:rsidR="00645FB0" w:rsidRPr="00645FB0">
        <w:rPr>
          <w:sz w:val="22"/>
          <w:szCs w:val="22"/>
        </w:rPr>
        <w:t xml:space="preserve"> to </w:t>
      </w:r>
      <w:r>
        <w:rPr>
          <w:sz w:val="22"/>
          <w:szCs w:val="22"/>
        </w:rPr>
        <w:t>March 27</w:t>
      </w:r>
      <w:r w:rsidR="00645FB0" w:rsidRPr="00645FB0">
        <w:rPr>
          <w:sz w:val="22"/>
          <w:szCs w:val="22"/>
        </w:rPr>
        <w:t>, 2014</w:t>
      </w:r>
      <w:r>
        <w:rPr>
          <w:sz w:val="22"/>
          <w:szCs w:val="22"/>
        </w:rPr>
        <w:t xml:space="preserve"> and April 3, 2014, respectively</w:t>
      </w:r>
      <w:r w:rsidR="004658BC">
        <w:rPr>
          <w:sz w:val="22"/>
          <w:szCs w:val="22"/>
        </w:rPr>
        <w:t>.</w:t>
      </w:r>
      <w:r w:rsidR="004658BC">
        <w:rPr>
          <w:rStyle w:val="FootnoteReference"/>
          <w:sz w:val="22"/>
          <w:szCs w:val="22"/>
        </w:rPr>
        <w:footnoteReference w:id="3"/>
      </w:r>
      <w:r w:rsidR="004658BC">
        <w:rPr>
          <w:sz w:val="22"/>
          <w:szCs w:val="22"/>
        </w:rPr>
        <w:t xml:space="preserve">  </w:t>
      </w:r>
      <w:r w:rsidR="00D95086">
        <w:rPr>
          <w:sz w:val="22"/>
          <w:szCs w:val="22"/>
        </w:rPr>
        <w:t xml:space="preserve">CTIA </w:t>
      </w:r>
      <w:r>
        <w:rPr>
          <w:sz w:val="22"/>
          <w:szCs w:val="22"/>
        </w:rPr>
        <w:t xml:space="preserve">seeks an extension of time to allow for a thorough technical evaluation of </w:t>
      </w:r>
      <w:r w:rsidR="006E277D">
        <w:rPr>
          <w:sz w:val="22"/>
          <w:szCs w:val="22"/>
        </w:rPr>
        <w:t xml:space="preserve">ClearRF’s assertions that its Consumer Signal Booster, ClearRF Model Number WRE2710, provides equivalent protections to the Commission’s Network Protection Standard even though it does not meet the technical standards in Section 20.21(e)(8)(i)(B) and </w:t>
      </w:r>
      <w:r w:rsidR="006E277D" w:rsidRPr="006E277D">
        <w:rPr>
          <w:sz w:val="22"/>
          <w:szCs w:val="22"/>
        </w:rPr>
        <w:t>20.21(e)(8)(i)(C)(2)(iii) of the Commission’s rules</w:t>
      </w:r>
      <w:r w:rsidR="006E277D">
        <w:rPr>
          <w:sz w:val="22"/>
          <w:szCs w:val="22"/>
        </w:rPr>
        <w:t>.</w:t>
      </w:r>
      <w:r w:rsidR="001601D0">
        <w:rPr>
          <w:rStyle w:val="FootnoteReference"/>
          <w:sz w:val="22"/>
          <w:szCs w:val="22"/>
        </w:rPr>
        <w:footnoteReference w:id="4"/>
      </w:r>
      <w:r w:rsidR="00336DB6">
        <w:rPr>
          <w:sz w:val="22"/>
          <w:szCs w:val="22"/>
        </w:rPr>
        <w:t xml:space="preserve">  CTIA maintains that additional time is needed to conduct “critical interference and other technological analyses,” which will allow for a more thorough record in this proceeding.</w:t>
      </w:r>
      <w:r w:rsidR="00336DB6">
        <w:rPr>
          <w:rStyle w:val="FootnoteReference"/>
          <w:sz w:val="22"/>
          <w:szCs w:val="22"/>
        </w:rPr>
        <w:footnoteReference w:id="5"/>
      </w:r>
    </w:p>
    <w:p w:rsidR="006E277D" w:rsidRDefault="006E277D" w:rsidP="00D95086">
      <w:pPr>
        <w:ind w:firstLine="720"/>
        <w:rPr>
          <w:sz w:val="22"/>
          <w:szCs w:val="22"/>
        </w:rPr>
      </w:pPr>
    </w:p>
    <w:p w:rsidR="004658BC" w:rsidRDefault="004658BC">
      <w:pPr>
        <w:ind w:firstLine="720"/>
        <w:rPr>
          <w:sz w:val="22"/>
          <w:szCs w:val="22"/>
        </w:rPr>
      </w:pPr>
      <w:r>
        <w:rPr>
          <w:sz w:val="22"/>
          <w:szCs w:val="22"/>
        </w:rPr>
        <w:t>It is the general policy of the Commission that extensions of time shall not be routinely granted.</w:t>
      </w:r>
      <w:r>
        <w:rPr>
          <w:rStyle w:val="FootnoteReference"/>
          <w:sz w:val="22"/>
          <w:szCs w:val="22"/>
        </w:rPr>
        <w:footnoteReference w:id="6"/>
      </w:r>
      <w:r>
        <w:rPr>
          <w:sz w:val="22"/>
          <w:szCs w:val="22"/>
        </w:rPr>
        <w:t xml:space="preserve">  However, under these</w:t>
      </w:r>
      <w:r w:rsidR="0096009C">
        <w:rPr>
          <w:sz w:val="22"/>
          <w:szCs w:val="22"/>
        </w:rPr>
        <w:t xml:space="preserve"> circumstances</w:t>
      </w:r>
      <w:r w:rsidR="00336DB6">
        <w:rPr>
          <w:sz w:val="22"/>
          <w:szCs w:val="22"/>
        </w:rPr>
        <w:t>, we agree that a brief</w:t>
      </w:r>
      <w:r w:rsidR="0096009C">
        <w:rPr>
          <w:sz w:val="22"/>
          <w:szCs w:val="22"/>
        </w:rPr>
        <w:t xml:space="preserve"> </w:t>
      </w:r>
      <w:r>
        <w:rPr>
          <w:sz w:val="22"/>
          <w:szCs w:val="22"/>
        </w:rPr>
        <w:t xml:space="preserve">extension of time to file </w:t>
      </w:r>
      <w:r w:rsidR="00336DB6">
        <w:rPr>
          <w:sz w:val="22"/>
          <w:szCs w:val="22"/>
        </w:rPr>
        <w:t xml:space="preserve">comments and </w:t>
      </w:r>
      <w:r>
        <w:rPr>
          <w:sz w:val="22"/>
          <w:szCs w:val="22"/>
        </w:rPr>
        <w:t xml:space="preserve">reply comments is warranted to ensure that </w:t>
      </w:r>
      <w:r w:rsidR="00336DB6">
        <w:rPr>
          <w:sz w:val="22"/>
          <w:szCs w:val="22"/>
        </w:rPr>
        <w:t xml:space="preserve">parties have sufficient time to undertake the necessary technical </w:t>
      </w:r>
      <w:r w:rsidR="00336DB6">
        <w:rPr>
          <w:sz w:val="22"/>
          <w:szCs w:val="22"/>
        </w:rPr>
        <w:lastRenderedPageBreak/>
        <w:t xml:space="preserve">analyses that are required to evaluate the </w:t>
      </w:r>
      <w:r w:rsidR="00A35DFD" w:rsidRPr="00A35DFD">
        <w:rPr>
          <w:sz w:val="22"/>
          <w:szCs w:val="22"/>
        </w:rPr>
        <w:t xml:space="preserve">complex technical issues raised in </w:t>
      </w:r>
      <w:r w:rsidR="00336DB6">
        <w:rPr>
          <w:sz w:val="22"/>
          <w:szCs w:val="22"/>
        </w:rPr>
        <w:t xml:space="preserve">ClearRF Request.  </w:t>
      </w:r>
      <w:r w:rsidR="00104062">
        <w:rPr>
          <w:sz w:val="22"/>
          <w:szCs w:val="22"/>
        </w:rPr>
        <w:t>A</w:t>
      </w:r>
      <w:r w:rsidR="00A35DFD">
        <w:rPr>
          <w:sz w:val="22"/>
          <w:szCs w:val="22"/>
        </w:rPr>
        <w:t xml:space="preserve"> limited one-week extension of the deadlines will enable </w:t>
      </w:r>
      <w:r>
        <w:rPr>
          <w:sz w:val="22"/>
          <w:szCs w:val="22"/>
        </w:rPr>
        <w:t xml:space="preserve">the Commission </w:t>
      </w:r>
      <w:r w:rsidR="00A35DFD">
        <w:rPr>
          <w:sz w:val="22"/>
          <w:szCs w:val="22"/>
        </w:rPr>
        <w:t>to obtain</w:t>
      </w:r>
      <w:r>
        <w:rPr>
          <w:sz w:val="22"/>
          <w:szCs w:val="22"/>
        </w:rPr>
        <w:t xml:space="preserve"> a complete and thorough </w:t>
      </w:r>
      <w:r w:rsidR="00E07CC2">
        <w:rPr>
          <w:sz w:val="22"/>
          <w:szCs w:val="22"/>
        </w:rPr>
        <w:t xml:space="preserve">technical </w:t>
      </w:r>
      <w:r>
        <w:rPr>
          <w:sz w:val="22"/>
          <w:szCs w:val="22"/>
        </w:rPr>
        <w:t xml:space="preserve">record </w:t>
      </w:r>
      <w:r w:rsidR="00A35DFD">
        <w:rPr>
          <w:sz w:val="22"/>
          <w:szCs w:val="22"/>
        </w:rPr>
        <w:t>regarding</w:t>
      </w:r>
      <w:r w:rsidR="00336DB6">
        <w:rPr>
          <w:sz w:val="22"/>
          <w:szCs w:val="22"/>
        </w:rPr>
        <w:t xml:space="preserve"> the ClearRF Request</w:t>
      </w:r>
      <w:r>
        <w:rPr>
          <w:sz w:val="22"/>
          <w:szCs w:val="22"/>
        </w:rPr>
        <w:t>.  Accordingly,</w:t>
      </w:r>
      <w:r w:rsidR="0021067B">
        <w:rPr>
          <w:sz w:val="22"/>
          <w:szCs w:val="22"/>
        </w:rPr>
        <w:t xml:space="preserve"> pursuant to</w:t>
      </w:r>
      <w:r>
        <w:rPr>
          <w:sz w:val="22"/>
          <w:szCs w:val="22"/>
        </w:rPr>
        <w:t xml:space="preserve"> </w:t>
      </w:r>
      <w:r w:rsidR="00E81537">
        <w:rPr>
          <w:sz w:val="22"/>
          <w:szCs w:val="22"/>
        </w:rPr>
        <w:t>S</w:t>
      </w:r>
      <w:r w:rsidR="00E81537" w:rsidRPr="00E81537">
        <w:rPr>
          <w:sz w:val="22"/>
          <w:szCs w:val="22"/>
        </w:rPr>
        <w:t>ection 4(i) of the Communications Act of 1934, as amended,</w:t>
      </w:r>
      <w:r w:rsidR="00E81537">
        <w:rPr>
          <w:rStyle w:val="FootnoteReference"/>
          <w:sz w:val="22"/>
          <w:szCs w:val="22"/>
        </w:rPr>
        <w:footnoteReference w:id="7"/>
      </w:r>
      <w:r w:rsidR="00E81537">
        <w:rPr>
          <w:sz w:val="22"/>
          <w:szCs w:val="22"/>
        </w:rPr>
        <w:t xml:space="preserve"> and S</w:t>
      </w:r>
      <w:r w:rsidR="00E81537" w:rsidRPr="00E81537">
        <w:rPr>
          <w:sz w:val="22"/>
          <w:szCs w:val="22"/>
        </w:rPr>
        <w:t>ection 1.46 of the Commission's rules,</w:t>
      </w:r>
      <w:r w:rsidR="00E81537">
        <w:rPr>
          <w:rStyle w:val="FootnoteReference"/>
          <w:sz w:val="22"/>
          <w:szCs w:val="22"/>
        </w:rPr>
        <w:footnoteReference w:id="8"/>
      </w:r>
      <w:r w:rsidR="00E81537" w:rsidRPr="00E81537">
        <w:rPr>
          <w:sz w:val="22"/>
          <w:szCs w:val="22"/>
        </w:rPr>
        <w:t xml:space="preserve"> </w:t>
      </w:r>
      <w:r>
        <w:rPr>
          <w:sz w:val="22"/>
          <w:szCs w:val="22"/>
        </w:rPr>
        <w:t>we extend the deadline</w:t>
      </w:r>
      <w:r w:rsidR="001601D0">
        <w:rPr>
          <w:sz w:val="22"/>
          <w:szCs w:val="22"/>
        </w:rPr>
        <w:t>s</w:t>
      </w:r>
      <w:r>
        <w:rPr>
          <w:sz w:val="22"/>
          <w:szCs w:val="22"/>
        </w:rPr>
        <w:t xml:space="preserve"> for filing comments until </w:t>
      </w:r>
      <w:r w:rsidR="00A35DFD">
        <w:rPr>
          <w:sz w:val="22"/>
          <w:szCs w:val="22"/>
        </w:rPr>
        <w:t>March 27</w:t>
      </w:r>
      <w:r w:rsidR="0096009C" w:rsidRPr="0096009C">
        <w:rPr>
          <w:sz w:val="22"/>
          <w:szCs w:val="22"/>
        </w:rPr>
        <w:t>, 2014</w:t>
      </w:r>
      <w:r w:rsidR="00A35DFD">
        <w:rPr>
          <w:sz w:val="22"/>
          <w:szCs w:val="22"/>
        </w:rPr>
        <w:t xml:space="preserve"> and reply comments until April 3, 2014</w:t>
      </w:r>
      <w:r>
        <w:rPr>
          <w:sz w:val="22"/>
          <w:szCs w:val="22"/>
        </w:rPr>
        <w:t>.</w:t>
      </w:r>
    </w:p>
    <w:p w:rsidR="004658BC" w:rsidRDefault="004658BC">
      <w:pPr>
        <w:ind w:firstLine="720"/>
        <w:rPr>
          <w:sz w:val="22"/>
          <w:szCs w:val="22"/>
        </w:rPr>
      </w:pPr>
    </w:p>
    <w:p w:rsidR="004658BC" w:rsidRDefault="004658BC">
      <w:pPr>
        <w:ind w:firstLine="720"/>
        <w:rPr>
          <w:sz w:val="22"/>
          <w:szCs w:val="22"/>
        </w:rPr>
      </w:pPr>
      <w:r>
        <w:rPr>
          <w:sz w:val="22"/>
          <w:szCs w:val="22"/>
        </w:rPr>
        <w:t xml:space="preserve">For further information, please contact </w:t>
      </w:r>
      <w:r w:rsidR="00A35DFD">
        <w:rPr>
          <w:sz w:val="22"/>
          <w:szCs w:val="22"/>
        </w:rPr>
        <w:t>Joyce Jones</w:t>
      </w:r>
      <w:r>
        <w:rPr>
          <w:sz w:val="22"/>
          <w:szCs w:val="22"/>
        </w:rPr>
        <w:t xml:space="preserve"> of the Wireless Telecommunications Bureau, Mobility Division, at (202) 418-</w:t>
      </w:r>
      <w:r w:rsidR="00A35DFD">
        <w:rPr>
          <w:sz w:val="22"/>
          <w:szCs w:val="22"/>
        </w:rPr>
        <w:t>1327</w:t>
      </w:r>
      <w:r>
        <w:rPr>
          <w:sz w:val="22"/>
          <w:szCs w:val="22"/>
        </w:rPr>
        <w:t xml:space="preserve"> or </w:t>
      </w:r>
      <w:r w:rsidR="00A35DFD">
        <w:rPr>
          <w:sz w:val="22"/>
          <w:szCs w:val="22"/>
        </w:rPr>
        <w:t>joyce.jones</w:t>
      </w:r>
      <w:r>
        <w:rPr>
          <w:sz w:val="22"/>
          <w:szCs w:val="22"/>
        </w:rPr>
        <w:t xml:space="preserve">@fcc.gov. </w:t>
      </w:r>
    </w:p>
    <w:p w:rsidR="004658BC" w:rsidRDefault="004658BC">
      <w:pPr>
        <w:ind w:firstLine="720"/>
        <w:rPr>
          <w:sz w:val="22"/>
          <w:szCs w:val="22"/>
        </w:rPr>
      </w:pPr>
    </w:p>
    <w:p w:rsidR="004658BC" w:rsidRDefault="004658BC">
      <w:pPr>
        <w:ind w:firstLine="720"/>
        <w:rPr>
          <w:sz w:val="22"/>
          <w:szCs w:val="22"/>
        </w:rPr>
      </w:pPr>
      <w:r>
        <w:rPr>
          <w:sz w:val="22"/>
          <w:szCs w:val="22"/>
        </w:rPr>
        <w:t xml:space="preserve">Action by the Chief, Mobility Division, Wireless Telecommunications Bureau.  </w:t>
      </w:r>
    </w:p>
    <w:p w:rsidR="004658BC" w:rsidRDefault="004658BC">
      <w:pPr>
        <w:pStyle w:val="BodyText2"/>
        <w:spacing w:line="228" w:lineRule="auto"/>
        <w:ind w:firstLine="720"/>
        <w:jc w:val="left"/>
        <w:rPr>
          <w:szCs w:val="22"/>
        </w:rPr>
      </w:pPr>
    </w:p>
    <w:p w:rsidR="004658BC" w:rsidRDefault="004658BC">
      <w:pPr>
        <w:pStyle w:val="BodyText2"/>
        <w:spacing w:line="228" w:lineRule="auto"/>
        <w:jc w:val="center"/>
        <w:rPr>
          <w:szCs w:val="22"/>
        </w:rPr>
      </w:pPr>
      <w:r>
        <w:rPr>
          <w:szCs w:val="22"/>
        </w:rPr>
        <w:t>- FCC -</w:t>
      </w:r>
    </w:p>
    <w:p w:rsidR="004658BC" w:rsidRDefault="004658BC">
      <w:pPr>
        <w:pStyle w:val="BodyText2"/>
        <w:tabs>
          <w:tab w:val="clear" w:pos="9360"/>
        </w:tabs>
        <w:spacing w:line="228" w:lineRule="auto"/>
        <w:ind w:firstLine="720"/>
        <w:jc w:val="left"/>
      </w:pPr>
    </w:p>
    <w:sectPr w:rsidR="004658BC">
      <w:type w:val="continuous"/>
      <w:pgSz w:w="12240" w:h="15840" w:code="1"/>
      <w:pgMar w:top="1368" w:right="1440" w:bottom="1368"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134" w:rsidRDefault="00EF0134">
      <w:r>
        <w:separator/>
      </w:r>
    </w:p>
  </w:endnote>
  <w:endnote w:type="continuationSeparator" w:id="0">
    <w:p w:rsidR="00EF0134" w:rsidRDefault="00EF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B6C" w:rsidRDefault="00593B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3B6C" w:rsidRDefault="00593B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B6C" w:rsidRDefault="00593B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701E">
      <w:rPr>
        <w:rStyle w:val="PageNumber"/>
        <w:noProof/>
      </w:rPr>
      <w:t>2</w:t>
    </w:r>
    <w:r>
      <w:rPr>
        <w:rStyle w:val="PageNumber"/>
      </w:rPr>
      <w:fldChar w:fldCharType="end"/>
    </w:r>
  </w:p>
  <w:p w:rsidR="00593B6C" w:rsidRDefault="00593B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BF7" w:rsidRDefault="00425B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134" w:rsidRDefault="00EF0134">
      <w:r>
        <w:separator/>
      </w:r>
    </w:p>
  </w:footnote>
  <w:footnote w:type="continuationSeparator" w:id="0">
    <w:p w:rsidR="00EF0134" w:rsidRDefault="00EF0134">
      <w:r>
        <w:continuationSeparator/>
      </w:r>
    </w:p>
  </w:footnote>
  <w:footnote w:id="1">
    <w:p w:rsidR="00D07281" w:rsidRPr="00D07281" w:rsidRDefault="00D07281" w:rsidP="00D07281">
      <w:pPr>
        <w:pStyle w:val="FootnoteText"/>
        <w:spacing w:after="120"/>
        <w:rPr>
          <w:sz w:val="20"/>
        </w:rPr>
      </w:pPr>
      <w:r>
        <w:rPr>
          <w:rStyle w:val="FootnoteReference"/>
        </w:rPr>
        <w:footnoteRef/>
      </w:r>
      <w:r>
        <w:t xml:space="preserve"> </w:t>
      </w:r>
      <w:r w:rsidR="003671E0" w:rsidRPr="003671E0">
        <w:rPr>
          <w:sz w:val="20"/>
        </w:rPr>
        <w:t xml:space="preserve">Wireless Telecommunications Bureau Seeks Comment on ClearRF Request for </w:t>
      </w:r>
      <w:r w:rsidR="00104062" w:rsidRPr="003671E0">
        <w:rPr>
          <w:sz w:val="20"/>
        </w:rPr>
        <w:t>Determination</w:t>
      </w:r>
      <w:r w:rsidR="003671E0" w:rsidRPr="003671E0">
        <w:rPr>
          <w:sz w:val="20"/>
        </w:rPr>
        <w:t xml:space="preserve"> of Equivalent Protection</w:t>
      </w:r>
      <w:r w:rsidR="003671E0">
        <w:rPr>
          <w:sz w:val="20"/>
        </w:rPr>
        <w:t xml:space="preserve">, WT Docket No. 10-4, </w:t>
      </w:r>
      <w:r w:rsidRPr="003671E0">
        <w:rPr>
          <w:i/>
          <w:sz w:val="20"/>
        </w:rPr>
        <w:t>Public Notice</w:t>
      </w:r>
      <w:r w:rsidR="003671E0">
        <w:rPr>
          <w:sz w:val="20"/>
        </w:rPr>
        <w:t>, DA 14-304, (R</w:t>
      </w:r>
      <w:r w:rsidRPr="00D07281">
        <w:rPr>
          <w:sz w:val="20"/>
        </w:rPr>
        <w:t>el</w:t>
      </w:r>
      <w:r w:rsidR="003671E0">
        <w:rPr>
          <w:sz w:val="20"/>
        </w:rPr>
        <w:t>. Mar.</w:t>
      </w:r>
      <w:r w:rsidRPr="00D07281">
        <w:rPr>
          <w:sz w:val="20"/>
        </w:rPr>
        <w:t xml:space="preserve"> 5, 2014</w:t>
      </w:r>
      <w:r w:rsidR="003671E0">
        <w:rPr>
          <w:sz w:val="20"/>
        </w:rPr>
        <w:t>).</w:t>
      </w:r>
    </w:p>
  </w:footnote>
  <w:footnote w:id="2">
    <w:p w:rsidR="003671E0" w:rsidRPr="003671E0" w:rsidRDefault="003671E0">
      <w:pPr>
        <w:pStyle w:val="FootnoteText"/>
        <w:rPr>
          <w:i/>
          <w:sz w:val="20"/>
        </w:rPr>
      </w:pPr>
      <w:r w:rsidRPr="003671E0">
        <w:rPr>
          <w:rStyle w:val="FootnoteReference"/>
          <w:sz w:val="20"/>
        </w:rPr>
        <w:footnoteRef/>
      </w:r>
      <w:r w:rsidRPr="003671E0">
        <w:rPr>
          <w:sz w:val="20"/>
        </w:rPr>
        <w:t xml:space="preserve"> </w:t>
      </w:r>
      <w:r>
        <w:rPr>
          <w:sz w:val="20"/>
        </w:rPr>
        <w:t xml:space="preserve">Previously, comments were due on March 20, 2014, and reply comments were due on March 27, 2014.  </w:t>
      </w:r>
      <w:r>
        <w:rPr>
          <w:i/>
          <w:sz w:val="20"/>
        </w:rPr>
        <w:t>Id.</w:t>
      </w:r>
    </w:p>
  </w:footnote>
  <w:footnote w:id="3">
    <w:p w:rsidR="00593B6C" w:rsidRPr="00E81537" w:rsidRDefault="00593B6C" w:rsidP="00E81537">
      <w:pPr>
        <w:pStyle w:val="FootnoteText"/>
        <w:spacing w:after="120"/>
        <w:rPr>
          <w:sz w:val="20"/>
        </w:rPr>
      </w:pPr>
      <w:r w:rsidRPr="00E81537">
        <w:rPr>
          <w:rStyle w:val="FootnoteReference"/>
          <w:sz w:val="20"/>
        </w:rPr>
        <w:footnoteRef/>
      </w:r>
      <w:r w:rsidRPr="00E81537">
        <w:rPr>
          <w:sz w:val="20"/>
        </w:rPr>
        <w:t xml:space="preserve"> </w:t>
      </w:r>
      <w:r w:rsidR="00336DB6" w:rsidRPr="00336DB6">
        <w:rPr>
          <w:sz w:val="20"/>
        </w:rPr>
        <w:t>CTIA – The Wireless Association</w:t>
      </w:r>
      <w:r w:rsidR="00336DB6">
        <w:rPr>
          <w:sz w:val="20"/>
        </w:rPr>
        <w:t xml:space="preserve"> Request for Extension of Comment and Reply Deadlines</w:t>
      </w:r>
      <w:r w:rsidRPr="00E81537">
        <w:rPr>
          <w:sz w:val="20"/>
        </w:rPr>
        <w:t xml:space="preserve">, WT Docket No. </w:t>
      </w:r>
      <w:r w:rsidR="00336DB6">
        <w:rPr>
          <w:sz w:val="20"/>
        </w:rPr>
        <w:t>10</w:t>
      </w:r>
      <w:r w:rsidRPr="00E81537">
        <w:rPr>
          <w:sz w:val="20"/>
        </w:rPr>
        <w:t>-</w:t>
      </w:r>
      <w:r w:rsidR="00336DB6">
        <w:rPr>
          <w:sz w:val="20"/>
        </w:rPr>
        <w:t>4</w:t>
      </w:r>
      <w:r w:rsidRPr="00E81537">
        <w:rPr>
          <w:sz w:val="20"/>
        </w:rPr>
        <w:t xml:space="preserve"> (filed </w:t>
      </w:r>
      <w:r w:rsidR="00336DB6">
        <w:rPr>
          <w:sz w:val="20"/>
        </w:rPr>
        <w:t>Mar.</w:t>
      </w:r>
      <w:r w:rsidR="001601D0">
        <w:rPr>
          <w:sz w:val="20"/>
        </w:rPr>
        <w:t xml:space="preserve"> 18, 2014) at 1</w:t>
      </w:r>
      <w:r w:rsidRPr="00E81537">
        <w:rPr>
          <w:sz w:val="20"/>
        </w:rPr>
        <w:t>.</w:t>
      </w:r>
    </w:p>
  </w:footnote>
  <w:footnote w:id="4">
    <w:p w:rsidR="001601D0" w:rsidRPr="001601D0" w:rsidRDefault="001601D0">
      <w:pPr>
        <w:pStyle w:val="FootnoteText"/>
        <w:rPr>
          <w:sz w:val="20"/>
        </w:rPr>
      </w:pPr>
      <w:r w:rsidRPr="001601D0">
        <w:rPr>
          <w:rStyle w:val="FootnoteReference"/>
          <w:sz w:val="20"/>
        </w:rPr>
        <w:footnoteRef/>
      </w:r>
      <w:r w:rsidRPr="001601D0">
        <w:rPr>
          <w:sz w:val="20"/>
        </w:rPr>
        <w:t xml:space="preserve"> </w:t>
      </w:r>
      <w:r w:rsidR="00104062" w:rsidRPr="00104062">
        <w:rPr>
          <w:i/>
          <w:sz w:val="20"/>
        </w:rPr>
        <w:t>Id.</w:t>
      </w:r>
      <w:r w:rsidR="00104062">
        <w:rPr>
          <w:i/>
          <w:sz w:val="20"/>
        </w:rPr>
        <w:t xml:space="preserve"> </w:t>
      </w:r>
      <w:r w:rsidRPr="001601D0">
        <w:rPr>
          <w:sz w:val="20"/>
        </w:rPr>
        <w:t>at 1-2.</w:t>
      </w:r>
    </w:p>
  </w:footnote>
  <w:footnote w:id="5">
    <w:p w:rsidR="00336DB6" w:rsidRPr="001601D0" w:rsidRDefault="00336DB6">
      <w:pPr>
        <w:pStyle w:val="FootnoteText"/>
        <w:rPr>
          <w:sz w:val="20"/>
        </w:rPr>
      </w:pPr>
      <w:r w:rsidRPr="001601D0">
        <w:rPr>
          <w:rStyle w:val="FootnoteReference"/>
          <w:sz w:val="20"/>
        </w:rPr>
        <w:footnoteRef/>
      </w:r>
      <w:r w:rsidRPr="001601D0">
        <w:rPr>
          <w:sz w:val="20"/>
        </w:rPr>
        <w:t xml:space="preserve"> </w:t>
      </w:r>
      <w:r w:rsidR="00104062" w:rsidRPr="00104062">
        <w:rPr>
          <w:i/>
          <w:sz w:val="20"/>
        </w:rPr>
        <w:t>Id.</w:t>
      </w:r>
      <w:r w:rsidR="00104062">
        <w:rPr>
          <w:i/>
          <w:sz w:val="20"/>
        </w:rPr>
        <w:t xml:space="preserve"> </w:t>
      </w:r>
      <w:r w:rsidRPr="001601D0">
        <w:rPr>
          <w:sz w:val="20"/>
        </w:rPr>
        <w:t>at 2.</w:t>
      </w:r>
    </w:p>
  </w:footnote>
  <w:footnote w:id="6">
    <w:p w:rsidR="00593B6C" w:rsidRPr="00E81537" w:rsidRDefault="00593B6C" w:rsidP="005C6A09">
      <w:pPr>
        <w:pStyle w:val="FootnoteText"/>
        <w:spacing w:after="120"/>
        <w:rPr>
          <w:sz w:val="20"/>
        </w:rPr>
      </w:pPr>
      <w:r w:rsidRPr="00E81537">
        <w:rPr>
          <w:rStyle w:val="FootnoteReference"/>
          <w:sz w:val="20"/>
        </w:rPr>
        <w:footnoteRef/>
      </w:r>
      <w:r w:rsidRPr="00E81537">
        <w:rPr>
          <w:sz w:val="20"/>
        </w:rPr>
        <w:t xml:space="preserve"> 47 C.F.R. § 1.46(a).</w:t>
      </w:r>
    </w:p>
  </w:footnote>
  <w:footnote w:id="7">
    <w:p w:rsidR="00E81537" w:rsidRPr="00E81537" w:rsidRDefault="00E81537" w:rsidP="00E81537">
      <w:pPr>
        <w:pStyle w:val="FootnoteText"/>
        <w:spacing w:after="120"/>
        <w:rPr>
          <w:sz w:val="20"/>
        </w:rPr>
      </w:pPr>
      <w:r w:rsidRPr="00E81537">
        <w:rPr>
          <w:rStyle w:val="FootnoteReference"/>
          <w:sz w:val="20"/>
        </w:rPr>
        <w:footnoteRef/>
      </w:r>
      <w:r w:rsidRPr="00E81537">
        <w:rPr>
          <w:sz w:val="20"/>
        </w:rPr>
        <w:t xml:space="preserve"> 47 U.S.C. § 154(i).</w:t>
      </w:r>
    </w:p>
  </w:footnote>
  <w:footnote w:id="8">
    <w:p w:rsidR="00E81537" w:rsidRPr="00E81537" w:rsidRDefault="00E81537" w:rsidP="00E81537">
      <w:pPr>
        <w:pStyle w:val="FootnoteText"/>
        <w:spacing w:after="120"/>
        <w:rPr>
          <w:sz w:val="20"/>
        </w:rPr>
      </w:pPr>
      <w:r w:rsidRPr="00E81537">
        <w:rPr>
          <w:rStyle w:val="FootnoteReference"/>
          <w:sz w:val="20"/>
        </w:rPr>
        <w:footnoteRef/>
      </w:r>
      <w:r w:rsidRPr="00E81537">
        <w:rPr>
          <w:sz w:val="20"/>
        </w:rPr>
        <w:t xml:space="preserve"> 47 C.F.R. § 1.46</w:t>
      </w:r>
      <w:r w:rsidR="0054735F">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BF7" w:rsidRDefault="00425B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BF7" w:rsidRDefault="00425B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B6C" w:rsidRDefault="003671E0">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3B6C" w:rsidRDefault="00593B6C">
                          <w:pPr>
                            <w:rPr>
                              <w:rFonts w:ascii="Arial" w:hAnsi="Arial"/>
                              <w:b/>
                            </w:rPr>
                          </w:pPr>
                          <w:r>
                            <w:rPr>
                              <w:rFonts w:ascii="Arial" w:hAnsi="Arial"/>
                              <w:b/>
                            </w:rPr>
                            <w:t>Federal Communications Commission</w:t>
                          </w:r>
                        </w:p>
                        <w:p w:rsidR="00593B6C" w:rsidRDefault="00593B6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93B6C" w:rsidRDefault="00593B6C">
                          <w:pPr>
                            <w:rPr>
                              <w:rFonts w:ascii="Arial" w:hAnsi="Arial"/>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593B6C" w:rsidRDefault="00593B6C">
                    <w:pPr>
                      <w:rPr>
                        <w:rFonts w:ascii="Arial" w:hAnsi="Arial"/>
                        <w:b/>
                      </w:rPr>
                    </w:pPr>
                    <w:r>
                      <w:rPr>
                        <w:rFonts w:ascii="Arial" w:hAnsi="Arial"/>
                        <w:b/>
                      </w:rPr>
                      <w:t>Federal Communications Commission</w:t>
                    </w:r>
                  </w:p>
                  <w:p w:rsidR="00593B6C" w:rsidRDefault="00593B6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93B6C" w:rsidRDefault="00593B6C">
                    <w:pPr>
                      <w:rPr>
                        <w:rFonts w:ascii="Arial" w:hAnsi="Arial"/>
                      </w:rPr>
                    </w:pPr>
                    <w:r>
                      <w:rPr>
                        <w:rFonts w:ascii="Arial" w:hAnsi="Arial"/>
                        <w:b/>
                      </w:rPr>
                      <w:t>Washington, D.C. 20554</w:t>
                    </w:r>
                  </w:p>
                </w:txbxContent>
              </v:textbox>
            </v:shape>
          </w:pict>
        </mc:Fallback>
      </mc:AlternateContent>
    </w:r>
    <w:r w:rsidR="00593B6C">
      <w:rPr>
        <w:rFonts w:ascii="News Gothic MT" w:hAnsi="News Gothic MT"/>
        <w:b/>
        <w:kern w:val="28"/>
        <w:sz w:val="96"/>
      </w:rPr>
      <w:t>PUBLIC NOTICE</w:t>
    </w:r>
  </w:p>
  <w:p w:rsidR="00593B6C" w:rsidRDefault="003671E0">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3B6C" w:rsidRDefault="00593B6C">
                          <w:pPr>
                            <w:spacing w:before="40"/>
                            <w:jc w:val="right"/>
                            <w:rPr>
                              <w:rFonts w:ascii="Arial" w:hAnsi="Arial"/>
                              <w:b/>
                              <w:sz w:val="16"/>
                            </w:rPr>
                          </w:pPr>
                          <w:r>
                            <w:rPr>
                              <w:rFonts w:ascii="Arial" w:hAnsi="Arial"/>
                              <w:b/>
                              <w:sz w:val="16"/>
                            </w:rPr>
                            <w:t>News Media Information 202 / 418-0500</w:t>
                          </w:r>
                        </w:p>
                        <w:p w:rsidR="00593B6C" w:rsidRDefault="00593B6C">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93B6C" w:rsidRDefault="00593B6C">
                          <w:pPr>
                            <w:jc w:val="right"/>
                            <w:rPr>
                              <w:rFonts w:ascii="Arial" w:hAnsi="Arial"/>
                              <w:b/>
                              <w:sz w:val="16"/>
                            </w:rPr>
                          </w:pPr>
                          <w:r>
                            <w:rPr>
                              <w:rFonts w:ascii="Arial" w:hAnsi="Arial"/>
                              <w:b/>
                              <w:sz w:val="16"/>
                            </w:rPr>
                            <w:t>TTY: 1-888-835-5322</w:t>
                          </w:r>
                        </w:p>
                        <w:p w:rsidR="00593B6C" w:rsidRDefault="00593B6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593B6C" w:rsidRDefault="00593B6C">
                    <w:pPr>
                      <w:spacing w:before="40"/>
                      <w:jc w:val="right"/>
                      <w:rPr>
                        <w:rFonts w:ascii="Arial" w:hAnsi="Arial"/>
                        <w:b/>
                        <w:sz w:val="16"/>
                      </w:rPr>
                    </w:pPr>
                    <w:r>
                      <w:rPr>
                        <w:rFonts w:ascii="Arial" w:hAnsi="Arial"/>
                        <w:b/>
                        <w:sz w:val="16"/>
                      </w:rPr>
                      <w:t>News Media Information 202 / 418-0500</w:t>
                    </w:r>
                  </w:p>
                  <w:p w:rsidR="00593B6C" w:rsidRDefault="00593B6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593B6C" w:rsidRDefault="00593B6C">
                    <w:pPr>
                      <w:jc w:val="right"/>
                      <w:rPr>
                        <w:rFonts w:ascii="Arial" w:hAnsi="Arial"/>
                        <w:b/>
                        <w:sz w:val="16"/>
                      </w:rPr>
                    </w:pPr>
                    <w:r>
                      <w:rPr>
                        <w:rFonts w:ascii="Arial" w:hAnsi="Arial"/>
                        <w:b/>
                        <w:sz w:val="16"/>
                      </w:rPr>
                      <w:t>TTY: 1-888-835-5322</w:t>
                    </w:r>
                  </w:p>
                  <w:p w:rsidR="00593B6C" w:rsidRDefault="00593B6C">
                    <w:pPr>
                      <w:jc w:val="right"/>
                    </w:pPr>
                  </w:p>
                </w:txbxContent>
              </v:textbox>
            </v:shape>
          </w:pict>
        </mc:Fallback>
      </mc:AlternateContent>
    </w:r>
  </w:p>
  <w:p w:rsidR="00593B6C" w:rsidRDefault="00593B6C">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4CD5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370266C"/>
    <w:multiLevelType w:val="hybridMultilevel"/>
    <w:tmpl w:val="930A4E2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3"/>
  </w:num>
  <w:num w:numId="12">
    <w:abstractNumId w:val="2"/>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417"/>
    <w:rsid w:val="00027D69"/>
    <w:rsid w:val="00030B81"/>
    <w:rsid w:val="0006219A"/>
    <w:rsid w:val="000C30F2"/>
    <w:rsid w:val="00104062"/>
    <w:rsid w:val="00144B79"/>
    <w:rsid w:val="0015701E"/>
    <w:rsid w:val="001601D0"/>
    <w:rsid w:val="0017497C"/>
    <w:rsid w:val="00176722"/>
    <w:rsid w:val="00193701"/>
    <w:rsid w:val="001C324B"/>
    <w:rsid w:val="001D1453"/>
    <w:rsid w:val="001D21E4"/>
    <w:rsid w:val="0021067B"/>
    <w:rsid w:val="002620EF"/>
    <w:rsid w:val="00276871"/>
    <w:rsid w:val="002E7EE3"/>
    <w:rsid w:val="00313729"/>
    <w:rsid w:val="00323349"/>
    <w:rsid w:val="00336DB6"/>
    <w:rsid w:val="003671E0"/>
    <w:rsid w:val="00393F82"/>
    <w:rsid w:val="003F46A8"/>
    <w:rsid w:val="00425BF7"/>
    <w:rsid w:val="00425CA6"/>
    <w:rsid w:val="004658BC"/>
    <w:rsid w:val="00493744"/>
    <w:rsid w:val="00525738"/>
    <w:rsid w:val="0054735F"/>
    <w:rsid w:val="00593B6C"/>
    <w:rsid w:val="005C3ECA"/>
    <w:rsid w:val="005C6A09"/>
    <w:rsid w:val="005F2CAE"/>
    <w:rsid w:val="005F7BEC"/>
    <w:rsid w:val="00640A3C"/>
    <w:rsid w:val="00645FB0"/>
    <w:rsid w:val="00663754"/>
    <w:rsid w:val="006E277D"/>
    <w:rsid w:val="006F6E21"/>
    <w:rsid w:val="007140D7"/>
    <w:rsid w:val="007C00A5"/>
    <w:rsid w:val="007C03C2"/>
    <w:rsid w:val="007E065F"/>
    <w:rsid w:val="00822AE8"/>
    <w:rsid w:val="00877AFB"/>
    <w:rsid w:val="008C51A4"/>
    <w:rsid w:val="008F15F2"/>
    <w:rsid w:val="00953B3B"/>
    <w:rsid w:val="00955656"/>
    <w:rsid w:val="0096009C"/>
    <w:rsid w:val="009E7850"/>
    <w:rsid w:val="00A35DFD"/>
    <w:rsid w:val="00A8413D"/>
    <w:rsid w:val="00AC7D0D"/>
    <w:rsid w:val="00B078BF"/>
    <w:rsid w:val="00B41417"/>
    <w:rsid w:val="00B9635F"/>
    <w:rsid w:val="00C50B2F"/>
    <w:rsid w:val="00C70222"/>
    <w:rsid w:val="00C71635"/>
    <w:rsid w:val="00CA27F7"/>
    <w:rsid w:val="00D07281"/>
    <w:rsid w:val="00D3752A"/>
    <w:rsid w:val="00D37B7E"/>
    <w:rsid w:val="00D5425B"/>
    <w:rsid w:val="00D84E1E"/>
    <w:rsid w:val="00D95086"/>
    <w:rsid w:val="00DE3FA9"/>
    <w:rsid w:val="00E07CC2"/>
    <w:rsid w:val="00E5386E"/>
    <w:rsid w:val="00E81537"/>
    <w:rsid w:val="00EB0118"/>
    <w:rsid w:val="00EF0134"/>
    <w:rsid w:val="00F01ED4"/>
    <w:rsid w:val="00F14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numPr>
        <w:numId w:val="2"/>
      </w:numPr>
      <w:suppressAutoHyphens/>
      <w:spacing w:after="220"/>
      <w:jc w:val="both"/>
      <w:outlineLvl w:val="0"/>
    </w:pPr>
    <w:rPr>
      <w:b/>
      <w:caps/>
      <w:sz w:val="22"/>
    </w:rPr>
  </w:style>
  <w:style w:type="paragraph" w:styleId="Heading2">
    <w:name w:val="heading 2"/>
    <w:basedOn w:val="Normal"/>
    <w:next w:val="Normal"/>
    <w:qFormat/>
    <w:pPr>
      <w:keepNext/>
      <w:widowControl w:val="0"/>
      <w:numPr>
        <w:ilvl w:val="1"/>
        <w:numId w:val="2"/>
      </w:numPr>
      <w:spacing w:after="220"/>
      <w:jc w:val="both"/>
      <w:outlineLvl w:val="1"/>
    </w:pPr>
    <w:rPr>
      <w:b/>
      <w:sz w:val="22"/>
    </w:rPr>
  </w:style>
  <w:style w:type="paragraph" w:styleId="Heading3">
    <w:name w:val="heading 3"/>
    <w:basedOn w:val="Normal"/>
    <w:next w:val="Normal"/>
    <w:qFormat/>
    <w:pPr>
      <w:keepNext/>
      <w:widowControl w:val="0"/>
      <w:numPr>
        <w:ilvl w:val="2"/>
        <w:numId w:val="2"/>
      </w:numPr>
      <w:spacing w:after="220"/>
      <w:jc w:val="both"/>
      <w:outlineLvl w:val="2"/>
    </w:pPr>
    <w:rPr>
      <w:b/>
      <w:sz w:val="22"/>
    </w:rPr>
  </w:style>
  <w:style w:type="paragraph" w:styleId="Heading4">
    <w:name w:val="heading 4"/>
    <w:basedOn w:val="Normal"/>
    <w:next w:val="Normal"/>
    <w:qFormat/>
    <w:pPr>
      <w:keepNext/>
      <w:widowControl w:val="0"/>
      <w:numPr>
        <w:ilvl w:val="3"/>
        <w:numId w:val="2"/>
      </w:numPr>
      <w:spacing w:after="220"/>
      <w:jc w:val="both"/>
      <w:outlineLvl w:val="3"/>
    </w:pPr>
    <w:rPr>
      <w:b/>
      <w:sz w:val="22"/>
    </w:rPr>
  </w:style>
  <w:style w:type="paragraph" w:styleId="Heading5">
    <w:name w:val="heading 5"/>
    <w:basedOn w:val="Normal"/>
    <w:next w:val="Normal"/>
    <w:qFormat/>
    <w:pPr>
      <w:keepNext/>
      <w:widowControl w:val="0"/>
      <w:numPr>
        <w:ilvl w:val="4"/>
        <w:numId w:val="2"/>
      </w:numPr>
      <w:suppressAutoHyphens/>
      <w:spacing w:after="220"/>
      <w:jc w:val="both"/>
      <w:outlineLvl w:val="4"/>
    </w:pPr>
    <w:rPr>
      <w:b/>
      <w:sz w:val="22"/>
    </w:rPr>
  </w:style>
  <w:style w:type="paragraph" w:styleId="Heading6">
    <w:name w:val="heading 6"/>
    <w:basedOn w:val="Normal"/>
    <w:next w:val="Normal"/>
    <w:qFormat/>
    <w:pPr>
      <w:widowControl w:val="0"/>
      <w:numPr>
        <w:ilvl w:val="5"/>
        <w:numId w:val="2"/>
      </w:numPr>
      <w:spacing w:after="220"/>
      <w:jc w:val="both"/>
      <w:outlineLvl w:val="5"/>
    </w:pPr>
    <w:rPr>
      <w:b/>
      <w:sz w:val="22"/>
    </w:rPr>
  </w:style>
  <w:style w:type="paragraph" w:styleId="Heading7">
    <w:name w:val="heading 7"/>
    <w:basedOn w:val="Normal"/>
    <w:next w:val="Normal"/>
    <w:qFormat/>
    <w:pPr>
      <w:widowControl w:val="0"/>
      <w:numPr>
        <w:ilvl w:val="7"/>
        <w:numId w:val="2"/>
      </w:numPr>
      <w:spacing w:after="220"/>
      <w:jc w:val="both"/>
      <w:outlineLvl w:val="6"/>
    </w:pPr>
    <w:rPr>
      <w:b/>
      <w:sz w:val="22"/>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widowControl w:val="0"/>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link w:val="BlockTextChar"/>
    <w:pPr>
      <w:widowControl w:val="0"/>
      <w:spacing w:after="220"/>
      <w:ind w:left="1440" w:right="1440"/>
      <w:jc w:val="both"/>
    </w:pPr>
    <w:rPr>
      <w:sz w:val="22"/>
    </w:rPr>
  </w:style>
  <w:style w:type="paragraph" w:customStyle="1" w:styleId="Bullet">
    <w:name w:val="Bullet"/>
    <w:basedOn w:val="Normal"/>
    <w:pPr>
      <w:widowControl w:val="0"/>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center" w:pos="4680"/>
      </w:tabs>
      <w:suppressAutoHyphens/>
      <w:spacing w:line="227" w:lineRule="auto"/>
      <w:jc w:val="center"/>
    </w:pPr>
    <w:rPr>
      <w:rFonts w:ascii="Times" w:hAnsi="Times"/>
      <w:b/>
      <w:snapToGrid w:val="0"/>
      <w:spacing w:val="-2"/>
      <w:sz w:val="22"/>
    </w:rPr>
  </w:style>
  <w:style w:type="paragraph" w:styleId="BodyText2">
    <w:name w:val="Body Text 2"/>
    <w:basedOn w:val="Normal"/>
    <w:pPr>
      <w:widowControl w:val="0"/>
      <w:tabs>
        <w:tab w:val="right" w:pos="9360"/>
      </w:tabs>
      <w:suppressAutoHyphens/>
      <w:spacing w:line="227" w:lineRule="auto"/>
      <w:jc w:val="both"/>
    </w:pPr>
    <w:rPr>
      <w:snapToGrid w:val="0"/>
      <w:spacing w:val="-2"/>
      <w:sz w:val="22"/>
    </w:rPr>
  </w:style>
  <w:style w:type="character" w:customStyle="1" w:styleId="StyleTimesNewRoman11ptCharCharChar">
    <w:name w:val="Style Times New Roman 11 pt Char Char Char"/>
    <w:rPr>
      <w:rFonts w:ascii="Times New Roman" w:hAnsi="Times New Roman"/>
      <w:noProof w:val="0"/>
      <w:snapToGrid w:val="0"/>
      <w:sz w:val="22"/>
      <w:lang w:val="en-US" w:eastAsia="en-US" w:bidi="ar-SA"/>
    </w:r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pPr>
      <w:widowControl w:val="0"/>
      <w:tabs>
        <w:tab w:val="right" w:leader="dot" w:pos="9360"/>
      </w:tabs>
      <w:suppressAutoHyphens/>
      <w:ind w:left="1440" w:right="720" w:hanging="720"/>
      <w:jc w:val="both"/>
    </w:pPr>
    <w:rPr>
      <w:snapToGrid w:val="0"/>
      <w:kern w:val="28"/>
      <w:sz w:val="22"/>
    </w:rPr>
  </w:style>
  <w:style w:type="character" w:customStyle="1" w:styleId="BlockTextChar">
    <w:name w:val="Block Text Char"/>
    <w:link w:val="BlockText"/>
    <w:rPr>
      <w:sz w:val="22"/>
      <w:lang w:val="en-US" w:eastAsia="en-US" w:bidi="ar-SA"/>
    </w:rPr>
  </w:style>
  <w:style w:type="character" w:styleId="PageNumber">
    <w:name w:val="page number"/>
    <w:basedOn w:val="DefaultParagraphFont"/>
  </w:style>
  <w:style w:type="character" w:styleId="CommentReference">
    <w:name w:val="annotation reference"/>
    <w:rsid w:val="0096009C"/>
    <w:rPr>
      <w:sz w:val="18"/>
      <w:szCs w:val="18"/>
    </w:rPr>
  </w:style>
  <w:style w:type="paragraph" w:styleId="CommentText">
    <w:name w:val="annotation text"/>
    <w:basedOn w:val="Normal"/>
    <w:link w:val="CommentTextChar"/>
    <w:rsid w:val="0096009C"/>
    <w:rPr>
      <w:szCs w:val="24"/>
    </w:rPr>
  </w:style>
  <w:style w:type="character" w:customStyle="1" w:styleId="CommentTextChar">
    <w:name w:val="Comment Text Char"/>
    <w:link w:val="CommentText"/>
    <w:rsid w:val="0096009C"/>
    <w:rPr>
      <w:sz w:val="24"/>
      <w:szCs w:val="24"/>
    </w:rPr>
  </w:style>
  <w:style w:type="paragraph" w:styleId="CommentSubject">
    <w:name w:val="annotation subject"/>
    <w:basedOn w:val="CommentText"/>
    <w:next w:val="CommentText"/>
    <w:link w:val="CommentSubjectChar"/>
    <w:rsid w:val="0096009C"/>
    <w:rPr>
      <w:b/>
      <w:bCs/>
      <w:sz w:val="20"/>
      <w:szCs w:val="20"/>
    </w:rPr>
  </w:style>
  <w:style w:type="character" w:customStyle="1" w:styleId="CommentSubjectChar">
    <w:name w:val="Comment Subject Char"/>
    <w:link w:val="CommentSubject"/>
    <w:rsid w:val="0096009C"/>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numPr>
        <w:numId w:val="2"/>
      </w:numPr>
      <w:suppressAutoHyphens/>
      <w:spacing w:after="220"/>
      <w:jc w:val="both"/>
      <w:outlineLvl w:val="0"/>
    </w:pPr>
    <w:rPr>
      <w:b/>
      <w:caps/>
      <w:sz w:val="22"/>
    </w:rPr>
  </w:style>
  <w:style w:type="paragraph" w:styleId="Heading2">
    <w:name w:val="heading 2"/>
    <w:basedOn w:val="Normal"/>
    <w:next w:val="Normal"/>
    <w:qFormat/>
    <w:pPr>
      <w:keepNext/>
      <w:widowControl w:val="0"/>
      <w:numPr>
        <w:ilvl w:val="1"/>
        <w:numId w:val="2"/>
      </w:numPr>
      <w:spacing w:after="220"/>
      <w:jc w:val="both"/>
      <w:outlineLvl w:val="1"/>
    </w:pPr>
    <w:rPr>
      <w:b/>
      <w:sz w:val="22"/>
    </w:rPr>
  </w:style>
  <w:style w:type="paragraph" w:styleId="Heading3">
    <w:name w:val="heading 3"/>
    <w:basedOn w:val="Normal"/>
    <w:next w:val="Normal"/>
    <w:qFormat/>
    <w:pPr>
      <w:keepNext/>
      <w:widowControl w:val="0"/>
      <w:numPr>
        <w:ilvl w:val="2"/>
        <w:numId w:val="2"/>
      </w:numPr>
      <w:spacing w:after="220"/>
      <w:jc w:val="both"/>
      <w:outlineLvl w:val="2"/>
    </w:pPr>
    <w:rPr>
      <w:b/>
      <w:sz w:val="22"/>
    </w:rPr>
  </w:style>
  <w:style w:type="paragraph" w:styleId="Heading4">
    <w:name w:val="heading 4"/>
    <w:basedOn w:val="Normal"/>
    <w:next w:val="Normal"/>
    <w:qFormat/>
    <w:pPr>
      <w:keepNext/>
      <w:widowControl w:val="0"/>
      <w:numPr>
        <w:ilvl w:val="3"/>
        <w:numId w:val="2"/>
      </w:numPr>
      <w:spacing w:after="220"/>
      <w:jc w:val="both"/>
      <w:outlineLvl w:val="3"/>
    </w:pPr>
    <w:rPr>
      <w:b/>
      <w:sz w:val="22"/>
    </w:rPr>
  </w:style>
  <w:style w:type="paragraph" w:styleId="Heading5">
    <w:name w:val="heading 5"/>
    <w:basedOn w:val="Normal"/>
    <w:next w:val="Normal"/>
    <w:qFormat/>
    <w:pPr>
      <w:keepNext/>
      <w:widowControl w:val="0"/>
      <w:numPr>
        <w:ilvl w:val="4"/>
        <w:numId w:val="2"/>
      </w:numPr>
      <w:suppressAutoHyphens/>
      <w:spacing w:after="220"/>
      <w:jc w:val="both"/>
      <w:outlineLvl w:val="4"/>
    </w:pPr>
    <w:rPr>
      <w:b/>
      <w:sz w:val="22"/>
    </w:rPr>
  </w:style>
  <w:style w:type="paragraph" w:styleId="Heading6">
    <w:name w:val="heading 6"/>
    <w:basedOn w:val="Normal"/>
    <w:next w:val="Normal"/>
    <w:qFormat/>
    <w:pPr>
      <w:widowControl w:val="0"/>
      <w:numPr>
        <w:ilvl w:val="5"/>
        <w:numId w:val="2"/>
      </w:numPr>
      <w:spacing w:after="220"/>
      <w:jc w:val="both"/>
      <w:outlineLvl w:val="5"/>
    </w:pPr>
    <w:rPr>
      <w:b/>
      <w:sz w:val="22"/>
    </w:rPr>
  </w:style>
  <w:style w:type="paragraph" w:styleId="Heading7">
    <w:name w:val="heading 7"/>
    <w:basedOn w:val="Normal"/>
    <w:next w:val="Normal"/>
    <w:qFormat/>
    <w:pPr>
      <w:widowControl w:val="0"/>
      <w:numPr>
        <w:ilvl w:val="7"/>
        <w:numId w:val="2"/>
      </w:numPr>
      <w:spacing w:after="220"/>
      <w:jc w:val="both"/>
      <w:outlineLvl w:val="6"/>
    </w:pPr>
    <w:rPr>
      <w:b/>
      <w:sz w:val="22"/>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widowControl w:val="0"/>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link w:val="BlockTextChar"/>
    <w:pPr>
      <w:widowControl w:val="0"/>
      <w:spacing w:after="220"/>
      <w:ind w:left="1440" w:right="1440"/>
      <w:jc w:val="both"/>
    </w:pPr>
    <w:rPr>
      <w:sz w:val="22"/>
    </w:rPr>
  </w:style>
  <w:style w:type="paragraph" w:customStyle="1" w:styleId="Bullet">
    <w:name w:val="Bullet"/>
    <w:basedOn w:val="Normal"/>
    <w:pPr>
      <w:widowControl w:val="0"/>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center" w:pos="4680"/>
      </w:tabs>
      <w:suppressAutoHyphens/>
      <w:spacing w:line="227" w:lineRule="auto"/>
      <w:jc w:val="center"/>
    </w:pPr>
    <w:rPr>
      <w:rFonts w:ascii="Times" w:hAnsi="Times"/>
      <w:b/>
      <w:snapToGrid w:val="0"/>
      <w:spacing w:val="-2"/>
      <w:sz w:val="22"/>
    </w:rPr>
  </w:style>
  <w:style w:type="paragraph" w:styleId="BodyText2">
    <w:name w:val="Body Text 2"/>
    <w:basedOn w:val="Normal"/>
    <w:pPr>
      <w:widowControl w:val="0"/>
      <w:tabs>
        <w:tab w:val="right" w:pos="9360"/>
      </w:tabs>
      <w:suppressAutoHyphens/>
      <w:spacing w:line="227" w:lineRule="auto"/>
      <w:jc w:val="both"/>
    </w:pPr>
    <w:rPr>
      <w:snapToGrid w:val="0"/>
      <w:spacing w:val="-2"/>
      <w:sz w:val="22"/>
    </w:rPr>
  </w:style>
  <w:style w:type="character" w:customStyle="1" w:styleId="StyleTimesNewRoman11ptCharCharChar">
    <w:name w:val="Style Times New Roman 11 pt Char Char Char"/>
    <w:rPr>
      <w:rFonts w:ascii="Times New Roman" w:hAnsi="Times New Roman"/>
      <w:noProof w:val="0"/>
      <w:snapToGrid w:val="0"/>
      <w:sz w:val="22"/>
      <w:lang w:val="en-US" w:eastAsia="en-US" w:bidi="ar-SA"/>
    </w:r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pPr>
      <w:widowControl w:val="0"/>
      <w:tabs>
        <w:tab w:val="right" w:leader="dot" w:pos="9360"/>
      </w:tabs>
      <w:suppressAutoHyphens/>
      <w:ind w:left="1440" w:right="720" w:hanging="720"/>
      <w:jc w:val="both"/>
    </w:pPr>
    <w:rPr>
      <w:snapToGrid w:val="0"/>
      <w:kern w:val="28"/>
      <w:sz w:val="22"/>
    </w:rPr>
  </w:style>
  <w:style w:type="character" w:customStyle="1" w:styleId="BlockTextChar">
    <w:name w:val="Block Text Char"/>
    <w:link w:val="BlockText"/>
    <w:rPr>
      <w:sz w:val="22"/>
      <w:lang w:val="en-US" w:eastAsia="en-US" w:bidi="ar-SA"/>
    </w:rPr>
  </w:style>
  <w:style w:type="character" w:styleId="PageNumber">
    <w:name w:val="page number"/>
    <w:basedOn w:val="DefaultParagraphFont"/>
  </w:style>
  <w:style w:type="character" w:styleId="CommentReference">
    <w:name w:val="annotation reference"/>
    <w:rsid w:val="0096009C"/>
    <w:rPr>
      <w:sz w:val="18"/>
      <w:szCs w:val="18"/>
    </w:rPr>
  </w:style>
  <w:style w:type="paragraph" w:styleId="CommentText">
    <w:name w:val="annotation text"/>
    <w:basedOn w:val="Normal"/>
    <w:link w:val="CommentTextChar"/>
    <w:rsid w:val="0096009C"/>
    <w:rPr>
      <w:szCs w:val="24"/>
    </w:rPr>
  </w:style>
  <w:style w:type="character" w:customStyle="1" w:styleId="CommentTextChar">
    <w:name w:val="Comment Text Char"/>
    <w:link w:val="CommentText"/>
    <w:rsid w:val="0096009C"/>
    <w:rPr>
      <w:sz w:val="24"/>
      <w:szCs w:val="24"/>
    </w:rPr>
  </w:style>
  <w:style w:type="paragraph" w:styleId="CommentSubject">
    <w:name w:val="annotation subject"/>
    <w:basedOn w:val="CommentText"/>
    <w:next w:val="CommentText"/>
    <w:link w:val="CommentSubjectChar"/>
    <w:rsid w:val="0096009C"/>
    <w:rPr>
      <w:b/>
      <w:bCs/>
      <w:sz w:val="20"/>
      <w:szCs w:val="20"/>
    </w:rPr>
  </w:style>
  <w:style w:type="character" w:customStyle="1" w:styleId="CommentSubjectChar">
    <w:name w:val="Comment Subject Char"/>
    <w:link w:val="CommentSubject"/>
    <w:rsid w:val="0096009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2079</Characters>
  <Application>Microsoft Office Word</Application>
  <DocSecurity>0</DocSecurity>
  <Lines>43</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2461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2010-01-05T16:13:00Z</cp:lastPrinted>
  <dcterms:created xsi:type="dcterms:W3CDTF">2014-03-18T18:29:00Z</dcterms:created>
  <dcterms:modified xsi:type="dcterms:W3CDTF">2014-03-18T18:29:00Z</dcterms:modified>
  <cp:category> </cp:category>
  <cp:contentStatus> </cp:contentStatus>
</cp:coreProperties>
</file>