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64" w:rsidRPr="00273B8D" w:rsidRDefault="00146464">
      <w:pPr>
        <w:jc w:val="center"/>
        <w:rPr>
          <w:b/>
          <w:szCs w:val="22"/>
        </w:rPr>
      </w:pPr>
      <w:bookmarkStart w:id="0" w:name="_GoBack"/>
      <w:bookmarkEnd w:id="0"/>
      <w:r w:rsidRPr="00273B8D">
        <w:rPr>
          <w:b/>
          <w:szCs w:val="22"/>
        </w:rPr>
        <w:t>Before the</w:t>
      </w:r>
    </w:p>
    <w:p w:rsidR="00146464" w:rsidRPr="00273B8D" w:rsidRDefault="00146464">
      <w:pPr>
        <w:jc w:val="center"/>
        <w:rPr>
          <w:b/>
          <w:szCs w:val="22"/>
        </w:rPr>
      </w:pPr>
      <w:r w:rsidRPr="00273B8D">
        <w:rPr>
          <w:b/>
          <w:szCs w:val="22"/>
        </w:rPr>
        <w:t>Federal Communications Commission</w:t>
      </w:r>
    </w:p>
    <w:p w:rsidR="00146464" w:rsidRPr="00273B8D" w:rsidRDefault="00146464">
      <w:pPr>
        <w:jc w:val="center"/>
        <w:rPr>
          <w:b/>
          <w:szCs w:val="22"/>
        </w:rPr>
      </w:pPr>
      <w:r w:rsidRPr="00273B8D">
        <w:rPr>
          <w:b/>
          <w:szCs w:val="22"/>
        </w:rPr>
        <w:t>Washington, D.C. 20554</w:t>
      </w:r>
    </w:p>
    <w:p w:rsidR="00146464" w:rsidRPr="00273B8D" w:rsidRDefault="00146464">
      <w:pPr>
        <w:rPr>
          <w:szCs w:val="22"/>
        </w:rPr>
      </w:pPr>
    </w:p>
    <w:p w:rsidR="00146464" w:rsidRPr="00273B8D" w:rsidRDefault="00146464">
      <w:pPr>
        <w:rPr>
          <w:szCs w:val="22"/>
        </w:rPr>
      </w:pPr>
    </w:p>
    <w:tbl>
      <w:tblPr>
        <w:tblW w:w="0" w:type="auto"/>
        <w:tblLayout w:type="fixed"/>
        <w:tblLook w:val="0000" w:firstRow="0" w:lastRow="0" w:firstColumn="0" w:lastColumn="0" w:noHBand="0" w:noVBand="0"/>
      </w:tblPr>
      <w:tblGrid>
        <w:gridCol w:w="4698"/>
        <w:gridCol w:w="720"/>
        <w:gridCol w:w="4230"/>
      </w:tblGrid>
      <w:tr w:rsidR="00273B8D" w:rsidRPr="00273B8D">
        <w:tc>
          <w:tcPr>
            <w:tcW w:w="4698" w:type="dxa"/>
          </w:tcPr>
          <w:p w:rsidR="00146464" w:rsidRPr="00273B8D" w:rsidRDefault="00146464">
            <w:pPr>
              <w:ind w:right="-18"/>
              <w:rPr>
                <w:szCs w:val="22"/>
              </w:rPr>
            </w:pPr>
            <w:r w:rsidRPr="00273B8D">
              <w:rPr>
                <w:szCs w:val="22"/>
              </w:rPr>
              <w:t>In the matter of</w:t>
            </w:r>
          </w:p>
          <w:p w:rsidR="00146464" w:rsidRPr="00273B8D" w:rsidRDefault="00146464">
            <w:pPr>
              <w:ind w:right="-18"/>
              <w:rPr>
                <w:szCs w:val="22"/>
              </w:rPr>
            </w:pPr>
          </w:p>
          <w:p w:rsidR="00EB624D" w:rsidRPr="00273B8D" w:rsidRDefault="00627448">
            <w:pPr>
              <w:ind w:right="-18"/>
              <w:rPr>
                <w:szCs w:val="22"/>
              </w:rPr>
            </w:pPr>
            <w:r w:rsidRPr="00273B8D">
              <w:rPr>
                <w:szCs w:val="22"/>
              </w:rPr>
              <w:t>ENVIRONMENTEL</w:t>
            </w:r>
            <w:r w:rsidR="00EB624D" w:rsidRPr="00273B8D">
              <w:rPr>
                <w:szCs w:val="22"/>
              </w:rPr>
              <w:t xml:space="preserve"> LLC</w:t>
            </w:r>
          </w:p>
          <w:p w:rsidR="00EB624D" w:rsidRPr="00273B8D" w:rsidRDefault="00EB624D">
            <w:pPr>
              <w:ind w:right="-18"/>
              <w:rPr>
                <w:szCs w:val="22"/>
              </w:rPr>
            </w:pPr>
          </w:p>
          <w:p w:rsidR="00EB624D" w:rsidRPr="00273B8D" w:rsidRDefault="00EB624D">
            <w:pPr>
              <w:ind w:right="-18"/>
              <w:rPr>
                <w:szCs w:val="22"/>
              </w:rPr>
            </w:pPr>
            <w:r w:rsidRPr="00273B8D">
              <w:rPr>
                <w:szCs w:val="22"/>
              </w:rPr>
              <w:t>Applications for Extension of the Five Year Construction Deadlines</w:t>
            </w:r>
          </w:p>
          <w:p w:rsidR="00EB624D" w:rsidRPr="00273B8D" w:rsidRDefault="00EB624D">
            <w:pPr>
              <w:ind w:right="-18"/>
              <w:rPr>
                <w:szCs w:val="22"/>
              </w:rPr>
            </w:pPr>
          </w:p>
        </w:tc>
        <w:tc>
          <w:tcPr>
            <w:tcW w:w="720" w:type="dxa"/>
          </w:tcPr>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146464">
            <w:pPr>
              <w:rPr>
                <w:b/>
                <w:szCs w:val="22"/>
              </w:rPr>
            </w:pPr>
            <w:r w:rsidRPr="00273B8D">
              <w:rPr>
                <w:b/>
                <w:szCs w:val="22"/>
              </w:rPr>
              <w:t>)</w:t>
            </w:r>
          </w:p>
          <w:p w:rsidR="00146464" w:rsidRPr="00273B8D" w:rsidRDefault="00EB624D">
            <w:pPr>
              <w:rPr>
                <w:b/>
                <w:szCs w:val="22"/>
              </w:rPr>
            </w:pPr>
            <w:r w:rsidRPr="00273B8D">
              <w:rPr>
                <w:b/>
                <w:szCs w:val="22"/>
              </w:rPr>
              <w:t>)</w:t>
            </w:r>
          </w:p>
          <w:p w:rsidR="00EB624D" w:rsidRPr="00273B8D" w:rsidRDefault="00EB624D">
            <w:pPr>
              <w:rPr>
                <w:b/>
                <w:szCs w:val="22"/>
              </w:rPr>
            </w:pPr>
            <w:r w:rsidRPr="00273B8D">
              <w:rPr>
                <w:b/>
                <w:szCs w:val="22"/>
              </w:rPr>
              <w:t>)</w:t>
            </w:r>
          </w:p>
          <w:p w:rsidR="00EB624D" w:rsidRPr="00273B8D" w:rsidRDefault="00EB624D">
            <w:pPr>
              <w:rPr>
                <w:b/>
                <w:szCs w:val="22"/>
              </w:rPr>
            </w:pPr>
            <w:r w:rsidRPr="00273B8D">
              <w:rPr>
                <w:b/>
                <w:szCs w:val="22"/>
              </w:rPr>
              <w:t>)</w:t>
            </w:r>
          </w:p>
          <w:p w:rsidR="00EB624D" w:rsidRPr="00273B8D" w:rsidRDefault="00EB624D">
            <w:pPr>
              <w:rPr>
                <w:b/>
                <w:szCs w:val="22"/>
              </w:rPr>
            </w:pPr>
            <w:r w:rsidRPr="00273B8D">
              <w:rPr>
                <w:b/>
                <w:szCs w:val="22"/>
              </w:rPr>
              <w:t>)</w:t>
            </w:r>
          </w:p>
          <w:p w:rsidR="00EB624D" w:rsidRPr="00273B8D" w:rsidRDefault="00EB624D">
            <w:pPr>
              <w:rPr>
                <w:b/>
                <w:szCs w:val="22"/>
              </w:rPr>
            </w:pPr>
            <w:r w:rsidRPr="00273B8D">
              <w:rPr>
                <w:b/>
                <w:szCs w:val="22"/>
              </w:rPr>
              <w:t>)</w:t>
            </w:r>
          </w:p>
        </w:tc>
        <w:tc>
          <w:tcPr>
            <w:tcW w:w="4230" w:type="dxa"/>
          </w:tcPr>
          <w:p w:rsidR="00146464" w:rsidRPr="00273B8D" w:rsidRDefault="00146464">
            <w:pPr>
              <w:rPr>
                <w:szCs w:val="22"/>
              </w:rPr>
            </w:pPr>
          </w:p>
          <w:p w:rsidR="00146464" w:rsidRPr="00273B8D" w:rsidRDefault="00146464">
            <w:pPr>
              <w:rPr>
                <w:szCs w:val="22"/>
              </w:rPr>
            </w:pPr>
          </w:p>
          <w:p w:rsidR="009F1001" w:rsidRPr="00273B8D" w:rsidRDefault="009F1001" w:rsidP="009F1001">
            <w:pPr>
              <w:rPr>
                <w:b/>
                <w:szCs w:val="22"/>
              </w:rPr>
            </w:pPr>
            <w:r w:rsidRPr="00273B8D">
              <w:rPr>
                <w:szCs w:val="22"/>
              </w:rPr>
              <w:t xml:space="preserve">See Attachment A for </w:t>
            </w:r>
            <w:r w:rsidR="009E29E3" w:rsidRPr="00273B8D">
              <w:rPr>
                <w:szCs w:val="22"/>
              </w:rPr>
              <w:t xml:space="preserve">Calls Signs and </w:t>
            </w:r>
            <w:r w:rsidRPr="00273B8D">
              <w:rPr>
                <w:szCs w:val="22"/>
              </w:rPr>
              <w:t xml:space="preserve">Associated </w:t>
            </w:r>
            <w:r w:rsidR="009A0D69" w:rsidRPr="00273B8D">
              <w:rPr>
                <w:szCs w:val="22"/>
              </w:rPr>
              <w:t xml:space="preserve">FCC </w:t>
            </w:r>
            <w:r w:rsidRPr="00273B8D">
              <w:rPr>
                <w:szCs w:val="22"/>
              </w:rPr>
              <w:t>File Nos.</w:t>
            </w:r>
          </w:p>
          <w:p w:rsidR="00146464" w:rsidRPr="00273B8D" w:rsidRDefault="009F1001">
            <w:pPr>
              <w:rPr>
                <w:szCs w:val="22"/>
              </w:rPr>
            </w:pPr>
            <w:r w:rsidRPr="00273B8D">
              <w:rPr>
                <w:szCs w:val="22"/>
              </w:rPr>
              <w:t xml:space="preserve">     </w:t>
            </w:r>
          </w:p>
          <w:p w:rsidR="00146464" w:rsidRPr="00273B8D" w:rsidRDefault="00146464">
            <w:pPr>
              <w:rPr>
                <w:szCs w:val="22"/>
              </w:rPr>
            </w:pPr>
          </w:p>
        </w:tc>
      </w:tr>
      <w:tr w:rsidR="009F1001" w:rsidRPr="00273B8D">
        <w:tc>
          <w:tcPr>
            <w:tcW w:w="4698" w:type="dxa"/>
          </w:tcPr>
          <w:p w:rsidR="009F1001" w:rsidRPr="00273B8D" w:rsidRDefault="009F1001">
            <w:pPr>
              <w:ind w:right="-18"/>
              <w:rPr>
                <w:szCs w:val="22"/>
              </w:rPr>
            </w:pPr>
          </w:p>
        </w:tc>
        <w:tc>
          <w:tcPr>
            <w:tcW w:w="720" w:type="dxa"/>
          </w:tcPr>
          <w:p w:rsidR="009F1001" w:rsidRPr="00273B8D" w:rsidRDefault="009F1001">
            <w:pPr>
              <w:rPr>
                <w:b/>
                <w:szCs w:val="22"/>
              </w:rPr>
            </w:pPr>
          </w:p>
        </w:tc>
        <w:tc>
          <w:tcPr>
            <w:tcW w:w="4230" w:type="dxa"/>
          </w:tcPr>
          <w:p w:rsidR="009F1001" w:rsidRPr="00273B8D" w:rsidRDefault="009F1001">
            <w:pPr>
              <w:rPr>
                <w:szCs w:val="22"/>
              </w:rPr>
            </w:pPr>
          </w:p>
        </w:tc>
      </w:tr>
    </w:tbl>
    <w:p w:rsidR="00146464" w:rsidRPr="00273B8D" w:rsidRDefault="00146464">
      <w:pPr>
        <w:rPr>
          <w:szCs w:val="22"/>
        </w:rPr>
      </w:pPr>
    </w:p>
    <w:p w:rsidR="00146464" w:rsidRPr="00273B8D" w:rsidRDefault="0010776E">
      <w:pPr>
        <w:spacing w:before="120"/>
        <w:jc w:val="center"/>
        <w:rPr>
          <w:b/>
          <w:szCs w:val="22"/>
        </w:rPr>
      </w:pPr>
      <w:r w:rsidRPr="00273B8D">
        <w:rPr>
          <w:b/>
          <w:spacing w:val="-2"/>
          <w:szCs w:val="22"/>
        </w:rPr>
        <w:t>Order</w:t>
      </w:r>
    </w:p>
    <w:p w:rsidR="00146464" w:rsidRPr="00273B8D" w:rsidRDefault="00146464">
      <w:pPr>
        <w:rPr>
          <w:szCs w:val="22"/>
        </w:rPr>
      </w:pPr>
    </w:p>
    <w:p w:rsidR="00146464" w:rsidRPr="00273B8D" w:rsidRDefault="00146464">
      <w:pPr>
        <w:tabs>
          <w:tab w:val="left" w:pos="5760"/>
        </w:tabs>
        <w:rPr>
          <w:b/>
          <w:szCs w:val="22"/>
        </w:rPr>
      </w:pPr>
      <w:r w:rsidRPr="00273B8D">
        <w:rPr>
          <w:b/>
          <w:szCs w:val="22"/>
        </w:rPr>
        <w:t xml:space="preserve">   Adopted:  </w:t>
      </w:r>
      <w:r w:rsidR="00222D70">
        <w:rPr>
          <w:b/>
          <w:szCs w:val="22"/>
        </w:rPr>
        <w:t>March 20</w:t>
      </w:r>
      <w:r w:rsidR="00FB6CA0" w:rsidRPr="00273B8D">
        <w:rPr>
          <w:b/>
          <w:spacing w:val="-2"/>
          <w:szCs w:val="22"/>
        </w:rPr>
        <w:t>, 201</w:t>
      </w:r>
      <w:r w:rsidR="00053CFF">
        <w:rPr>
          <w:b/>
          <w:spacing w:val="-2"/>
          <w:szCs w:val="22"/>
        </w:rPr>
        <w:t>4</w:t>
      </w:r>
      <w:r w:rsidRPr="00273B8D">
        <w:rPr>
          <w:b/>
          <w:szCs w:val="22"/>
        </w:rPr>
        <w:tab/>
        <w:t xml:space="preserve">Released:  </w:t>
      </w:r>
      <w:r w:rsidR="00222D70">
        <w:rPr>
          <w:b/>
          <w:szCs w:val="22"/>
        </w:rPr>
        <w:t>March 20</w:t>
      </w:r>
      <w:r w:rsidR="00FB6CA0" w:rsidRPr="00273B8D">
        <w:rPr>
          <w:b/>
          <w:spacing w:val="-2"/>
          <w:szCs w:val="22"/>
        </w:rPr>
        <w:t>, 201</w:t>
      </w:r>
      <w:r w:rsidR="00053CFF">
        <w:rPr>
          <w:b/>
          <w:spacing w:val="-2"/>
          <w:szCs w:val="22"/>
        </w:rPr>
        <w:t>4</w:t>
      </w:r>
    </w:p>
    <w:p w:rsidR="00146464" w:rsidRPr="00273B8D" w:rsidRDefault="00146464">
      <w:pPr>
        <w:tabs>
          <w:tab w:val="left" w:pos="5760"/>
        </w:tabs>
        <w:rPr>
          <w:b/>
          <w:szCs w:val="22"/>
        </w:rPr>
      </w:pPr>
    </w:p>
    <w:p w:rsidR="00146464" w:rsidRPr="00273B8D" w:rsidRDefault="00146464" w:rsidP="00495866">
      <w:pPr>
        <w:tabs>
          <w:tab w:val="left" w:pos="5760"/>
        </w:tabs>
        <w:rPr>
          <w:szCs w:val="22"/>
        </w:rPr>
      </w:pPr>
      <w:r w:rsidRPr="00273B8D">
        <w:rPr>
          <w:szCs w:val="22"/>
        </w:rPr>
        <w:t xml:space="preserve">By the </w:t>
      </w:r>
      <w:r w:rsidR="0010776E" w:rsidRPr="00273B8D">
        <w:rPr>
          <w:spacing w:val="-2"/>
          <w:szCs w:val="22"/>
        </w:rPr>
        <w:t>Deputy Chief, Mobility Division, Wireless Telecommunications Bureau</w:t>
      </w:r>
      <w:r w:rsidRPr="00273B8D">
        <w:rPr>
          <w:spacing w:val="-2"/>
          <w:szCs w:val="22"/>
        </w:rPr>
        <w:t>:</w:t>
      </w:r>
    </w:p>
    <w:p w:rsidR="00146464" w:rsidRPr="00273B8D" w:rsidRDefault="00146464" w:rsidP="00495866">
      <w:pPr>
        <w:tabs>
          <w:tab w:val="left" w:pos="5760"/>
        </w:tabs>
        <w:rPr>
          <w:b/>
          <w:szCs w:val="22"/>
        </w:rPr>
      </w:pPr>
    </w:p>
    <w:p w:rsidR="00146464" w:rsidRPr="00273B8D" w:rsidRDefault="00146464" w:rsidP="00495866">
      <w:pPr>
        <w:rPr>
          <w:szCs w:val="22"/>
        </w:rPr>
      </w:pPr>
    </w:p>
    <w:p w:rsidR="0010776E" w:rsidRPr="00273B8D" w:rsidRDefault="0010776E" w:rsidP="00495866">
      <w:pPr>
        <w:pStyle w:val="Heading1"/>
        <w:jc w:val="left"/>
        <w:rPr>
          <w:szCs w:val="22"/>
        </w:rPr>
      </w:pPr>
      <w:r w:rsidRPr="00273B8D">
        <w:rPr>
          <w:szCs w:val="22"/>
        </w:rPr>
        <w:t>introduction</w:t>
      </w:r>
    </w:p>
    <w:p w:rsidR="00B22EB0" w:rsidRPr="00CB7086" w:rsidRDefault="004D23A2" w:rsidP="00CB7086">
      <w:pPr>
        <w:pStyle w:val="ParaNum"/>
        <w:numPr>
          <w:ilvl w:val="0"/>
          <w:numId w:val="13"/>
        </w:numPr>
        <w:rPr>
          <w:szCs w:val="22"/>
        </w:rPr>
      </w:pPr>
      <w:r w:rsidRPr="00CB7086">
        <w:rPr>
          <w:szCs w:val="22"/>
        </w:rPr>
        <w:tab/>
      </w:r>
      <w:r w:rsidR="006E57FB" w:rsidRPr="00CB7086">
        <w:rPr>
          <w:szCs w:val="22"/>
        </w:rPr>
        <w:t xml:space="preserve">In this order, we </w:t>
      </w:r>
      <w:r w:rsidR="002E63B5" w:rsidRPr="00CB7086">
        <w:rPr>
          <w:szCs w:val="22"/>
        </w:rPr>
        <w:t xml:space="preserve">address </w:t>
      </w:r>
      <w:r w:rsidR="0033227B">
        <w:rPr>
          <w:szCs w:val="22"/>
        </w:rPr>
        <w:t xml:space="preserve">a </w:t>
      </w:r>
      <w:r w:rsidR="00CB7086" w:rsidRPr="00CB7086">
        <w:rPr>
          <w:szCs w:val="22"/>
        </w:rPr>
        <w:t>request</w:t>
      </w:r>
      <w:r w:rsidR="002E63B5" w:rsidRPr="00CB7086">
        <w:rPr>
          <w:szCs w:val="22"/>
        </w:rPr>
        <w:t xml:space="preserve"> by</w:t>
      </w:r>
      <w:r w:rsidR="006E57FB" w:rsidRPr="00CB7086">
        <w:rPr>
          <w:szCs w:val="22"/>
        </w:rPr>
        <w:t xml:space="preserve"> </w:t>
      </w:r>
      <w:r w:rsidR="006B3F3E" w:rsidRPr="00CB7086">
        <w:rPr>
          <w:szCs w:val="22"/>
        </w:rPr>
        <w:t>Environmentel LLC (“Environmentel")</w:t>
      </w:r>
      <w:r w:rsidR="002E63B5" w:rsidRPr="00CB7086">
        <w:rPr>
          <w:szCs w:val="22"/>
        </w:rPr>
        <w:t xml:space="preserve"> </w:t>
      </w:r>
      <w:r w:rsidR="00CB7086" w:rsidRPr="00CB7086">
        <w:rPr>
          <w:szCs w:val="22"/>
        </w:rPr>
        <w:t>to extend the five-year construction deadlines for</w:t>
      </w:r>
      <w:r w:rsidR="002E63B5" w:rsidRPr="00CB7086">
        <w:rPr>
          <w:szCs w:val="22"/>
        </w:rPr>
        <w:t xml:space="preserve"> </w:t>
      </w:r>
      <w:r w:rsidR="006B3F3E" w:rsidRPr="00CB7086">
        <w:rPr>
          <w:szCs w:val="22"/>
        </w:rPr>
        <w:t xml:space="preserve">certain of its </w:t>
      </w:r>
      <w:r w:rsidR="006E57FB" w:rsidRPr="00CB7086">
        <w:rPr>
          <w:szCs w:val="22"/>
        </w:rPr>
        <w:t>220 MHz licenses</w:t>
      </w:r>
      <w:r w:rsidR="00CB7086" w:rsidRPr="00CB7086">
        <w:rPr>
          <w:szCs w:val="22"/>
        </w:rPr>
        <w:t>.</w:t>
      </w:r>
      <w:r w:rsidR="00CB7086" w:rsidRPr="00273B8D">
        <w:rPr>
          <w:rStyle w:val="FootnoteReference"/>
          <w:szCs w:val="22"/>
        </w:rPr>
        <w:footnoteReference w:id="2"/>
      </w:r>
      <w:r w:rsidR="00CB7086" w:rsidRPr="00CB7086">
        <w:rPr>
          <w:szCs w:val="22"/>
        </w:rPr>
        <w:t xml:space="preserve">  Specifically, Environmentel seeks </w:t>
      </w:r>
      <w:r w:rsidR="0033227B">
        <w:rPr>
          <w:szCs w:val="22"/>
        </w:rPr>
        <w:t>more than forty-five</w:t>
      </w:r>
      <w:r w:rsidR="00CB7086" w:rsidRPr="00CB7086">
        <w:rPr>
          <w:szCs w:val="22"/>
        </w:rPr>
        <w:t xml:space="preserve"> additional months to meet its construction obligation</w:t>
      </w:r>
      <w:r w:rsidR="00C72033">
        <w:rPr>
          <w:szCs w:val="22"/>
        </w:rPr>
        <w:t>s</w:t>
      </w:r>
      <w:r w:rsidR="00C941CB">
        <w:rPr>
          <w:szCs w:val="22"/>
        </w:rPr>
        <w:t xml:space="preserve"> in order</w:t>
      </w:r>
      <w:r w:rsidR="00CB7086" w:rsidRPr="00CB7086">
        <w:rPr>
          <w:szCs w:val="22"/>
        </w:rPr>
        <w:t xml:space="preserve"> </w:t>
      </w:r>
      <w:r w:rsidR="00C72033">
        <w:rPr>
          <w:szCs w:val="22"/>
        </w:rPr>
        <w:t>to</w:t>
      </w:r>
      <w:r w:rsidR="00CB7086" w:rsidRPr="00CB7086">
        <w:rPr>
          <w:szCs w:val="22"/>
        </w:rPr>
        <w:t xml:space="preserve"> consolidate its 220 MHz license construction </w:t>
      </w:r>
      <w:r w:rsidR="0033227B">
        <w:rPr>
          <w:szCs w:val="22"/>
        </w:rPr>
        <w:t>deadline</w:t>
      </w:r>
      <w:r w:rsidR="00CB7086" w:rsidRPr="00CB7086">
        <w:rPr>
          <w:szCs w:val="22"/>
        </w:rPr>
        <w:t xml:space="preserve"> with the construction </w:t>
      </w:r>
      <w:r w:rsidR="0033227B">
        <w:rPr>
          <w:szCs w:val="22"/>
        </w:rPr>
        <w:t>deadline</w:t>
      </w:r>
      <w:r w:rsidR="00CB7086" w:rsidRPr="00CB7086">
        <w:rPr>
          <w:szCs w:val="22"/>
        </w:rPr>
        <w:t xml:space="preserve"> of other license holdings</w:t>
      </w:r>
      <w:r w:rsidR="00CB7086">
        <w:rPr>
          <w:szCs w:val="22"/>
        </w:rPr>
        <w:t>.</w:t>
      </w:r>
      <w:r w:rsidR="00CB7086">
        <w:rPr>
          <w:rStyle w:val="FootnoteReference"/>
          <w:szCs w:val="22"/>
        </w:rPr>
        <w:footnoteReference w:id="3"/>
      </w:r>
      <w:r w:rsidR="00CB7086" w:rsidRPr="00CB7086">
        <w:rPr>
          <w:szCs w:val="22"/>
        </w:rPr>
        <w:t xml:space="preserve"> </w:t>
      </w:r>
      <w:r w:rsidR="006E57FB" w:rsidRPr="00CB7086">
        <w:rPr>
          <w:szCs w:val="22"/>
        </w:rPr>
        <w:t xml:space="preserve"> </w:t>
      </w:r>
      <w:r w:rsidR="00CB7086">
        <w:rPr>
          <w:szCs w:val="22"/>
        </w:rPr>
        <w:t>For the reason</w:t>
      </w:r>
      <w:r w:rsidR="0033227B">
        <w:rPr>
          <w:szCs w:val="22"/>
        </w:rPr>
        <w:t>s</w:t>
      </w:r>
      <w:r w:rsidR="00CB7086">
        <w:rPr>
          <w:szCs w:val="22"/>
        </w:rPr>
        <w:t xml:space="preserve"> outlined below, w</w:t>
      </w:r>
      <w:r w:rsidR="002E63B5" w:rsidRPr="00CB7086">
        <w:rPr>
          <w:szCs w:val="22"/>
        </w:rPr>
        <w:t xml:space="preserve">e </w:t>
      </w:r>
      <w:r w:rsidR="002E7D84" w:rsidRPr="00CB7086">
        <w:rPr>
          <w:szCs w:val="22"/>
        </w:rPr>
        <w:t xml:space="preserve">deny Environmentel’s </w:t>
      </w:r>
      <w:r w:rsidR="0033227B">
        <w:rPr>
          <w:szCs w:val="22"/>
        </w:rPr>
        <w:t>request</w:t>
      </w:r>
      <w:r w:rsidR="00BC3E52" w:rsidRPr="00CB7086">
        <w:rPr>
          <w:szCs w:val="22"/>
        </w:rPr>
        <w:t xml:space="preserve"> for extension </w:t>
      </w:r>
      <w:r w:rsidR="008878C3">
        <w:rPr>
          <w:szCs w:val="22"/>
        </w:rPr>
        <w:t>and notify Environmentel that its authorization for the subject licenses terminated automatically as of March 19, 2013.</w:t>
      </w:r>
    </w:p>
    <w:p w:rsidR="0010776E" w:rsidRPr="00273B8D" w:rsidRDefault="0010776E" w:rsidP="00495866">
      <w:pPr>
        <w:pStyle w:val="Heading1"/>
        <w:jc w:val="left"/>
        <w:rPr>
          <w:szCs w:val="22"/>
        </w:rPr>
      </w:pPr>
      <w:r w:rsidRPr="00273B8D">
        <w:rPr>
          <w:szCs w:val="22"/>
        </w:rPr>
        <w:t>background</w:t>
      </w:r>
    </w:p>
    <w:p w:rsidR="00C06D21" w:rsidRPr="00273B8D" w:rsidRDefault="000A30CC" w:rsidP="00C06D21">
      <w:pPr>
        <w:pStyle w:val="Caption"/>
        <w:rPr>
          <w:b w:val="0"/>
          <w:szCs w:val="22"/>
        </w:rPr>
      </w:pPr>
      <w:r w:rsidRPr="00273B8D">
        <w:rPr>
          <w:b w:val="0"/>
          <w:szCs w:val="22"/>
        </w:rPr>
        <w:t xml:space="preserve">The </w:t>
      </w:r>
      <w:r w:rsidR="003A3EE9">
        <w:rPr>
          <w:b w:val="0"/>
          <w:szCs w:val="22"/>
        </w:rPr>
        <w:t>l</w:t>
      </w:r>
      <w:r w:rsidRPr="00273B8D">
        <w:rPr>
          <w:b w:val="0"/>
          <w:szCs w:val="22"/>
        </w:rPr>
        <w:t>icenses</w:t>
      </w:r>
      <w:r w:rsidR="003A3EE9">
        <w:rPr>
          <w:b w:val="0"/>
          <w:szCs w:val="22"/>
        </w:rPr>
        <w:t xml:space="preserve"> at issue</w:t>
      </w:r>
      <w:r w:rsidRPr="00273B8D">
        <w:rPr>
          <w:b w:val="0"/>
          <w:szCs w:val="22"/>
        </w:rPr>
        <w:t xml:space="preserve"> </w:t>
      </w:r>
      <w:r w:rsidR="0007472C" w:rsidRPr="00273B8D">
        <w:rPr>
          <w:b w:val="0"/>
          <w:szCs w:val="22"/>
        </w:rPr>
        <w:t xml:space="preserve">were </w:t>
      </w:r>
      <w:r w:rsidRPr="00273B8D">
        <w:rPr>
          <w:b w:val="0"/>
          <w:szCs w:val="22"/>
        </w:rPr>
        <w:t xml:space="preserve">granted </w:t>
      </w:r>
      <w:r w:rsidR="0058242F" w:rsidRPr="00273B8D">
        <w:rPr>
          <w:b w:val="0"/>
          <w:szCs w:val="22"/>
        </w:rPr>
        <w:t xml:space="preserve">in </w:t>
      </w:r>
      <w:r w:rsidR="00CB5C27" w:rsidRPr="00273B8D">
        <w:rPr>
          <w:b w:val="0"/>
          <w:szCs w:val="22"/>
        </w:rPr>
        <w:t>2007</w:t>
      </w:r>
      <w:r w:rsidRPr="00273B8D">
        <w:rPr>
          <w:b w:val="0"/>
          <w:szCs w:val="22"/>
        </w:rPr>
        <w:t xml:space="preserve"> as part of Auction </w:t>
      </w:r>
      <w:r w:rsidR="00E113B2" w:rsidRPr="00273B8D">
        <w:rPr>
          <w:b w:val="0"/>
          <w:szCs w:val="22"/>
        </w:rPr>
        <w:t>72</w:t>
      </w:r>
      <w:r w:rsidRPr="00273B8D">
        <w:rPr>
          <w:b w:val="0"/>
          <w:szCs w:val="22"/>
        </w:rPr>
        <w:t>.</w:t>
      </w:r>
      <w:r w:rsidRPr="00273B8D">
        <w:rPr>
          <w:rStyle w:val="FootnoteReference"/>
          <w:b w:val="0"/>
          <w:szCs w:val="22"/>
        </w:rPr>
        <w:footnoteReference w:id="4"/>
      </w:r>
      <w:r w:rsidRPr="00273B8D">
        <w:rPr>
          <w:b w:val="0"/>
          <w:szCs w:val="22"/>
        </w:rPr>
        <w:t xml:space="preserve">  </w:t>
      </w:r>
      <w:r w:rsidR="002D02ED" w:rsidRPr="00273B8D">
        <w:rPr>
          <w:b w:val="0"/>
          <w:szCs w:val="22"/>
        </w:rPr>
        <w:t xml:space="preserve">Pursuant to </w:t>
      </w:r>
      <w:r w:rsidR="000D448A" w:rsidRPr="00273B8D">
        <w:rPr>
          <w:b w:val="0"/>
          <w:szCs w:val="22"/>
        </w:rPr>
        <w:t>S</w:t>
      </w:r>
      <w:r w:rsidR="00224375" w:rsidRPr="00273B8D">
        <w:rPr>
          <w:b w:val="0"/>
          <w:szCs w:val="22"/>
        </w:rPr>
        <w:t xml:space="preserve">ection 90.767 of the Commission’s rules, an Economic Area (“EA”) or Regional Economic Area Grouping (“REAG”) 220 MHz licensee must construct a sufficient number of base stations for land mobile and/or paging operations to </w:t>
      </w:r>
      <w:r w:rsidR="00FC3627" w:rsidRPr="00273B8D">
        <w:rPr>
          <w:b w:val="0"/>
          <w:szCs w:val="22"/>
        </w:rPr>
        <w:t>“</w:t>
      </w:r>
      <w:r w:rsidR="00224375" w:rsidRPr="00273B8D">
        <w:rPr>
          <w:b w:val="0"/>
          <w:szCs w:val="22"/>
        </w:rPr>
        <w:t xml:space="preserve">provide coverage to at least one-third of the population of its EA or REAG within five years </w:t>
      </w:r>
      <w:r w:rsidR="00224375" w:rsidRPr="00273B8D">
        <w:rPr>
          <w:b w:val="0"/>
          <w:szCs w:val="22"/>
        </w:rPr>
        <w:lastRenderedPageBreak/>
        <w:t>of the issuance of its initial license</w:t>
      </w:r>
      <w:r w:rsidR="00A2018D" w:rsidRPr="00273B8D">
        <w:rPr>
          <w:b w:val="0"/>
          <w:szCs w:val="22"/>
        </w:rPr>
        <w:t xml:space="preserve"> and at least two-thirds of the population of its EA or REAG within ten years of the issuance of its initial license.</w:t>
      </w:r>
      <w:r w:rsidR="00FC3627" w:rsidRPr="00273B8D">
        <w:rPr>
          <w:b w:val="0"/>
          <w:szCs w:val="22"/>
        </w:rPr>
        <w:t>”</w:t>
      </w:r>
      <w:r w:rsidR="00224375" w:rsidRPr="00273B8D">
        <w:rPr>
          <w:rStyle w:val="FootnoteReference"/>
          <w:b w:val="0"/>
          <w:szCs w:val="22"/>
        </w:rPr>
        <w:footnoteReference w:id="5"/>
      </w:r>
      <w:r w:rsidR="00224375" w:rsidRPr="00273B8D">
        <w:rPr>
          <w:b w:val="0"/>
          <w:szCs w:val="22"/>
        </w:rPr>
        <w:t xml:space="preserve">  </w:t>
      </w:r>
      <w:r w:rsidR="00A2018D" w:rsidRPr="00273B8D">
        <w:rPr>
          <w:b w:val="0"/>
          <w:szCs w:val="22"/>
        </w:rPr>
        <w:t>Alternately</w:t>
      </w:r>
      <w:r w:rsidR="00224375" w:rsidRPr="00273B8D">
        <w:rPr>
          <w:b w:val="0"/>
          <w:szCs w:val="22"/>
        </w:rPr>
        <w:t xml:space="preserve">, licensees may provide substantial service to their licensed area at the appropriate five-year </w:t>
      </w:r>
      <w:r w:rsidR="00A2018D" w:rsidRPr="00273B8D">
        <w:rPr>
          <w:b w:val="0"/>
          <w:szCs w:val="22"/>
        </w:rPr>
        <w:t xml:space="preserve">and ten-year </w:t>
      </w:r>
      <w:r w:rsidR="00224375" w:rsidRPr="00273B8D">
        <w:rPr>
          <w:b w:val="0"/>
          <w:szCs w:val="22"/>
        </w:rPr>
        <w:t>benchmark</w:t>
      </w:r>
      <w:r w:rsidR="00A2018D" w:rsidRPr="00273B8D">
        <w:rPr>
          <w:b w:val="0"/>
          <w:szCs w:val="22"/>
        </w:rPr>
        <w:t>s</w:t>
      </w:r>
      <w:r w:rsidR="00224375" w:rsidRPr="00273B8D">
        <w:rPr>
          <w:b w:val="0"/>
          <w:szCs w:val="22"/>
        </w:rPr>
        <w:t>.</w:t>
      </w:r>
      <w:r w:rsidR="00224375" w:rsidRPr="00273B8D">
        <w:rPr>
          <w:rStyle w:val="FootnoteReference"/>
          <w:b w:val="0"/>
          <w:szCs w:val="22"/>
        </w:rPr>
        <w:footnoteReference w:id="6"/>
      </w:r>
      <w:r w:rsidR="00224375" w:rsidRPr="00273B8D">
        <w:rPr>
          <w:b w:val="0"/>
          <w:szCs w:val="22"/>
        </w:rPr>
        <w:t xml:space="preserve">  Further, pursuant to </w:t>
      </w:r>
      <w:r w:rsidR="000D448A" w:rsidRPr="00273B8D">
        <w:rPr>
          <w:b w:val="0"/>
          <w:szCs w:val="22"/>
        </w:rPr>
        <w:t>S</w:t>
      </w:r>
      <w:r w:rsidR="00224375" w:rsidRPr="00273B8D">
        <w:rPr>
          <w:b w:val="0"/>
          <w:szCs w:val="22"/>
        </w:rPr>
        <w:t xml:space="preserve">ection 1.946(c), </w:t>
      </w:r>
      <w:r w:rsidR="00610B8B" w:rsidRPr="00273B8D">
        <w:rPr>
          <w:b w:val="0"/>
          <w:szCs w:val="22"/>
        </w:rPr>
        <w:t>“[</w:t>
      </w:r>
      <w:r w:rsidR="00224375" w:rsidRPr="00273B8D">
        <w:rPr>
          <w:b w:val="0"/>
          <w:szCs w:val="22"/>
        </w:rPr>
        <w:t>i</w:t>
      </w:r>
      <w:r w:rsidR="00610B8B" w:rsidRPr="00273B8D">
        <w:rPr>
          <w:b w:val="0"/>
          <w:szCs w:val="22"/>
        </w:rPr>
        <w:t>]</w:t>
      </w:r>
      <w:r w:rsidR="00224375" w:rsidRPr="00273B8D">
        <w:rPr>
          <w:b w:val="0"/>
          <w:szCs w:val="22"/>
        </w:rPr>
        <w:t>f a licensee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w:t>
      </w:r>
      <w:r w:rsidR="00610B8B" w:rsidRPr="00273B8D">
        <w:rPr>
          <w:b w:val="0"/>
          <w:szCs w:val="22"/>
        </w:rPr>
        <w:t>”</w:t>
      </w:r>
      <w:r w:rsidR="00224375" w:rsidRPr="00273B8D">
        <w:rPr>
          <w:rStyle w:val="FootnoteReference"/>
          <w:b w:val="0"/>
          <w:szCs w:val="22"/>
        </w:rPr>
        <w:footnoteReference w:id="7"/>
      </w:r>
    </w:p>
    <w:p w:rsidR="009E23EE" w:rsidRPr="00747294" w:rsidRDefault="004E2D66" w:rsidP="009E23EE">
      <w:pPr>
        <w:pStyle w:val="Caption"/>
        <w:rPr>
          <w:b w:val="0"/>
        </w:rPr>
      </w:pPr>
      <w:r w:rsidRPr="009E23EE">
        <w:rPr>
          <w:b w:val="0"/>
          <w:szCs w:val="22"/>
        </w:rPr>
        <w:t xml:space="preserve">On </w:t>
      </w:r>
      <w:r w:rsidR="0042388E" w:rsidRPr="009E23EE">
        <w:rPr>
          <w:b w:val="0"/>
          <w:szCs w:val="22"/>
        </w:rPr>
        <w:t xml:space="preserve">March 19, 2013, </w:t>
      </w:r>
      <w:r w:rsidR="004B32A2" w:rsidRPr="009E23EE">
        <w:rPr>
          <w:b w:val="0"/>
          <w:szCs w:val="22"/>
        </w:rPr>
        <w:t>Environment</w:t>
      </w:r>
      <w:r w:rsidR="006D7D49" w:rsidRPr="009E23EE">
        <w:rPr>
          <w:b w:val="0"/>
          <w:szCs w:val="22"/>
        </w:rPr>
        <w:t>e</w:t>
      </w:r>
      <w:r w:rsidR="004B32A2" w:rsidRPr="009E23EE">
        <w:rPr>
          <w:b w:val="0"/>
          <w:szCs w:val="22"/>
        </w:rPr>
        <w:t>l</w:t>
      </w:r>
      <w:r w:rsidR="00205614" w:rsidRPr="009E23EE">
        <w:rPr>
          <w:b w:val="0"/>
          <w:szCs w:val="22"/>
        </w:rPr>
        <w:t xml:space="preserve"> </w:t>
      </w:r>
      <w:r w:rsidR="00635A2C" w:rsidRPr="009E23EE">
        <w:rPr>
          <w:b w:val="0"/>
          <w:szCs w:val="22"/>
        </w:rPr>
        <w:t>f</w:t>
      </w:r>
      <w:r w:rsidR="00B8689C" w:rsidRPr="009E23EE">
        <w:rPr>
          <w:b w:val="0"/>
          <w:szCs w:val="22"/>
        </w:rPr>
        <w:t xml:space="preserve">iled requests for extension </w:t>
      </w:r>
      <w:r w:rsidRPr="009E23EE">
        <w:rPr>
          <w:b w:val="0"/>
          <w:szCs w:val="22"/>
        </w:rPr>
        <w:t xml:space="preserve">of the five-year construction deadline </w:t>
      </w:r>
      <w:r w:rsidR="00F241CB" w:rsidRPr="009E23EE">
        <w:rPr>
          <w:b w:val="0"/>
          <w:szCs w:val="22"/>
        </w:rPr>
        <w:t xml:space="preserve">set forth in </w:t>
      </w:r>
      <w:r w:rsidR="000D448A" w:rsidRPr="009E23EE">
        <w:rPr>
          <w:b w:val="0"/>
          <w:szCs w:val="22"/>
        </w:rPr>
        <w:t>S</w:t>
      </w:r>
      <w:r w:rsidR="00F241CB" w:rsidRPr="009E23EE">
        <w:rPr>
          <w:b w:val="0"/>
          <w:szCs w:val="22"/>
        </w:rPr>
        <w:t>ection 90.767(a) of the Commission’s rules</w:t>
      </w:r>
      <w:r w:rsidR="00F241CB" w:rsidRPr="00273B8D">
        <w:rPr>
          <w:rStyle w:val="FootnoteReference"/>
          <w:b w:val="0"/>
          <w:szCs w:val="22"/>
        </w:rPr>
        <w:footnoteReference w:id="8"/>
      </w:r>
      <w:r w:rsidR="00F241CB" w:rsidRPr="009E23EE">
        <w:rPr>
          <w:b w:val="0"/>
          <w:szCs w:val="22"/>
        </w:rPr>
        <w:t xml:space="preserve"> </w:t>
      </w:r>
      <w:r w:rsidRPr="009E23EE">
        <w:rPr>
          <w:b w:val="0"/>
          <w:szCs w:val="22"/>
        </w:rPr>
        <w:t>for</w:t>
      </w:r>
      <w:r w:rsidR="00205614" w:rsidRPr="009E23EE">
        <w:rPr>
          <w:b w:val="0"/>
          <w:szCs w:val="22"/>
        </w:rPr>
        <w:t xml:space="preserve"> </w:t>
      </w:r>
      <w:r w:rsidR="003A3EE9" w:rsidRPr="009E23EE">
        <w:rPr>
          <w:b w:val="0"/>
          <w:szCs w:val="22"/>
        </w:rPr>
        <w:t>its</w:t>
      </w:r>
      <w:r w:rsidR="004B32A2" w:rsidRPr="009E23EE">
        <w:rPr>
          <w:b w:val="0"/>
          <w:szCs w:val="22"/>
        </w:rPr>
        <w:t xml:space="preserve"> </w:t>
      </w:r>
      <w:r w:rsidR="003A3EE9" w:rsidRPr="009E23EE">
        <w:rPr>
          <w:b w:val="0"/>
          <w:szCs w:val="22"/>
        </w:rPr>
        <w:t>l</w:t>
      </w:r>
      <w:r w:rsidR="00C1695B" w:rsidRPr="009E23EE">
        <w:rPr>
          <w:b w:val="0"/>
          <w:szCs w:val="22"/>
        </w:rPr>
        <w:t>icenses</w:t>
      </w:r>
      <w:r w:rsidR="00FC48FB" w:rsidRPr="009E23EE">
        <w:rPr>
          <w:b w:val="0"/>
          <w:szCs w:val="22"/>
        </w:rPr>
        <w:t xml:space="preserve"> (“Extension Request”)</w:t>
      </w:r>
      <w:r w:rsidRPr="009E23EE">
        <w:rPr>
          <w:b w:val="0"/>
          <w:szCs w:val="22"/>
        </w:rPr>
        <w:t>.</w:t>
      </w:r>
      <w:r w:rsidR="006C051E" w:rsidRPr="00FC48FB">
        <w:rPr>
          <w:rStyle w:val="FootnoteReference"/>
          <w:b w:val="0"/>
          <w:szCs w:val="22"/>
        </w:rPr>
        <w:footnoteReference w:id="9"/>
      </w:r>
      <w:r w:rsidR="006D1BF4" w:rsidRPr="009E23EE">
        <w:rPr>
          <w:b w:val="0"/>
          <w:szCs w:val="22"/>
        </w:rPr>
        <w:t xml:space="preserve">  Environmentel seeks an extension of the </w:t>
      </w:r>
      <w:r w:rsidR="003A3EE9" w:rsidRPr="009E23EE">
        <w:rPr>
          <w:b w:val="0"/>
          <w:szCs w:val="22"/>
        </w:rPr>
        <w:t>l</w:t>
      </w:r>
      <w:r w:rsidR="006D1BF4" w:rsidRPr="009E23EE">
        <w:rPr>
          <w:b w:val="0"/>
          <w:szCs w:val="22"/>
        </w:rPr>
        <w:t>icenses’ five-year construction deadline until December 29, 2016,</w:t>
      </w:r>
      <w:r w:rsidR="005E07B6" w:rsidRPr="00273B8D">
        <w:rPr>
          <w:rStyle w:val="FootnoteReference"/>
          <w:b w:val="0"/>
          <w:szCs w:val="22"/>
        </w:rPr>
        <w:footnoteReference w:id="10"/>
      </w:r>
      <w:r w:rsidR="006D1BF4" w:rsidRPr="009E23EE">
        <w:rPr>
          <w:b w:val="0"/>
          <w:szCs w:val="22"/>
        </w:rPr>
        <w:t xml:space="preserve"> which is the construc</w:t>
      </w:r>
      <w:r w:rsidR="00BB27CF" w:rsidRPr="009E23EE">
        <w:rPr>
          <w:b w:val="0"/>
          <w:szCs w:val="22"/>
        </w:rPr>
        <w:t xml:space="preserve">tion deadline for the Automated Maritime Telecommunications System </w:t>
      </w:r>
      <w:r w:rsidR="00BF6B83" w:rsidRPr="009E23EE">
        <w:rPr>
          <w:b w:val="0"/>
          <w:szCs w:val="22"/>
        </w:rPr>
        <w:t>(</w:t>
      </w:r>
      <w:r w:rsidR="0025427C" w:rsidRPr="009E23EE">
        <w:rPr>
          <w:b w:val="0"/>
          <w:szCs w:val="22"/>
        </w:rPr>
        <w:t>“</w:t>
      </w:r>
      <w:r w:rsidR="00BF6B83" w:rsidRPr="009E23EE">
        <w:rPr>
          <w:b w:val="0"/>
          <w:szCs w:val="22"/>
        </w:rPr>
        <w:t>AMTS</w:t>
      </w:r>
      <w:r w:rsidR="0025427C" w:rsidRPr="009E23EE">
        <w:rPr>
          <w:b w:val="0"/>
          <w:szCs w:val="22"/>
        </w:rPr>
        <w:t>”</w:t>
      </w:r>
      <w:r w:rsidR="00BF6B83" w:rsidRPr="009E23EE">
        <w:rPr>
          <w:b w:val="0"/>
          <w:szCs w:val="22"/>
        </w:rPr>
        <w:t xml:space="preserve">) </w:t>
      </w:r>
      <w:r w:rsidR="00BB27CF" w:rsidRPr="009E23EE">
        <w:rPr>
          <w:b w:val="0"/>
          <w:szCs w:val="22"/>
        </w:rPr>
        <w:t xml:space="preserve">licenses </w:t>
      </w:r>
      <w:r w:rsidR="00011B94" w:rsidRPr="009E23EE">
        <w:rPr>
          <w:b w:val="0"/>
          <w:szCs w:val="22"/>
        </w:rPr>
        <w:t xml:space="preserve">Environmentel and </w:t>
      </w:r>
      <w:r w:rsidR="005720D1" w:rsidRPr="009E23EE">
        <w:rPr>
          <w:b w:val="0"/>
          <w:szCs w:val="22"/>
        </w:rPr>
        <w:t>Intelligent Transportation &amp; Monitoring Wireless LLC (“ITL”)</w:t>
      </w:r>
      <w:r w:rsidR="00011B94" w:rsidRPr="009E23EE">
        <w:rPr>
          <w:b w:val="0"/>
          <w:szCs w:val="22"/>
        </w:rPr>
        <w:t xml:space="preserve"> won in Auction 61</w:t>
      </w:r>
      <w:r w:rsidR="006D1BF4" w:rsidRPr="009E23EE">
        <w:rPr>
          <w:b w:val="0"/>
          <w:szCs w:val="22"/>
        </w:rPr>
        <w:t>.</w:t>
      </w:r>
      <w:r w:rsidR="00E767CB" w:rsidRPr="00273B8D">
        <w:rPr>
          <w:rStyle w:val="FootnoteReference"/>
          <w:b w:val="0"/>
          <w:szCs w:val="22"/>
        </w:rPr>
        <w:footnoteReference w:id="11"/>
      </w:r>
      <w:r w:rsidR="009E23EE" w:rsidRPr="009E23EE">
        <w:rPr>
          <w:b w:val="0"/>
          <w:szCs w:val="22"/>
        </w:rPr>
        <w:t xml:space="preserve">  </w:t>
      </w:r>
      <w:r w:rsidR="009E23EE" w:rsidRPr="00747294">
        <w:rPr>
          <w:b w:val="0"/>
        </w:rPr>
        <w:t>Environmentel argues that it requires the extension of its five-year deadline so that it can implement a joint business plan (along with Telesaurus VPC, LLC (“Telesaurus”), Verde Systems, LLC (“Verde”), ITL, V2G LLC (“V2G”), and Skybridge Spectrum Foundation (“Skybridge”))</w:t>
      </w:r>
      <w:r w:rsidR="009E23EE" w:rsidRPr="00747294">
        <w:rPr>
          <w:b w:val="0"/>
          <w:vertAlign w:val="superscript"/>
        </w:rPr>
        <w:footnoteReference w:id="12"/>
      </w:r>
      <w:r w:rsidR="009E23EE" w:rsidRPr="00747294">
        <w:rPr>
          <w:b w:val="0"/>
        </w:rPr>
        <w:t xml:space="preserve"> that repre</w:t>
      </w:r>
      <w:r w:rsidR="0033227B">
        <w:rPr>
          <w:b w:val="0"/>
        </w:rPr>
        <w:t>sents the highest and best use o</w:t>
      </w:r>
      <w:r w:rsidR="009E23EE" w:rsidRPr="00747294">
        <w:rPr>
          <w:b w:val="0"/>
        </w:rPr>
        <w:t>f the spectrum.</w:t>
      </w:r>
      <w:r w:rsidR="009E23EE" w:rsidRPr="009E23EE">
        <w:rPr>
          <w:rStyle w:val="FootnoteReference"/>
          <w:b w:val="0"/>
          <w:szCs w:val="22"/>
        </w:rPr>
        <w:footnoteReference w:id="13"/>
      </w:r>
      <w:r w:rsidR="009E23EE" w:rsidRPr="00747294">
        <w:rPr>
          <w:b w:val="0"/>
        </w:rPr>
        <w:t xml:space="preserve">  Environmentel states that this joint plan has taken years to develop and will require until the date requested in the Extension Request for commencement of on-air systems.</w:t>
      </w:r>
      <w:r w:rsidR="009E23EE" w:rsidRPr="009E23EE">
        <w:rPr>
          <w:rStyle w:val="FootnoteReference"/>
          <w:b w:val="0"/>
          <w:szCs w:val="22"/>
        </w:rPr>
        <w:footnoteReference w:id="14"/>
      </w:r>
      <w:r w:rsidR="009E23EE" w:rsidRPr="00747294">
        <w:rPr>
          <w:b w:val="0"/>
        </w:rPr>
        <w:t xml:space="preserve">  Environmentel also argues that the equipment needed to implement this plan only recently has become available.</w:t>
      </w:r>
      <w:r w:rsidR="009E23EE" w:rsidRPr="009E23EE">
        <w:rPr>
          <w:rStyle w:val="FootnoteReference"/>
          <w:b w:val="0"/>
          <w:szCs w:val="22"/>
        </w:rPr>
        <w:footnoteReference w:id="15"/>
      </w:r>
      <w:r w:rsidR="009E23EE" w:rsidRPr="00747294">
        <w:rPr>
          <w:b w:val="0"/>
        </w:rPr>
        <w:t xml:space="preserve">  In addition, Environmentel asks that special consideration be given to the fact that it plans to assign a significant portion of its spectrum to Skybridge, “a non-profit, public benefit foundation,” arguing that the transfer would be in the public interest.</w:t>
      </w:r>
      <w:r w:rsidR="009E23EE" w:rsidRPr="009E23EE">
        <w:rPr>
          <w:rStyle w:val="FootnoteReference"/>
          <w:b w:val="0"/>
          <w:szCs w:val="22"/>
        </w:rPr>
        <w:footnoteReference w:id="16"/>
      </w:r>
    </w:p>
    <w:p w:rsidR="0010776E" w:rsidRPr="00273B8D" w:rsidRDefault="0010776E" w:rsidP="00495866">
      <w:pPr>
        <w:pStyle w:val="Heading1"/>
        <w:jc w:val="left"/>
        <w:rPr>
          <w:szCs w:val="22"/>
        </w:rPr>
      </w:pPr>
      <w:r w:rsidRPr="00273B8D">
        <w:rPr>
          <w:szCs w:val="22"/>
        </w:rPr>
        <w:t>discussion</w:t>
      </w:r>
    </w:p>
    <w:p w:rsidR="0010776E" w:rsidRPr="008F4B64" w:rsidRDefault="003A3EE9" w:rsidP="008E1F90">
      <w:pPr>
        <w:pStyle w:val="Caption"/>
        <w:ind w:firstLine="630"/>
        <w:rPr>
          <w:b w:val="0"/>
          <w:szCs w:val="22"/>
        </w:rPr>
      </w:pPr>
      <w:r w:rsidRPr="008F4B64">
        <w:rPr>
          <w:b w:val="0"/>
          <w:szCs w:val="22"/>
        </w:rPr>
        <w:t>Under Section 1.946(e) of the Commission’s rules, an extension of time to complete construction “may be granted if the licensee shows that the failure to meet the construction or coverage deadline is due to involuntary loss of site or other causes beyond its control.”</w:t>
      </w:r>
      <w:r w:rsidRPr="008F4B64">
        <w:rPr>
          <w:rStyle w:val="FootnoteReference"/>
          <w:b w:val="0"/>
          <w:szCs w:val="22"/>
        </w:rPr>
        <w:footnoteReference w:id="17"/>
      </w:r>
      <w:r w:rsidRPr="008F4B64">
        <w:rPr>
          <w:b w:val="0"/>
          <w:szCs w:val="22"/>
        </w:rPr>
        <w:t xml:space="preserve">  Section 1.946 also lists specific circumstances where extension requests will not be granted, including delays caused by a failure to obtain financing, because the license undergoes a transfer of control, or because the licensee fails to order equipment in a timely manner.</w:t>
      </w:r>
      <w:r w:rsidRPr="008F4B64">
        <w:rPr>
          <w:rStyle w:val="FootnoteReference"/>
          <w:b w:val="0"/>
          <w:szCs w:val="22"/>
        </w:rPr>
        <w:footnoteReference w:id="18"/>
      </w:r>
      <w:r w:rsidRPr="008F4B64">
        <w:rPr>
          <w:b w:val="0"/>
          <w:szCs w:val="22"/>
        </w:rPr>
        <w:t xml:space="preserve">  The applicable extension standard must be considered in conjunction with Section 309(j) of the Communications Act, as amended, which states that the Commission shall include performance requirements to ensure prompt delivery of services, to prevent stockpiling and warehousing of spectrum by licensees, and to promote investment and deployment of new technologies and services.</w:t>
      </w:r>
      <w:r w:rsidRPr="008F4B64">
        <w:rPr>
          <w:rStyle w:val="FootnoteReference"/>
          <w:b w:val="0"/>
          <w:szCs w:val="22"/>
        </w:rPr>
        <w:footnoteReference w:id="19"/>
      </w:r>
      <w:r w:rsidRPr="008F4B64">
        <w:rPr>
          <w:b w:val="0"/>
          <w:szCs w:val="22"/>
        </w:rPr>
        <w:t xml:space="preserve"> </w:t>
      </w:r>
    </w:p>
    <w:p w:rsidR="008E1F90" w:rsidRPr="00064D05" w:rsidRDefault="008E1F90" w:rsidP="005C5F1E">
      <w:pPr>
        <w:rPr>
          <w:b/>
          <w:szCs w:val="22"/>
        </w:rPr>
      </w:pPr>
    </w:p>
    <w:p w:rsidR="00A41B03" w:rsidRPr="00064D05" w:rsidRDefault="00A41B03" w:rsidP="00495866">
      <w:pPr>
        <w:pStyle w:val="Heading2"/>
        <w:jc w:val="left"/>
        <w:rPr>
          <w:szCs w:val="22"/>
        </w:rPr>
      </w:pPr>
      <w:r w:rsidRPr="00064D05">
        <w:rPr>
          <w:szCs w:val="22"/>
        </w:rPr>
        <w:t>Extension of All Construction Deadlines</w:t>
      </w:r>
    </w:p>
    <w:p w:rsidR="00EC7D54" w:rsidRDefault="009E23EE" w:rsidP="00FD33CB">
      <w:pPr>
        <w:pStyle w:val="Caption"/>
        <w:rPr>
          <w:b w:val="0"/>
          <w:szCs w:val="22"/>
        </w:rPr>
      </w:pPr>
      <w:r w:rsidRPr="008F4B64">
        <w:rPr>
          <w:b w:val="0"/>
          <w:szCs w:val="22"/>
        </w:rPr>
        <w:t>As discussed below, after careful review of the record and considering all of the relevant circumstances, we deny Environmentel’s Extension Request.</w:t>
      </w:r>
      <w:r>
        <w:rPr>
          <w:szCs w:val="22"/>
        </w:rPr>
        <w:t xml:space="preserve">  </w:t>
      </w:r>
      <w:r w:rsidRPr="00A953FC">
        <w:rPr>
          <w:b w:val="0"/>
          <w:szCs w:val="22"/>
        </w:rPr>
        <w:t>Specifically, w</w:t>
      </w:r>
      <w:r w:rsidR="009C4B5A" w:rsidRPr="00A953FC">
        <w:rPr>
          <w:b w:val="0"/>
          <w:szCs w:val="22"/>
        </w:rPr>
        <w:t>e</w:t>
      </w:r>
      <w:r w:rsidR="009C4B5A">
        <w:rPr>
          <w:b w:val="0"/>
          <w:szCs w:val="22"/>
        </w:rPr>
        <w:t xml:space="preserve"> find that </w:t>
      </w:r>
      <w:r w:rsidR="009A77C7">
        <w:rPr>
          <w:b w:val="0"/>
          <w:szCs w:val="22"/>
        </w:rPr>
        <w:t>Environmentel</w:t>
      </w:r>
      <w:r w:rsidR="00EC7D54">
        <w:rPr>
          <w:b w:val="0"/>
          <w:szCs w:val="22"/>
        </w:rPr>
        <w:t xml:space="preserve"> has not demonstrated that an extension </w:t>
      </w:r>
      <w:r w:rsidR="00FC7159">
        <w:rPr>
          <w:b w:val="0"/>
          <w:szCs w:val="22"/>
        </w:rPr>
        <w:t xml:space="preserve">of time to construct </w:t>
      </w:r>
      <w:r w:rsidR="00EC7D54">
        <w:rPr>
          <w:b w:val="0"/>
          <w:szCs w:val="22"/>
        </w:rPr>
        <w:t>is warranted or in the public interest.</w:t>
      </w:r>
      <w:r w:rsidR="00EC7D54" w:rsidRPr="00273B8D">
        <w:rPr>
          <w:b w:val="0"/>
          <w:szCs w:val="22"/>
        </w:rPr>
        <w:t xml:space="preserve">  Rather, </w:t>
      </w:r>
      <w:r w:rsidR="00EC7D54">
        <w:rPr>
          <w:b w:val="0"/>
          <w:szCs w:val="22"/>
        </w:rPr>
        <w:t xml:space="preserve">we find that </w:t>
      </w:r>
      <w:r w:rsidR="00EC7D54" w:rsidRPr="00273B8D">
        <w:rPr>
          <w:b w:val="0"/>
          <w:szCs w:val="22"/>
        </w:rPr>
        <w:t>Environmentel</w:t>
      </w:r>
      <w:r w:rsidR="00EC7D54">
        <w:rPr>
          <w:b w:val="0"/>
          <w:szCs w:val="22"/>
        </w:rPr>
        <w:t>’s failure to meet its construction obligation</w:t>
      </w:r>
      <w:r w:rsidR="006D603C">
        <w:rPr>
          <w:b w:val="0"/>
          <w:szCs w:val="22"/>
        </w:rPr>
        <w:t>s</w:t>
      </w:r>
      <w:r w:rsidR="00EC7D54">
        <w:rPr>
          <w:b w:val="0"/>
          <w:szCs w:val="22"/>
        </w:rPr>
        <w:t xml:space="preserve"> is due to</w:t>
      </w:r>
      <w:r w:rsidR="00EC7D54" w:rsidRPr="00273B8D">
        <w:rPr>
          <w:b w:val="0"/>
          <w:szCs w:val="22"/>
        </w:rPr>
        <w:t xml:space="preserve"> voluntarily </w:t>
      </w:r>
      <w:r w:rsidR="00EC7D54">
        <w:rPr>
          <w:b w:val="0"/>
          <w:szCs w:val="22"/>
        </w:rPr>
        <w:t>decision</w:t>
      </w:r>
      <w:r w:rsidR="006D603C">
        <w:rPr>
          <w:b w:val="0"/>
          <w:szCs w:val="22"/>
        </w:rPr>
        <w:t xml:space="preserve">s to </w:t>
      </w:r>
      <w:r w:rsidR="00BD6A2C">
        <w:rPr>
          <w:b w:val="0"/>
          <w:szCs w:val="22"/>
        </w:rPr>
        <w:t>pursue a business plan based up</w:t>
      </w:r>
      <w:r w:rsidR="00AE72EE">
        <w:rPr>
          <w:b w:val="0"/>
          <w:szCs w:val="22"/>
        </w:rPr>
        <w:t>on</w:t>
      </w:r>
      <w:r w:rsidR="00946B2E">
        <w:rPr>
          <w:b w:val="0"/>
          <w:szCs w:val="22"/>
        </w:rPr>
        <w:t xml:space="preserve"> unsupported technology </w:t>
      </w:r>
      <w:r w:rsidR="00EC7D54">
        <w:rPr>
          <w:b w:val="0"/>
          <w:szCs w:val="22"/>
        </w:rPr>
        <w:t xml:space="preserve">instead of obtaining equipment and meeting its obligations as intended under the Commission’s rules.  </w:t>
      </w:r>
      <w:r w:rsidR="00EC7D54" w:rsidRPr="00273B8D">
        <w:rPr>
          <w:b w:val="0"/>
          <w:szCs w:val="22"/>
        </w:rPr>
        <w:t xml:space="preserve">We find that the arguments raised by Environmentel do not justify </w:t>
      </w:r>
      <w:r w:rsidR="00EC7D54">
        <w:rPr>
          <w:b w:val="0"/>
          <w:szCs w:val="22"/>
        </w:rPr>
        <w:t xml:space="preserve">an </w:t>
      </w:r>
      <w:r w:rsidR="00EC7D54" w:rsidRPr="00273B8D">
        <w:rPr>
          <w:b w:val="0"/>
          <w:szCs w:val="22"/>
        </w:rPr>
        <w:t xml:space="preserve">extension of the construction deadline for </w:t>
      </w:r>
      <w:r w:rsidR="00EC7D54">
        <w:rPr>
          <w:b w:val="0"/>
          <w:szCs w:val="22"/>
        </w:rPr>
        <w:t>its</w:t>
      </w:r>
      <w:r w:rsidR="00EC7D54" w:rsidRPr="00273B8D">
        <w:rPr>
          <w:b w:val="0"/>
          <w:szCs w:val="22"/>
        </w:rPr>
        <w:t xml:space="preserve"> </w:t>
      </w:r>
      <w:r w:rsidR="00EC7D54">
        <w:rPr>
          <w:b w:val="0"/>
          <w:szCs w:val="22"/>
        </w:rPr>
        <w:t>l</w:t>
      </w:r>
      <w:r w:rsidR="00EC7D54" w:rsidRPr="00273B8D">
        <w:rPr>
          <w:b w:val="0"/>
          <w:szCs w:val="22"/>
        </w:rPr>
        <w:t>icenses</w:t>
      </w:r>
      <w:r w:rsidR="00EC7D54">
        <w:rPr>
          <w:b w:val="0"/>
          <w:szCs w:val="22"/>
        </w:rPr>
        <w:t xml:space="preserve">, and </w:t>
      </w:r>
      <w:r w:rsidR="00EC7D54" w:rsidRPr="00273B8D">
        <w:rPr>
          <w:b w:val="0"/>
          <w:szCs w:val="22"/>
        </w:rPr>
        <w:t>we believe that granting the Extension Request would undermine the fundamental goals of the Commission’s performance requirements, specifically the promotion and rapid deployment of services to the public and the prev</w:t>
      </w:r>
      <w:r w:rsidR="00072D39">
        <w:rPr>
          <w:b w:val="0"/>
          <w:szCs w:val="22"/>
        </w:rPr>
        <w:t>ention of spectrum warehousing.</w:t>
      </w:r>
      <w:r w:rsidR="00072D39" w:rsidRPr="00064D05">
        <w:rPr>
          <w:rStyle w:val="FootnoteReference"/>
          <w:b w:val="0"/>
          <w:szCs w:val="22"/>
        </w:rPr>
        <w:footnoteReference w:id="20"/>
      </w:r>
    </w:p>
    <w:p w:rsidR="00FD33CB" w:rsidRDefault="009E2B80" w:rsidP="00FD33CB">
      <w:pPr>
        <w:pStyle w:val="Caption"/>
        <w:rPr>
          <w:b w:val="0"/>
          <w:szCs w:val="22"/>
        </w:rPr>
      </w:pPr>
      <w:r>
        <w:rPr>
          <w:b w:val="0"/>
          <w:szCs w:val="22"/>
        </w:rPr>
        <w:t>As an initial matter, w</w:t>
      </w:r>
      <w:r w:rsidR="00001445">
        <w:rPr>
          <w:b w:val="0"/>
          <w:szCs w:val="22"/>
        </w:rPr>
        <w:t xml:space="preserve">e find that Environmentel has failed </w:t>
      </w:r>
      <w:r>
        <w:rPr>
          <w:b w:val="0"/>
          <w:szCs w:val="22"/>
        </w:rPr>
        <w:t>to</w:t>
      </w:r>
      <w:r w:rsidR="00FF4225" w:rsidRPr="00273B8D">
        <w:rPr>
          <w:b w:val="0"/>
          <w:szCs w:val="22"/>
        </w:rPr>
        <w:t xml:space="preserve"> meet the requirements of Section 1.946(e), which requires licensees to show that the “failure to meet the construction or coverage deadline is due to involuntary loss of site or other causes beyond the licensee’s control</w:t>
      </w:r>
      <w:r w:rsidR="00FD33CB">
        <w:rPr>
          <w:b w:val="0"/>
          <w:szCs w:val="22"/>
        </w:rPr>
        <w:t>.</w:t>
      </w:r>
      <w:r w:rsidR="00FF4225" w:rsidRPr="00273B8D">
        <w:rPr>
          <w:b w:val="0"/>
          <w:szCs w:val="22"/>
        </w:rPr>
        <w:t>”</w:t>
      </w:r>
      <w:r w:rsidR="00FF4225" w:rsidRPr="00273B8D">
        <w:rPr>
          <w:b w:val="0"/>
          <w:szCs w:val="22"/>
          <w:vertAlign w:val="superscript"/>
        </w:rPr>
        <w:footnoteReference w:id="21"/>
      </w:r>
      <w:r w:rsidR="00001445">
        <w:rPr>
          <w:b w:val="0"/>
          <w:szCs w:val="22"/>
        </w:rPr>
        <w:t xml:space="preserve"> </w:t>
      </w:r>
      <w:r w:rsidR="00FD33CB">
        <w:rPr>
          <w:b w:val="0"/>
          <w:szCs w:val="22"/>
        </w:rPr>
        <w:t xml:space="preserve"> In fact, </w:t>
      </w:r>
      <w:r w:rsidR="00FD33CB" w:rsidRPr="008E1F90">
        <w:rPr>
          <w:b w:val="0"/>
          <w:szCs w:val="22"/>
        </w:rPr>
        <w:t xml:space="preserve">Environmentel </w:t>
      </w:r>
      <w:r w:rsidR="00FD33CB">
        <w:rPr>
          <w:b w:val="0"/>
          <w:szCs w:val="22"/>
        </w:rPr>
        <w:t xml:space="preserve">fails to even address the extension </w:t>
      </w:r>
      <w:r w:rsidR="009A77C7">
        <w:rPr>
          <w:b w:val="0"/>
          <w:szCs w:val="22"/>
        </w:rPr>
        <w:t xml:space="preserve">standard </w:t>
      </w:r>
      <w:r w:rsidR="0093290B">
        <w:rPr>
          <w:b w:val="0"/>
          <w:szCs w:val="22"/>
        </w:rPr>
        <w:t>specified</w:t>
      </w:r>
      <w:r w:rsidR="00FD33CB" w:rsidRPr="008E1F90">
        <w:rPr>
          <w:b w:val="0"/>
          <w:szCs w:val="22"/>
        </w:rPr>
        <w:t xml:space="preserve"> in the Commission’s rules and instead creates its own criteria by which it believes its licenses should be granted relief of their regulatory obligations.</w:t>
      </w:r>
      <w:r w:rsidR="00FD33CB">
        <w:rPr>
          <w:rStyle w:val="FootnoteReference"/>
          <w:b w:val="0"/>
          <w:szCs w:val="22"/>
        </w:rPr>
        <w:footnoteReference w:id="22"/>
      </w:r>
      <w:r w:rsidR="00FD33CB" w:rsidRPr="008E1F90">
        <w:rPr>
          <w:b w:val="0"/>
          <w:szCs w:val="22"/>
        </w:rPr>
        <w:t xml:space="preserve">  </w:t>
      </w:r>
      <w:r w:rsidR="00276652">
        <w:rPr>
          <w:b w:val="0"/>
          <w:szCs w:val="22"/>
        </w:rPr>
        <w:t>Additio</w:t>
      </w:r>
      <w:r w:rsidR="006D603C">
        <w:rPr>
          <w:b w:val="0"/>
          <w:szCs w:val="22"/>
        </w:rPr>
        <w:t>nally, Environmentel’s argument that it could not procure its desired equipment is</w:t>
      </w:r>
      <w:r w:rsidR="00FD33CB" w:rsidRPr="008E1F90">
        <w:rPr>
          <w:b w:val="0"/>
          <w:szCs w:val="22"/>
        </w:rPr>
        <w:t xml:space="preserve"> </w:t>
      </w:r>
      <w:r w:rsidR="00276652">
        <w:rPr>
          <w:b w:val="0"/>
          <w:szCs w:val="22"/>
        </w:rPr>
        <w:t>the epitome</w:t>
      </w:r>
      <w:r w:rsidR="00276652" w:rsidRPr="008E1F90">
        <w:rPr>
          <w:b w:val="0"/>
          <w:szCs w:val="22"/>
        </w:rPr>
        <w:t xml:space="preserve"> of the </w:t>
      </w:r>
      <w:r w:rsidR="00633A75">
        <w:rPr>
          <w:b w:val="0"/>
          <w:szCs w:val="22"/>
        </w:rPr>
        <w:t xml:space="preserve">excluded </w:t>
      </w:r>
      <w:r w:rsidR="00276652" w:rsidRPr="008E1F90">
        <w:rPr>
          <w:b w:val="0"/>
          <w:szCs w:val="22"/>
        </w:rPr>
        <w:t xml:space="preserve">circumstances </w:t>
      </w:r>
      <w:r w:rsidR="00633A75">
        <w:rPr>
          <w:b w:val="0"/>
          <w:szCs w:val="22"/>
        </w:rPr>
        <w:t>in</w:t>
      </w:r>
      <w:r w:rsidR="00B02D90">
        <w:rPr>
          <w:b w:val="0"/>
          <w:szCs w:val="22"/>
        </w:rPr>
        <w:t xml:space="preserve"> Section 1.946(e), </w:t>
      </w:r>
      <w:r w:rsidR="00276652" w:rsidRPr="008E1F90">
        <w:rPr>
          <w:b w:val="0"/>
          <w:szCs w:val="22"/>
        </w:rPr>
        <w:t>namely because the licensee fails to order equipment in a timely manner.</w:t>
      </w:r>
      <w:r w:rsidR="0093290B" w:rsidRPr="00064D05">
        <w:rPr>
          <w:rStyle w:val="FootnoteReference"/>
          <w:b w:val="0"/>
          <w:szCs w:val="22"/>
        </w:rPr>
        <w:footnoteReference w:id="23"/>
      </w:r>
    </w:p>
    <w:p w:rsidR="00FD33CB" w:rsidRPr="00AC0416" w:rsidRDefault="00FD33CB" w:rsidP="00AC0416">
      <w:pPr>
        <w:pStyle w:val="Caption"/>
        <w:rPr>
          <w:b w:val="0"/>
          <w:szCs w:val="22"/>
        </w:rPr>
      </w:pPr>
      <w:r w:rsidRPr="008E1F90">
        <w:rPr>
          <w:b w:val="0"/>
          <w:szCs w:val="22"/>
        </w:rPr>
        <w:t>In particular, Environmental conte</w:t>
      </w:r>
      <w:r>
        <w:rPr>
          <w:b w:val="0"/>
          <w:szCs w:val="22"/>
        </w:rPr>
        <w:t>nds that it merits a 45-</w:t>
      </w:r>
      <w:r w:rsidRPr="008E1F90">
        <w:rPr>
          <w:b w:val="0"/>
          <w:szCs w:val="22"/>
        </w:rPr>
        <w:t>month extension to implement an “LTE-like technology (OFMD, cognitive radio based, multi-band, with multiple-channel aggregation, smart antennas, etc.) in the lower narrow bands (in this joint p</w:t>
      </w:r>
      <w:r>
        <w:rPr>
          <w:b w:val="0"/>
          <w:szCs w:val="22"/>
        </w:rPr>
        <w:t xml:space="preserve">lan, principally 217-222 MHz)” </w:t>
      </w:r>
      <w:r w:rsidRPr="008E1F90">
        <w:rPr>
          <w:b w:val="0"/>
          <w:szCs w:val="22"/>
        </w:rPr>
        <w:t>in “support of [F]ederal and other government goals of smart transport, smart energy, and environmental-prote</w:t>
      </w:r>
      <w:r>
        <w:rPr>
          <w:b w:val="0"/>
          <w:szCs w:val="22"/>
        </w:rPr>
        <w:t>ction systems, or any of these”</w:t>
      </w:r>
      <w:r w:rsidRPr="008E1F90">
        <w:rPr>
          <w:b w:val="0"/>
          <w:szCs w:val="22"/>
        </w:rPr>
        <w:t xml:space="preserve"> with its 220 MHz licenses.  </w:t>
      </w:r>
      <w:r w:rsidR="006C32B1">
        <w:rPr>
          <w:b w:val="0"/>
          <w:szCs w:val="22"/>
        </w:rPr>
        <w:t>Regardless of w</w:t>
      </w:r>
      <w:r>
        <w:rPr>
          <w:b w:val="0"/>
          <w:szCs w:val="22"/>
        </w:rPr>
        <w:t xml:space="preserve">hether </w:t>
      </w:r>
      <w:r w:rsidRPr="008E1F90">
        <w:rPr>
          <w:b w:val="0"/>
          <w:szCs w:val="22"/>
        </w:rPr>
        <w:t xml:space="preserve">Environmentel’s </w:t>
      </w:r>
      <w:r>
        <w:rPr>
          <w:b w:val="0"/>
          <w:szCs w:val="22"/>
        </w:rPr>
        <w:t xml:space="preserve">proposal is technologically </w:t>
      </w:r>
      <w:r w:rsidR="006C32B1">
        <w:rPr>
          <w:b w:val="0"/>
          <w:szCs w:val="22"/>
        </w:rPr>
        <w:t xml:space="preserve">or economically </w:t>
      </w:r>
      <w:r w:rsidR="00070837">
        <w:rPr>
          <w:b w:val="0"/>
          <w:szCs w:val="22"/>
        </w:rPr>
        <w:t>viable</w:t>
      </w:r>
      <w:r>
        <w:rPr>
          <w:b w:val="0"/>
          <w:szCs w:val="22"/>
        </w:rPr>
        <w:t xml:space="preserve">, </w:t>
      </w:r>
      <w:r w:rsidRPr="008E1F90">
        <w:rPr>
          <w:b w:val="0"/>
          <w:szCs w:val="22"/>
        </w:rPr>
        <w:t>Environmentel has made a business decision to not construct its licenses with available equipment.  Instead, Environmentel chose to seek a</w:t>
      </w:r>
      <w:r w:rsidR="00E312B0">
        <w:rPr>
          <w:b w:val="0"/>
          <w:szCs w:val="22"/>
        </w:rPr>
        <w:t xml:space="preserve"> long-</w:t>
      </w:r>
      <w:r w:rsidRPr="008E1F90">
        <w:rPr>
          <w:b w:val="0"/>
          <w:szCs w:val="22"/>
        </w:rPr>
        <w:t xml:space="preserve">term extension to pursue a </w:t>
      </w:r>
      <w:r w:rsidR="00B61074" w:rsidRPr="008E1F90">
        <w:rPr>
          <w:b w:val="0"/>
          <w:szCs w:val="22"/>
        </w:rPr>
        <w:t>business plan that is unsupported in the equipment market</w:t>
      </w:r>
      <w:r w:rsidR="00B61074">
        <w:rPr>
          <w:b w:val="0"/>
          <w:szCs w:val="22"/>
        </w:rPr>
        <w:t xml:space="preserve"> </w:t>
      </w:r>
      <w:r w:rsidR="00070837">
        <w:rPr>
          <w:b w:val="0"/>
          <w:szCs w:val="22"/>
        </w:rPr>
        <w:t xml:space="preserve">for the </w:t>
      </w:r>
      <w:r w:rsidR="00B61074">
        <w:rPr>
          <w:b w:val="0"/>
          <w:szCs w:val="22"/>
        </w:rPr>
        <w:t>220 MHz service</w:t>
      </w:r>
      <w:r w:rsidR="003030F4">
        <w:rPr>
          <w:b w:val="0"/>
          <w:szCs w:val="22"/>
        </w:rPr>
        <w:t>,</w:t>
      </w:r>
      <w:r w:rsidR="00070837">
        <w:rPr>
          <w:b w:val="0"/>
          <w:szCs w:val="22"/>
        </w:rPr>
        <w:t xml:space="preserve"> which is made up of narrowband 5 kHz channels.</w:t>
      </w:r>
      <w:r w:rsidR="00495FB3">
        <w:rPr>
          <w:b w:val="0"/>
          <w:szCs w:val="22"/>
        </w:rPr>
        <w:t xml:space="preserve">  </w:t>
      </w:r>
    </w:p>
    <w:p w:rsidR="008E1F90" w:rsidRPr="00AC0416" w:rsidRDefault="00AC0416" w:rsidP="008E1F90">
      <w:pPr>
        <w:pStyle w:val="Caption"/>
        <w:rPr>
          <w:b w:val="0"/>
          <w:szCs w:val="22"/>
        </w:rPr>
      </w:pPr>
      <w:r w:rsidRPr="00AC0416">
        <w:rPr>
          <w:b w:val="0"/>
          <w:szCs w:val="22"/>
        </w:rPr>
        <w:t>Environmentel argues that “there has not been to this day in 220-222 MHz viable mobile two-way radio systems with acceptable quality v</w:t>
      </w:r>
      <w:r w:rsidR="00B22634">
        <w:rPr>
          <w:b w:val="0"/>
          <w:szCs w:val="22"/>
        </w:rPr>
        <w:t>oice technology and equipment,”</w:t>
      </w:r>
      <w:r w:rsidRPr="00AC0416">
        <w:rPr>
          <w:b w:val="0"/>
          <w:szCs w:val="22"/>
        </w:rPr>
        <w:t xml:space="preserve"> while also acknowledging that “it is true that in more recent years some equipment companies have provided data radios in the subject 220-222 MHz range, some of which use 5 kHz wide channels.”  Environmentel argues, however, that this equipment is not “desirable.”</w:t>
      </w:r>
      <w:r w:rsidR="00E312B0">
        <w:rPr>
          <w:rStyle w:val="FootnoteReference"/>
          <w:b w:val="0"/>
          <w:szCs w:val="22"/>
        </w:rPr>
        <w:footnoteReference w:id="24"/>
      </w:r>
      <w:r w:rsidRPr="00AC0416">
        <w:rPr>
          <w:b w:val="0"/>
          <w:szCs w:val="22"/>
        </w:rPr>
        <w:t xml:space="preserve">  This demonstrates Environmentel’s knowledge that equipment was available to begin providing service under its licenses</w:t>
      </w:r>
      <w:r w:rsidR="001F41AA">
        <w:rPr>
          <w:b w:val="0"/>
          <w:szCs w:val="22"/>
        </w:rPr>
        <w:t>,</w:t>
      </w:r>
      <w:r w:rsidRPr="00AC0416">
        <w:rPr>
          <w:b w:val="0"/>
          <w:szCs w:val="22"/>
        </w:rPr>
        <w:t xml:space="preserve"> but that it chose not to while it waited for equipment it deemed more “desirable.”  We find that equipment was available for use in the 220 MHz band prior to the construction deadlines.  </w:t>
      </w:r>
    </w:p>
    <w:p w:rsidR="00B52BA5" w:rsidRPr="00B52BA5" w:rsidRDefault="00B52BA5" w:rsidP="00B52BA5">
      <w:pPr>
        <w:pStyle w:val="Caption"/>
        <w:rPr>
          <w:b w:val="0"/>
          <w:szCs w:val="22"/>
        </w:rPr>
      </w:pPr>
      <w:r w:rsidRPr="00BA74FE">
        <w:rPr>
          <w:b w:val="0"/>
          <w:szCs w:val="22"/>
        </w:rPr>
        <w:t xml:space="preserve">Environmentel </w:t>
      </w:r>
      <w:r w:rsidR="005B7525">
        <w:rPr>
          <w:b w:val="0"/>
          <w:szCs w:val="22"/>
        </w:rPr>
        <w:t xml:space="preserve">also </w:t>
      </w:r>
      <w:r w:rsidRPr="00BA74FE">
        <w:rPr>
          <w:b w:val="0"/>
          <w:szCs w:val="22"/>
        </w:rPr>
        <w:t>voluntarily decided on a business plan that requires coordination with several other entities</w:t>
      </w:r>
      <w:r w:rsidR="0000181E">
        <w:rPr>
          <w:b w:val="0"/>
          <w:szCs w:val="22"/>
        </w:rPr>
        <w:t xml:space="preserve"> (also run by </w:t>
      </w:r>
      <w:r w:rsidR="004D7368">
        <w:rPr>
          <w:b w:val="0"/>
          <w:szCs w:val="22"/>
        </w:rPr>
        <w:t>Warren</w:t>
      </w:r>
      <w:r w:rsidR="0000181E">
        <w:rPr>
          <w:b w:val="0"/>
          <w:szCs w:val="22"/>
        </w:rPr>
        <w:t xml:space="preserve"> Havens)</w:t>
      </w:r>
      <w:r w:rsidRPr="00BA74FE">
        <w:rPr>
          <w:b w:val="0"/>
          <w:szCs w:val="22"/>
        </w:rPr>
        <w:t>, utilizing various types of licenses</w:t>
      </w:r>
      <w:r w:rsidR="0000181E">
        <w:rPr>
          <w:b w:val="0"/>
          <w:szCs w:val="22"/>
        </w:rPr>
        <w:t xml:space="preserve"> with different regulatory requirements,</w:t>
      </w:r>
      <w:r w:rsidRPr="00BA74FE">
        <w:rPr>
          <w:b w:val="0"/>
          <w:szCs w:val="22"/>
        </w:rPr>
        <w:t xml:space="preserve"> </w:t>
      </w:r>
      <w:r w:rsidR="00BA74FE">
        <w:rPr>
          <w:b w:val="0"/>
          <w:szCs w:val="22"/>
        </w:rPr>
        <w:t xml:space="preserve">in a wide range of spectrum bands </w:t>
      </w:r>
      <w:r w:rsidRPr="00BA74FE">
        <w:rPr>
          <w:b w:val="0"/>
          <w:szCs w:val="22"/>
        </w:rPr>
        <w:t>with differing construction deadlines</w:t>
      </w:r>
      <w:r w:rsidR="0000181E">
        <w:rPr>
          <w:b w:val="0"/>
          <w:szCs w:val="22"/>
        </w:rPr>
        <w:t xml:space="preserve">.  Such a business plan can </w:t>
      </w:r>
      <w:r w:rsidR="00BA74FE">
        <w:rPr>
          <w:b w:val="0"/>
          <w:szCs w:val="22"/>
        </w:rPr>
        <w:t xml:space="preserve">greatly </w:t>
      </w:r>
      <w:r w:rsidR="0000181E">
        <w:rPr>
          <w:b w:val="0"/>
          <w:szCs w:val="22"/>
        </w:rPr>
        <w:t xml:space="preserve">increase the complexity of equipment and present engineering challenges that can </w:t>
      </w:r>
      <w:r w:rsidR="00BA74FE">
        <w:rPr>
          <w:b w:val="0"/>
          <w:szCs w:val="22"/>
        </w:rPr>
        <w:t>hinder the development and affordability of viable equipment</w:t>
      </w:r>
      <w:r w:rsidRPr="00BA74FE">
        <w:rPr>
          <w:b w:val="0"/>
          <w:szCs w:val="22"/>
        </w:rPr>
        <w:t xml:space="preserve">.  </w:t>
      </w:r>
      <w:r w:rsidRPr="00B52BA5">
        <w:rPr>
          <w:b w:val="0"/>
          <w:szCs w:val="22"/>
        </w:rPr>
        <w:t>The Commission consistently has found that voluntary business decisions are not circumstances beyond the licensee’s control within the meaning of Section 1.946 and, as such, do not constitute a valid basis for regulatory relief.</w:t>
      </w:r>
      <w:r w:rsidRPr="00273B8D">
        <w:rPr>
          <w:rStyle w:val="FootnoteReference"/>
          <w:b w:val="0"/>
          <w:szCs w:val="22"/>
        </w:rPr>
        <w:footnoteReference w:id="25"/>
      </w:r>
      <w:r w:rsidRPr="00B52BA5">
        <w:rPr>
          <w:b w:val="0"/>
          <w:szCs w:val="22"/>
        </w:rPr>
        <w:t xml:space="preserve">  In addition, prior to the 220 MHz auctions, the Commission stated that:</w:t>
      </w:r>
    </w:p>
    <w:p w:rsidR="00B52BA5" w:rsidRPr="00273B8D" w:rsidRDefault="00B52BA5" w:rsidP="00B52BA5">
      <w:pPr>
        <w:pStyle w:val="Caption"/>
        <w:numPr>
          <w:ilvl w:val="0"/>
          <w:numId w:val="0"/>
        </w:numPr>
        <w:ind w:left="1260"/>
        <w:rPr>
          <w:b w:val="0"/>
          <w:szCs w:val="22"/>
        </w:rPr>
      </w:pPr>
      <w:r w:rsidRPr="00273B8D">
        <w:rPr>
          <w:b w:val="0"/>
          <w:szCs w:val="22"/>
        </w:rPr>
        <w:t>[t]he Commission makes no warranties about the use of this spectrum for particular services.  Applicants should be aware that a Commission auction represents an opportunity to become a Commission licensee in this service, subject to certain conditions and regulations.  A Commission auction does not constitute an endorsement by the Commission of any particular services, technologies, or products, nor does a Commission license constitute a guarantee of business success.  Applicants should perform their individual due diligence before proceeding as they would with any new business venture.</w:t>
      </w:r>
      <w:r w:rsidRPr="00273B8D">
        <w:rPr>
          <w:rStyle w:val="FootnoteReference"/>
          <w:b w:val="0"/>
          <w:szCs w:val="22"/>
        </w:rPr>
        <w:footnoteReference w:id="26"/>
      </w:r>
      <w:r w:rsidRPr="00273B8D">
        <w:rPr>
          <w:b w:val="0"/>
          <w:szCs w:val="22"/>
        </w:rPr>
        <w:t xml:space="preserve"> </w:t>
      </w:r>
    </w:p>
    <w:p w:rsidR="00912006" w:rsidRDefault="00B0578B" w:rsidP="00D319F7">
      <w:pPr>
        <w:pStyle w:val="Caption"/>
        <w:rPr>
          <w:b w:val="0"/>
          <w:szCs w:val="22"/>
        </w:rPr>
      </w:pPr>
      <w:r w:rsidRPr="00B0578B">
        <w:rPr>
          <w:b w:val="0"/>
          <w:szCs w:val="22"/>
        </w:rPr>
        <w:t xml:space="preserve">Indeed, participants in Auction 72 received clear notice that they would be expected to meet the construction requirements set forth in the Commission’s rules, regardless of the business plans or strategies </w:t>
      </w:r>
      <w:r w:rsidRPr="00A00865">
        <w:rPr>
          <w:b w:val="0"/>
          <w:szCs w:val="22"/>
        </w:rPr>
        <w:t xml:space="preserve">they ultimately chose to pursue.  Rather than taking advantage of the equipment options in the 220 MHz </w:t>
      </w:r>
      <w:r w:rsidRPr="00B22634">
        <w:rPr>
          <w:b w:val="0"/>
          <w:szCs w:val="22"/>
        </w:rPr>
        <w:t>band to provide actual service to the public, Environmentel made a voluntary business decision to pursue alternate technologies and rely on an extension of its construction deadlines.  While Environmentel may desire to provide a specific service</w:t>
      </w:r>
      <w:r w:rsidRPr="00A953FC">
        <w:rPr>
          <w:b w:val="0"/>
          <w:szCs w:val="22"/>
        </w:rPr>
        <w:t xml:space="preserve"> </w:t>
      </w:r>
      <w:r w:rsidR="001F41AA" w:rsidRPr="00A953FC">
        <w:rPr>
          <w:b w:val="0"/>
          <w:szCs w:val="22"/>
        </w:rPr>
        <w:t>across multiple bands u</w:t>
      </w:r>
      <w:r w:rsidR="00D02218" w:rsidRPr="00A953FC">
        <w:rPr>
          <w:b w:val="0"/>
          <w:szCs w:val="22"/>
        </w:rPr>
        <w:t>sing technology that is not supported in the band</w:t>
      </w:r>
      <w:r w:rsidR="00F132AA">
        <w:rPr>
          <w:b w:val="0"/>
          <w:szCs w:val="22"/>
        </w:rPr>
        <w:t>s</w:t>
      </w:r>
      <w:r w:rsidR="003030F4">
        <w:rPr>
          <w:b w:val="0"/>
          <w:szCs w:val="22"/>
        </w:rPr>
        <w:t>,</w:t>
      </w:r>
      <w:r w:rsidRPr="00A953FC">
        <w:rPr>
          <w:b w:val="0"/>
          <w:szCs w:val="22"/>
        </w:rPr>
        <w:t xml:space="preserve"> the unavailability of the specific type of equipment required to support its chosen business model does not constitute valid grounds for an extension under the Commission’s rules.</w:t>
      </w:r>
      <w:r w:rsidRPr="00B22634">
        <w:rPr>
          <w:b w:val="0"/>
          <w:szCs w:val="22"/>
        </w:rPr>
        <w:t xml:space="preserve"> </w:t>
      </w:r>
      <w:r w:rsidR="001F41AA">
        <w:rPr>
          <w:b w:val="0"/>
          <w:szCs w:val="22"/>
        </w:rPr>
        <w:t xml:space="preserve"> </w:t>
      </w:r>
      <w:r w:rsidR="00F132AA">
        <w:rPr>
          <w:b w:val="0"/>
          <w:szCs w:val="22"/>
        </w:rPr>
        <w:t>L</w:t>
      </w:r>
      <w:r w:rsidRPr="00B22634">
        <w:rPr>
          <w:b w:val="0"/>
          <w:szCs w:val="22"/>
        </w:rPr>
        <w:t>icensees are free to investigate, invest in, and pursue a wide range of t</w:t>
      </w:r>
      <w:r w:rsidR="002F58AC">
        <w:rPr>
          <w:b w:val="0"/>
          <w:szCs w:val="22"/>
        </w:rPr>
        <w:t>echnologies and service options;</w:t>
      </w:r>
      <w:r w:rsidRPr="00B22634">
        <w:rPr>
          <w:b w:val="0"/>
          <w:szCs w:val="22"/>
        </w:rPr>
        <w:t xml:space="preserve"> </w:t>
      </w:r>
      <w:r w:rsidRPr="0038731D">
        <w:rPr>
          <w:b w:val="0"/>
          <w:szCs w:val="22"/>
        </w:rPr>
        <w:t>regulatory compliance</w:t>
      </w:r>
      <w:r w:rsidR="002F58AC">
        <w:rPr>
          <w:b w:val="0"/>
          <w:szCs w:val="22"/>
        </w:rPr>
        <w:t>, however,</w:t>
      </w:r>
      <w:r w:rsidRPr="0038731D">
        <w:rPr>
          <w:b w:val="0"/>
          <w:szCs w:val="22"/>
        </w:rPr>
        <w:t xml:space="preserve"> is ultimately demonstrated by material accomplishments in the use of the spectr</w:t>
      </w:r>
      <w:r w:rsidR="00A979A4">
        <w:rPr>
          <w:b w:val="0"/>
          <w:szCs w:val="22"/>
        </w:rPr>
        <w:t>um resource to provide service.</w:t>
      </w:r>
      <w:r w:rsidR="00A979A4" w:rsidRPr="00273B8D">
        <w:rPr>
          <w:rStyle w:val="FootnoteReference"/>
          <w:b w:val="0"/>
          <w:szCs w:val="22"/>
        </w:rPr>
        <w:footnoteReference w:id="27"/>
      </w:r>
      <w:r w:rsidR="001F41AA">
        <w:rPr>
          <w:b w:val="0"/>
          <w:szCs w:val="22"/>
        </w:rPr>
        <w:t xml:space="preserve">  Otherwise, licensees wishing to warehouse spectrum and </w:t>
      </w:r>
      <w:r w:rsidR="00302C95">
        <w:rPr>
          <w:b w:val="0"/>
          <w:szCs w:val="22"/>
        </w:rPr>
        <w:t xml:space="preserve">undermine </w:t>
      </w:r>
      <w:r w:rsidR="001F41AA">
        <w:rPr>
          <w:b w:val="0"/>
          <w:szCs w:val="22"/>
        </w:rPr>
        <w:t>the purpose of the Commission’</w:t>
      </w:r>
      <w:r w:rsidR="00A77EAC">
        <w:rPr>
          <w:b w:val="0"/>
          <w:szCs w:val="22"/>
        </w:rPr>
        <w:t>s rules simply</w:t>
      </w:r>
      <w:r w:rsidR="001F41AA">
        <w:rPr>
          <w:b w:val="0"/>
          <w:szCs w:val="22"/>
        </w:rPr>
        <w:t xml:space="preserve"> </w:t>
      </w:r>
      <w:r w:rsidR="00D02112">
        <w:rPr>
          <w:b w:val="0"/>
          <w:szCs w:val="22"/>
        </w:rPr>
        <w:t>could</w:t>
      </w:r>
      <w:r w:rsidR="001F41AA">
        <w:rPr>
          <w:b w:val="0"/>
          <w:szCs w:val="22"/>
        </w:rPr>
        <w:t xml:space="preserve"> keep changing their business plan to an unsupported model</w:t>
      </w:r>
      <w:r w:rsidR="00A77EAC">
        <w:rPr>
          <w:b w:val="0"/>
          <w:szCs w:val="22"/>
        </w:rPr>
        <w:t xml:space="preserve"> and attempt to argue that the situation is beyond their control.</w:t>
      </w:r>
    </w:p>
    <w:p w:rsidR="00912006" w:rsidRDefault="00912006" w:rsidP="00912006">
      <w:pPr>
        <w:pStyle w:val="Caption"/>
        <w:rPr>
          <w:b w:val="0"/>
          <w:szCs w:val="22"/>
        </w:rPr>
      </w:pPr>
      <w:r w:rsidRPr="00064D05">
        <w:rPr>
          <w:b w:val="0"/>
          <w:szCs w:val="22"/>
        </w:rPr>
        <w:t xml:space="preserve">Warren Havens, the </w:t>
      </w:r>
      <w:r w:rsidR="001200CA">
        <w:rPr>
          <w:b w:val="0"/>
          <w:szCs w:val="22"/>
        </w:rPr>
        <w:t>p</w:t>
      </w:r>
      <w:r w:rsidRPr="00064D05">
        <w:rPr>
          <w:b w:val="0"/>
          <w:szCs w:val="22"/>
        </w:rPr>
        <w:t xml:space="preserve">resident of Environmentel, has been a 220 MHz license holder since 1999 and had made numerous filings before the Commission about the best use and technology to deploy for 220 MHz licenses.  In 2004, </w:t>
      </w:r>
      <w:r>
        <w:rPr>
          <w:b w:val="0"/>
          <w:szCs w:val="22"/>
        </w:rPr>
        <w:t>Warren</w:t>
      </w:r>
      <w:r w:rsidRPr="00064D05">
        <w:rPr>
          <w:b w:val="0"/>
          <w:szCs w:val="22"/>
        </w:rPr>
        <w:t xml:space="preserve"> Havens sought </w:t>
      </w:r>
      <w:r>
        <w:rPr>
          <w:b w:val="0"/>
          <w:szCs w:val="22"/>
        </w:rPr>
        <w:t>an extension of his construction deadline</w:t>
      </w:r>
      <w:r w:rsidRPr="00064D05">
        <w:rPr>
          <w:b w:val="0"/>
          <w:szCs w:val="22"/>
        </w:rPr>
        <w:t xml:space="preserve"> because narrowband voice equipment was not readily available for 220 MHz licenses</w:t>
      </w:r>
      <w:r w:rsidRPr="007169E4">
        <w:rPr>
          <w:b w:val="0"/>
          <w:szCs w:val="22"/>
        </w:rPr>
        <w:t>,</w:t>
      </w:r>
      <w:r w:rsidRPr="00064D05">
        <w:rPr>
          <w:szCs w:val="22"/>
        </w:rPr>
        <w:t xml:space="preserve"> </w:t>
      </w:r>
      <w:r w:rsidRPr="00064D05">
        <w:rPr>
          <w:b w:val="0"/>
          <w:szCs w:val="22"/>
        </w:rPr>
        <w:t>so the Wireless Telecommunications Bureau (</w:t>
      </w:r>
      <w:r w:rsidR="006879DB">
        <w:rPr>
          <w:b w:val="0"/>
          <w:szCs w:val="22"/>
        </w:rPr>
        <w:t>“</w:t>
      </w:r>
      <w:r w:rsidRPr="00064D05">
        <w:rPr>
          <w:b w:val="0"/>
          <w:szCs w:val="22"/>
        </w:rPr>
        <w:t>Bureau</w:t>
      </w:r>
      <w:r w:rsidR="006879DB">
        <w:rPr>
          <w:b w:val="0"/>
          <w:szCs w:val="22"/>
        </w:rPr>
        <w:t>”</w:t>
      </w:r>
      <w:r w:rsidRPr="00064D05">
        <w:rPr>
          <w:b w:val="0"/>
          <w:szCs w:val="22"/>
        </w:rPr>
        <w:t xml:space="preserve">) released a </w:t>
      </w:r>
      <w:r w:rsidRPr="00064D05">
        <w:rPr>
          <w:b w:val="0"/>
          <w:i/>
          <w:szCs w:val="22"/>
        </w:rPr>
        <w:t>Memorandum Opinion and Order</w:t>
      </w:r>
      <w:r w:rsidRPr="00064D05">
        <w:rPr>
          <w:b w:val="0"/>
          <w:szCs w:val="22"/>
          <w:vertAlign w:val="superscript"/>
        </w:rPr>
        <w:footnoteReference w:id="28"/>
      </w:r>
      <w:r w:rsidRPr="00064D05">
        <w:rPr>
          <w:b w:val="0"/>
          <w:szCs w:val="22"/>
        </w:rPr>
        <w:t xml:space="preserve"> extending the five-year construction deadlines by three years.</w:t>
      </w:r>
      <w:r w:rsidRPr="00064D05">
        <w:rPr>
          <w:rStyle w:val="FootnoteReference"/>
          <w:b w:val="0"/>
          <w:szCs w:val="22"/>
        </w:rPr>
        <w:footnoteReference w:id="29"/>
      </w:r>
      <w:r w:rsidRPr="00064D05">
        <w:rPr>
          <w:b w:val="0"/>
          <w:szCs w:val="22"/>
        </w:rPr>
        <w:t xml:space="preserve">  In 2007 and 2009, </w:t>
      </w:r>
      <w:r>
        <w:rPr>
          <w:b w:val="0"/>
          <w:szCs w:val="22"/>
        </w:rPr>
        <w:t>Warren</w:t>
      </w:r>
      <w:r w:rsidRPr="00064D05">
        <w:rPr>
          <w:b w:val="0"/>
          <w:szCs w:val="22"/>
        </w:rPr>
        <w:t xml:space="preserve"> Havens again sought extended implementation </w:t>
      </w:r>
      <w:r w:rsidRPr="009818A1">
        <w:rPr>
          <w:b w:val="0"/>
          <w:szCs w:val="22"/>
        </w:rPr>
        <w:t>deadlines for 220 MHz licenses held by entities under his control to implement Intelligent Transportation Services.</w:t>
      </w:r>
      <w:r w:rsidRPr="009818A1">
        <w:rPr>
          <w:rStyle w:val="FootnoteReference"/>
          <w:b w:val="0"/>
          <w:szCs w:val="22"/>
        </w:rPr>
        <w:footnoteReference w:id="30"/>
      </w:r>
      <w:r w:rsidRPr="009818A1">
        <w:rPr>
          <w:b w:val="0"/>
          <w:szCs w:val="22"/>
        </w:rPr>
        <w:t xml:space="preserve">  Now</w:t>
      </w:r>
      <w:r w:rsidR="00C66C4D">
        <w:rPr>
          <w:b w:val="0"/>
          <w:szCs w:val="22"/>
        </w:rPr>
        <w:t xml:space="preserve">, </w:t>
      </w:r>
      <w:r w:rsidRPr="009818A1">
        <w:rPr>
          <w:b w:val="0"/>
          <w:szCs w:val="22"/>
        </w:rPr>
        <w:t>Warren Havens again seeks an extended construction deadline of more than 45 months to implement</w:t>
      </w:r>
      <w:r w:rsidRPr="00064D05">
        <w:rPr>
          <w:b w:val="0"/>
          <w:szCs w:val="22"/>
        </w:rPr>
        <w:t xml:space="preserve"> the latest iteration of his business plan using 220 MHz licenses.  Throughout this period, other 220 MHz licensees have been able to identify business plans supported by available equipment </w:t>
      </w:r>
      <w:r w:rsidR="00A77EAC">
        <w:rPr>
          <w:b w:val="0"/>
          <w:szCs w:val="22"/>
        </w:rPr>
        <w:t xml:space="preserve">or work with manufacturers to develop equipment </w:t>
      </w:r>
      <w:r w:rsidRPr="00064D05">
        <w:rPr>
          <w:b w:val="0"/>
          <w:szCs w:val="22"/>
        </w:rPr>
        <w:t xml:space="preserve">in order to meet their construction obligations, whereas organizations controlled by </w:t>
      </w:r>
      <w:r>
        <w:rPr>
          <w:b w:val="0"/>
          <w:szCs w:val="22"/>
        </w:rPr>
        <w:t>Warren</w:t>
      </w:r>
      <w:r w:rsidRPr="00064D05">
        <w:rPr>
          <w:b w:val="0"/>
          <w:szCs w:val="22"/>
        </w:rPr>
        <w:t xml:space="preserve"> Havens merely </w:t>
      </w:r>
      <w:r w:rsidR="00976956">
        <w:rPr>
          <w:b w:val="0"/>
          <w:szCs w:val="22"/>
        </w:rPr>
        <w:t xml:space="preserve">have </w:t>
      </w:r>
      <w:r w:rsidRPr="00064D05">
        <w:rPr>
          <w:b w:val="0"/>
          <w:szCs w:val="22"/>
        </w:rPr>
        <w:t>update</w:t>
      </w:r>
      <w:r w:rsidR="00976956">
        <w:rPr>
          <w:b w:val="0"/>
          <w:szCs w:val="22"/>
        </w:rPr>
        <w:t>d</w:t>
      </w:r>
      <w:r w:rsidRPr="00064D05">
        <w:rPr>
          <w:b w:val="0"/>
          <w:szCs w:val="22"/>
        </w:rPr>
        <w:t xml:space="preserve"> their business plans to include new concepts and ideas</w:t>
      </w:r>
      <w:r w:rsidRPr="00064D05">
        <w:rPr>
          <w:szCs w:val="22"/>
        </w:rPr>
        <w:t xml:space="preserve"> </w:t>
      </w:r>
      <w:r w:rsidRPr="00064D05">
        <w:rPr>
          <w:b w:val="0"/>
          <w:szCs w:val="22"/>
        </w:rPr>
        <w:t>and file for regulatory relief based on arguments that there is no equipment to support these ideas</w:t>
      </w:r>
      <w:r w:rsidR="005E5750">
        <w:rPr>
          <w:b w:val="0"/>
          <w:szCs w:val="22"/>
        </w:rPr>
        <w:t>.</w:t>
      </w:r>
      <w:r w:rsidR="00707036">
        <w:rPr>
          <w:b w:val="0"/>
          <w:szCs w:val="22"/>
        </w:rPr>
        <w:t xml:space="preserve"> </w:t>
      </w:r>
    </w:p>
    <w:p w:rsidR="00B0578B" w:rsidRPr="0038731D" w:rsidRDefault="00912006" w:rsidP="00912006">
      <w:pPr>
        <w:pStyle w:val="Caption"/>
        <w:rPr>
          <w:b w:val="0"/>
          <w:szCs w:val="22"/>
        </w:rPr>
      </w:pPr>
      <w:r w:rsidRPr="00064D05">
        <w:rPr>
          <w:b w:val="0"/>
        </w:rPr>
        <w:t xml:space="preserve">As a beneficiary of the </w:t>
      </w:r>
      <w:r w:rsidRPr="00064D05">
        <w:rPr>
          <w:b w:val="0"/>
          <w:i/>
        </w:rPr>
        <w:t>220 MHz Extension Order</w:t>
      </w:r>
      <w:r w:rsidRPr="00064D05">
        <w:rPr>
          <w:b w:val="0"/>
        </w:rPr>
        <w:t xml:space="preserve">, and in fact the impetus of it, </w:t>
      </w:r>
      <w:r>
        <w:rPr>
          <w:b w:val="0"/>
        </w:rPr>
        <w:t>Warren</w:t>
      </w:r>
      <w:r w:rsidRPr="00064D05">
        <w:rPr>
          <w:b w:val="0"/>
        </w:rPr>
        <w:t xml:space="preserve"> Havens should be well aware of</w:t>
      </w:r>
      <w:r w:rsidR="00976956">
        <w:rPr>
          <w:b w:val="0"/>
        </w:rPr>
        <w:t xml:space="preserve"> the availability of equipment, but,</w:t>
      </w:r>
      <w:r w:rsidRPr="00064D05">
        <w:rPr>
          <w:b w:val="0"/>
        </w:rPr>
        <w:t xml:space="preserve"> instead of conforming his business plan to achieve service, he has amended it to include new ideas that are not supported by equipment manufacturers or other 220 MHz licensees.  Accordingly, while several licensees have implemented services with their 220 MHz licenses or transferred them to </w:t>
      </w:r>
      <w:r w:rsidR="00613DA6">
        <w:rPr>
          <w:b w:val="0"/>
        </w:rPr>
        <w:t>other licensees</w:t>
      </w:r>
      <w:r w:rsidRPr="00064D05">
        <w:rPr>
          <w:b w:val="0"/>
        </w:rPr>
        <w:t xml:space="preserve"> that have identified viable business plans for the 220 MHz licenses, Environmentel has made a voluntary decision to </w:t>
      </w:r>
      <w:r w:rsidR="00A6663F">
        <w:rPr>
          <w:b w:val="0"/>
        </w:rPr>
        <w:t>pursue</w:t>
      </w:r>
      <w:r w:rsidRPr="00064D05">
        <w:rPr>
          <w:b w:val="0"/>
        </w:rPr>
        <w:t xml:space="preserve"> unsupported service and technology concepts and seek extended implementation deadlines rather than meet is regulatory obligations. </w:t>
      </w:r>
      <w:r w:rsidR="00B0578B" w:rsidRPr="0038731D">
        <w:rPr>
          <w:b w:val="0"/>
          <w:szCs w:val="22"/>
        </w:rPr>
        <w:t xml:space="preserve"> </w:t>
      </w:r>
    </w:p>
    <w:p w:rsidR="0040619F" w:rsidRPr="00E061BB" w:rsidRDefault="00E061BB" w:rsidP="00E061BB">
      <w:pPr>
        <w:pStyle w:val="Caption"/>
        <w:rPr>
          <w:b w:val="0"/>
        </w:rPr>
      </w:pPr>
      <w:r>
        <w:rPr>
          <w:b w:val="0"/>
          <w:szCs w:val="22"/>
        </w:rPr>
        <w:t>In addition, Environmentel</w:t>
      </w:r>
      <w:r w:rsidR="000E0FC8" w:rsidRPr="0038731D">
        <w:rPr>
          <w:b w:val="0"/>
          <w:szCs w:val="22"/>
        </w:rPr>
        <w:t xml:space="preserve"> argues that </w:t>
      </w:r>
      <w:r w:rsidR="00B22634" w:rsidRPr="0038731D">
        <w:rPr>
          <w:b w:val="0"/>
          <w:szCs w:val="22"/>
        </w:rPr>
        <w:t>ten</w:t>
      </w:r>
      <w:r w:rsidR="000E0FC8" w:rsidRPr="0038731D">
        <w:rPr>
          <w:b w:val="0"/>
          <w:szCs w:val="22"/>
        </w:rPr>
        <w:t xml:space="preserve"> year</w:t>
      </w:r>
      <w:r w:rsidR="00B22634" w:rsidRPr="0038731D">
        <w:rPr>
          <w:b w:val="0"/>
          <w:szCs w:val="22"/>
        </w:rPr>
        <w:t>s is the proper</w:t>
      </w:r>
      <w:r w:rsidR="000E0FC8" w:rsidRPr="0038731D">
        <w:rPr>
          <w:b w:val="0"/>
          <w:szCs w:val="22"/>
        </w:rPr>
        <w:t xml:space="preserve"> construction </w:t>
      </w:r>
      <w:r w:rsidR="00210D98" w:rsidRPr="0038731D">
        <w:rPr>
          <w:b w:val="0"/>
          <w:szCs w:val="22"/>
        </w:rPr>
        <w:t xml:space="preserve">deadline </w:t>
      </w:r>
      <w:r w:rsidR="000E0FC8" w:rsidRPr="0038731D">
        <w:rPr>
          <w:b w:val="0"/>
          <w:szCs w:val="22"/>
        </w:rPr>
        <w:t xml:space="preserve">for its 220 MHz licenses because </w:t>
      </w:r>
      <w:r w:rsidR="00707036">
        <w:rPr>
          <w:b w:val="0"/>
          <w:szCs w:val="22"/>
        </w:rPr>
        <w:t>the Commission</w:t>
      </w:r>
      <w:r w:rsidR="004A2209" w:rsidRPr="0038731D">
        <w:rPr>
          <w:b w:val="0"/>
          <w:szCs w:val="22"/>
        </w:rPr>
        <w:t xml:space="preserve"> ha</w:t>
      </w:r>
      <w:r w:rsidR="00707036">
        <w:rPr>
          <w:b w:val="0"/>
          <w:szCs w:val="22"/>
        </w:rPr>
        <w:t>s</w:t>
      </w:r>
      <w:r w:rsidR="004A2209" w:rsidRPr="0038731D">
        <w:rPr>
          <w:b w:val="0"/>
          <w:szCs w:val="22"/>
        </w:rPr>
        <w:t xml:space="preserve"> given a ten-year </w:t>
      </w:r>
      <w:r w:rsidR="00B95B56">
        <w:rPr>
          <w:b w:val="0"/>
          <w:szCs w:val="22"/>
        </w:rPr>
        <w:t xml:space="preserve">construction </w:t>
      </w:r>
      <w:r w:rsidR="004A2209" w:rsidRPr="0038731D">
        <w:rPr>
          <w:b w:val="0"/>
          <w:szCs w:val="22"/>
        </w:rPr>
        <w:t>deadline to other services such as AMTS (which it claims is easier to construct than a 220 MHz license)</w:t>
      </w:r>
      <w:r w:rsidR="00707036">
        <w:rPr>
          <w:b w:val="0"/>
          <w:szCs w:val="22"/>
        </w:rPr>
        <w:t>.  Additionally,</w:t>
      </w:r>
      <w:r w:rsidR="00B22634" w:rsidRPr="0038731D">
        <w:rPr>
          <w:b w:val="0"/>
          <w:szCs w:val="22"/>
        </w:rPr>
        <w:t xml:space="preserve"> because Environmentel plans to use its 220 MHz licenses</w:t>
      </w:r>
      <w:r w:rsidR="009E2B80" w:rsidRPr="0038731D">
        <w:rPr>
          <w:b w:val="0"/>
          <w:szCs w:val="22"/>
        </w:rPr>
        <w:t xml:space="preserve"> along with the </w:t>
      </w:r>
      <w:r w:rsidR="00B22634" w:rsidRPr="0038731D">
        <w:rPr>
          <w:b w:val="0"/>
          <w:szCs w:val="22"/>
        </w:rPr>
        <w:t xml:space="preserve">Havens Affiliates’ </w:t>
      </w:r>
      <w:r w:rsidR="009E2B80" w:rsidRPr="0038731D">
        <w:rPr>
          <w:b w:val="0"/>
          <w:szCs w:val="22"/>
        </w:rPr>
        <w:t>AMTS spectrum</w:t>
      </w:r>
      <w:r w:rsidR="001B4865" w:rsidRPr="0038731D">
        <w:rPr>
          <w:b w:val="0"/>
          <w:szCs w:val="22"/>
        </w:rPr>
        <w:t xml:space="preserve">, </w:t>
      </w:r>
      <w:r w:rsidR="00707036">
        <w:rPr>
          <w:b w:val="0"/>
          <w:szCs w:val="22"/>
        </w:rPr>
        <w:t xml:space="preserve">it contends </w:t>
      </w:r>
      <w:r w:rsidR="00B60400">
        <w:rPr>
          <w:b w:val="0"/>
          <w:szCs w:val="22"/>
        </w:rPr>
        <w:t xml:space="preserve">the </w:t>
      </w:r>
      <w:r w:rsidR="004A2209" w:rsidRPr="0038731D">
        <w:rPr>
          <w:b w:val="0"/>
          <w:szCs w:val="22"/>
        </w:rPr>
        <w:t>licenses require</w:t>
      </w:r>
      <w:r w:rsidR="001B4865" w:rsidRPr="0038731D">
        <w:rPr>
          <w:b w:val="0"/>
          <w:szCs w:val="22"/>
        </w:rPr>
        <w:t xml:space="preserve"> the same deadline</w:t>
      </w:r>
      <w:r w:rsidR="00B22634" w:rsidRPr="0038731D">
        <w:rPr>
          <w:b w:val="0"/>
          <w:szCs w:val="22"/>
        </w:rPr>
        <w:t>.</w:t>
      </w:r>
      <w:r w:rsidR="00B22634" w:rsidRPr="0038731D">
        <w:rPr>
          <w:rStyle w:val="FootnoteReference"/>
          <w:b w:val="0"/>
          <w:szCs w:val="22"/>
        </w:rPr>
        <w:footnoteReference w:id="31"/>
      </w:r>
      <w:r w:rsidR="00B22634" w:rsidRPr="0038731D">
        <w:rPr>
          <w:b w:val="0"/>
          <w:szCs w:val="22"/>
        </w:rPr>
        <w:t xml:space="preserve">  </w:t>
      </w:r>
      <w:r w:rsidR="00B22634" w:rsidRPr="0038731D">
        <w:rPr>
          <w:b w:val="0"/>
        </w:rPr>
        <w:t>This argument is without merit.</w:t>
      </w:r>
      <w:r w:rsidR="00B60400">
        <w:rPr>
          <w:b w:val="0"/>
        </w:rPr>
        <w:t xml:space="preserve">  First, we note that this argument regarding 220 MHz construction rules has been raised before by </w:t>
      </w:r>
      <w:r w:rsidR="00302C95">
        <w:rPr>
          <w:b w:val="0"/>
        </w:rPr>
        <w:t>Warren</w:t>
      </w:r>
      <w:r w:rsidR="00B60400">
        <w:rPr>
          <w:b w:val="0"/>
        </w:rPr>
        <w:t xml:space="preserve"> Havens and </w:t>
      </w:r>
      <w:r w:rsidR="002F58AC">
        <w:rPr>
          <w:b w:val="0"/>
        </w:rPr>
        <w:t>has been</w:t>
      </w:r>
      <w:r w:rsidR="00AD17AF">
        <w:rPr>
          <w:b w:val="0"/>
        </w:rPr>
        <w:t xml:space="preserve"> </w:t>
      </w:r>
      <w:r w:rsidR="00B60400">
        <w:rPr>
          <w:b w:val="0"/>
        </w:rPr>
        <w:t>denied.</w:t>
      </w:r>
      <w:r w:rsidR="00B60400">
        <w:rPr>
          <w:rStyle w:val="FootnoteReference"/>
          <w:b w:val="0"/>
        </w:rPr>
        <w:footnoteReference w:id="32"/>
      </w:r>
      <w:r w:rsidR="00B22634" w:rsidRPr="0038731D">
        <w:rPr>
          <w:b w:val="0"/>
        </w:rPr>
        <w:t xml:space="preserve">  The Commission deliberately </w:t>
      </w:r>
      <w:r w:rsidR="00B95B56">
        <w:rPr>
          <w:b w:val="0"/>
        </w:rPr>
        <w:t xml:space="preserve">has </w:t>
      </w:r>
      <w:r w:rsidR="00B22634" w:rsidRPr="0038731D">
        <w:rPr>
          <w:b w:val="0"/>
        </w:rPr>
        <w:t>created separate rul</w:t>
      </w:r>
      <w:r w:rsidR="001754B8">
        <w:rPr>
          <w:b w:val="0"/>
        </w:rPr>
        <w:t>es for each of the services it oversees</w:t>
      </w:r>
      <w:r w:rsidR="00B22634" w:rsidRPr="0038731D">
        <w:rPr>
          <w:b w:val="0"/>
        </w:rPr>
        <w:t xml:space="preserve"> and has determined the construction deadlines for each of these services purposefully.  In the 220 MHz band, th</w:t>
      </w:r>
      <w:r w:rsidR="001754B8">
        <w:rPr>
          <w:b w:val="0"/>
        </w:rPr>
        <w:t>e Commission determined that a five</w:t>
      </w:r>
      <w:r w:rsidR="003B5B29">
        <w:rPr>
          <w:b w:val="0"/>
        </w:rPr>
        <w:t>-</w:t>
      </w:r>
      <w:r w:rsidR="00B22634" w:rsidRPr="0038731D">
        <w:rPr>
          <w:b w:val="0"/>
        </w:rPr>
        <w:t>year construction deadline was most appropriate.</w:t>
      </w:r>
      <w:r w:rsidR="001754B8">
        <w:rPr>
          <w:rStyle w:val="FootnoteReference"/>
          <w:b w:val="0"/>
        </w:rPr>
        <w:footnoteReference w:id="33"/>
      </w:r>
      <w:r>
        <w:rPr>
          <w:b w:val="0"/>
        </w:rPr>
        <w:t xml:space="preserve">  </w:t>
      </w:r>
      <w:r w:rsidR="00B22634" w:rsidRPr="00E061BB">
        <w:rPr>
          <w:b w:val="0"/>
        </w:rPr>
        <w:t xml:space="preserve">Environmentel also states that </w:t>
      </w:r>
      <w:r w:rsidR="0038731D" w:rsidRPr="00E061BB">
        <w:rPr>
          <w:b w:val="0"/>
        </w:rPr>
        <w:t>our rules do not require licensees to “build a license and the spectrum involved only on a market-by-market basis, and only using that particular spectrum.”</w:t>
      </w:r>
      <w:r w:rsidR="0038731D">
        <w:rPr>
          <w:rStyle w:val="FootnoteReference"/>
          <w:b w:val="0"/>
        </w:rPr>
        <w:footnoteReference w:id="34"/>
      </w:r>
      <w:r w:rsidR="004B6ADC" w:rsidRPr="00E061BB">
        <w:rPr>
          <w:b w:val="0"/>
        </w:rPr>
        <w:t xml:space="preserve"> </w:t>
      </w:r>
      <w:r w:rsidR="00B22634" w:rsidRPr="00E061BB">
        <w:rPr>
          <w:b w:val="0"/>
        </w:rPr>
        <w:t xml:space="preserve"> This argument also is faulty.</w:t>
      </w:r>
      <w:r w:rsidR="0038731D" w:rsidRPr="00E061BB">
        <w:rPr>
          <w:b w:val="0"/>
        </w:rPr>
        <w:t xml:space="preserve">  While the Commission does not forbid licensees from using their various licenses and spectrum holdings in concert with each other, </w:t>
      </w:r>
      <w:r w:rsidR="005706F0">
        <w:rPr>
          <w:b w:val="0"/>
        </w:rPr>
        <w:t xml:space="preserve">by the plain reading of rules, </w:t>
      </w:r>
      <w:r w:rsidR="00A03447">
        <w:rPr>
          <w:b w:val="0"/>
        </w:rPr>
        <w:t xml:space="preserve">each license has independent requirements and </w:t>
      </w:r>
      <w:r w:rsidR="0038731D" w:rsidRPr="00E061BB">
        <w:rPr>
          <w:b w:val="0"/>
        </w:rPr>
        <w:t>we do</w:t>
      </w:r>
      <w:r w:rsidR="00D52E55">
        <w:rPr>
          <w:b w:val="0"/>
        </w:rPr>
        <w:t xml:space="preserve"> require</w:t>
      </w:r>
      <w:r w:rsidR="00B22634" w:rsidRPr="00E061BB">
        <w:rPr>
          <w:b w:val="0"/>
        </w:rPr>
        <w:t xml:space="preserve"> </w:t>
      </w:r>
      <w:r w:rsidR="00D52E55" w:rsidRPr="00D52E55">
        <w:rPr>
          <w:b w:val="0"/>
        </w:rPr>
        <w:t xml:space="preserve">a separate </w:t>
      </w:r>
      <w:r w:rsidR="00D52E55">
        <w:rPr>
          <w:b w:val="0"/>
        </w:rPr>
        <w:t xml:space="preserve">construction </w:t>
      </w:r>
      <w:r w:rsidR="00D52E55" w:rsidRPr="00D52E55">
        <w:rPr>
          <w:b w:val="0"/>
        </w:rPr>
        <w:t>showing for each </w:t>
      </w:r>
      <w:r w:rsidR="00D52E55">
        <w:rPr>
          <w:b w:val="0"/>
          <w:bCs/>
        </w:rPr>
        <w:t>license</w:t>
      </w:r>
      <w:r w:rsidR="0038731D" w:rsidRPr="00E061BB">
        <w:rPr>
          <w:b w:val="0"/>
        </w:rPr>
        <w:t>, even if hel</w:t>
      </w:r>
      <w:r w:rsidR="004B6ADC" w:rsidRPr="00E061BB">
        <w:rPr>
          <w:b w:val="0"/>
        </w:rPr>
        <w:t>d by the same entity.</w:t>
      </w:r>
      <w:r w:rsidR="00993116" w:rsidRPr="00273B8D">
        <w:rPr>
          <w:rStyle w:val="FootnoteReference"/>
          <w:b w:val="0"/>
          <w:szCs w:val="22"/>
        </w:rPr>
        <w:footnoteReference w:id="35"/>
      </w:r>
      <w:r w:rsidR="00FB3E8D" w:rsidRPr="00E061BB">
        <w:rPr>
          <w:b w:val="0"/>
        </w:rPr>
        <w:t xml:space="preserve">  Here, Environmentel has chosen </w:t>
      </w:r>
      <w:r w:rsidR="00A03447">
        <w:rPr>
          <w:b w:val="0"/>
        </w:rPr>
        <w:t>a business plan based upon</w:t>
      </w:r>
      <w:r w:rsidR="00EE0F9E">
        <w:rPr>
          <w:b w:val="0"/>
        </w:rPr>
        <w:t xml:space="preserve"> unsupported</w:t>
      </w:r>
      <w:r w:rsidR="00FB3E8D" w:rsidRPr="00E061BB">
        <w:rPr>
          <w:b w:val="0"/>
        </w:rPr>
        <w:t xml:space="preserve"> technology</w:t>
      </w:r>
      <w:r w:rsidR="00EE0F9E">
        <w:rPr>
          <w:b w:val="0"/>
        </w:rPr>
        <w:t xml:space="preserve"> </w:t>
      </w:r>
      <w:r w:rsidR="00FB3E8D" w:rsidRPr="00E061BB">
        <w:rPr>
          <w:b w:val="0"/>
        </w:rPr>
        <w:t xml:space="preserve">that prevents it from building each license </w:t>
      </w:r>
      <w:r w:rsidR="001C5AFC" w:rsidRPr="00E061BB">
        <w:rPr>
          <w:b w:val="0"/>
        </w:rPr>
        <w:t>independently, wh</w:t>
      </w:r>
      <w:r w:rsidR="00A138DC">
        <w:rPr>
          <w:b w:val="0"/>
        </w:rPr>
        <w:t>ich does not constitute a factor beyond its control</w:t>
      </w:r>
      <w:r w:rsidR="00FB3E8D" w:rsidRPr="00E061BB">
        <w:rPr>
          <w:b w:val="0"/>
        </w:rPr>
        <w:t>.</w:t>
      </w:r>
    </w:p>
    <w:p w:rsidR="00D319F7" w:rsidRPr="00E061BB" w:rsidRDefault="00E061BB" w:rsidP="00E061BB">
      <w:pPr>
        <w:pStyle w:val="Caption"/>
        <w:rPr>
          <w:b w:val="0"/>
        </w:rPr>
      </w:pPr>
      <w:r w:rsidRPr="00E061BB">
        <w:rPr>
          <w:b w:val="0"/>
        </w:rPr>
        <w:t xml:space="preserve">Environmentel also argues that the Commission should </w:t>
      </w:r>
      <w:r>
        <w:rPr>
          <w:b w:val="0"/>
        </w:rPr>
        <w:t>grant its Extension Request</w:t>
      </w:r>
      <w:r w:rsidRPr="00E061BB">
        <w:rPr>
          <w:b w:val="0"/>
        </w:rPr>
        <w:t xml:space="preserve"> because of its</w:t>
      </w:r>
      <w:r w:rsidR="00D319F7" w:rsidRPr="00E061BB">
        <w:rPr>
          <w:b w:val="0"/>
        </w:rPr>
        <w:t xml:space="preserve"> proposed transfer of 80% of its spectrum to SkyBridge</w:t>
      </w:r>
      <w:r w:rsidRPr="00E061BB">
        <w:rPr>
          <w:b w:val="0"/>
        </w:rPr>
        <w:t xml:space="preserve">, a </w:t>
      </w:r>
      <w:r w:rsidR="00FB161B">
        <w:rPr>
          <w:b w:val="0"/>
        </w:rPr>
        <w:t xml:space="preserve">Warren </w:t>
      </w:r>
      <w:r w:rsidR="00A03447">
        <w:rPr>
          <w:b w:val="0"/>
        </w:rPr>
        <w:t xml:space="preserve">Havens-controlled </w:t>
      </w:r>
      <w:r w:rsidRPr="00E061BB">
        <w:rPr>
          <w:b w:val="0"/>
        </w:rPr>
        <w:t xml:space="preserve">non-profit foundation that supports </w:t>
      </w:r>
      <w:r w:rsidR="00C8636F">
        <w:rPr>
          <w:b w:val="0"/>
        </w:rPr>
        <w:t>“</w:t>
      </w:r>
      <w:r w:rsidRPr="00E061BB">
        <w:rPr>
          <w:b w:val="0"/>
        </w:rPr>
        <w:t>advance wireless for smart transportation, smart energy and environmental-protection systems.</w:t>
      </w:r>
      <w:r w:rsidR="00C8636F">
        <w:rPr>
          <w:b w:val="0"/>
        </w:rPr>
        <w:t>”</w:t>
      </w:r>
      <w:r w:rsidRPr="00E061BB">
        <w:rPr>
          <w:rStyle w:val="FootnoteReference"/>
          <w:b w:val="0"/>
        </w:rPr>
        <w:footnoteReference w:id="36"/>
      </w:r>
      <w:r>
        <w:rPr>
          <w:b w:val="0"/>
        </w:rPr>
        <w:t xml:space="preserve">  This</w:t>
      </w:r>
      <w:r w:rsidR="00C8636F">
        <w:rPr>
          <w:b w:val="0"/>
        </w:rPr>
        <w:t xml:space="preserve"> transfer</w:t>
      </w:r>
      <w:r w:rsidR="00B95B56">
        <w:rPr>
          <w:b w:val="0"/>
        </w:rPr>
        <w:t xml:space="preserve">, however, </w:t>
      </w:r>
      <w:r>
        <w:rPr>
          <w:b w:val="0"/>
        </w:rPr>
        <w:t xml:space="preserve">simply </w:t>
      </w:r>
      <w:r w:rsidR="00B95B56">
        <w:rPr>
          <w:b w:val="0"/>
        </w:rPr>
        <w:t xml:space="preserve">is </w:t>
      </w:r>
      <w:r>
        <w:rPr>
          <w:b w:val="0"/>
        </w:rPr>
        <w:t xml:space="preserve">another business decision that Environmentel has made, and Environmentel does not cite any precedent by which we have </w:t>
      </w:r>
      <w:r w:rsidR="00B95B56">
        <w:rPr>
          <w:b w:val="0"/>
        </w:rPr>
        <w:t>accepted</w:t>
      </w:r>
      <w:r>
        <w:rPr>
          <w:b w:val="0"/>
        </w:rPr>
        <w:t xml:space="preserve"> a licensee’s </w:t>
      </w:r>
      <w:r w:rsidR="00C8636F">
        <w:rPr>
          <w:b w:val="0"/>
        </w:rPr>
        <w:t xml:space="preserve">contribution of spectrum to a </w:t>
      </w:r>
      <w:r>
        <w:rPr>
          <w:b w:val="0"/>
        </w:rPr>
        <w:t xml:space="preserve">non-profit </w:t>
      </w:r>
      <w:r w:rsidR="00C8636F">
        <w:rPr>
          <w:b w:val="0"/>
        </w:rPr>
        <w:t>entity</w:t>
      </w:r>
      <w:r>
        <w:rPr>
          <w:b w:val="0"/>
        </w:rPr>
        <w:t xml:space="preserve"> </w:t>
      </w:r>
      <w:r w:rsidR="00900A8C">
        <w:rPr>
          <w:b w:val="0"/>
        </w:rPr>
        <w:t xml:space="preserve">as a way </w:t>
      </w:r>
      <w:r w:rsidR="004B18A1">
        <w:rPr>
          <w:b w:val="0"/>
        </w:rPr>
        <w:t xml:space="preserve">to meet our </w:t>
      </w:r>
      <w:r w:rsidR="004B18A1" w:rsidRPr="00B52BA5">
        <w:rPr>
          <w:b w:val="0"/>
          <w:szCs w:val="22"/>
        </w:rPr>
        <w:t>Section 1.946</w:t>
      </w:r>
      <w:r w:rsidR="004B18A1">
        <w:rPr>
          <w:b w:val="0"/>
          <w:szCs w:val="22"/>
        </w:rPr>
        <w:t xml:space="preserve"> standard</w:t>
      </w:r>
      <w:r w:rsidR="00706F62">
        <w:rPr>
          <w:b w:val="0"/>
        </w:rPr>
        <w:t>.</w:t>
      </w:r>
    </w:p>
    <w:p w:rsidR="00C06D21" w:rsidRPr="00273B8D" w:rsidRDefault="00836C26" w:rsidP="00DE5686">
      <w:pPr>
        <w:pStyle w:val="Caption"/>
      </w:pPr>
      <w:r w:rsidRPr="003630BF">
        <w:rPr>
          <w:b w:val="0"/>
        </w:rPr>
        <w:t xml:space="preserve">Environmentel </w:t>
      </w:r>
      <w:r w:rsidR="0044235D" w:rsidRPr="003630BF">
        <w:rPr>
          <w:b w:val="0"/>
        </w:rPr>
        <w:t>additionally</w:t>
      </w:r>
      <w:r w:rsidRPr="003630BF">
        <w:rPr>
          <w:b w:val="0"/>
        </w:rPr>
        <w:t xml:space="preserve"> </w:t>
      </w:r>
      <w:r w:rsidR="000750E6" w:rsidRPr="003630BF">
        <w:rPr>
          <w:b w:val="0"/>
        </w:rPr>
        <w:t>argues</w:t>
      </w:r>
      <w:r w:rsidRPr="003630BF">
        <w:rPr>
          <w:b w:val="0"/>
        </w:rPr>
        <w:t xml:space="preserve"> that the Commission sho</w:t>
      </w:r>
      <w:r w:rsidR="000750E6" w:rsidRPr="003630BF">
        <w:rPr>
          <w:b w:val="0"/>
        </w:rPr>
        <w:t>uld grant its Extension Request</w:t>
      </w:r>
      <w:r w:rsidR="00900A8C" w:rsidRPr="003630BF">
        <w:rPr>
          <w:b w:val="0"/>
        </w:rPr>
        <w:t xml:space="preserve"> </w:t>
      </w:r>
      <w:r w:rsidRPr="003630BF">
        <w:rPr>
          <w:b w:val="0"/>
        </w:rPr>
        <w:t xml:space="preserve">because we previously granted an extension </w:t>
      </w:r>
      <w:r w:rsidR="00970FE0">
        <w:rPr>
          <w:b w:val="0"/>
        </w:rPr>
        <w:t xml:space="preserve">in 2009 </w:t>
      </w:r>
      <w:r w:rsidRPr="003630BF">
        <w:rPr>
          <w:b w:val="0"/>
        </w:rPr>
        <w:t xml:space="preserve">to </w:t>
      </w:r>
      <w:r w:rsidR="00DE5686" w:rsidRPr="003630BF">
        <w:rPr>
          <w:b w:val="0"/>
        </w:rPr>
        <w:t xml:space="preserve">another 220 MHz licensee, </w:t>
      </w:r>
      <w:r w:rsidRPr="003630BF">
        <w:rPr>
          <w:b w:val="0"/>
        </w:rPr>
        <w:t>PTC-220</w:t>
      </w:r>
      <w:r w:rsidR="003D434E" w:rsidRPr="003630BF">
        <w:rPr>
          <w:b w:val="0"/>
        </w:rPr>
        <w:t>, LLC (</w:t>
      </w:r>
      <w:r w:rsidR="002B6F6D" w:rsidRPr="003630BF">
        <w:rPr>
          <w:b w:val="0"/>
        </w:rPr>
        <w:t>“</w:t>
      </w:r>
      <w:r w:rsidR="003D434E" w:rsidRPr="003630BF">
        <w:rPr>
          <w:b w:val="0"/>
        </w:rPr>
        <w:t>PTC-220</w:t>
      </w:r>
      <w:r w:rsidR="002B6F6D" w:rsidRPr="003630BF">
        <w:rPr>
          <w:b w:val="0"/>
        </w:rPr>
        <w:t>”</w:t>
      </w:r>
      <w:r w:rsidR="003D434E" w:rsidRPr="003630BF">
        <w:rPr>
          <w:b w:val="0"/>
        </w:rPr>
        <w:t>)</w:t>
      </w:r>
      <w:r w:rsidR="006114AB" w:rsidRPr="003630BF">
        <w:rPr>
          <w:b w:val="0"/>
        </w:rPr>
        <w:t>.</w:t>
      </w:r>
      <w:r w:rsidRPr="003630BF">
        <w:rPr>
          <w:rStyle w:val="FootnoteReference"/>
          <w:b w:val="0"/>
          <w:szCs w:val="22"/>
        </w:rPr>
        <w:footnoteReference w:id="37"/>
      </w:r>
      <w:r w:rsidR="004F1634" w:rsidRPr="003630BF">
        <w:rPr>
          <w:b w:val="0"/>
        </w:rPr>
        <w:t xml:space="preserve">  Environmentel argues that its Extension Request</w:t>
      </w:r>
      <w:r w:rsidR="00EE76BD" w:rsidRPr="003630BF">
        <w:rPr>
          <w:b w:val="0"/>
        </w:rPr>
        <w:t xml:space="preserve"> </w:t>
      </w:r>
      <w:r w:rsidR="00FD5A39" w:rsidRPr="003630BF">
        <w:rPr>
          <w:b w:val="0"/>
        </w:rPr>
        <w:t>is</w:t>
      </w:r>
      <w:r w:rsidR="004F1634" w:rsidRPr="003630BF">
        <w:rPr>
          <w:b w:val="0"/>
        </w:rPr>
        <w:t xml:space="preserve"> “</w:t>
      </w:r>
      <w:r w:rsidR="00A0274D" w:rsidRPr="003630BF">
        <w:rPr>
          <w:b w:val="0"/>
        </w:rPr>
        <w:t>more compelling in the public interest than the FCC grant o</w:t>
      </w:r>
      <w:r w:rsidR="004F1634" w:rsidRPr="003630BF">
        <w:rPr>
          <w:b w:val="0"/>
        </w:rPr>
        <w:t>f PTC 220 LLC extension request.”</w:t>
      </w:r>
      <w:r w:rsidR="003D434E" w:rsidRPr="003630BF">
        <w:rPr>
          <w:rStyle w:val="FootnoteReference"/>
          <w:b w:val="0"/>
          <w:szCs w:val="22"/>
        </w:rPr>
        <w:footnoteReference w:id="38"/>
      </w:r>
      <w:r w:rsidR="003D434E" w:rsidRPr="003630BF">
        <w:rPr>
          <w:b w:val="0"/>
        </w:rPr>
        <w:t xml:space="preserve">  </w:t>
      </w:r>
      <w:r w:rsidR="00F743E2" w:rsidRPr="003630BF">
        <w:rPr>
          <w:b w:val="0"/>
        </w:rPr>
        <w:t xml:space="preserve">We disagree.  </w:t>
      </w:r>
      <w:r w:rsidR="003D434E" w:rsidRPr="003630BF">
        <w:rPr>
          <w:b w:val="0"/>
        </w:rPr>
        <w:t xml:space="preserve">The circumstances </w:t>
      </w:r>
      <w:r w:rsidR="003630BF" w:rsidRPr="003630BF">
        <w:rPr>
          <w:b w:val="0"/>
        </w:rPr>
        <w:t xml:space="preserve">cited by Environmentel </w:t>
      </w:r>
      <w:r w:rsidR="003D434E" w:rsidRPr="003630BF">
        <w:rPr>
          <w:b w:val="0"/>
        </w:rPr>
        <w:t xml:space="preserve">are </w:t>
      </w:r>
      <w:r w:rsidR="00465D54" w:rsidRPr="003630BF">
        <w:rPr>
          <w:b w:val="0"/>
        </w:rPr>
        <w:t xml:space="preserve">unlike </w:t>
      </w:r>
      <w:r w:rsidR="00DE5686" w:rsidRPr="003630BF">
        <w:rPr>
          <w:b w:val="0"/>
        </w:rPr>
        <w:t>those</w:t>
      </w:r>
      <w:r w:rsidR="00F743E2" w:rsidRPr="003630BF">
        <w:rPr>
          <w:b w:val="0"/>
        </w:rPr>
        <w:t xml:space="preserve"> that warranted </w:t>
      </w:r>
      <w:r w:rsidR="005C6DCB">
        <w:rPr>
          <w:b w:val="0"/>
        </w:rPr>
        <w:t xml:space="preserve">the </w:t>
      </w:r>
      <w:r w:rsidR="003630BF" w:rsidRPr="003630BF">
        <w:rPr>
          <w:b w:val="0"/>
        </w:rPr>
        <w:t xml:space="preserve">relief </w:t>
      </w:r>
      <w:r w:rsidR="00465D54" w:rsidRPr="003630BF">
        <w:rPr>
          <w:b w:val="0"/>
        </w:rPr>
        <w:t>grant</w:t>
      </w:r>
      <w:r w:rsidR="003630BF" w:rsidRPr="003630BF">
        <w:rPr>
          <w:b w:val="0"/>
        </w:rPr>
        <w:t>ed</w:t>
      </w:r>
      <w:r w:rsidR="00465D54" w:rsidRPr="003630BF">
        <w:rPr>
          <w:b w:val="0"/>
        </w:rPr>
        <w:t xml:space="preserve"> </w:t>
      </w:r>
      <w:r w:rsidR="00273B8D" w:rsidRPr="003630BF">
        <w:rPr>
          <w:b w:val="0"/>
        </w:rPr>
        <w:t xml:space="preserve">to PTC-220.  In the </w:t>
      </w:r>
      <w:r w:rsidR="00273B8D" w:rsidRPr="003630BF">
        <w:rPr>
          <w:b w:val="0"/>
          <w:i/>
        </w:rPr>
        <w:t>PTC-220 Order</w:t>
      </w:r>
      <w:r w:rsidR="00273B8D" w:rsidRPr="003630BF">
        <w:rPr>
          <w:b w:val="0"/>
        </w:rPr>
        <w:t>, t</w:t>
      </w:r>
      <w:r w:rsidR="00E23129" w:rsidRPr="003630BF">
        <w:rPr>
          <w:b w:val="0"/>
        </w:rPr>
        <w:t xml:space="preserve">he </w:t>
      </w:r>
      <w:r w:rsidR="006879DB" w:rsidRPr="003630BF">
        <w:rPr>
          <w:b w:val="0"/>
        </w:rPr>
        <w:t>Bureau</w:t>
      </w:r>
      <w:r w:rsidR="00E23129" w:rsidRPr="003630BF">
        <w:rPr>
          <w:b w:val="0"/>
        </w:rPr>
        <w:t xml:space="preserve"> found that </w:t>
      </w:r>
      <w:r w:rsidR="003D434E" w:rsidRPr="003630BF">
        <w:rPr>
          <w:b w:val="0"/>
        </w:rPr>
        <w:t>PTC-220</w:t>
      </w:r>
      <w:r w:rsidR="007F5856" w:rsidRPr="003630BF">
        <w:rPr>
          <w:b w:val="0"/>
        </w:rPr>
        <w:t xml:space="preserve">’s </w:t>
      </w:r>
      <w:r w:rsidR="00DE5686" w:rsidRPr="003630BF">
        <w:rPr>
          <w:b w:val="0"/>
        </w:rPr>
        <w:t xml:space="preserve">request was </w:t>
      </w:r>
      <w:r w:rsidR="003630BF" w:rsidRPr="003630BF">
        <w:rPr>
          <w:b w:val="0"/>
        </w:rPr>
        <w:t xml:space="preserve">uniquely </w:t>
      </w:r>
      <w:r w:rsidR="00DE5686" w:rsidRPr="003630BF">
        <w:rPr>
          <w:b w:val="0"/>
        </w:rPr>
        <w:t xml:space="preserve">founded on its railroad members’ legal obligation to deploy life-saving interoperable, positive train control systems as directed by Congress in </w:t>
      </w:r>
      <w:r w:rsidR="00DE5686" w:rsidRPr="003630BF">
        <w:rPr>
          <w:b w:val="0"/>
          <w:szCs w:val="22"/>
        </w:rPr>
        <w:t>the Rail Safety Improvement Act of 2008</w:t>
      </w:r>
      <w:r w:rsidR="003D434E" w:rsidRPr="003630BF">
        <w:rPr>
          <w:b w:val="0"/>
        </w:rPr>
        <w:t xml:space="preserve"> as part of a </w:t>
      </w:r>
      <w:r w:rsidR="003630BF" w:rsidRPr="003630BF">
        <w:rPr>
          <w:b w:val="0"/>
        </w:rPr>
        <w:t>natio</w:t>
      </w:r>
      <w:r w:rsidR="005C6DCB">
        <w:rPr>
          <w:b w:val="0"/>
        </w:rPr>
        <w:t>n</w:t>
      </w:r>
      <w:r w:rsidR="003630BF" w:rsidRPr="003630BF">
        <w:rPr>
          <w:b w:val="0"/>
        </w:rPr>
        <w:t>wide</w:t>
      </w:r>
      <w:r w:rsidR="003D434E" w:rsidRPr="003630BF">
        <w:rPr>
          <w:b w:val="0"/>
        </w:rPr>
        <w:t>, long-term strategy for improving railroad safety.</w:t>
      </w:r>
      <w:r w:rsidR="003D434E" w:rsidRPr="003630BF">
        <w:rPr>
          <w:rStyle w:val="FootnoteReference"/>
          <w:b w:val="0"/>
          <w:szCs w:val="22"/>
        </w:rPr>
        <w:footnoteReference w:id="39"/>
      </w:r>
      <w:r w:rsidR="00594E08" w:rsidRPr="003630BF">
        <w:rPr>
          <w:b w:val="0"/>
        </w:rPr>
        <w:t xml:space="preserve">  </w:t>
      </w:r>
      <w:r w:rsidR="00DE5686" w:rsidRPr="003630BF">
        <w:rPr>
          <w:b w:val="0"/>
        </w:rPr>
        <w:t xml:space="preserve">Citing </w:t>
      </w:r>
      <w:r w:rsidR="00E23129" w:rsidRPr="003630BF">
        <w:rPr>
          <w:b w:val="0"/>
        </w:rPr>
        <w:t>the</w:t>
      </w:r>
      <w:r w:rsidR="0000167A">
        <w:rPr>
          <w:b w:val="0"/>
        </w:rPr>
        <w:t xml:space="preserve"> unique</w:t>
      </w:r>
      <w:r w:rsidR="00E23129" w:rsidRPr="003630BF">
        <w:rPr>
          <w:b w:val="0"/>
        </w:rPr>
        <w:t xml:space="preserve"> Congressional mandate</w:t>
      </w:r>
      <w:r w:rsidR="0000167A">
        <w:rPr>
          <w:b w:val="0"/>
        </w:rPr>
        <w:t xml:space="preserve"> and noting that the railroads would file their PTC implementation plans for approval by the Federal Railroad Administration in 2010, after the </w:t>
      </w:r>
      <w:r w:rsidR="00A025C4">
        <w:rPr>
          <w:b w:val="0"/>
        </w:rPr>
        <w:t xml:space="preserve">applicable </w:t>
      </w:r>
      <w:r w:rsidR="0000167A">
        <w:rPr>
          <w:b w:val="0"/>
        </w:rPr>
        <w:t>construction deadline</w:t>
      </w:r>
      <w:r w:rsidR="00E23129" w:rsidRPr="003630BF">
        <w:rPr>
          <w:b w:val="0"/>
        </w:rPr>
        <w:t xml:space="preserve">, the </w:t>
      </w:r>
      <w:r w:rsidR="006879DB" w:rsidRPr="003630BF">
        <w:rPr>
          <w:b w:val="0"/>
        </w:rPr>
        <w:t>Bureau</w:t>
      </w:r>
      <w:r w:rsidR="00E23129" w:rsidRPr="003630BF">
        <w:rPr>
          <w:b w:val="0"/>
        </w:rPr>
        <w:t xml:space="preserve"> found that </w:t>
      </w:r>
      <w:r w:rsidR="00970FE0">
        <w:rPr>
          <w:b w:val="0"/>
        </w:rPr>
        <w:t xml:space="preserve">an extension of time to enable implementation of PTC systems </w:t>
      </w:r>
      <w:r w:rsidR="00E23129" w:rsidRPr="003630BF">
        <w:rPr>
          <w:b w:val="0"/>
        </w:rPr>
        <w:t xml:space="preserve">would serve the </w:t>
      </w:r>
      <w:r w:rsidR="00970FE0">
        <w:rPr>
          <w:b w:val="0"/>
        </w:rPr>
        <w:t xml:space="preserve">public interest, particularly the </w:t>
      </w:r>
      <w:r w:rsidR="00E23129" w:rsidRPr="003630BF">
        <w:rPr>
          <w:b w:val="0"/>
        </w:rPr>
        <w:t xml:space="preserve">Commission's </w:t>
      </w:r>
      <w:r w:rsidR="005C6DCB">
        <w:rPr>
          <w:b w:val="0"/>
        </w:rPr>
        <w:t xml:space="preserve">statutory mandate </w:t>
      </w:r>
      <w:r w:rsidR="00E23129" w:rsidRPr="003630BF">
        <w:rPr>
          <w:b w:val="0"/>
        </w:rPr>
        <w:t>of “promoting safety of life and property through the use of wire</w:t>
      </w:r>
      <w:r w:rsidR="00E23129" w:rsidRPr="00273B8D">
        <w:t xml:space="preserve"> </w:t>
      </w:r>
      <w:r w:rsidR="00E23129" w:rsidRPr="003630BF">
        <w:rPr>
          <w:b w:val="0"/>
        </w:rPr>
        <w:t>and radio communications</w:t>
      </w:r>
      <w:r w:rsidR="006879DB" w:rsidRPr="003630BF">
        <w:rPr>
          <w:b w:val="0"/>
        </w:rPr>
        <w:t>.</w:t>
      </w:r>
      <w:r w:rsidR="00E23129" w:rsidRPr="003630BF">
        <w:rPr>
          <w:b w:val="0"/>
        </w:rPr>
        <w:t>”</w:t>
      </w:r>
      <w:r w:rsidR="006879DB" w:rsidRPr="003630BF">
        <w:rPr>
          <w:rStyle w:val="FootnoteReference"/>
          <w:b w:val="0"/>
          <w:szCs w:val="22"/>
        </w:rPr>
        <w:footnoteReference w:id="40"/>
      </w:r>
      <w:r w:rsidR="009134A3" w:rsidRPr="003630BF">
        <w:rPr>
          <w:b w:val="0"/>
        </w:rPr>
        <w:t xml:space="preserve"> </w:t>
      </w:r>
      <w:r w:rsidR="006879DB" w:rsidRPr="003630BF">
        <w:rPr>
          <w:b w:val="0"/>
        </w:rPr>
        <w:t xml:space="preserve"> The Bureau also </w:t>
      </w:r>
      <w:r w:rsidR="0000167A">
        <w:rPr>
          <w:b w:val="0"/>
        </w:rPr>
        <w:t xml:space="preserve">required PTC-220 to file regular progress reports </w:t>
      </w:r>
      <w:r w:rsidR="006879DB" w:rsidRPr="003630BF">
        <w:rPr>
          <w:b w:val="0"/>
        </w:rPr>
        <w:t xml:space="preserve">to ensure the spectrum would be </w:t>
      </w:r>
      <w:r w:rsidR="00970FE0">
        <w:rPr>
          <w:b w:val="0"/>
        </w:rPr>
        <w:t xml:space="preserve">used intensively for PTC </w:t>
      </w:r>
      <w:r w:rsidR="006879DB" w:rsidRPr="003630BF">
        <w:rPr>
          <w:b w:val="0"/>
        </w:rPr>
        <w:t>implement</w:t>
      </w:r>
      <w:r w:rsidR="00970FE0">
        <w:rPr>
          <w:b w:val="0"/>
        </w:rPr>
        <w:t>ation</w:t>
      </w:r>
      <w:r w:rsidR="006879DB" w:rsidRPr="003630BF">
        <w:rPr>
          <w:b w:val="0"/>
        </w:rPr>
        <w:t>.</w:t>
      </w:r>
      <w:r w:rsidR="006879DB" w:rsidRPr="003630BF">
        <w:rPr>
          <w:rStyle w:val="FootnoteReference"/>
          <w:b w:val="0"/>
          <w:szCs w:val="22"/>
        </w:rPr>
        <w:footnoteReference w:id="41"/>
      </w:r>
      <w:r w:rsidR="002307F3">
        <w:t xml:space="preserve">  </w:t>
      </w:r>
    </w:p>
    <w:p w:rsidR="00C06D21" w:rsidRPr="00273B8D" w:rsidRDefault="00252860" w:rsidP="00C06D21">
      <w:pPr>
        <w:pStyle w:val="Caption"/>
        <w:rPr>
          <w:b w:val="0"/>
          <w:szCs w:val="22"/>
        </w:rPr>
      </w:pPr>
      <w:r>
        <w:rPr>
          <w:b w:val="0"/>
          <w:szCs w:val="22"/>
        </w:rPr>
        <w:t>Finally</w:t>
      </w:r>
      <w:r w:rsidR="00967952">
        <w:rPr>
          <w:b w:val="0"/>
          <w:szCs w:val="22"/>
        </w:rPr>
        <w:t>, Environmentel argues that</w:t>
      </w:r>
      <w:r w:rsidR="00967952" w:rsidRPr="00273B8D">
        <w:rPr>
          <w:b w:val="0"/>
          <w:szCs w:val="22"/>
        </w:rPr>
        <w:t xml:space="preserve"> </w:t>
      </w:r>
      <w:r w:rsidR="00967952">
        <w:rPr>
          <w:b w:val="0"/>
          <w:szCs w:val="22"/>
        </w:rPr>
        <w:t xml:space="preserve">the Commission </w:t>
      </w:r>
      <w:r w:rsidR="00967952" w:rsidRPr="00273B8D">
        <w:rPr>
          <w:b w:val="0"/>
          <w:szCs w:val="22"/>
        </w:rPr>
        <w:t xml:space="preserve">systematically </w:t>
      </w:r>
      <w:r w:rsidR="008139B3">
        <w:rPr>
          <w:b w:val="0"/>
          <w:szCs w:val="22"/>
        </w:rPr>
        <w:t xml:space="preserve">has </w:t>
      </w:r>
      <w:r w:rsidR="00967952" w:rsidRPr="00273B8D">
        <w:rPr>
          <w:b w:val="0"/>
          <w:szCs w:val="22"/>
        </w:rPr>
        <w:t>treated Warren Havens and the Havens Affiliates unfairly.</w:t>
      </w:r>
      <w:r w:rsidR="00A138DC" w:rsidRPr="00E061BB">
        <w:rPr>
          <w:rStyle w:val="FootnoteReference"/>
          <w:b w:val="0"/>
          <w:szCs w:val="22"/>
        </w:rPr>
        <w:footnoteReference w:id="42"/>
      </w:r>
      <w:r w:rsidR="00967952">
        <w:rPr>
          <w:b w:val="0"/>
          <w:szCs w:val="22"/>
        </w:rPr>
        <w:t xml:space="preserve">  </w:t>
      </w:r>
      <w:r w:rsidR="00220810">
        <w:rPr>
          <w:b w:val="0"/>
          <w:szCs w:val="22"/>
        </w:rPr>
        <w:t>Warren</w:t>
      </w:r>
      <w:r w:rsidR="00967952">
        <w:rPr>
          <w:b w:val="0"/>
          <w:szCs w:val="22"/>
        </w:rPr>
        <w:t xml:space="preserve"> Havens has made this argument </w:t>
      </w:r>
      <w:r w:rsidR="008139B3">
        <w:rPr>
          <w:b w:val="0"/>
          <w:szCs w:val="22"/>
        </w:rPr>
        <w:t xml:space="preserve">repeatedly </w:t>
      </w:r>
      <w:r w:rsidR="00967952">
        <w:rPr>
          <w:b w:val="0"/>
          <w:szCs w:val="22"/>
        </w:rPr>
        <w:t xml:space="preserve">in his </w:t>
      </w:r>
      <w:r w:rsidR="00140794">
        <w:rPr>
          <w:b w:val="0"/>
          <w:szCs w:val="22"/>
        </w:rPr>
        <w:t xml:space="preserve">various </w:t>
      </w:r>
      <w:r w:rsidR="00967952">
        <w:rPr>
          <w:b w:val="0"/>
          <w:szCs w:val="22"/>
        </w:rPr>
        <w:t xml:space="preserve">filings, and we consistently </w:t>
      </w:r>
      <w:r w:rsidR="008139B3">
        <w:rPr>
          <w:b w:val="0"/>
          <w:szCs w:val="22"/>
        </w:rPr>
        <w:t xml:space="preserve">have </w:t>
      </w:r>
      <w:r w:rsidR="00CC2038">
        <w:rPr>
          <w:b w:val="0"/>
          <w:szCs w:val="22"/>
        </w:rPr>
        <w:t>rejected it</w:t>
      </w:r>
      <w:r w:rsidR="00967952">
        <w:rPr>
          <w:b w:val="0"/>
          <w:szCs w:val="22"/>
        </w:rPr>
        <w:t>.</w:t>
      </w:r>
      <w:r w:rsidR="00967952">
        <w:rPr>
          <w:rStyle w:val="FootnoteReference"/>
          <w:b w:val="0"/>
          <w:szCs w:val="22"/>
        </w:rPr>
        <w:footnoteReference w:id="43"/>
      </w:r>
      <w:r w:rsidR="00967952">
        <w:rPr>
          <w:b w:val="0"/>
          <w:szCs w:val="22"/>
        </w:rPr>
        <w:t xml:space="preserve">  D</w:t>
      </w:r>
      <w:r w:rsidR="00851E90" w:rsidRPr="00273B8D">
        <w:rPr>
          <w:b w:val="0"/>
          <w:szCs w:val="22"/>
        </w:rPr>
        <w:t xml:space="preserve">espite </w:t>
      </w:r>
      <w:r w:rsidR="003739A5" w:rsidRPr="00273B8D">
        <w:rPr>
          <w:b w:val="0"/>
          <w:szCs w:val="22"/>
        </w:rPr>
        <w:t>Environmentel</w:t>
      </w:r>
      <w:r w:rsidR="00851E90" w:rsidRPr="00273B8D">
        <w:rPr>
          <w:b w:val="0"/>
          <w:szCs w:val="22"/>
        </w:rPr>
        <w:t xml:space="preserve">’s arguments to the contrary, </w:t>
      </w:r>
      <w:r w:rsidR="00E23129" w:rsidRPr="00273B8D">
        <w:rPr>
          <w:b w:val="0"/>
          <w:szCs w:val="22"/>
        </w:rPr>
        <w:t>our</w:t>
      </w:r>
      <w:r w:rsidR="00FF0FD9" w:rsidRPr="00273B8D">
        <w:rPr>
          <w:b w:val="0"/>
          <w:szCs w:val="22"/>
        </w:rPr>
        <w:t xml:space="preserve"> finding</w:t>
      </w:r>
      <w:r w:rsidR="00D164A5" w:rsidRPr="00273B8D">
        <w:rPr>
          <w:b w:val="0"/>
          <w:szCs w:val="22"/>
        </w:rPr>
        <w:t>s</w:t>
      </w:r>
      <w:r w:rsidR="00FF0FD9" w:rsidRPr="00273B8D">
        <w:rPr>
          <w:b w:val="0"/>
          <w:szCs w:val="22"/>
        </w:rPr>
        <w:t xml:space="preserve"> </w:t>
      </w:r>
      <w:r w:rsidR="00E23129" w:rsidRPr="00273B8D">
        <w:rPr>
          <w:b w:val="0"/>
          <w:szCs w:val="22"/>
        </w:rPr>
        <w:t xml:space="preserve">here </w:t>
      </w:r>
      <w:r w:rsidR="00D164A5" w:rsidRPr="00273B8D">
        <w:rPr>
          <w:b w:val="0"/>
          <w:szCs w:val="22"/>
        </w:rPr>
        <w:t xml:space="preserve">are </w:t>
      </w:r>
      <w:r w:rsidR="00FF0FD9" w:rsidRPr="00273B8D">
        <w:rPr>
          <w:b w:val="0"/>
          <w:szCs w:val="22"/>
        </w:rPr>
        <w:t xml:space="preserve">consistent with our </w:t>
      </w:r>
      <w:r w:rsidR="00C368DC" w:rsidRPr="00273B8D">
        <w:rPr>
          <w:b w:val="0"/>
          <w:szCs w:val="22"/>
        </w:rPr>
        <w:t>treatment of other</w:t>
      </w:r>
      <w:r w:rsidR="00FF0FD9" w:rsidRPr="00273B8D">
        <w:rPr>
          <w:b w:val="0"/>
          <w:szCs w:val="22"/>
        </w:rPr>
        <w:t xml:space="preserve"> 220 MHz licensees that sought </w:t>
      </w:r>
      <w:r w:rsidR="008139B3">
        <w:rPr>
          <w:b w:val="0"/>
          <w:szCs w:val="22"/>
        </w:rPr>
        <w:t>long-</w:t>
      </w:r>
      <w:r w:rsidR="00574760">
        <w:rPr>
          <w:b w:val="0"/>
          <w:szCs w:val="22"/>
        </w:rPr>
        <w:t>term</w:t>
      </w:r>
      <w:r w:rsidR="00DD6947" w:rsidRPr="00273B8D">
        <w:rPr>
          <w:b w:val="0"/>
          <w:szCs w:val="22"/>
        </w:rPr>
        <w:t xml:space="preserve"> relief</w:t>
      </w:r>
      <w:r w:rsidR="00334C56" w:rsidRPr="00273B8D">
        <w:rPr>
          <w:b w:val="0"/>
          <w:szCs w:val="22"/>
        </w:rPr>
        <w:t xml:space="preserve"> from their construction deadlines</w:t>
      </w:r>
      <w:r w:rsidR="00574760">
        <w:rPr>
          <w:b w:val="0"/>
          <w:szCs w:val="22"/>
        </w:rPr>
        <w:t>.</w:t>
      </w:r>
      <w:r w:rsidR="00DD6947" w:rsidRPr="00273B8D">
        <w:rPr>
          <w:b w:val="0"/>
          <w:szCs w:val="22"/>
        </w:rPr>
        <w:t xml:space="preserve">  </w:t>
      </w:r>
      <w:r w:rsidR="00FF0FD9" w:rsidRPr="00273B8D">
        <w:rPr>
          <w:b w:val="0"/>
          <w:szCs w:val="22"/>
        </w:rPr>
        <w:t>In these case</w:t>
      </w:r>
      <w:r w:rsidR="00C368DC" w:rsidRPr="00273B8D">
        <w:rPr>
          <w:b w:val="0"/>
          <w:szCs w:val="22"/>
        </w:rPr>
        <w:t xml:space="preserve">s, we denied licensees’ requests for extensions based largely on the fact that </w:t>
      </w:r>
      <w:r w:rsidR="0058242F" w:rsidRPr="00273B8D">
        <w:rPr>
          <w:b w:val="0"/>
          <w:szCs w:val="22"/>
        </w:rPr>
        <w:t xml:space="preserve">viable </w:t>
      </w:r>
      <w:r w:rsidR="00C368DC" w:rsidRPr="00273B8D">
        <w:rPr>
          <w:b w:val="0"/>
          <w:szCs w:val="22"/>
        </w:rPr>
        <w:t>equipment was available and that other licensees had effectively used that equipment to meet their construction requirements and begin providing service within their license areas.</w:t>
      </w:r>
      <w:r w:rsidR="00C368DC" w:rsidRPr="00273B8D">
        <w:rPr>
          <w:rStyle w:val="FootnoteReference"/>
          <w:b w:val="0"/>
          <w:szCs w:val="22"/>
        </w:rPr>
        <w:footnoteReference w:id="44"/>
      </w:r>
      <w:r w:rsidR="00F84475">
        <w:rPr>
          <w:b w:val="0"/>
          <w:szCs w:val="22"/>
        </w:rPr>
        <w:t xml:space="preserve">  </w:t>
      </w:r>
      <w:r w:rsidR="007B4F4C">
        <w:rPr>
          <w:b w:val="0"/>
          <w:szCs w:val="22"/>
        </w:rPr>
        <w:t>We also note that where a Havens’ Affiliate has demonstrated that an extension is warranted, we have acted favorably on those requests.</w:t>
      </w:r>
      <w:r w:rsidR="007B4F4C">
        <w:rPr>
          <w:rStyle w:val="FootnoteReference"/>
          <w:b w:val="0"/>
          <w:szCs w:val="22"/>
        </w:rPr>
        <w:footnoteReference w:id="45"/>
      </w:r>
      <w:r w:rsidR="00E5127F">
        <w:rPr>
          <w:b w:val="0"/>
          <w:szCs w:val="22"/>
        </w:rPr>
        <w:t xml:space="preserve">  </w:t>
      </w:r>
    </w:p>
    <w:p w:rsidR="00BB622F" w:rsidRPr="00BB622F" w:rsidRDefault="00297099" w:rsidP="00574760">
      <w:pPr>
        <w:pStyle w:val="Caption"/>
        <w:rPr>
          <w:szCs w:val="22"/>
        </w:rPr>
      </w:pPr>
      <w:r>
        <w:rPr>
          <w:b w:val="0"/>
          <w:szCs w:val="22"/>
        </w:rPr>
        <w:t xml:space="preserve">Warren Havens and the </w:t>
      </w:r>
      <w:r w:rsidR="007C7072" w:rsidRPr="00FD40F7">
        <w:rPr>
          <w:b w:val="0"/>
          <w:szCs w:val="22"/>
        </w:rPr>
        <w:t>Havens</w:t>
      </w:r>
      <w:r w:rsidR="007C7072">
        <w:rPr>
          <w:b w:val="0"/>
          <w:szCs w:val="22"/>
        </w:rPr>
        <w:t xml:space="preserve"> A</w:t>
      </w:r>
      <w:r w:rsidR="007C7072" w:rsidRPr="00FD40F7">
        <w:rPr>
          <w:b w:val="0"/>
          <w:szCs w:val="22"/>
        </w:rPr>
        <w:t>ffiliates have held a significant number of 220 MHz licenses since 1999</w:t>
      </w:r>
      <w:r w:rsidR="007C7072">
        <w:rPr>
          <w:b w:val="0"/>
          <w:szCs w:val="22"/>
        </w:rPr>
        <w:t xml:space="preserve"> </w:t>
      </w:r>
      <w:r w:rsidR="007C7072" w:rsidRPr="00FD40F7">
        <w:rPr>
          <w:b w:val="0"/>
          <w:szCs w:val="22"/>
        </w:rPr>
        <w:t>without providing any service</w:t>
      </w:r>
      <w:r w:rsidR="007C7072">
        <w:rPr>
          <w:b w:val="0"/>
          <w:szCs w:val="22"/>
        </w:rPr>
        <w:t xml:space="preserve">; Environmentel </w:t>
      </w:r>
      <w:r w:rsidR="007C7072" w:rsidRPr="00FD40F7">
        <w:rPr>
          <w:b w:val="0"/>
          <w:szCs w:val="22"/>
        </w:rPr>
        <w:t xml:space="preserve">now seeks an additional </w:t>
      </w:r>
      <w:r w:rsidR="00FB161B">
        <w:rPr>
          <w:b w:val="0"/>
          <w:szCs w:val="22"/>
        </w:rPr>
        <w:t>f</w:t>
      </w:r>
      <w:r w:rsidR="00184501">
        <w:rPr>
          <w:b w:val="0"/>
          <w:szCs w:val="22"/>
        </w:rPr>
        <w:t>orty-</w:t>
      </w:r>
      <w:r w:rsidR="00FB161B">
        <w:rPr>
          <w:b w:val="0"/>
          <w:szCs w:val="22"/>
        </w:rPr>
        <w:t>five</w:t>
      </w:r>
      <w:r w:rsidR="00FB161B" w:rsidRPr="00FD40F7">
        <w:rPr>
          <w:b w:val="0"/>
          <w:szCs w:val="22"/>
        </w:rPr>
        <w:t xml:space="preserve"> </w:t>
      </w:r>
      <w:r w:rsidR="007C7072" w:rsidRPr="00FD40F7">
        <w:rPr>
          <w:b w:val="0"/>
          <w:szCs w:val="22"/>
        </w:rPr>
        <w:t xml:space="preserve">months to </w:t>
      </w:r>
      <w:r w:rsidR="00F507AF">
        <w:rPr>
          <w:b w:val="0"/>
          <w:szCs w:val="22"/>
        </w:rPr>
        <w:t>meet its regulatory obligation</w:t>
      </w:r>
      <w:r w:rsidR="007C7072" w:rsidRPr="00FD40F7">
        <w:rPr>
          <w:b w:val="0"/>
          <w:szCs w:val="22"/>
        </w:rPr>
        <w:t xml:space="preserve"> </w:t>
      </w:r>
      <w:r w:rsidR="00F507AF">
        <w:rPr>
          <w:b w:val="0"/>
          <w:szCs w:val="22"/>
        </w:rPr>
        <w:t>due to a</w:t>
      </w:r>
      <w:r w:rsidR="007C7072" w:rsidRPr="00FD40F7">
        <w:rPr>
          <w:b w:val="0"/>
          <w:szCs w:val="22"/>
        </w:rPr>
        <w:t xml:space="preserve"> lack of equipment for a business plan</w:t>
      </w:r>
      <w:r w:rsidR="00887361">
        <w:rPr>
          <w:b w:val="0"/>
          <w:szCs w:val="22"/>
        </w:rPr>
        <w:t xml:space="preserve"> that appears to have continually evolved since 1999 to include concepts that are unsupported in the equipment market</w:t>
      </w:r>
      <w:r w:rsidR="007C7072">
        <w:rPr>
          <w:b w:val="0"/>
          <w:szCs w:val="22"/>
        </w:rPr>
        <w:t xml:space="preserve">.  </w:t>
      </w:r>
      <w:r w:rsidR="00FD40F7" w:rsidRPr="00FD40F7">
        <w:rPr>
          <w:b w:val="0"/>
          <w:szCs w:val="22"/>
        </w:rPr>
        <w:t>The Commission’s rules are designed to recover and reassign unused or underutilized spectrum</w:t>
      </w:r>
      <w:r w:rsidR="00F418A6" w:rsidRPr="00FD40F7">
        <w:rPr>
          <w:b w:val="0"/>
          <w:szCs w:val="22"/>
        </w:rPr>
        <w:t xml:space="preserve"> to prevent spectrum warehousing</w:t>
      </w:r>
      <w:r w:rsidR="00FD40F7" w:rsidRPr="00FD40F7">
        <w:rPr>
          <w:b w:val="0"/>
          <w:szCs w:val="22"/>
        </w:rPr>
        <w:t>, except in those limited instances where it is demonstrated that more time is warranted.</w:t>
      </w:r>
      <w:r w:rsidR="00201100">
        <w:rPr>
          <w:rStyle w:val="FootnoteReference"/>
          <w:b w:val="0"/>
          <w:szCs w:val="22"/>
        </w:rPr>
        <w:footnoteReference w:id="46"/>
      </w:r>
      <w:r w:rsidR="00FD40F7">
        <w:rPr>
          <w:b w:val="0"/>
          <w:szCs w:val="22"/>
        </w:rPr>
        <w:t xml:space="preserve">  In this case</w:t>
      </w:r>
      <w:r w:rsidR="00F418A6">
        <w:rPr>
          <w:b w:val="0"/>
          <w:szCs w:val="22"/>
        </w:rPr>
        <w:t xml:space="preserve">, the </w:t>
      </w:r>
      <w:r w:rsidR="00574760" w:rsidRPr="00FD40F7">
        <w:rPr>
          <w:b w:val="0"/>
          <w:szCs w:val="22"/>
        </w:rPr>
        <w:t xml:space="preserve">Commission </w:t>
      </w:r>
      <w:r w:rsidR="00F418A6">
        <w:rPr>
          <w:b w:val="0"/>
          <w:szCs w:val="22"/>
        </w:rPr>
        <w:t>requires that 220 MHz licenses be operating</w:t>
      </w:r>
      <w:r w:rsidR="00574760" w:rsidRPr="00FD40F7">
        <w:rPr>
          <w:b w:val="0"/>
          <w:szCs w:val="22"/>
        </w:rPr>
        <w:t xml:space="preserve"> within five years of license grant</w:t>
      </w:r>
      <w:r w:rsidR="00F418A6">
        <w:rPr>
          <w:b w:val="0"/>
          <w:szCs w:val="22"/>
        </w:rPr>
        <w:t>, not the ten years Environmentel contends should apply</w:t>
      </w:r>
      <w:r w:rsidR="00366600">
        <w:rPr>
          <w:b w:val="0"/>
          <w:szCs w:val="22"/>
        </w:rPr>
        <w:t xml:space="preserve">.  </w:t>
      </w:r>
      <w:r w:rsidR="007C7072">
        <w:rPr>
          <w:b w:val="0"/>
          <w:szCs w:val="22"/>
        </w:rPr>
        <w:t>W</w:t>
      </w:r>
      <w:r w:rsidR="00B3426E" w:rsidRPr="00FD40F7">
        <w:rPr>
          <w:b w:val="0"/>
          <w:szCs w:val="22"/>
        </w:rPr>
        <w:t xml:space="preserve">e find that an extension </w:t>
      </w:r>
      <w:r w:rsidR="006E5131">
        <w:rPr>
          <w:b w:val="0"/>
          <w:szCs w:val="22"/>
        </w:rPr>
        <w:t xml:space="preserve">here </w:t>
      </w:r>
      <w:r w:rsidR="00B3426E" w:rsidRPr="00FD40F7">
        <w:rPr>
          <w:b w:val="0"/>
          <w:szCs w:val="22"/>
        </w:rPr>
        <w:t xml:space="preserve">would </w:t>
      </w:r>
      <w:r w:rsidR="00184501" w:rsidRPr="00FD40F7">
        <w:rPr>
          <w:b w:val="0"/>
          <w:szCs w:val="22"/>
        </w:rPr>
        <w:t>un</w:t>
      </w:r>
      <w:r w:rsidR="00184501">
        <w:rPr>
          <w:b w:val="0"/>
          <w:szCs w:val="22"/>
        </w:rPr>
        <w:t>dermine</w:t>
      </w:r>
      <w:r w:rsidR="00184501" w:rsidRPr="00FD40F7">
        <w:rPr>
          <w:b w:val="0"/>
          <w:szCs w:val="22"/>
        </w:rPr>
        <w:t xml:space="preserve"> </w:t>
      </w:r>
      <w:r w:rsidR="00B3426E" w:rsidRPr="00FD40F7">
        <w:rPr>
          <w:b w:val="0"/>
          <w:szCs w:val="22"/>
        </w:rPr>
        <w:t xml:space="preserve">the purpose of the Commission’s rules and would not be in the public interest.  Given their history, </w:t>
      </w:r>
      <w:r w:rsidR="00220810">
        <w:rPr>
          <w:b w:val="0"/>
          <w:szCs w:val="22"/>
        </w:rPr>
        <w:t>Warren</w:t>
      </w:r>
      <w:r w:rsidR="00B3426E" w:rsidRPr="00FD40F7">
        <w:rPr>
          <w:b w:val="0"/>
          <w:szCs w:val="22"/>
        </w:rPr>
        <w:t xml:space="preserve"> Havens and Environmentel fully knew the regulatory requirements (as well as any technological challenges or equipment challenges that 5 kHz channels may present) of </w:t>
      </w:r>
      <w:r w:rsidR="006E5131">
        <w:rPr>
          <w:b w:val="0"/>
          <w:szCs w:val="22"/>
        </w:rPr>
        <w:t xml:space="preserve">the </w:t>
      </w:r>
      <w:r w:rsidR="00B3426E" w:rsidRPr="00FD40F7">
        <w:rPr>
          <w:b w:val="0"/>
          <w:szCs w:val="22"/>
        </w:rPr>
        <w:t xml:space="preserve">220 MHz licenses when they chose to obtain </w:t>
      </w:r>
      <w:r w:rsidR="006E5131">
        <w:rPr>
          <w:b w:val="0"/>
          <w:szCs w:val="22"/>
        </w:rPr>
        <w:t>them</w:t>
      </w:r>
      <w:r w:rsidR="00B3426E" w:rsidRPr="00FD40F7">
        <w:rPr>
          <w:b w:val="0"/>
          <w:szCs w:val="22"/>
        </w:rPr>
        <w:t xml:space="preserve"> in Auction </w:t>
      </w:r>
      <w:r w:rsidR="00B42072">
        <w:rPr>
          <w:b w:val="0"/>
          <w:szCs w:val="22"/>
        </w:rPr>
        <w:t>72</w:t>
      </w:r>
      <w:r w:rsidR="00B3426E" w:rsidRPr="00FD40F7">
        <w:rPr>
          <w:b w:val="0"/>
          <w:szCs w:val="22"/>
        </w:rPr>
        <w:t xml:space="preserve">.  </w:t>
      </w:r>
      <w:r w:rsidR="00FD40F7" w:rsidRPr="00FD40F7">
        <w:rPr>
          <w:b w:val="0"/>
          <w:szCs w:val="22"/>
        </w:rPr>
        <w:t>Nevertheless,</w:t>
      </w:r>
      <w:r w:rsidR="00B3426E" w:rsidRPr="00FD40F7">
        <w:rPr>
          <w:b w:val="0"/>
          <w:szCs w:val="22"/>
        </w:rPr>
        <w:t xml:space="preserve"> Environmentel</w:t>
      </w:r>
      <w:r w:rsidR="00FD40F7" w:rsidRPr="00FD40F7">
        <w:rPr>
          <w:b w:val="0"/>
          <w:szCs w:val="22"/>
        </w:rPr>
        <w:t xml:space="preserve"> now seeks a long</w:t>
      </w:r>
      <w:r w:rsidR="00324C9C">
        <w:rPr>
          <w:b w:val="0"/>
          <w:szCs w:val="22"/>
        </w:rPr>
        <w:t>-</w:t>
      </w:r>
      <w:r w:rsidR="00FD40F7" w:rsidRPr="00FD40F7">
        <w:rPr>
          <w:b w:val="0"/>
          <w:szCs w:val="22"/>
        </w:rPr>
        <w:t>term extension for its 220 MHz licenses while also</w:t>
      </w:r>
      <w:r w:rsidR="00B3426E" w:rsidRPr="00FD40F7">
        <w:rPr>
          <w:b w:val="0"/>
          <w:szCs w:val="22"/>
        </w:rPr>
        <w:t xml:space="preserve"> fail</w:t>
      </w:r>
      <w:r w:rsidR="00FD40F7" w:rsidRPr="00FD40F7">
        <w:rPr>
          <w:b w:val="0"/>
          <w:szCs w:val="22"/>
        </w:rPr>
        <w:t>ing</w:t>
      </w:r>
      <w:r w:rsidR="00B3426E" w:rsidRPr="00FD40F7">
        <w:rPr>
          <w:b w:val="0"/>
          <w:szCs w:val="22"/>
        </w:rPr>
        <w:t xml:space="preserve"> to present any factors that would warrant an extension under section 1.946 of the Commission’s rules.</w:t>
      </w:r>
      <w:r w:rsidR="00FD40F7" w:rsidRPr="00FD40F7">
        <w:rPr>
          <w:b w:val="0"/>
          <w:szCs w:val="22"/>
        </w:rPr>
        <w:t xml:space="preserve">  </w:t>
      </w:r>
    </w:p>
    <w:p w:rsidR="00A315FE" w:rsidRPr="00A315FE" w:rsidRDefault="00BB622F" w:rsidP="00574760">
      <w:pPr>
        <w:pStyle w:val="Caption"/>
        <w:rPr>
          <w:szCs w:val="22"/>
        </w:rPr>
      </w:pPr>
      <w:r>
        <w:rPr>
          <w:b w:val="0"/>
          <w:szCs w:val="22"/>
        </w:rPr>
        <w:t>T</w:t>
      </w:r>
      <w:r w:rsidR="00574760" w:rsidRPr="00FD40F7">
        <w:rPr>
          <w:b w:val="0"/>
          <w:szCs w:val="22"/>
        </w:rPr>
        <w:t xml:space="preserve">he Bureau is charged with exercising its judgment to determine if it is in the public interest to continue to allow licensees to </w:t>
      </w:r>
      <w:r w:rsidR="006E5131">
        <w:rPr>
          <w:b w:val="0"/>
          <w:szCs w:val="22"/>
        </w:rPr>
        <w:t>keep</w:t>
      </w:r>
      <w:r w:rsidR="00574760" w:rsidRPr="00FD40F7">
        <w:rPr>
          <w:b w:val="0"/>
          <w:szCs w:val="22"/>
        </w:rPr>
        <w:t xml:space="preserve"> their licenses</w:t>
      </w:r>
      <w:r w:rsidR="006E5131">
        <w:rPr>
          <w:b w:val="0"/>
          <w:szCs w:val="22"/>
        </w:rPr>
        <w:t>,</w:t>
      </w:r>
      <w:r w:rsidR="00574760" w:rsidRPr="00FD40F7">
        <w:rPr>
          <w:b w:val="0"/>
          <w:szCs w:val="22"/>
        </w:rPr>
        <w:t xml:space="preserve"> consistent with the Commission’s rules, policies and goals for the use of this public resource.  In our judgment, more time </w:t>
      </w:r>
      <w:r w:rsidR="00887361">
        <w:rPr>
          <w:b w:val="0"/>
          <w:szCs w:val="22"/>
        </w:rPr>
        <w:t>is</w:t>
      </w:r>
      <w:r w:rsidR="00574760" w:rsidRPr="00FD40F7">
        <w:rPr>
          <w:b w:val="0"/>
          <w:szCs w:val="22"/>
        </w:rPr>
        <w:t xml:space="preserve"> not warrante</w:t>
      </w:r>
      <w:r w:rsidR="006E5131">
        <w:rPr>
          <w:b w:val="0"/>
          <w:szCs w:val="22"/>
        </w:rPr>
        <w:t xml:space="preserve">d by the demonstration provided; </w:t>
      </w:r>
      <w:r w:rsidR="00F418A6">
        <w:rPr>
          <w:b w:val="0"/>
          <w:szCs w:val="22"/>
        </w:rPr>
        <w:t>Environmentel</w:t>
      </w:r>
      <w:r w:rsidR="00574760" w:rsidRPr="00FD40F7">
        <w:rPr>
          <w:b w:val="0"/>
          <w:szCs w:val="22"/>
        </w:rPr>
        <w:t xml:space="preserve"> made a business decision to obtain its licenses and had </w:t>
      </w:r>
      <w:r w:rsidR="00F418A6">
        <w:rPr>
          <w:b w:val="0"/>
          <w:szCs w:val="22"/>
        </w:rPr>
        <w:t>adequate time</w:t>
      </w:r>
      <w:r w:rsidR="00574760" w:rsidRPr="00FD40F7">
        <w:rPr>
          <w:b w:val="0"/>
          <w:szCs w:val="22"/>
        </w:rPr>
        <w:t xml:space="preserve"> to provide service, but it chose </w:t>
      </w:r>
      <w:r w:rsidR="006E5131">
        <w:rPr>
          <w:b w:val="0"/>
          <w:szCs w:val="22"/>
        </w:rPr>
        <w:t xml:space="preserve">instead not to build and </w:t>
      </w:r>
      <w:r w:rsidR="00574760" w:rsidRPr="00FD40F7">
        <w:rPr>
          <w:b w:val="0"/>
          <w:szCs w:val="22"/>
        </w:rPr>
        <w:t xml:space="preserve">seek more time.  </w:t>
      </w:r>
      <w:r w:rsidR="00836C26" w:rsidRPr="00F418A6">
        <w:rPr>
          <w:b w:val="0"/>
          <w:szCs w:val="22"/>
        </w:rPr>
        <w:t>If granted, the extensions would result in a significant portion of the 220 MHz band remaining fallow across the</w:t>
      </w:r>
      <w:r w:rsidR="00DC5FD2" w:rsidRPr="00F418A6">
        <w:rPr>
          <w:b w:val="0"/>
          <w:szCs w:val="22"/>
        </w:rPr>
        <w:t xml:space="preserve"> country for at least three </w:t>
      </w:r>
      <w:r w:rsidR="00836C26" w:rsidRPr="00F418A6">
        <w:rPr>
          <w:b w:val="0"/>
          <w:szCs w:val="22"/>
        </w:rPr>
        <w:t xml:space="preserve">years entirely due to </w:t>
      </w:r>
      <w:r w:rsidR="009F10B9" w:rsidRPr="00F418A6">
        <w:rPr>
          <w:b w:val="0"/>
          <w:szCs w:val="22"/>
        </w:rPr>
        <w:t>Environmentel’s</w:t>
      </w:r>
      <w:r w:rsidR="00836C26" w:rsidRPr="00F418A6">
        <w:rPr>
          <w:b w:val="0"/>
          <w:szCs w:val="22"/>
        </w:rPr>
        <w:t xml:space="preserve"> voluntary decision to pursue alternate technologies instead of deploying existing equipment within </w:t>
      </w:r>
      <w:r w:rsidR="009F10B9" w:rsidRPr="00F418A6">
        <w:rPr>
          <w:b w:val="0"/>
          <w:szCs w:val="22"/>
        </w:rPr>
        <w:t>its</w:t>
      </w:r>
      <w:r w:rsidR="00836C26" w:rsidRPr="00F418A6">
        <w:rPr>
          <w:b w:val="0"/>
          <w:szCs w:val="22"/>
        </w:rPr>
        <w:t xml:space="preserve"> license areas.  </w:t>
      </w:r>
    </w:p>
    <w:p w:rsidR="007633C5" w:rsidRDefault="00836C26" w:rsidP="00574760">
      <w:pPr>
        <w:pStyle w:val="Caption"/>
        <w:rPr>
          <w:szCs w:val="22"/>
        </w:rPr>
      </w:pPr>
      <w:r w:rsidRPr="00F418A6">
        <w:rPr>
          <w:b w:val="0"/>
          <w:szCs w:val="22"/>
        </w:rPr>
        <w:t xml:space="preserve">Accordingly, we find that: (1) </w:t>
      </w:r>
      <w:r w:rsidR="00B227A6" w:rsidRPr="00F418A6">
        <w:rPr>
          <w:b w:val="0"/>
          <w:szCs w:val="22"/>
        </w:rPr>
        <w:t>Environmentel has</w:t>
      </w:r>
      <w:r w:rsidRPr="00F418A6">
        <w:rPr>
          <w:b w:val="0"/>
          <w:szCs w:val="22"/>
        </w:rPr>
        <w:t xml:space="preserve"> not provided actual service in their license areas; (2) this failure was not caused by circumstances beyond </w:t>
      </w:r>
      <w:r w:rsidR="00B227A6" w:rsidRPr="00F418A6">
        <w:rPr>
          <w:b w:val="0"/>
          <w:szCs w:val="22"/>
        </w:rPr>
        <w:t>its</w:t>
      </w:r>
      <w:r w:rsidRPr="00F418A6">
        <w:rPr>
          <w:b w:val="0"/>
          <w:szCs w:val="22"/>
        </w:rPr>
        <w:t xml:space="preserve"> control; (3) the claimed due diligence, conceptual plans, or other factors described in </w:t>
      </w:r>
      <w:r w:rsidR="00B227A6" w:rsidRPr="00F418A6">
        <w:rPr>
          <w:b w:val="0"/>
          <w:szCs w:val="22"/>
        </w:rPr>
        <w:t>Environmentel’s</w:t>
      </w:r>
      <w:r w:rsidRPr="00F418A6">
        <w:rPr>
          <w:b w:val="0"/>
          <w:szCs w:val="22"/>
        </w:rPr>
        <w:t xml:space="preserve"> filings do not support a</w:t>
      </w:r>
      <w:r w:rsidR="0085080B">
        <w:rPr>
          <w:b w:val="0"/>
          <w:szCs w:val="22"/>
        </w:rPr>
        <w:t>n</w:t>
      </w:r>
      <w:r w:rsidRPr="00F418A6">
        <w:rPr>
          <w:b w:val="0"/>
          <w:szCs w:val="22"/>
        </w:rPr>
        <w:t xml:space="preserve"> extension of the construction deadline; (4) </w:t>
      </w:r>
      <w:r w:rsidR="00B227A6" w:rsidRPr="00F418A6">
        <w:rPr>
          <w:b w:val="0"/>
          <w:szCs w:val="22"/>
        </w:rPr>
        <w:t>Environmentel has</w:t>
      </w:r>
      <w:r w:rsidR="0048738D" w:rsidRPr="00F418A6">
        <w:rPr>
          <w:b w:val="0"/>
          <w:szCs w:val="22"/>
        </w:rPr>
        <w:t xml:space="preserve"> </w:t>
      </w:r>
      <w:r w:rsidRPr="00F418A6">
        <w:rPr>
          <w:b w:val="0"/>
          <w:szCs w:val="22"/>
        </w:rPr>
        <w:t>presented no compelling pr</w:t>
      </w:r>
      <w:r w:rsidR="00066526" w:rsidRPr="00F418A6">
        <w:rPr>
          <w:b w:val="0"/>
          <w:szCs w:val="22"/>
        </w:rPr>
        <w:t>ecedent or evidence to support its</w:t>
      </w:r>
      <w:r w:rsidRPr="00F418A6">
        <w:rPr>
          <w:b w:val="0"/>
          <w:szCs w:val="22"/>
        </w:rPr>
        <w:t xml:space="preserve"> request for special considerations based on </w:t>
      </w:r>
      <w:r w:rsidR="00066526" w:rsidRPr="00F418A6">
        <w:rPr>
          <w:b w:val="0"/>
          <w:szCs w:val="22"/>
        </w:rPr>
        <w:t>its prospective assignment</w:t>
      </w:r>
      <w:r w:rsidR="00582AA4" w:rsidRPr="00F418A6">
        <w:rPr>
          <w:b w:val="0"/>
          <w:szCs w:val="22"/>
        </w:rPr>
        <w:t xml:space="preserve"> of spectrum to Skybridge</w:t>
      </w:r>
      <w:r w:rsidRPr="00F418A6">
        <w:rPr>
          <w:b w:val="0"/>
          <w:szCs w:val="22"/>
        </w:rPr>
        <w:t xml:space="preserve">; and (5) allowing </w:t>
      </w:r>
      <w:r w:rsidR="00283B3F" w:rsidRPr="00F418A6">
        <w:rPr>
          <w:b w:val="0"/>
          <w:szCs w:val="22"/>
        </w:rPr>
        <w:t>Environmentel</w:t>
      </w:r>
      <w:r w:rsidR="00283B3F" w:rsidRPr="00943B65">
        <w:rPr>
          <w:b w:val="0"/>
        </w:rPr>
        <w:t xml:space="preserve"> </w:t>
      </w:r>
      <w:r w:rsidR="00283B3F" w:rsidRPr="00F418A6">
        <w:rPr>
          <w:b w:val="0"/>
          <w:szCs w:val="22"/>
        </w:rPr>
        <w:t>to continue to hold these L</w:t>
      </w:r>
      <w:r w:rsidRPr="00F418A6">
        <w:rPr>
          <w:b w:val="0"/>
          <w:szCs w:val="22"/>
        </w:rPr>
        <w:t>icenses without constructing facilities or providing any actual service would undermine the purpose of the Commission’s rules and Section 309(j) of the Communications Act.</w:t>
      </w:r>
      <w:r w:rsidRPr="00F418A6">
        <w:rPr>
          <w:rStyle w:val="FootnoteReference"/>
          <w:b w:val="0"/>
          <w:szCs w:val="22"/>
        </w:rPr>
        <w:footnoteReference w:id="47"/>
      </w:r>
      <w:r w:rsidR="007633C5" w:rsidRPr="00FD40F7">
        <w:rPr>
          <w:szCs w:val="22"/>
        </w:rPr>
        <w:t xml:space="preserve"> </w:t>
      </w:r>
    </w:p>
    <w:p w:rsidR="003D38F5" w:rsidRPr="00273B8D" w:rsidRDefault="003D38F5" w:rsidP="00495866">
      <w:pPr>
        <w:pStyle w:val="Heading2"/>
        <w:jc w:val="left"/>
        <w:rPr>
          <w:szCs w:val="22"/>
        </w:rPr>
      </w:pPr>
      <w:r w:rsidRPr="00273B8D">
        <w:rPr>
          <w:szCs w:val="22"/>
        </w:rPr>
        <w:t>Extension of the E Block Construction Deadlines</w:t>
      </w:r>
    </w:p>
    <w:p w:rsidR="00943B65" w:rsidRDefault="00133195" w:rsidP="00943B65">
      <w:pPr>
        <w:pStyle w:val="Caption"/>
        <w:rPr>
          <w:b w:val="0"/>
          <w:szCs w:val="22"/>
        </w:rPr>
      </w:pPr>
      <w:r w:rsidRPr="00273B8D">
        <w:rPr>
          <w:b w:val="0"/>
          <w:szCs w:val="22"/>
        </w:rPr>
        <w:t>In the alternative to granting extensi</w:t>
      </w:r>
      <w:r w:rsidR="00355B55">
        <w:rPr>
          <w:b w:val="0"/>
          <w:szCs w:val="22"/>
        </w:rPr>
        <w:t>ons for all of Environmentel’s L</w:t>
      </w:r>
      <w:r w:rsidRPr="00273B8D">
        <w:rPr>
          <w:b w:val="0"/>
          <w:szCs w:val="22"/>
        </w:rPr>
        <w:t xml:space="preserve">icenses listed in Attachment A, Environmentel requests that the Commission grant extensions of the five-year construction deadline for only the E Block licenses, as set out in Attachment B.  Environmentel argues that, as these specific E Block licenses </w:t>
      </w:r>
      <w:r w:rsidR="002C6930" w:rsidRPr="00273B8D">
        <w:rPr>
          <w:b w:val="0"/>
          <w:szCs w:val="22"/>
        </w:rPr>
        <w:t>“</w:t>
      </w:r>
      <w:r w:rsidRPr="00273B8D">
        <w:rPr>
          <w:b w:val="0"/>
          <w:szCs w:val="22"/>
        </w:rPr>
        <w:t>can use 12.5 kHz, 25 kHz, and somewhat wider channel technology</w:t>
      </w:r>
      <w:r w:rsidR="00B72064" w:rsidRPr="00273B8D">
        <w:rPr>
          <w:b w:val="0"/>
          <w:szCs w:val="22"/>
        </w:rPr>
        <w:t>,”</w:t>
      </w:r>
      <w:r w:rsidRPr="00273B8D">
        <w:rPr>
          <w:b w:val="0"/>
          <w:szCs w:val="22"/>
        </w:rPr>
        <w:t xml:space="preserve"> </w:t>
      </w:r>
      <w:r w:rsidR="00B72064" w:rsidRPr="00273B8D">
        <w:rPr>
          <w:b w:val="0"/>
          <w:szCs w:val="22"/>
        </w:rPr>
        <w:t>Environmentel should be able to use Digital Mobile Radio (“DMR”)</w:t>
      </w:r>
      <w:r w:rsidRPr="00273B8D">
        <w:rPr>
          <w:b w:val="0"/>
          <w:szCs w:val="22"/>
        </w:rPr>
        <w:t xml:space="preserve"> and </w:t>
      </w:r>
      <w:r w:rsidR="00B72064" w:rsidRPr="00273B8D">
        <w:rPr>
          <w:b w:val="0"/>
          <w:szCs w:val="22"/>
        </w:rPr>
        <w:t xml:space="preserve">Terrestrial Trunked Radio (“TETRA”) </w:t>
      </w:r>
      <w:r w:rsidRPr="00273B8D">
        <w:rPr>
          <w:b w:val="0"/>
          <w:szCs w:val="22"/>
        </w:rPr>
        <w:t>equipment</w:t>
      </w:r>
      <w:r w:rsidR="00B72064" w:rsidRPr="00273B8D">
        <w:rPr>
          <w:b w:val="0"/>
          <w:szCs w:val="22"/>
        </w:rPr>
        <w:t>, which “</w:t>
      </w:r>
      <w:r w:rsidRPr="00273B8D">
        <w:rPr>
          <w:b w:val="0"/>
          <w:szCs w:val="22"/>
        </w:rPr>
        <w:t>will probably soon be available in lower 200 MHz, according to reports directly given to</w:t>
      </w:r>
      <w:r w:rsidR="00B72064" w:rsidRPr="00273B8D">
        <w:rPr>
          <w:b w:val="0"/>
          <w:szCs w:val="22"/>
        </w:rPr>
        <w:t xml:space="preserve"> </w:t>
      </w:r>
      <w:r w:rsidRPr="00273B8D">
        <w:rPr>
          <w:b w:val="0"/>
          <w:szCs w:val="22"/>
        </w:rPr>
        <w:t xml:space="preserve">the undersigned by equipment companies at the 2013 IWCE event </w:t>
      </w:r>
      <w:r w:rsidR="00ED0FF9" w:rsidRPr="00273B8D">
        <w:rPr>
          <w:b w:val="0"/>
          <w:szCs w:val="22"/>
        </w:rPr>
        <w:t xml:space="preserve">[March 11th - 15th, 2013] </w:t>
      </w:r>
      <w:r w:rsidRPr="00273B8D">
        <w:rPr>
          <w:b w:val="0"/>
          <w:szCs w:val="22"/>
        </w:rPr>
        <w:t>in Las</w:t>
      </w:r>
      <w:r w:rsidR="00B72064" w:rsidRPr="00273B8D">
        <w:rPr>
          <w:b w:val="0"/>
          <w:szCs w:val="22"/>
        </w:rPr>
        <w:t xml:space="preserve"> </w:t>
      </w:r>
      <w:r w:rsidRPr="00273B8D">
        <w:rPr>
          <w:b w:val="0"/>
          <w:szCs w:val="22"/>
        </w:rPr>
        <w:t>Vegas.</w:t>
      </w:r>
      <w:r w:rsidR="00B72064" w:rsidRPr="00273B8D">
        <w:rPr>
          <w:b w:val="0"/>
          <w:szCs w:val="22"/>
        </w:rPr>
        <w:t>”</w:t>
      </w:r>
      <w:r w:rsidR="00B72064" w:rsidRPr="00273B8D">
        <w:rPr>
          <w:rStyle w:val="FootnoteReference"/>
          <w:b w:val="0"/>
          <w:szCs w:val="22"/>
        </w:rPr>
        <w:footnoteReference w:id="48"/>
      </w:r>
      <w:r w:rsidR="00ED0FF9" w:rsidRPr="00273B8D">
        <w:rPr>
          <w:b w:val="0"/>
          <w:szCs w:val="22"/>
        </w:rPr>
        <w:t xml:space="preserve"> </w:t>
      </w:r>
    </w:p>
    <w:p w:rsidR="006114AB" w:rsidRPr="00943B65" w:rsidRDefault="00CC7C88" w:rsidP="00943B65">
      <w:pPr>
        <w:pStyle w:val="Caption"/>
        <w:rPr>
          <w:b w:val="0"/>
          <w:szCs w:val="22"/>
        </w:rPr>
      </w:pPr>
      <w:r w:rsidRPr="00943B65">
        <w:rPr>
          <w:b w:val="0"/>
        </w:rPr>
        <w:t>As detailed in Section III(A) of this order, Environmentel made a voluntary business decision to pursue technologies and business strategies that were unsupported by the existing equipment ecosystem and we do not typically grant licensees relief from their construction requirements for the consequences of voluntary business decisions.  Moreover, Environmentel’s belief that DMR and TETRA equipment will “probably</w:t>
      </w:r>
      <w:r w:rsidR="00495866" w:rsidRPr="00943B65">
        <w:rPr>
          <w:b w:val="0"/>
        </w:rPr>
        <w:t xml:space="preserve">” be available “soon” does not change the fact that it chose to rely on technology that is not yet available.  </w:t>
      </w:r>
      <w:r w:rsidR="005C7D31" w:rsidRPr="00943B65">
        <w:rPr>
          <w:b w:val="0"/>
        </w:rPr>
        <w:t>Therefore, for the reasons set forth above, the</w:t>
      </w:r>
      <w:r w:rsidR="002F1163" w:rsidRPr="00943B65">
        <w:rPr>
          <w:b w:val="0"/>
        </w:rPr>
        <w:t xml:space="preserve"> </w:t>
      </w:r>
      <w:r w:rsidR="00C07C96" w:rsidRPr="00943B65">
        <w:rPr>
          <w:b w:val="0"/>
        </w:rPr>
        <w:t>Extension Request</w:t>
      </w:r>
      <w:r w:rsidR="00842B11" w:rsidRPr="00943B65">
        <w:rPr>
          <w:b w:val="0"/>
        </w:rPr>
        <w:t xml:space="preserve">, </w:t>
      </w:r>
      <w:r w:rsidR="00C07C96" w:rsidRPr="00943B65">
        <w:rPr>
          <w:b w:val="0"/>
        </w:rPr>
        <w:t>including the alternative proposal to extend only the construction deadlines for the E Block licenses</w:t>
      </w:r>
      <w:r w:rsidR="00842B11" w:rsidRPr="00943B65">
        <w:rPr>
          <w:b w:val="0"/>
        </w:rPr>
        <w:t>,</w:t>
      </w:r>
      <w:r w:rsidR="002F1163" w:rsidRPr="00943B65">
        <w:rPr>
          <w:b w:val="0"/>
        </w:rPr>
        <w:t xml:space="preserve"> </w:t>
      </w:r>
      <w:r w:rsidR="00F507AF">
        <w:rPr>
          <w:b w:val="0"/>
        </w:rPr>
        <w:t>is</w:t>
      </w:r>
      <w:r w:rsidR="002F1163" w:rsidRPr="00943B65">
        <w:rPr>
          <w:b w:val="0"/>
        </w:rPr>
        <w:t xml:space="preserve"> denied and the</w:t>
      </w:r>
      <w:r w:rsidR="005C7D31" w:rsidRPr="00943B65">
        <w:rPr>
          <w:b w:val="0"/>
        </w:rPr>
        <w:t xml:space="preserve"> Licenses automatically terminated on </w:t>
      </w:r>
      <w:r w:rsidR="007D7E05" w:rsidRPr="00943B65">
        <w:rPr>
          <w:b w:val="0"/>
        </w:rPr>
        <w:t>March 19, 2013</w:t>
      </w:r>
      <w:r w:rsidR="005C7D31" w:rsidRPr="00943B65">
        <w:rPr>
          <w:b w:val="0"/>
        </w:rPr>
        <w:t>.</w:t>
      </w:r>
      <w:r w:rsidR="005C7D31" w:rsidRPr="006114AB">
        <w:rPr>
          <w:rStyle w:val="FootnoteReference"/>
          <w:b w:val="0"/>
          <w:szCs w:val="22"/>
        </w:rPr>
        <w:footnoteReference w:id="49"/>
      </w:r>
    </w:p>
    <w:p w:rsidR="006114AB" w:rsidRPr="00421E25" w:rsidRDefault="006114AB" w:rsidP="00B5182F"/>
    <w:p w:rsidR="00070556" w:rsidRPr="00273B8D" w:rsidRDefault="00070556" w:rsidP="00495866">
      <w:pPr>
        <w:pStyle w:val="Heading1"/>
        <w:jc w:val="left"/>
        <w:rPr>
          <w:szCs w:val="22"/>
        </w:rPr>
      </w:pPr>
      <w:r w:rsidRPr="00273B8D">
        <w:rPr>
          <w:szCs w:val="22"/>
        </w:rPr>
        <w:t>Ordering clauses</w:t>
      </w:r>
    </w:p>
    <w:p w:rsidR="0019095B" w:rsidRPr="00273B8D" w:rsidRDefault="000F5F22" w:rsidP="00F652FF">
      <w:pPr>
        <w:pStyle w:val="Caption"/>
        <w:rPr>
          <w:b w:val="0"/>
          <w:szCs w:val="22"/>
        </w:rPr>
      </w:pPr>
      <w:r w:rsidRPr="00273B8D">
        <w:rPr>
          <w:b w:val="0"/>
          <w:szCs w:val="22"/>
        </w:rPr>
        <w:t xml:space="preserve">Accordingly, IT IS ORDERED, </w:t>
      </w:r>
      <w:r w:rsidR="0019095B" w:rsidRPr="00273B8D">
        <w:rPr>
          <w:b w:val="0"/>
          <w:szCs w:val="22"/>
        </w:rPr>
        <w:t xml:space="preserve">pursuant to </w:t>
      </w:r>
      <w:r w:rsidR="000D448A" w:rsidRPr="00273B8D">
        <w:rPr>
          <w:b w:val="0"/>
          <w:szCs w:val="22"/>
        </w:rPr>
        <w:t>S</w:t>
      </w:r>
      <w:r w:rsidR="0019095B" w:rsidRPr="00273B8D">
        <w:rPr>
          <w:b w:val="0"/>
          <w:szCs w:val="22"/>
        </w:rPr>
        <w:t>ection 4(i) of the Communications Act, as amended, 47 U.S.C. §</w:t>
      </w:r>
      <w:r w:rsidR="005A19A8" w:rsidRPr="00273B8D">
        <w:rPr>
          <w:b w:val="0"/>
          <w:szCs w:val="22"/>
        </w:rPr>
        <w:t xml:space="preserve"> </w:t>
      </w:r>
      <w:r w:rsidR="0019095B" w:rsidRPr="00273B8D">
        <w:rPr>
          <w:b w:val="0"/>
          <w:szCs w:val="22"/>
        </w:rPr>
        <w:t xml:space="preserve">154(i), and </w:t>
      </w:r>
      <w:r w:rsidR="000D448A" w:rsidRPr="00273B8D">
        <w:rPr>
          <w:b w:val="0"/>
          <w:szCs w:val="22"/>
        </w:rPr>
        <w:t>S</w:t>
      </w:r>
      <w:r w:rsidR="0019095B" w:rsidRPr="00273B8D">
        <w:rPr>
          <w:b w:val="0"/>
          <w:szCs w:val="22"/>
        </w:rPr>
        <w:t xml:space="preserve">ections 0.131, 0.331, </w:t>
      </w:r>
      <w:r w:rsidR="00DA61E0" w:rsidRPr="00273B8D">
        <w:rPr>
          <w:b w:val="0"/>
          <w:szCs w:val="22"/>
        </w:rPr>
        <w:t>1.94</w:t>
      </w:r>
      <w:r w:rsidR="002F1163" w:rsidRPr="00273B8D">
        <w:rPr>
          <w:b w:val="0"/>
          <w:szCs w:val="22"/>
        </w:rPr>
        <w:t xml:space="preserve">6(c) and </w:t>
      </w:r>
      <w:r w:rsidR="00DA61E0" w:rsidRPr="00273B8D">
        <w:rPr>
          <w:b w:val="0"/>
          <w:szCs w:val="22"/>
        </w:rPr>
        <w:t xml:space="preserve">(e), 1.955(a)(2), </w:t>
      </w:r>
      <w:r w:rsidR="00C010EF" w:rsidRPr="00273B8D">
        <w:rPr>
          <w:b w:val="0"/>
          <w:szCs w:val="22"/>
        </w:rPr>
        <w:t xml:space="preserve">and </w:t>
      </w:r>
      <w:r w:rsidR="00DA61E0" w:rsidRPr="00273B8D">
        <w:rPr>
          <w:b w:val="0"/>
          <w:szCs w:val="22"/>
        </w:rPr>
        <w:t>90.767 of the Commission’s Rules</w:t>
      </w:r>
      <w:r w:rsidR="0019095B" w:rsidRPr="00273B8D">
        <w:rPr>
          <w:b w:val="0"/>
          <w:szCs w:val="22"/>
        </w:rPr>
        <w:t xml:space="preserve">, </w:t>
      </w:r>
      <w:r w:rsidR="00DA61E0" w:rsidRPr="00273B8D">
        <w:rPr>
          <w:b w:val="0"/>
          <w:szCs w:val="22"/>
        </w:rPr>
        <w:t>47 C.F.R. §§</w:t>
      </w:r>
      <w:r w:rsidR="005A19A8" w:rsidRPr="00273B8D">
        <w:rPr>
          <w:b w:val="0"/>
          <w:szCs w:val="22"/>
        </w:rPr>
        <w:t xml:space="preserve"> </w:t>
      </w:r>
      <w:r w:rsidR="00DA61E0" w:rsidRPr="00273B8D">
        <w:rPr>
          <w:b w:val="0"/>
          <w:szCs w:val="22"/>
        </w:rPr>
        <w:t>0.131, 0.331, 1.946</w:t>
      </w:r>
      <w:r w:rsidR="00BB3988" w:rsidRPr="00273B8D">
        <w:rPr>
          <w:b w:val="0"/>
          <w:szCs w:val="22"/>
        </w:rPr>
        <w:t>(c), 1.946</w:t>
      </w:r>
      <w:r w:rsidR="00DA61E0" w:rsidRPr="00273B8D">
        <w:rPr>
          <w:b w:val="0"/>
          <w:szCs w:val="22"/>
        </w:rPr>
        <w:t xml:space="preserve">(e), 1.955(a)(2), </w:t>
      </w:r>
      <w:r w:rsidR="00C010EF" w:rsidRPr="00273B8D">
        <w:rPr>
          <w:b w:val="0"/>
          <w:szCs w:val="22"/>
        </w:rPr>
        <w:t xml:space="preserve">and </w:t>
      </w:r>
      <w:r w:rsidR="00DA61E0" w:rsidRPr="00273B8D">
        <w:rPr>
          <w:b w:val="0"/>
          <w:szCs w:val="22"/>
        </w:rPr>
        <w:t xml:space="preserve">90.767 </w:t>
      </w:r>
      <w:r w:rsidR="0019095B" w:rsidRPr="00273B8D">
        <w:rPr>
          <w:b w:val="0"/>
          <w:szCs w:val="22"/>
        </w:rPr>
        <w:t xml:space="preserve">that the </w:t>
      </w:r>
      <w:r w:rsidRPr="00273B8D">
        <w:rPr>
          <w:b w:val="0"/>
          <w:szCs w:val="22"/>
        </w:rPr>
        <w:t>Extensi</w:t>
      </w:r>
      <w:r w:rsidR="00AE2EB7">
        <w:rPr>
          <w:b w:val="0"/>
          <w:szCs w:val="22"/>
        </w:rPr>
        <w:t>on Request</w:t>
      </w:r>
      <w:r w:rsidR="00DA61E0" w:rsidRPr="00273B8D">
        <w:rPr>
          <w:b w:val="0"/>
          <w:szCs w:val="22"/>
        </w:rPr>
        <w:t xml:space="preserve"> for </w:t>
      </w:r>
      <w:r w:rsidRPr="00273B8D">
        <w:rPr>
          <w:b w:val="0"/>
          <w:szCs w:val="22"/>
        </w:rPr>
        <w:t xml:space="preserve">the </w:t>
      </w:r>
      <w:r w:rsidR="009F6BDA">
        <w:rPr>
          <w:b w:val="0"/>
          <w:szCs w:val="22"/>
        </w:rPr>
        <w:t>l</w:t>
      </w:r>
      <w:r w:rsidRPr="00273B8D">
        <w:rPr>
          <w:b w:val="0"/>
          <w:szCs w:val="22"/>
        </w:rPr>
        <w:t>icenses</w:t>
      </w:r>
      <w:r w:rsidR="009F6BDA">
        <w:rPr>
          <w:b w:val="0"/>
          <w:szCs w:val="22"/>
        </w:rPr>
        <w:t xml:space="preserve"> listed in Attachment A</w:t>
      </w:r>
      <w:r w:rsidRPr="00273B8D">
        <w:rPr>
          <w:b w:val="0"/>
          <w:szCs w:val="22"/>
        </w:rPr>
        <w:t xml:space="preserve"> </w:t>
      </w:r>
      <w:r w:rsidR="008B6CD2">
        <w:rPr>
          <w:b w:val="0"/>
          <w:szCs w:val="22"/>
        </w:rPr>
        <w:t>IS</w:t>
      </w:r>
      <w:r w:rsidR="0019095B" w:rsidRPr="00273B8D">
        <w:rPr>
          <w:b w:val="0"/>
          <w:szCs w:val="22"/>
        </w:rPr>
        <w:t xml:space="preserve"> HEREBY DENIED.</w:t>
      </w:r>
      <w:r w:rsidR="00A858A0" w:rsidRPr="00273B8D">
        <w:rPr>
          <w:b w:val="0"/>
          <w:szCs w:val="22"/>
        </w:rPr>
        <w:t xml:space="preserve">  Accordingly, all </w:t>
      </w:r>
      <w:r w:rsidR="009F6BDA">
        <w:rPr>
          <w:b w:val="0"/>
          <w:szCs w:val="22"/>
        </w:rPr>
        <w:t>l</w:t>
      </w:r>
      <w:r w:rsidR="00A858A0" w:rsidRPr="00273B8D">
        <w:rPr>
          <w:b w:val="0"/>
          <w:szCs w:val="22"/>
        </w:rPr>
        <w:t>icenses</w:t>
      </w:r>
      <w:r w:rsidR="009F6BDA" w:rsidRPr="009F6BDA">
        <w:rPr>
          <w:b w:val="0"/>
          <w:szCs w:val="22"/>
        </w:rPr>
        <w:t xml:space="preserve"> </w:t>
      </w:r>
      <w:r w:rsidR="009F6BDA">
        <w:rPr>
          <w:b w:val="0"/>
          <w:szCs w:val="22"/>
        </w:rPr>
        <w:t>listed in Attachment A</w:t>
      </w:r>
      <w:r w:rsidR="00A858A0" w:rsidRPr="00273B8D">
        <w:rPr>
          <w:b w:val="0"/>
          <w:szCs w:val="22"/>
        </w:rPr>
        <w:t xml:space="preserve"> TERMINATED AUTOMATICALLY ON </w:t>
      </w:r>
      <w:r w:rsidR="009F7BEC" w:rsidRPr="00273B8D">
        <w:rPr>
          <w:b w:val="0"/>
          <w:szCs w:val="22"/>
        </w:rPr>
        <w:t>MARCH 19, 2013</w:t>
      </w:r>
      <w:r w:rsidR="00A858A0" w:rsidRPr="00273B8D">
        <w:rPr>
          <w:b w:val="0"/>
          <w:szCs w:val="22"/>
        </w:rPr>
        <w:t>.</w:t>
      </w:r>
    </w:p>
    <w:p w:rsidR="008C1A5D" w:rsidRPr="00273B8D" w:rsidRDefault="00AE0B55" w:rsidP="00495866">
      <w:pPr>
        <w:pStyle w:val="ParaNum"/>
        <w:tabs>
          <w:tab w:val="clear" w:pos="990"/>
        </w:tabs>
        <w:ind w:left="0" w:firstLine="0"/>
        <w:jc w:val="left"/>
        <w:rPr>
          <w:szCs w:val="22"/>
        </w:rPr>
      </w:pPr>
      <w:r w:rsidRPr="00273B8D">
        <w:rPr>
          <w:szCs w:val="22"/>
        </w:rPr>
        <w:t xml:space="preserve">                                                                     </w:t>
      </w:r>
    </w:p>
    <w:p w:rsidR="008C1A5D" w:rsidRPr="00273B8D" w:rsidRDefault="008C1A5D" w:rsidP="00495866">
      <w:pPr>
        <w:pStyle w:val="ParaNum"/>
        <w:tabs>
          <w:tab w:val="clear" w:pos="990"/>
        </w:tabs>
        <w:ind w:left="0" w:firstLine="0"/>
        <w:jc w:val="left"/>
        <w:rPr>
          <w:szCs w:val="22"/>
        </w:rPr>
      </w:pPr>
    </w:p>
    <w:p w:rsidR="00AE0B55" w:rsidRPr="00273B8D" w:rsidRDefault="008C1A5D" w:rsidP="00495866">
      <w:pPr>
        <w:pStyle w:val="ParaNum"/>
        <w:tabs>
          <w:tab w:val="clear" w:pos="990"/>
        </w:tabs>
        <w:ind w:left="0" w:firstLine="0"/>
        <w:jc w:val="left"/>
        <w:rPr>
          <w:szCs w:val="22"/>
        </w:rPr>
      </w:pPr>
      <w:r w:rsidRPr="00273B8D">
        <w:rPr>
          <w:szCs w:val="22"/>
        </w:rPr>
        <w:tab/>
      </w:r>
      <w:r w:rsidRPr="00273B8D">
        <w:rPr>
          <w:szCs w:val="22"/>
        </w:rPr>
        <w:tab/>
      </w:r>
      <w:r w:rsidRPr="00273B8D">
        <w:rPr>
          <w:szCs w:val="22"/>
        </w:rPr>
        <w:tab/>
      </w:r>
      <w:r w:rsidRPr="00273B8D">
        <w:rPr>
          <w:szCs w:val="22"/>
        </w:rPr>
        <w:tab/>
      </w:r>
      <w:r w:rsidRPr="00273B8D">
        <w:rPr>
          <w:szCs w:val="22"/>
        </w:rPr>
        <w:tab/>
        <w:t xml:space="preserve">       </w:t>
      </w:r>
      <w:r w:rsidR="00AE0B55" w:rsidRPr="00273B8D">
        <w:rPr>
          <w:szCs w:val="22"/>
        </w:rPr>
        <w:t>FEDERAL COMMUNICATIONS COMMISSION</w:t>
      </w:r>
    </w:p>
    <w:p w:rsidR="00AE0B55" w:rsidRPr="00273B8D" w:rsidRDefault="00AE0B55" w:rsidP="00495866">
      <w:pPr>
        <w:pStyle w:val="ParaNum"/>
        <w:tabs>
          <w:tab w:val="clear" w:pos="990"/>
        </w:tabs>
        <w:ind w:left="0" w:firstLine="0"/>
        <w:jc w:val="left"/>
        <w:rPr>
          <w:szCs w:val="22"/>
        </w:rPr>
      </w:pPr>
    </w:p>
    <w:p w:rsidR="00AE0B55" w:rsidRPr="00273B8D" w:rsidRDefault="00AE0B55" w:rsidP="00495866">
      <w:pPr>
        <w:pStyle w:val="ParaNum"/>
        <w:tabs>
          <w:tab w:val="clear" w:pos="990"/>
        </w:tabs>
        <w:spacing w:after="0"/>
        <w:ind w:left="0" w:firstLine="0"/>
        <w:jc w:val="left"/>
        <w:rPr>
          <w:szCs w:val="22"/>
        </w:rPr>
      </w:pPr>
      <w:r w:rsidRPr="00273B8D">
        <w:rPr>
          <w:szCs w:val="22"/>
        </w:rPr>
        <w:t xml:space="preserve">                                                                                       Thomas P. Derenge</w:t>
      </w:r>
    </w:p>
    <w:p w:rsidR="00AE0B55" w:rsidRPr="00273B8D" w:rsidRDefault="00AE0B55" w:rsidP="00495866">
      <w:pPr>
        <w:pStyle w:val="ParaNum"/>
        <w:tabs>
          <w:tab w:val="clear" w:pos="990"/>
        </w:tabs>
        <w:spacing w:after="0"/>
        <w:ind w:left="0" w:firstLine="0"/>
        <w:jc w:val="left"/>
        <w:rPr>
          <w:szCs w:val="22"/>
        </w:rPr>
      </w:pPr>
      <w:r w:rsidRPr="00273B8D">
        <w:rPr>
          <w:szCs w:val="22"/>
        </w:rPr>
        <w:t xml:space="preserve">                                                                                       Deputy Chief, Mobility Division</w:t>
      </w:r>
    </w:p>
    <w:p w:rsidR="00760DA0" w:rsidRPr="00273B8D" w:rsidRDefault="00AE0B55" w:rsidP="00760DA0">
      <w:pPr>
        <w:pStyle w:val="ParaNum"/>
        <w:tabs>
          <w:tab w:val="clear" w:pos="990"/>
        </w:tabs>
        <w:spacing w:after="0"/>
        <w:ind w:left="0" w:firstLine="0"/>
        <w:jc w:val="left"/>
        <w:rPr>
          <w:szCs w:val="22"/>
        </w:rPr>
      </w:pPr>
      <w:r w:rsidRPr="00273B8D">
        <w:rPr>
          <w:szCs w:val="22"/>
        </w:rPr>
        <w:t xml:space="preserve">                                                                                       Wireless Telecommunications Bureau</w:t>
      </w:r>
    </w:p>
    <w:p w:rsidR="00760DA0" w:rsidRPr="00273B8D" w:rsidRDefault="00760DA0" w:rsidP="00760DA0">
      <w:pPr>
        <w:pStyle w:val="ParaNum"/>
        <w:tabs>
          <w:tab w:val="clear" w:pos="990"/>
        </w:tabs>
        <w:spacing w:after="0"/>
        <w:ind w:left="0" w:firstLine="0"/>
        <w:jc w:val="left"/>
        <w:rPr>
          <w:szCs w:val="22"/>
        </w:rPr>
      </w:pPr>
    </w:p>
    <w:p w:rsidR="00760DA0" w:rsidRPr="00273B8D" w:rsidRDefault="00760DA0" w:rsidP="0012175B">
      <w:pPr>
        <w:rPr>
          <w:szCs w:val="22"/>
        </w:rPr>
      </w:pPr>
    </w:p>
    <w:p w:rsidR="00860E44" w:rsidRDefault="003651E0" w:rsidP="00E120F6">
      <w:pPr>
        <w:jc w:val="center"/>
        <w:rPr>
          <w:b/>
          <w:szCs w:val="22"/>
          <w:u w:val="single"/>
        </w:rPr>
      </w:pPr>
      <w:r>
        <w:rPr>
          <w:b/>
          <w:szCs w:val="22"/>
          <w:u w:val="single"/>
        </w:rPr>
        <w:br w:type="page"/>
      </w:r>
      <w:r w:rsidR="00760DA0" w:rsidRPr="00273B8D">
        <w:rPr>
          <w:b/>
          <w:szCs w:val="22"/>
          <w:u w:val="single"/>
        </w:rPr>
        <w:t>Attachment A</w:t>
      </w:r>
    </w:p>
    <w:p w:rsidR="00860E44" w:rsidRDefault="00860E44" w:rsidP="00860E44">
      <w:pPr>
        <w:jc w:val="center"/>
        <w:rPr>
          <w:b/>
          <w:szCs w:val="22"/>
          <w:u w:val="single"/>
        </w:rPr>
      </w:pPr>
    </w:p>
    <w:p w:rsidR="00860E44" w:rsidRDefault="00860E44" w:rsidP="00860E44">
      <w:pPr>
        <w:jc w:val="center"/>
        <w:rPr>
          <w:b/>
          <w:szCs w:val="22"/>
          <w:u w:val="single"/>
        </w:rPr>
      </w:pPr>
    </w:p>
    <w:tbl>
      <w:tblPr>
        <w:tblStyle w:val="TableGrid"/>
        <w:tblW w:w="0" w:type="auto"/>
        <w:tblInd w:w="198" w:type="dxa"/>
        <w:tblLayout w:type="fixed"/>
        <w:tblLook w:val="04A0" w:firstRow="1" w:lastRow="0" w:firstColumn="1" w:lastColumn="0" w:noHBand="0" w:noVBand="1"/>
      </w:tblPr>
      <w:tblGrid>
        <w:gridCol w:w="2340"/>
        <w:gridCol w:w="1530"/>
        <w:gridCol w:w="2340"/>
        <w:gridCol w:w="2880"/>
      </w:tblGrid>
      <w:tr w:rsidR="00860E44" w:rsidRPr="00AE5679" w:rsidTr="00860E44">
        <w:trPr>
          <w:trHeight w:val="510"/>
        </w:trPr>
        <w:tc>
          <w:tcPr>
            <w:tcW w:w="234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Call Sign</w:t>
            </w:r>
          </w:p>
        </w:tc>
        <w:tc>
          <w:tcPr>
            <w:tcW w:w="153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Block</w:t>
            </w:r>
          </w:p>
        </w:tc>
        <w:tc>
          <w:tcPr>
            <w:tcW w:w="234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Market</w:t>
            </w:r>
          </w:p>
        </w:tc>
        <w:tc>
          <w:tcPr>
            <w:tcW w:w="288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File Number</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0005698199</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BEA006</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0005698203</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WQIM616</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0005698204</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WQIM617</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BEA017</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0005698209</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WQIM626</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0005698213</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WQIM627</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BEA030</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0005698214</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WQIM629</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BEA046</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BEA050</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0005698219</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WQIM636</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0005698223</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WQIM637</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0005698224</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BEA060</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WQIM639</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BEA068</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A</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0005698229</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A</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WQIM646</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0005698233</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WQIM647</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0005698234</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WQIM649</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WQIM650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A</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WQIM651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D</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BEA086</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WQIM652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BEA087</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0005698239</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WQIM653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A</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BEA138</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0005698240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WQIM654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C</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BEA164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0005698241</w:t>
            </w:r>
          </w:p>
        </w:tc>
      </w:tr>
    </w:tbl>
    <w:p w:rsidR="00860E44" w:rsidRDefault="00860E44" w:rsidP="00860E44">
      <w:pPr>
        <w:rPr>
          <w:b/>
          <w:szCs w:val="22"/>
          <w:u w:val="single"/>
        </w:rPr>
      </w:pPr>
    </w:p>
    <w:p w:rsidR="00FA7770" w:rsidRDefault="00760DA0" w:rsidP="00860E44">
      <w:pPr>
        <w:jc w:val="center"/>
        <w:rPr>
          <w:b/>
          <w:szCs w:val="22"/>
          <w:u w:val="single"/>
        </w:rPr>
      </w:pPr>
      <w:r w:rsidRPr="00273B8D">
        <w:rPr>
          <w:b/>
          <w:szCs w:val="22"/>
          <w:u w:val="single"/>
        </w:rPr>
        <w:br w:type="page"/>
        <w:t>Attachment B</w:t>
      </w:r>
    </w:p>
    <w:p w:rsidR="00860E44" w:rsidRDefault="00860E44">
      <w:pPr>
        <w:rPr>
          <w:b/>
          <w:szCs w:val="22"/>
          <w:u w:val="single"/>
        </w:rPr>
      </w:pPr>
    </w:p>
    <w:p w:rsidR="00860E44" w:rsidRDefault="00860E44">
      <w:pPr>
        <w:rPr>
          <w:b/>
          <w:szCs w:val="22"/>
          <w:u w:val="single"/>
        </w:rPr>
      </w:pPr>
    </w:p>
    <w:tbl>
      <w:tblPr>
        <w:tblStyle w:val="TableGrid"/>
        <w:tblW w:w="0" w:type="auto"/>
        <w:tblInd w:w="198" w:type="dxa"/>
        <w:tblLook w:val="04A0" w:firstRow="1" w:lastRow="0" w:firstColumn="1" w:lastColumn="0" w:noHBand="0" w:noVBand="1"/>
      </w:tblPr>
      <w:tblGrid>
        <w:gridCol w:w="2340"/>
        <w:gridCol w:w="1530"/>
        <w:gridCol w:w="2340"/>
        <w:gridCol w:w="2880"/>
      </w:tblGrid>
      <w:tr w:rsidR="00860E44" w:rsidRPr="00AE5679" w:rsidTr="00860E44">
        <w:trPr>
          <w:trHeight w:val="510"/>
        </w:trPr>
        <w:tc>
          <w:tcPr>
            <w:tcW w:w="234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Call Sign</w:t>
            </w:r>
          </w:p>
        </w:tc>
        <w:tc>
          <w:tcPr>
            <w:tcW w:w="153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Block</w:t>
            </w:r>
          </w:p>
        </w:tc>
        <w:tc>
          <w:tcPr>
            <w:tcW w:w="234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Market</w:t>
            </w:r>
          </w:p>
        </w:tc>
        <w:tc>
          <w:tcPr>
            <w:tcW w:w="2880" w:type="dxa"/>
            <w:hideMark/>
          </w:tcPr>
          <w:p w:rsidR="00860E44" w:rsidRPr="00AE5679" w:rsidRDefault="00860E44" w:rsidP="003630BF">
            <w:pPr>
              <w:rPr>
                <w:rFonts w:ascii="Times New Roman" w:hAnsi="Times New Roman" w:cs="Times New Roman"/>
                <w:b/>
                <w:bCs/>
              </w:rPr>
            </w:pPr>
            <w:r w:rsidRPr="00AE5679">
              <w:rPr>
                <w:rFonts w:ascii="Times New Roman" w:hAnsi="Times New Roman" w:cs="Times New Roman"/>
                <w:b/>
                <w:bCs/>
              </w:rPr>
              <w:t>File Number</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WQIM612</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WQIM614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BEA006</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BEA019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0005698208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0005698212</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WQIM626</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BEA025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0005698213</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WQIM629</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BEA043</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BEA046</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WQIM631</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BEA050</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0005698218</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WQIM633</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BEA051</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0005698220</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BEA052</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WQIM638</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BEA060</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0005698225</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WQIM639</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BEA068</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0005698226</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WQIM640</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BEA069</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0005698227</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WQIM644</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BEA074</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0005698231</w:t>
            </w:r>
          </w:p>
        </w:tc>
      </w:tr>
      <w:tr w:rsidR="00860E44" w:rsidRPr="00AE5679" w:rsidTr="00860E44">
        <w:trPr>
          <w:trHeight w:val="255"/>
        </w:trPr>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WQIM645</w:t>
            </w:r>
          </w:p>
        </w:tc>
        <w:tc>
          <w:tcPr>
            <w:tcW w:w="153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E</w:t>
            </w:r>
          </w:p>
        </w:tc>
        <w:tc>
          <w:tcPr>
            <w:tcW w:w="234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BEA075</w:t>
            </w:r>
          </w:p>
        </w:tc>
        <w:tc>
          <w:tcPr>
            <w:tcW w:w="2880" w:type="dxa"/>
            <w:noWrap/>
            <w:hideMark/>
          </w:tcPr>
          <w:p w:rsidR="00860E44" w:rsidRPr="00AE5679" w:rsidRDefault="00860E44" w:rsidP="003630BF">
            <w:pPr>
              <w:rPr>
                <w:rFonts w:ascii="Times New Roman" w:hAnsi="Times New Roman" w:cs="Times New Roman"/>
              </w:rPr>
            </w:pPr>
            <w:r w:rsidRPr="00AE5679">
              <w:rPr>
                <w:rFonts w:ascii="Times New Roman" w:hAnsi="Times New Roman" w:cs="Times New Roman"/>
              </w:rPr>
              <w:t>0005698232</w:t>
            </w:r>
          </w:p>
        </w:tc>
      </w:tr>
    </w:tbl>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860E44" w:rsidRDefault="00860E44">
      <w:pPr>
        <w:rPr>
          <w:b/>
          <w:szCs w:val="22"/>
          <w:u w:val="single"/>
        </w:rPr>
      </w:pPr>
    </w:p>
    <w:p w:rsidR="00FA7770" w:rsidRDefault="00FA7770">
      <w:pPr>
        <w:rPr>
          <w:b/>
          <w:szCs w:val="22"/>
          <w:u w:val="single"/>
        </w:rPr>
      </w:pPr>
    </w:p>
    <w:sectPr w:rsidR="00FA7770" w:rsidSect="008C1A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6A" w:rsidRDefault="00901D6A">
      <w:r>
        <w:separator/>
      </w:r>
    </w:p>
  </w:endnote>
  <w:endnote w:type="continuationSeparator" w:id="0">
    <w:p w:rsidR="00901D6A" w:rsidRDefault="00901D6A">
      <w:r>
        <w:continuationSeparator/>
      </w:r>
    </w:p>
  </w:endnote>
  <w:endnote w:type="continuationNotice" w:id="1">
    <w:p w:rsidR="00901D6A" w:rsidRDefault="0090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26" w:rsidRDefault="00483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BF" w:rsidRDefault="003630BF">
    <w:pPr>
      <w:pStyle w:val="Footer"/>
      <w:jc w:val="center"/>
    </w:pPr>
    <w:r>
      <w:rPr>
        <w:rStyle w:val="PageNumber"/>
      </w:rPr>
      <w:fldChar w:fldCharType="begin"/>
    </w:r>
    <w:r>
      <w:rPr>
        <w:rStyle w:val="PageNumber"/>
      </w:rPr>
      <w:instrText xml:space="preserve"> PAGE </w:instrText>
    </w:r>
    <w:r>
      <w:rPr>
        <w:rStyle w:val="PageNumber"/>
      </w:rPr>
      <w:fldChar w:fldCharType="separate"/>
    </w:r>
    <w:r w:rsidR="00222D70">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26" w:rsidRDefault="0048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6A" w:rsidRDefault="00901D6A">
      <w:pPr>
        <w:rPr>
          <w:sz w:val="20"/>
        </w:rPr>
      </w:pPr>
      <w:r>
        <w:rPr>
          <w:sz w:val="20"/>
        </w:rPr>
        <w:separator/>
      </w:r>
    </w:p>
  </w:footnote>
  <w:footnote w:type="continuationSeparator" w:id="0">
    <w:p w:rsidR="00901D6A" w:rsidRDefault="00901D6A">
      <w:pPr>
        <w:rPr>
          <w:sz w:val="20"/>
        </w:rPr>
      </w:pPr>
      <w:r>
        <w:rPr>
          <w:sz w:val="20"/>
        </w:rPr>
        <w:separator/>
      </w:r>
    </w:p>
    <w:p w:rsidR="00901D6A" w:rsidRDefault="00901D6A">
      <w:pPr>
        <w:rPr>
          <w:sz w:val="20"/>
        </w:rPr>
      </w:pPr>
      <w:r>
        <w:rPr>
          <w:sz w:val="20"/>
        </w:rPr>
        <w:t>(...continued from previous page)</w:t>
      </w:r>
    </w:p>
  </w:footnote>
  <w:footnote w:type="continuationNotice" w:id="1">
    <w:p w:rsidR="00901D6A" w:rsidRDefault="00901D6A">
      <w:pPr>
        <w:jc w:val="right"/>
        <w:rPr>
          <w:sz w:val="20"/>
        </w:rPr>
      </w:pPr>
      <w:r>
        <w:rPr>
          <w:sz w:val="20"/>
        </w:rPr>
        <w:t>(continued....)</w:t>
      </w:r>
    </w:p>
  </w:footnote>
  <w:footnote w:id="2">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Environmentel LLC, Request for Extension of 5-Year Construction Deadline (</w:t>
      </w:r>
      <w:r>
        <w:t xml:space="preserve">“Extension Request”), </w:t>
      </w:r>
      <w:r w:rsidRPr="00461809">
        <w:t>filed March 19, 2013</w:t>
      </w:r>
      <w:r>
        <w:t>.</w:t>
      </w:r>
      <w:r w:rsidRPr="00461809">
        <w:t xml:space="preserve"> </w:t>
      </w:r>
      <w:r>
        <w:t xml:space="preserve"> </w:t>
      </w:r>
      <w:r w:rsidRPr="00461809">
        <w:t>See Attachment A for associated FCC file numbers.</w:t>
      </w:r>
      <w:r>
        <w:t xml:space="preserve">  The licenses were granted on March 19, 2008, and the construction deadlines were </w:t>
      </w:r>
      <w:r w:rsidRPr="00C66C4D">
        <w:t>March 19, 2013</w:t>
      </w:r>
      <w:r w:rsidR="00BB5B8E">
        <w:t xml:space="preserve">. </w:t>
      </w:r>
    </w:p>
  </w:footnote>
  <w:footnote w:id="3">
    <w:p w:rsidR="003630BF" w:rsidRPr="00461809" w:rsidRDefault="003630BF" w:rsidP="00461809">
      <w:pPr>
        <w:pStyle w:val="FootnoteText"/>
        <w:jc w:val="left"/>
      </w:pPr>
      <w:r w:rsidRPr="00461809">
        <w:rPr>
          <w:rStyle w:val="FootnoteReference"/>
        </w:rPr>
        <w:footnoteRef/>
      </w:r>
      <w:r w:rsidRPr="00461809">
        <w:t xml:space="preserve"> Extension Request at 3. </w:t>
      </w:r>
    </w:p>
  </w:footnote>
  <w:footnote w:id="4">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 xml:space="preserve">Auction of Phase II 220 MHz Service Spectrum Licenses Closes, </w:t>
      </w:r>
      <w:r w:rsidRPr="00461809">
        <w:rPr>
          <w:i/>
        </w:rPr>
        <w:t>Public Notice</w:t>
      </w:r>
      <w:r w:rsidRPr="00461809">
        <w:t xml:space="preserve">, 22 FCC Rcd 11573 (2007).  The Licenses were acquired in the name of AMTS Consortium, which changed its name to Environmentel.  </w:t>
      </w:r>
      <w:r w:rsidRPr="00461809">
        <w:rPr>
          <w:i/>
        </w:rPr>
        <w:t>See, e.g.</w:t>
      </w:r>
      <w:r w:rsidRPr="00461809">
        <w:t>, ULS, Environmentel LLC, Administrative Update, File No. 0003649470 (2008).</w:t>
      </w:r>
    </w:p>
  </w:footnote>
  <w:footnote w:id="5">
    <w:p w:rsidR="003630BF" w:rsidRPr="00461809" w:rsidRDefault="003630BF" w:rsidP="00461809">
      <w:pPr>
        <w:pStyle w:val="FootnoteText"/>
        <w:jc w:val="left"/>
      </w:pPr>
      <w:r w:rsidRPr="00461809">
        <w:rPr>
          <w:rStyle w:val="FootnoteReference"/>
        </w:rPr>
        <w:footnoteRef/>
      </w:r>
      <w:r w:rsidRPr="00461809">
        <w:t xml:space="preserve"> 47 C.F.R. § 90.767(a).  For consistency, we refer to this as the “construction requirement” or “construction deadline.”</w:t>
      </w:r>
    </w:p>
  </w:footnote>
  <w:footnote w:id="6">
    <w:p w:rsidR="003630BF" w:rsidRPr="00461809" w:rsidRDefault="003630BF" w:rsidP="00461809">
      <w:pPr>
        <w:pStyle w:val="FootnoteText"/>
        <w:jc w:val="left"/>
      </w:pPr>
      <w:r w:rsidRPr="00461809">
        <w:rPr>
          <w:rStyle w:val="FootnoteReference"/>
        </w:rPr>
        <w:footnoteRef/>
      </w:r>
      <w:r w:rsidRPr="00461809">
        <w:t xml:space="preserve"> </w:t>
      </w:r>
      <w:r w:rsidRPr="00461809">
        <w:rPr>
          <w:i/>
        </w:rPr>
        <w:t>Id.</w:t>
      </w:r>
    </w:p>
  </w:footnote>
  <w:footnote w:id="7">
    <w:p w:rsidR="003630BF" w:rsidRPr="00461809" w:rsidRDefault="003630BF" w:rsidP="00461809">
      <w:pPr>
        <w:pStyle w:val="FootnoteText"/>
        <w:jc w:val="left"/>
      </w:pPr>
      <w:r w:rsidRPr="00461809">
        <w:rPr>
          <w:rStyle w:val="FootnoteReference"/>
        </w:rPr>
        <w:footnoteRef/>
      </w:r>
      <w:r w:rsidRPr="00461809">
        <w:t xml:space="preserve"> 47 C.F.R. § 1.946(c).</w:t>
      </w:r>
    </w:p>
  </w:footnote>
  <w:footnote w:id="8">
    <w:p w:rsidR="003630BF" w:rsidRPr="00461809" w:rsidRDefault="003630BF" w:rsidP="00461809">
      <w:pPr>
        <w:pStyle w:val="FootnoteText"/>
        <w:jc w:val="left"/>
      </w:pPr>
      <w:r w:rsidRPr="00461809">
        <w:rPr>
          <w:rStyle w:val="FootnoteReference"/>
        </w:rPr>
        <w:footnoteRef/>
      </w:r>
      <w:r w:rsidRPr="00461809">
        <w:t xml:space="preserve"> 47 C.F.R. § 90.767(a).</w:t>
      </w:r>
    </w:p>
  </w:footnote>
  <w:footnote w:id="9">
    <w:p w:rsidR="003630BF" w:rsidRPr="00461809" w:rsidRDefault="003630BF" w:rsidP="00461809">
      <w:pPr>
        <w:pStyle w:val="FootnoteText"/>
        <w:jc w:val="left"/>
        <w:rPr>
          <w:b/>
        </w:rPr>
      </w:pPr>
      <w:r w:rsidRPr="00461809">
        <w:rPr>
          <w:rStyle w:val="FootnoteReference"/>
        </w:rPr>
        <w:footnoteRef/>
      </w:r>
      <w:r w:rsidRPr="00461809">
        <w:t xml:space="preserve"> </w:t>
      </w:r>
      <w:r w:rsidRPr="00461809">
        <w:rPr>
          <w:i/>
        </w:rPr>
        <w:t>See</w:t>
      </w:r>
      <w:r w:rsidRPr="00461809">
        <w:t xml:space="preserve"> </w:t>
      </w:r>
      <w:r>
        <w:t>Extension Request</w:t>
      </w:r>
      <w:r w:rsidRPr="00461809">
        <w:t xml:space="preserve">.  </w:t>
      </w:r>
    </w:p>
  </w:footnote>
  <w:footnote w:id="10">
    <w:p w:rsidR="003630BF" w:rsidRPr="00461809" w:rsidRDefault="003630BF" w:rsidP="00461809">
      <w:pPr>
        <w:pStyle w:val="FootnoteText"/>
        <w:jc w:val="left"/>
      </w:pPr>
      <w:r w:rsidRPr="00461809">
        <w:rPr>
          <w:rStyle w:val="FootnoteReference"/>
        </w:rPr>
        <w:footnoteRef/>
      </w:r>
      <w:r w:rsidRPr="00461809">
        <w:t xml:space="preserve"> </w:t>
      </w:r>
      <w:r w:rsidRPr="00461809">
        <w:rPr>
          <w:i/>
        </w:rPr>
        <w:t>Id.</w:t>
      </w:r>
      <w:r w:rsidRPr="00461809">
        <w:t xml:space="preserve"> at 1.</w:t>
      </w:r>
    </w:p>
  </w:footnote>
  <w:footnote w:id="11">
    <w:p w:rsidR="003630BF" w:rsidRPr="00461809" w:rsidRDefault="003630BF" w:rsidP="00461809">
      <w:pPr>
        <w:spacing w:after="120"/>
        <w:rPr>
          <w:sz w:val="20"/>
        </w:rPr>
      </w:pPr>
      <w:r w:rsidRPr="00461809">
        <w:rPr>
          <w:rStyle w:val="FootnoteReference"/>
          <w:sz w:val="20"/>
        </w:rPr>
        <w:footnoteRef/>
      </w:r>
      <w:r w:rsidRPr="00461809">
        <w:rPr>
          <w:sz w:val="20"/>
        </w:rPr>
        <w:t xml:space="preserve"> </w:t>
      </w:r>
      <w:r w:rsidRPr="00461809">
        <w:rPr>
          <w:i/>
          <w:sz w:val="20"/>
        </w:rPr>
        <w:t>See</w:t>
      </w:r>
      <w:r w:rsidRPr="00461809">
        <w:rPr>
          <w:sz w:val="20"/>
        </w:rPr>
        <w:t xml:space="preserve"> Auction of Automated Maritime Telecommunications System Licenses Closes, </w:t>
      </w:r>
      <w:r w:rsidRPr="00461809">
        <w:rPr>
          <w:i/>
          <w:iCs/>
          <w:sz w:val="20"/>
        </w:rPr>
        <w:t>Public Notice</w:t>
      </w:r>
      <w:r w:rsidRPr="00461809">
        <w:rPr>
          <w:sz w:val="20"/>
        </w:rPr>
        <w:t xml:space="preserve">, </w:t>
      </w:r>
      <w:r w:rsidRPr="00461809">
        <w:rPr>
          <w:iCs/>
          <w:sz w:val="20"/>
          <w:shd w:val="clear" w:color="auto" w:fill="FFFFFF"/>
        </w:rPr>
        <w:t>20 FCC Rcd 13747</w:t>
      </w:r>
      <w:r w:rsidRPr="00461809">
        <w:rPr>
          <w:sz w:val="20"/>
        </w:rPr>
        <w:t xml:space="preserve"> (2005).</w:t>
      </w:r>
    </w:p>
  </w:footnote>
  <w:footnote w:id="12">
    <w:p w:rsidR="003630BF" w:rsidRPr="00461809" w:rsidRDefault="003630BF" w:rsidP="009E23EE">
      <w:pPr>
        <w:pStyle w:val="FootnoteText"/>
        <w:jc w:val="left"/>
      </w:pPr>
      <w:r w:rsidRPr="00461809">
        <w:rPr>
          <w:rStyle w:val="FootnoteReference"/>
        </w:rPr>
        <w:footnoteRef/>
      </w:r>
      <w:r w:rsidRPr="00461809">
        <w:t xml:space="preserve"> We note for the record that Warren C. Havens (“Warren Havens”) is the president of Environmentel and is a signatory to the </w:t>
      </w:r>
      <w:r>
        <w:t>Extension Request</w:t>
      </w:r>
      <w:r w:rsidRPr="00461809">
        <w:t xml:space="preserve">.  Warren Havens also is president of Environmentel’s affiliated entities Telesaurus, Verde, </w:t>
      </w:r>
      <w:r>
        <w:t>ITL</w:t>
      </w:r>
      <w:r w:rsidRPr="00461809">
        <w:t>, V2G, and Skybridge.  We refer to these affiliated entities jointly as the “Havens Affiliates.”</w:t>
      </w:r>
    </w:p>
  </w:footnote>
  <w:footnote w:id="13">
    <w:p w:rsidR="003630BF" w:rsidRPr="00461809" w:rsidRDefault="003630BF" w:rsidP="009E23EE">
      <w:pPr>
        <w:pStyle w:val="FootnoteText"/>
        <w:jc w:val="left"/>
      </w:pPr>
      <w:r w:rsidRPr="00461809">
        <w:rPr>
          <w:rStyle w:val="FootnoteReference"/>
        </w:rPr>
        <w:footnoteRef/>
      </w:r>
      <w:r w:rsidRPr="00461809">
        <w:t xml:space="preserve"> This plan requires the combined use of the Havens Affiliates’ AMTS licenses, M-LMS licenses, and certain low-band VHF licenses obtained in Auction No. 87 by ITL and V2G.  </w:t>
      </w:r>
      <w:r w:rsidRPr="00461809">
        <w:rPr>
          <w:i/>
        </w:rPr>
        <w:t>See</w:t>
      </w:r>
      <w:r w:rsidRPr="00461809">
        <w:t xml:space="preserve"> </w:t>
      </w:r>
      <w:r>
        <w:t>Extension Request</w:t>
      </w:r>
      <w:r w:rsidRPr="00461809">
        <w:t xml:space="preserve"> at 2.</w:t>
      </w:r>
    </w:p>
  </w:footnote>
  <w:footnote w:id="14">
    <w:p w:rsidR="003630BF" w:rsidRPr="00461809" w:rsidRDefault="003630BF" w:rsidP="009E23EE">
      <w:pPr>
        <w:pStyle w:val="FootnoteText"/>
        <w:jc w:val="left"/>
      </w:pPr>
      <w:r w:rsidRPr="00461809">
        <w:rPr>
          <w:rStyle w:val="FootnoteReference"/>
        </w:rPr>
        <w:footnoteRef/>
      </w:r>
      <w:r w:rsidRPr="00461809">
        <w:t xml:space="preserve"> </w:t>
      </w:r>
      <w:r w:rsidRPr="00461809">
        <w:rPr>
          <w:i/>
        </w:rPr>
        <w:t xml:space="preserve">See </w:t>
      </w:r>
      <w:r>
        <w:t>Extension Request</w:t>
      </w:r>
      <w:r w:rsidRPr="00461809">
        <w:t xml:space="preserve"> at 5.</w:t>
      </w:r>
    </w:p>
  </w:footnote>
  <w:footnote w:id="15">
    <w:p w:rsidR="003630BF" w:rsidRPr="00461809" w:rsidRDefault="003630BF" w:rsidP="009E23EE">
      <w:pPr>
        <w:pStyle w:val="FootnoteText"/>
        <w:jc w:val="left"/>
      </w:pPr>
      <w:r w:rsidRPr="00461809">
        <w:rPr>
          <w:rStyle w:val="FootnoteReference"/>
        </w:rPr>
        <w:footnoteRef/>
      </w:r>
      <w:r w:rsidRPr="00461809">
        <w:t xml:space="preserve"> </w:t>
      </w:r>
      <w:r w:rsidRPr="00461809">
        <w:rPr>
          <w:i/>
        </w:rPr>
        <w:t>See id</w:t>
      </w:r>
      <w:r w:rsidRPr="00461809">
        <w:t>.</w:t>
      </w:r>
    </w:p>
  </w:footnote>
  <w:footnote w:id="16">
    <w:p w:rsidR="003630BF" w:rsidRPr="00461809" w:rsidRDefault="003630BF" w:rsidP="009E23EE">
      <w:pPr>
        <w:pStyle w:val="FootnoteText"/>
        <w:jc w:val="left"/>
      </w:pPr>
      <w:r w:rsidRPr="00461809">
        <w:rPr>
          <w:rStyle w:val="FootnoteReference"/>
        </w:rPr>
        <w:footnoteRef/>
      </w:r>
      <w:r w:rsidRPr="00461809">
        <w:t xml:space="preserve"> Environmentel states that it has legally committed to assigning 80% of the spectrum in the Licenses to Skybridge, and that this assignment is subject to grant of the </w:t>
      </w:r>
      <w:r>
        <w:t>Extension Request</w:t>
      </w:r>
      <w:r w:rsidRPr="00461809">
        <w:t xml:space="preserve">, “without which the Licenses will terminate and the assignment will not be possible.” </w:t>
      </w:r>
      <w:r>
        <w:t xml:space="preserve"> Extension Request</w:t>
      </w:r>
      <w:r w:rsidRPr="00461809">
        <w:t xml:space="preserve"> at 2.</w:t>
      </w:r>
    </w:p>
  </w:footnote>
  <w:footnote w:id="17">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47 C.F.R. § 1.946(e).</w:t>
      </w:r>
    </w:p>
  </w:footnote>
  <w:footnote w:id="18">
    <w:p w:rsidR="003630BF" w:rsidRPr="00461809" w:rsidRDefault="003630BF" w:rsidP="00461809">
      <w:pPr>
        <w:pStyle w:val="FootnoteText"/>
        <w:jc w:val="left"/>
      </w:pPr>
      <w:r w:rsidRPr="00461809">
        <w:rPr>
          <w:rStyle w:val="FootnoteReference"/>
        </w:rPr>
        <w:footnoteRef/>
      </w:r>
      <w:r w:rsidRPr="00461809">
        <w:t xml:space="preserve"> </w:t>
      </w:r>
      <w:r w:rsidRPr="00461809">
        <w:rPr>
          <w:i/>
        </w:rPr>
        <w:t>See</w:t>
      </w:r>
      <w:r w:rsidRPr="00461809">
        <w:t xml:space="preserve"> 47 C.F.R. § 1.946(e)(2)-(3).</w:t>
      </w:r>
    </w:p>
  </w:footnote>
  <w:footnote w:id="19">
    <w:p w:rsidR="003630BF" w:rsidRPr="00461809" w:rsidRDefault="003630BF" w:rsidP="00461809">
      <w:pPr>
        <w:pStyle w:val="FootnoteText"/>
        <w:jc w:val="left"/>
      </w:pPr>
      <w:r w:rsidRPr="00461809">
        <w:rPr>
          <w:rStyle w:val="FootnoteReference"/>
        </w:rPr>
        <w:footnoteRef/>
      </w:r>
      <w:r w:rsidRPr="00461809">
        <w:t xml:space="preserve"> </w:t>
      </w:r>
      <w:r w:rsidRPr="00461809">
        <w:rPr>
          <w:i/>
        </w:rPr>
        <w:t>See</w:t>
      </w:r>
      <w:r w:rsidRPr="00461809">
        <w:t xml:space="preserve"> 47 U.S.C § 309(j)(4)(B).</w:t>
      </w:r>
    </w:p>
  </w:footnote>
  <w:footnote w:id="20">
    <w:p w:rsidR="003630BF" w:rsidRPr="00461809" w:rsidRDefault="003630BF" w:rsidP="00072D39">
      <w:pPr>
        <w:pStyle w:val="FootnoteText"/>
        <w:jc w:val="left"/>
      </w:pPr>
      <w:r w:rsidRPr="00461809">
        <w:rPr>
          <w:rStyle w:val="FootnoteReference"/>
        </w:rPr>
        <w:footnoteRef/>
      </w:r>
      <w:r w:rsidRPr="00461809">
        <w:t xml:space="preserve"> </w:t>
      </w:r>
      <w:r w:rsidRPr="00461809">
        <w:rPr>
          <w:i/>
        </w:rPr>
        <w:t>See</w:t>
      </w:r>
      <w:r w:rsidRPr="00461809">
        <w:t xml:space="preserve"> 47 U.S.C § 309(j)(4)(B).</w:t>
      </w:r>
    </w:p>
  </w:footnote>
  <w:footnote w:id="21">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47 C.F.R. § 1.946(e).</w:t>
      </w:r>
    </w:p>
  </w:footnote>
  <w:footnote w:id="22">
    <w:p w:rsidR="003630BF" w:rsidRPr="00461809" w:rsidRDefault="003630BF" w:rsidP="00461809">
      <w:pPr>
        <w:pStyle w:val="FootnoteText"/>
        <w:jc w:val="left"/>
      </w:pPr>
      <w:r w:rsidRPr="00461809">
        <w:rPr>
          <w:rStyle w:val="FootnoteReference"/>
        </w:rPr>
        <w:footnoteRef/>
      </w:r>
      <w:r w:rsidRPr="00461809">
        <w:t xml:space="preserve"> Environmentel states that “the extension criteria is satisfied since grant will allow the Licenses to be place into service on a timely basis for the highest and best use, since due diligence has been extensively performed, and due to the commitments of the licensee, accepted by [Skybridge], to assign 80% of the spectrum to a [sic] [Skybridge] for nonprofit support of governments’ critical goals and programs. . . .”  </w:t>
      </w:r>
      <w:r>
        <w:t>Extension Request</w:t>
      </w:r>
      <w:r w:rsidRPr="00461809">
        <w:t xml:space="preserve"> at 8.</w:t>
      </w:r>
    </w:p>
  </w:footnote>
  <w:footnote w:id="23">
    <w:p w:rsidR="003630BF" w:rsidRPr="00461809" w:rsidRDefault="003630BF" w:rsidP="0093290B">
      <w:pPr>
        <w:pStyle w:val="FootnoteText"/>
        <w:jc w:val="left"/>
      </w:pPr>
      <w:r w:rsidRPr="00461809">
        <w:rPr>
          <w:rStyle w:val="FootnoteReference"/>
        </w:rPr>
        <w:footnoteRef/>
      </w:r>
      <w:r w:rsidRPr="00461809">
        <w:t xml:space="preserve"> </w:t>
      </w:r>
      <w:r w:rsidRPr="00461809">
        <w:rPr>
          <w:i/>
        </w:rPr>
        <w:t>See</w:t>
      </w:r>
      <w:r>
        <w:t xml:space="preserve"> 47 C.F.R. § 1.946(e)(2)</w:t>
      </w:r>
      <w:r w:rsidRPr="00461809">
        <w:t>.</w:t>
      </w:r>
    </w:p>
  </w:footnote>
  <w:footnote w:id="24">
    <w:p w:rsidR="003630BF" w:rsidRPr="00E312B0" w:rsidRDefault="003630BF" w:rsidP="00E312B0">
      <w:pPr>
        <w:pStyle w:val="FootnoteText"/>
      </w:pPr>
      <w:r>
        <w:rPr>
          <w:rStyle w:val="FootnoteReference"/>
        </w:rPr>
        <w:footnoteRef/>
      </w:r>
      <w:r>
        <w:t xml:space="preserve"> </w:t>
      </w:r>
      <w:r>
        <w:rPr>
          <w:i/>
        </w:rPr>
        <w:t xml:space="preserve">See </w:t>
      </w:r>
      <w:r>
        <w:t>Extension Request at 6.</w:t>
      </w:r>
    </w:p>
  </w:footnote>
  <w:footnote w:id="25">
    <w:p w:rsidR="003630BF" w:rsidRPr="00461809" w:rsidRDefault="003630BF" w:rsidP="00461809">
      <w:pPr>
        <w:pStyle w:val="FootnoteText"/>
        <w:jc w:val="left"/>
      </w:pPr>
      <w:r w:rsidRPr="00461809">
        <w:rPr>
          <w:rStyle w:val="FootnoteReference"/>
        </w:rPr>
        <w:footnoteRef/>
      </w:r>
      <w:r w:rsidRPr="00461809">
        <w:t xml:space="preserve"> </w:t>
      </w:r>
      <w:r w:rsidRPr="00461809">
        <w:rPr>
          <w:i/>
        </w:rPr>
        <w:t>See, e.g</w:t>
      </w:r>
      <w:r w:rsidRPr="00461809">
        <w:t xml:space="preserve">., Redwood Wireless Minnesota, LLC, </w:t>
      </w:r>
      <w:r w:rsidRPr="00461809">
        <w:rPr>
          <w:i/>
        </w:rPr>
        <w:t>Order</w:t>
      </w:r>
      <w:r w:rsidRPr="00461809">
        <w:t xml:space="preserve">, 17 FCC Rcd 22416 (WTB-CWD 2002) (construction delays resulting from business disputes were exercise of business judgment and were not outside Petitioner’s control); Eldorado Communications LLC, </w:t>
      </w:r>
      <w:r w:rsidRPr="00461809">
        <w:rPr>
          <w:i/>
        </w:rPr>
        <w:t>Order</w:t>
      </w:r>
      <w:r w:rsidRPr="00461809">
        <w:t xml:space="preserve">, 17 FCC Rcd 24613 (WTB-CWD 2002) (licensee’s determination to initially deploy TDMA system and subsequently to adopt GSM with months remaining before construction deadline was business decision within its control); Bristol MAS Partners, </w:t>
      </w:r>
      <w:r w:rsidRPr="00461809">
        <w:rPr>
          <w:i/>
        </w:rPr>
        <w:t>Order</w:t>
      </w:r>
      <w:r w:rsidRPr="00461809">
        <w:t>, 14 FCC Rcd 5007 (WTB-PSPWD 1999) (equipment installation or delivery not delayed for some unique reason and licensee failing to obtain equipment was business decision); AAT Electronics Corporation, 93 FCC 2d 1034 (1983) (decision not to market service aggressively because of equipment uncertainties is within licensee’s control); Business Radio Communications Systems, Inc., 102 FCC 2d 714 (1985)</w:t>
      </w:r>
      <w:bookmarkStart w:id="1" w:name="SDU_12"/>
      <w:bookmarkEnd w:id="1"/>
      <w:r w:rsidRPr="00461809">
        <w:t xml:space="preserve"> (construction delay caused by zoning challenge not a circumstance beyond licensee's control); Texas Two-Way, Inc., 98 FCC 2d 1300 (1984), </w:t>
      </w:r>
      <w:r w:rsidRPr="00461809">
        <w:rPr>
          <w:i/>
        </w:rPr>
        <w:t>aff'd sub nom</w:t>
      </w:r>
      <w:r w:rsidRPr="00461809">
        <w:t xml:space="preserve">., </w:t>
      </w:r>
      <w:r w:rsidRPr="00461809">
        <w:rPr>
          <w:i/>
        </w:rPr>
        <w:t>Texas Two-Way, Inc. v. FCC</w:t>
      </w:r>
      <w:r w:rsidRPr="00461809">
        <w:t>, 762 F.2d 138 (D.C. Cir. 1985) (licensee is responsible for delay resulting from interference caused by construction adjacent to construction site because site selection was an independent business decision); Letter dated May 6, 2011 from Thomas Derenge, Deputy Chief, Mobility Division, Wireless Telecommunications Bureau, to Dean S. Kozel, Longhorn Communications Inc., 26 FCC Rcd 6716 (WTB-MD 2011); Letter dated June 26, 2009 from Roger S. Noel, Chief, Mobility Division, Wireless Telecommunications Bureau to David G. Boyle, 24 FCC Rcd 8600 (WTB-MD 2009).</w:t>
      </w:r>
    </w:p>
  </w:footnote>
  <w:footnote w:id="26">
    <w:p w:rsidR="003630BF" w:rsidRPr="00461809" w:rsidRDefault="003630BF" w:rsidP="00461809">
      <w:pPr>
        <w:pStyle w:val="FootnoteText"/>
        <w:jc w:val="left"/>
      </w:pPr>
      <w:r w:rsidRPr="00461809">
        <w:rPr>
          <w:rStyle w:val="FootnoteReference"/>
        </w:rPr>
        <w:footnoteRef/>
      </w:r>
      <w:r w:rsidRPr="00461809">
        <w:t xml:space="preserve"> </w:t>
      </w:r>
      <w:r w:rsidRPr="00AE1CBD">
        <w:rPr>
          <w:i/>
        </w:rPr>
        <w:t>See</w:t>
      </w:r>
      <w:r>
        <w:t xml:space="preserve"> </w:t>
      </w:r>
      <w:r w:rsidRPr="00D02218">
        <w:t xml:space="preserve">Amendment of Part 90 of the Commission’s Rules to Provide for the Use of the 220-222 MHz Band by the Private Land Mobile Radio Service, </w:t>
      </w:r>
      <w:r w:rsidRPr="00D02218">
        <w:rPr>
          <w:i/>
        </w:rPr>
        <w:t>Third Report and Order</w:t>
      </w:r>
      <w:r w:rsidRPr="00D02218">
        <w:t xml:space="preserve">, 12 FCC Rcd 10943 </w:t>
      </w:r>
      <w:r w:rsidRPr="00461809">
        <w:t>¶ 19</w:t>
      </w:r>
      <w:r w:rsidRPr="00D02218">
        <w:t xml:space="preserve"> (1997) (“</w:t>
      </w:r>
      <w:r w:rsidRPr="00D02218">
        <w:rPr>
          <w:i/>
        </w:rPr>
        <w:t>Third Report and Order”</w:t>
      </w:r>
      <w:r w:rsidRPr="00D02218">
        <w:t>)</w:t>
      </w:r>
      <w:r>
        <w:t>.</w:t>
      </w:r>
    </w:p>
  </w:footnote>
  <w:footnote w:id="27">
    <w:p w:rsidR="003630BF" w:rsidRPr="00461809" w:rsidRDefault="003630BF" w:rsidP="00A979A4">
      <w:pPr>
        <w:pStyle w:val="FootnoteText"/>
        <w:jc w:val="left"/>
      </w:pPr>
      <w:r w:rsidRPr="00461809">
        <w:rPr>
          <w:rStyle w:val="FootnoteReference"/>
        </w:rPr>
        <w:footnoteRef/>
      </w:r>
      <w:r w:rsidRPr="00461809">
        <w:t xml:space="preserve"> </w:t>
      </w:r>
      <w:r>
        <w:rPr>
          <w:i/>
        </w:rPr>
        <w:t xml:space="preserve">See </w:t>
      </w:r>
      <w:r w:rsidRPr="00461809">
        <w:t>47 C.F.R. § 90.767(a).</w:t>
      </w:r>
    </w:p>
  </w:footnote>
  <w:footnote w:id="28">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 xml:space="preserve">Warren C. Havens, Bizcom USA, and Cornerstone SMR, </w:t>
      </w:r>
      <w:r w:rsidRPr="00461809">
        <w:rPr>
          <w:i/>
        </w:rPr>
        <w:t>Memorandum Opinion and Order</w:t>
      </w:r>
      <w:r w:rsidRPr="00461809">
        <w:t xml:space="preserve">, 19 FCC Rcd 12994 </w:t>
      </w:r>
      <w:r w:rsidRPr="009F06DF">
        <w:t>¶ 19 (</w:t>
      </w:r>
      <w:r w:rsidRPr="00B36F87">
        <w:t>2004) (“</w:t>
      </w:r>
      <w:r w:rsidRPr="00B36F87">
        <w:rPr>
          <w:i/>
        </w:rPr>
        <w:t>220 MHz Extension Order</w:t>
      </w:r>
      <w:r w:rsidRPr="00B36F87">
        <w:t xml:space="preserve">”).  The Commission issued the </w:t>
      </w:r>
      <w:r w:rsidRPr="00B36F87">
        <w:rPr>
          <w:i/>
        </w:rPr>
        <w:t>220 MHz Extension Order</w:t>
      </w:r>
      <w:r w:rsidRPr="00B36F87">
        <w:t xml:space="preserve"> in response to Extension Requests filed by Warren Ha</w:t>
      </w:r>
      <w:r w:rsidRPr="009F06DF">
        <w:t xml:space="preserve">vens for his 220 MHz licenses.  </w:t>
      </w:r>
      <w:r w:rsidRPr="009F06DF">
        <w:rPr>
          <w:i/>
        </w:rPr>
        <w:t>See</w:t>
      </w:r>
      <w:r w:rsidRPr="009F06DF">
        <w:t xml:space="preserve"> Warren Havens, Petition to Waive or Extend the Five-Year Construction Requirement: Partial Waiver of Section 90.767, with requests to apply to other Regional and EA Licenses (Jan. 12, 2004).  Warren Havens argued, in part, that extension or waiver of the construction requirement was justified</w:t>
      </w:r>
      <w:r w:rsidRPr="00461809">
        <w:t xml:space="preserve"> due to a lack of appropriate equipment available for use in the 220 MHz band. The Bureau found that the public interest would be served by granting 220 MHz licensees, including Warren Havens, this extension and that an additional three years would be sufficient time for the licensees to construct their systems using available or soon to be released equipment.</w:t>
      </w:r>
      <w:r w:rsidRPr="00461809">
        <w:rPr>
          <w:i/>
        </w:rPr>
        <w:t xml:space="preserve">  Id. </w:t>
      </w:r>
      <w:r w:rsidRPr="00461809">
        <w:t>at ¶ 20.</w:t>
      </w:r>
    </w:p>
  </w:footnote>
  <w:footnote w:id="29">
    <w:p w:rsidR="003630BF" w:rsidRPr="00461809" w:rsidRDefault="003630BF" w:rsidP="00461809">
      <w:pPr>
        <w:pStyle w:val="FootnoteText"/>
        <w:jc w:val="left"/>
      </w:pPr>
      <w:r w:rsidRPr="00461809">
        <w:rPr>
          <w:rStyle w:val="FootnoteReference"/>
        </w:rPr>
        <w:footnoteRef/>
      </w:r>
      <w:r w:rsidRPr="00461809">
        <w:t xml:space="preserve"> In 2004, when the Bureau granted a three year extension, the </w:t>
      </w:r>
      <w:r w:rsidRPr="00461809">
        <w:rPr>
          <w:i/>
        </w:rPr>
        <w:t>220 MHz Extension Order</w:t>
      </w:r>
      <w:r w:rsidRPr="00461809">
        <w:t xml:space="preserve"> noted that there were several factors that would allow 220 MHz licensees to effectively develop and use their licenses in the near term, prior to the extended deadline.  Specifically, the Bureau cited to comments in the record that indicated that: (1) new digital equipment could be made available in the near term; (2) licensees were aggregating multiple 5 kHz channels to utilize 12.5 kHz equipment that was already available in the band; and (3) that the flexibility provided in the 1997 restructuring of the 220 MHz service rules would allow licensees to take advantage of a wide variety of new uses of the band, including fixed data applications.  </w:t>
      </w:r>
      <w:r w:rsidRPr="00461809">
        <w:rPr>
          <w:i/>
        </w:rPr>
        <w:t>Id</w:t>
      </w:r>
      <w:r w:rsidRPr="00461809">
        <w:t>. at ¶¶ 16-18</w:t>
      </w:r>
      <w:r w:rsidRPr="00461809">
        <w:rPr>
          <w:i/>
        </w:rPr>
        <w:t>; see also</w:t>
      </w:r>
      <w:r w:rsidRPr="00461809">
        <w:t xml:space="preserve"> </w:t>
      </w:r>
      <w:r w:rsidRPr="00461809">
        <w:rPr>
          <w:i/>
        </w:rPr>
        <w:t>Third Report and Order</w:t>
      </w:r>
      <w:r w:rsidRPr="00461809">
        <w:t>.</w:t>
      </w:r>
    </w:p>
  </w:footnote>
  <w:footnote w:id="30">
    <w:p w:rsidR="003630BF" w:rsidRPr="003B5A7A"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Warren Havens and Telesaurus VPC LLC, Petition to Waive or Extend the Five-Year Construction Requirement (filed November 4, 2007); Warren Havens and Telesaurus VPC, Supplement to Pending 220-222 MHz Extension Requests (filed June 27, 2008); Warren C. Havens Regional and EA Licenses, Amendment of Pending 2007 Petition to Waive or Extend the Five-Year Construction Requirement and the Ten-Year Construction Requirement (filed March 23, 2009); Warren C. Havens and Verde Systems LLC, Fee Waiver and Refund Request,  Amendment to Pending Extension Requests Due to Lack of FCC Decision On It, Request for One “Ten Year” Construction Deadline of October 7, 2015, and Supportive Showing for Amended Extension Requests, Renewal Expectancy Showing for Renewal Applications for all the Subject Licenses (filed October 7, 2009); Warren Havens, Verde Systems LLC, and Skybridge Spectrum Foundation, Supplement to Extension and Renewal Applications (filed September 23, 2010)</w:t>
      </w:r>
      <w:r>
        <w:t>.</w:t>
      </w:r>
    </w:p>
  </w:footnote>
  <w:footnote w:id="31">
    <w:p w:rsidR="003630BF" w:rsidRPr="00461809" w:rsidRDefault="003630BF" w:rsidP="00461809">
      <w:pPr>
        <w:pStyle w:val="FootnoteText"/>
        <w:jc w:val="left"/>
      </w:pPr>
      <w:r w:rsidRPr="00461809">
        <w:rPr>
          <w:rStyle w:val="FootnoteReference"/>
        </w:rPr>
        <w:footnoteRef/>
      </w:r>
      <w:r w:rsidRPr="00461809">
        <w:t xml:space="preserve"> </w:t>
      </w:r>
      <w:r>
        <w:t>Extension</w:t>
      </w:r>
      <w:r w:rsidRPr="00461809">
        <w:t xml:space="preserve"> Request at 5.</w:t>
      </w:r>
    </w:p>
  </w:footnote>
  <w:footnote w:id="32">
    <w:p w:rsidR="003630BF" w:rsidRDefault="003630BF">
      <w:pPr>
        <w:pStyle w:val="FootnoteText"/>
      </w:pPr>
      <w:r>
        <w:rPr>
          <w:rStyle w:val="FootnoteReference"/>
        </w:rPr>
        <w:footnoteRef/>
      </w:r>
      <w:r>
        <w:t xml:space="preserve"> Warren Havens raises this argument for 220 MHz licenses in his 2004 extension request, which was denied and again in his 2007 extension requests.  </w:t>
      </w:r>
      <w:r w:rsidRPr="00A953FC">
        <w:rPr>
          <w:i/>
        </w:rPr>
        <w:t>See, e.g.</w:t>
      </w:r>
      <w:r>
        <w:rPr>
          <w:i/>
        </w:rPr>
        <w:t>,</w:t>
      </w:r>
      <w:r>
        <w:t xml:space="preserve"> extension requests attached to ULS File Nos. </w:t>
      </w:r>
      <w:r w:rsidRPr="00003129">
        <w:t>0001664792</w:t>
      </w:r>
      <w:r>
        <w:t xml:space="preserve"> and 0003222964.  </w:t>
      </w:r>
      <w:r w:rsidRPr="00A953FC">
        <w:rPr>
          <w:i/>
        </w:rPr>
        <w:t>See also</w:t>
      </w:r>
      <w:r>
        <w:t>,</w:t>
      </w:r>
      <w:r w:rsidRPr="00003129">
        <w:t xml:space="preserve"> </w:t>
      </w:r>
      <w:r w:rsidRPr="00A953FC">
        <w:rPr>
          <w:i/>
        </w:rPr>
        <w:t>220 MHz Extension Order</w:t>
      </w:r>
      <w:r>
        <w:t xml:space="preserve"> at </w:t>
      </w:r>
      <w:r w:rsidRPr="00003129">
        <w:t xml:space="preserve">¶ </w:t>
      </w:r>
      <w:r>
        <w:t>20,</w:t>
      </w:r>
      <w:r w:rsidRPr="00003129">
        <w:t xml:space="preserve"> 19 FCC Rcd 1</w:t>
      </w:r>
      <w:r>
        <w:t>3002</w:t>
      </w:r>
      <w:r w:rsidRPr="00A953FC">
        <w:t xml:space="preserve">.  </w:t>
      </w:r>
      <w:r>
        <w:t xml:space="preserve">  </w:t>
      </w:r>
    </w:p>
  </w:footnote>
  <w:footnote w:id="33">
    <w:p w:rsidR="003630BF" w:rsidRPr="00461809" w:rsidRDefault="003630BF" w:rsidP="00461809">
      <w:pPr>
        <w:spacing w:after="120"/>
        <w:rPr>
          <w:sz w:val="20"/>
        </w:rPr>
      </w:pPr>
      <w:r w:rsidRPr="00461809">
        <w:rPr>
          <w:rStyle w:val="FootnoteReference"/>
          <w:sz w:val="20"/>
        </w:rPr>
        <w:footnoteRef/>
      </w:r>
      <w:r w:rsidRPr="00461809">
        <w:rPr>
          <w:sz w:val="20"/>
        </w:rPr>
        <w:t xml:space="preserve"> </w:t>
      </w:r>
      <w:r w:rsidRPr="00461809">
        <w:rPr>
          <w:i/>
          <w:sz w:val="20"/>
        </w:rPr>
        <w:t xml:space="preserve">See </w:t>
      </w:r>
      <w:r w:rsidRPr="00C4385A">
        <w:rPr>
          <w:sz w:val="20"/>
        </w:rPr>
        <w:t>A</w:t>
      </w:r>
      <w:r w:rsidRPr="00461809">
        <w:rPr>
          <w:sz w:val="20"/>
        </w:rPr>
        <w:t>mendment of Part 90 of the Commissio</w:t>
      </w:r>
      <w:r w:rsidRPr="00C4385A">
        <w:rPr>
          <w:sz w:val="20"/>
        </w:rPr>
        <w:t xml:space="preserve">n's Rules to Provide for the Use of the 220-222 </w:t>
      </w:r>
      <w:r w:rsidRPr="00461809">
        <w:rPr>
          <w:sz w:val="20"/>
        </w:rPr>
        <w:t>MHz</w:t>
      </w:r>
      <w:r w:rsidRPr="00C4385A">
        <w:rPr>
          <w:sz w:val="20"/>
        </w:rPr>
        <w:t xml:space="preserve"> Band by the</w:t>
      </w:r>
      <w:r w:rsidRPr="00461809">
        <w:rPr>
          <w:sz w:val="20"/>
        </w:rPr>
        <w:t xml:space="preserve"> Private Land Mobile Radio Services,</w:t>
      </w:r>
      <w:r w:rsidRPr="00C4385A">
        <w:rPr>
          <w:sz w:val="20"/>
        </w:rPr>
        <w:t xml:space="preserve"> </w:t>
      </w:r>
      <w:r w:rsidRPr="00461809">
        <w:rPr>
          <w:i/>
          <w:sz w:val="20"/>
        </w:rPr>
        <w:t xml:space="preserve">Report and Order, </w:t>
      </w:r>
      <w:r w:rsidRPr="00C4385A">
        <w:rPr>
          <w:sz w:val="20"/>
        </w:rPr>
        <w:t xml:space="preserve">6 </w:t>
      </w:r>
      <w:r w:rsidRPr="00461809">
        <w:rPr>
          <w:sz w:val="20"/>
        </w:rPr>
        <w:t>FCC Rcd</w:t>
      </w:r>
      <w:r w:rsidRPr="00C4385A">
        <w:rPr>
          <w:sz w:val="20"/>
        </w:rPr>
        <w:t xml:space="preserve"> 2356</w:t>
      </w:r>
      <w:r w:rsidRPr="00461809">
        <w:rPr>
          <w:sz w:val="20"/>
        </w:rPr>
        <w:t xml:space="preserve">, 2365 ¶¶ 65-69 </w:t>
      </w:r>
      <w:r w:rsidRPr="00C4385A">
        <w:rPr>
          <w:sz w:val="20"/>
        </w:rPr>
        <w:t>(1991)</w:t>
      </w:r>
      <w:r w:rsidRPr="00461809">
        <w:rPr>
          <w:sz w:val="20"/>
        </w:rPr>
        <w:t xml:space="preserve">; </w:t>
      </w:r>
      <w:r w:rsidRPr="00461809">
        <w:rPr>
          <w:i/>
          <w:sz w:val="20"/>
        </w:rPr>
        <w:t>220 MHz Extension Order</w:t>
      </w:r>
      <w:r w:rsidRPr="00461809">
        <w:rPr>
          <w:sz w:val="20"/>
        </w:rPr>
        <w:t>.</w:t>
      </w:r>
    </w:p>
  </w:footnote>
  <w:footnote w:id="34">
    <w:p w:rsidR="003630BF" w:rsidRPr="00461809" w:rsidRDefault="003630BF" w:rsidP="00461809">
      <w:pPr>
        <w:pStyle w:val="FootnoteText"/>
        <w:jc w:val="left"/>
      </w:pPr>
      <w:r w:rsidRPr="00461809">
        <w:rPr>
          <w:rStyle w:val="FootnoteReference"/>
        </w:rPr>
        <w:footnoteRef/>
      </w:r>
      <w:r w:rsidRPr="00461809">
        <w:t xml:space="preserve"> </w:t>
      </w:r>
      <w:r>
        <w:t>Extension</w:t>
      </w:r>
      <w:r w:rsidRPr="00461809">
        <w:t xml:space="preserve"> Request at 3.</w:t>
      </w:r>
    </w:p>
  </w:footnote>
  <w:footnote w:id="35">
    <w:p w:rsidR="003630BF" w:rsidRPr="0013449F" w:rsidRDefault="003630BF" w:rsidP="000B1E60">
      <w:pPr>
        <w:pStyle w:val="FootnoteText"/>
        <w:jc w:val="left"/>
        <w:rPr>
          <w:i/>
        </w:rPr>
      </w:pPr>
      <w:r w:rsidRPr="00461809">
        <w:rPr>
          <w:rStyle w:val="FootnoteReference"/>
        </w:rPr>
        <w:footnoteRef/>
      </w:r>
      <w:r w:rsidRPr="00461809">
        <w:t xml:space="preserve"> </w:t>
      </w:r>
      <w:r>
        <w:rPr>
          <w:i/>
        </w:rPr>
        <w:t xml:space="preserve">See </w:t>
      </w:r>
      <w:r w:rsidRPr="00927CB9">
        <w:t>47 C.F.R. § 90.767(a)</w:t>
      </w:r>
      <w:r>
        <w:t xml:space="preserve">.  </w:t>
      </w:r>
      <w:r>
        <w:rPr>
          <w:i/>
        </w:rPr>
        <w:t xml:space="preserve">See also </w:t>
      </w:r>
      <w:r w:rsidRPr="0013449F">
        <w:t xml:space="preserve">FCI 900, Inc. Expedited Request for 3-Year Extension of 900 MHz Band Construction Requirements, </w:t>
      </w:r>
      <w:r w:rsidRPr="0013449F">
        <w:rPr>
          <w:i/>
        </w:rPr>
        <w:t>Memorandum Opinion and Order</w:t>
      </w:r>
      <w:r w:rsidRPr="0013449F">
        <w:t>, 16 FCC Rcd 11072, 110</w:t>
      </w:r>
      <w:r>
        <w:t>82</w:t>
      </w:r>
      <w:r w:rsidRPr="0013449F">
        <w:t xml:space="preserve"> ¶ 1</w:t>
      </w:r>
      <w:r>
        <w:t>8</w:t>
      </w:r>
      <w:r w:rsidRPr="0013449F">
        <w:t xml:space="preserve"> (2001</w:t>
      </w:r>
      <w:r>
        <w:t xml:space="preserve">).  </w:t>
      </w:r>
      <w:r>
        <w:rPr>
          <w:i/>
        </w:rPr>
        <w:t>See generally</w:t>
      </w:r>
      <w:r w:rsidRPr="0013449F">
        <w:rPr>
          <w:rFonts w:ascii="Arial" w:hAnsi="Arial" w:cs="Arial"/>
          <w:color w:val="252525"/>
          <w:sz w:val="21"/>
          <w:szCs w:val="21"/>
        </w:rPr>
        <w:t xml:space="preserve"> </w:t>
      </w:r>
      <w:r w:rsidRPr="0013449F">
        <w:t>FCI 900, Inc. Expedited Request for 3-Year Extension of 900 MHz Band Construction Requirements,</w:t>
      </w:r>
      <w:r>
        <w:t xml:space="preserve"> </w:t>
      </w:r>
      <w:r w:rsidRPr="0013449F">
        <w:rPr>
          <w:i/>
        </w:rPr>
        <w:t>Order on Reconsideration</w:t>
      </w:r>
      <w:r>
        <w:t xml:space="preserve">, </w:t>
      </w:r>
      <w:r w:rsidRPr="0013449F">
        <w:t>17</w:t>
      </w:r>
      <w:r>
        <w:t xml:space="preserve"> FCC Rcd 16092 (2002).</w:t>
      </w:r>
    </w:p>
  </w:footnote>
  <w:footnote w:id="36">
    <w:p w:rsidR="003630BF" w:rsidRPr="00461809" w:rsidRDefault="003630BF" w:rsidP="00461809">
      <w:pPr>
        <w:pStyle w:val="FootnoteText"/>
      </w:pPr>
      <w:r w:rsidRPr="00461809">
        <w:rPr>
          <w:rStyle w:val="FootnoteReference"/>
        </w:rPr>
        <w:footnoteRef/>
      </w:r>
      <w:r w:rsidRPr="00461809">
        <w:t xml:space="preserve"> </w:t>
      </w:r>
      <w:r>
        <w:t>Extension</w:t>
      </w:r>
      <w:r w:rsidRPr="00461809">
        <w:t xml:space="preserve"> Request at 2-3.</w:t>
      </w:r>
    </w:p>
  </w:footnote>
  <w:footnote w:id="37">
    <w:p w:rsidR="003630BF" w:rsidRPr="00461809" w:rsidRDefault="003630BF" w:rsidP="00461809">
      <w:pPr>
        <w:pStyle w:val="FootnoteText"/>
        <w:jc w:val="left"/>
      </w:pPr>
      <w:r w:rsidRPr="00461809">
        <w:rPr>
          <w:rStyle w:val="FootnoteReference"/>
        </w:rPr>
        <w:footnoteRef/>
      </w:r>
      <w:r w:rsidRPr="00461809">
        <w:t xml:space="preserve"> </w:t>
      </w:r>
      <w:r>
        <w:t>Extension Request</w:t>
      </w:r>
      <w:r w:rsidRPr="00461809">
        <w:t xml:space="preserve"> at </w:t>
      </w:r>
      <w:r>
        <w:t>6-</w:t>
      </w:r>
      <w:r w:rsidRPr="00461809">
        <w:t>7.</w:t>
      </w:r>
      <w:r>
        <w:t xml:space="preserve">  At the time, PTC-220’s members included two of the nation’s Class I freight railroads.  Today, PTC-220’s members include all seven Class I freight railroads. </w:t>
      </w:r>
    </w:p>
  </w:footnote>
  <w:footnote w:id="38">
    <w:p w:rsidR="003630BF" w:rsidRPr="00461809" w:rsidRDefault="003630BF" w:rsidP="00461809">
      <w:pPr>
        <w:pStyle w:val="FootnoteText"/>
        <w:jc w:val="left"/>
      </w:pPr>
      <w:r w:rsidRPr="00461809">
        <w:rPr>
          <w:rStyle w:val="FootnoteReference"/>
        </w:rPr>
        <w:footnoteRef/>
      </w:r>
      <w:r w:rsidRPr="00461809">
        <w:t xml:space="preserve"> </w:t>
      </w:r>
      <w:r w:rsidRPr="00461809">
        <w:rPr>
          <w:i/>
        </w:rPr>
        <w:t>Id.</w:t>
      </w:r>
      <w:r w:rsidRPr="00461809">
        <w:t xml:space="preserve"> at 6.</w:t>
      </w:r>
    </w:p>
  </w:footnote>
  <w:footnote w:id="39">
    <w:p w:rsidR="003630BF" w:rsidRPr="00461809" w:rsidRDefault="003630BF" w:rsidP="00461809">
      <w:pPr>
        <w:spacing w:after="120"/>
        <w:rPr>
          <w:sz w:val="20"/>
        </w:rPr>
      </w:pPr>
      <w:r w:rsidRPr="00461809">
        <w:rPr>
          <w:rStyle w:val="FootnoteReference"/>
          <w:sz w:val="20"/>
        </w:rPr>
        <w:footnoteRef/>
      </w:r>
      <w:r w:rsidRPr="00461809">
        <w:rPr>
          <w:sz w:val="20"/>
        </w:rPr>
        <w:t xml:space="preserve"> </w:t>
      </w:r>
      <w:r w:rsidRPr="00461809">
        <w:rPr>
          <w:i/>
          <w:sz w:val="20"/>
        </w:rPr>
        <w:t xml:space="preserve">See </w:t>
      </w:r>
      <w:r w:rsidRPr="00461809">
        <w:rPr>
          <w:sz w:val="20"/>
        </w:rPr>
        <w:t xml:space="preserve">In the Matter of Request of PTC-220, LLC for Waivers of Certain 220 MHz Rules, </w:t>
      </w:r>
      <w:r w:rsidRPr="00461809">
        <w:rPr>
          <w:i/>
          <w:sz w:val="20"/>
        </w:rPr>
        <w:t>Memorandum Opinion and Order</w:t>
      </w:r>
      <w:r w:rsidRPr="00461809">
        <w:rPr>
          <w:sz w:val="20"/>
        </w:rPr>
        <w:t>, 24 FCC Rcd 8537, 8542 (2009) (“</w:t>
      </w:r>
      <w:r w:rsidRPr="00461809">
        <w:rPr>
          <w:i/>
          <w:sz w:val="20"/>
        </w:rPr>
        <w:t>PTC-220 Order</w:t>
      </w:r>
      <w:r w:rsidRPr="00461809">
        <w:rPr>
          <w:sz w:val="20"/>
        </w:rPr>
        <w:t xml:space="preserve">”).  </w:t>
      </w:r>
      <w:r>
        <w:rPr>
          <w:sz w:val="20"/>
        </w:rPr>
        <w:t>T</w:t>
      </w:r>
      <w:r w:rsidRPr="00461809">
        <w:rPr>
          <w:sz w:val="20"/>
        </w:rPr>
        <w:t>he Rail Safety Improvement Act of 2008</w:t>
      </w:r>
      <w:r>
        <w:rPr>
          <w:sz w:val="20"/>
        </w:rPr>
        <w:t xml:space="preserve"> </w:t>
      </w:r>
      <w:r w:rsidRPr="00461809">
        <w:rPr>
          <w:sz w:val="20"/>
        </w:rPr>
        <w:t>require</w:t>
      </w:r>
      <w:r>
        <w:rPr>
          <w:sz w:val="20"/>
        </w:rPr>
        <w:t xml:space="preserve">s certain </w:t>
      </w:r>
      <w:r w:rsidRPr="00461809">
        <w:rPr>
          <w:sz w:val="20"/>
        </w:rPr>
        <w:t>freight</w:t>
      </w:r>
      <w:r>
        <w:rPr>
          <w:sz w:val="20"/>
        </w:rPr>
        <w:t>, passenger,</w:t>
      </w:r>
      <w:r w:rsidRPr="00461809">
        <w:rPr>
          <w:sz w:val="20"/>
        </w:rPr>
        <w:t xml:space="preserve"> and commuter railroads to install and operate PTC systems by December 31, 2015.  </w:t>
      </w:r>
      <w:r w:rsidRPr="00461809">
        <w:rPr>
          <w:i/>
          <w:sz w:val="20"/>
        </w:rPr>
        <w:t xml:space="preserve">See </w:t>
      </w:r>
      <w:r w:rsidRPr="00461809">
        <w:rPr>
          <w:sz w:val="20"/>
        </w:rPr>
        <w:t xml:space="preserve">Rail Safety Improvement Act of 2008, Pub. L. No. 110-432, § 104, 122 Stat. 4848, 4857 (2008).  PTC-220 was formed to facilitate the development and deployment of interoperable PTC systems in the United States to benefit both freight and commuter rails.  </w:t>
      </w:r>
      <w:r w:rsidRPr="00461809">
        <w:rPr>
          <w:i/>
          <w:sz w:val="20"/>
        </w:rPr>
        <w:t xml:space="preserve">See, e.g., </w:t>
      </w:r>
      <w:r w:rsidRPr="00461809">
        <w:rPr>
          <w:sz w:val="20"/>
        </w:rPr>
        <w:t xml:space="preserve">Wireless Telecommunications Bureau Seeks Comment on Request for Waiver to Facilitate Deployment of Positive Train Control Systems, </w:t>
      </w:r>
      <w:r w:rsidRPr="00461809">
        <w:rPr>
          <w:i/>
          <w:sz w:val="20"/>
        </w:rPr>
        <w:t>Public Notice</w:t>
      </w:r>
      <w:r w:rsidRPr="00461809">
        <w:rPr>
          <w:sz w:val="20"/>
        </w:rPr>
        <w:t xml:space="preserve">, 28 FCC Rcd 2243, 2243 (2013).  To serve this purpose, PTC-220 acquired and now holds licenses in the 220 MHz band, including four nationwide licenses.  </w:t>
      </w:r>
      <w:r w:rsidRPr="00461809">
        <w:rPr>
          <w:i/>
          <w:sz w:val="20"/>
        </w:rPr>
        <w:t>See id</w:t>
      </w:r>
      <w:r w:rsidRPr="00461809">
        <w:rPr>
          <w:sz w:val="20"/>
        </w:rPr>
        <w:t xml:space="preserve">.  </w:t>
      </w:r>
    </w:p>
  </w:footnote>
  <w:footnote w:id="40">
    <w:p w:rsidR="003630BF" w:rsidRPr="00461809" w:rsidRDefault="003630BF" w:rsidP="006879DB">
      <w:pPr>
        <w:pStyle w:val="FootnoteText"/>
        <w:jc w:val="left"/>
      </w:pPr>
      <w:r w:rsidRPr="00461809">
        <w:rPr>
          <w:rStyle w:val="FootnoteReference"/>
        </w:rPr>
        <w:footnoteRef/>
      </w:r>
      <w:r w:rsidRPr="00461809">
        <w:t xml:space="preserve"> </w:t>
      </w:r>
      <w:r w:rsidRPr="00461809">
        <w:rPr>
          <w:i/>
        </w:rPr>
        <w:t>PTC-220 Order</w:t>
      </w:r>
      <w:r w:rsidRPr="00461809">
        <w:t xml:space="preserve"> at 8543.</w:t>
      </w:r>
    </w:p>
  </w:footnote>
  <w:footnote w:id="41">
    <w:p w:rsidR="003630BF" w:rsidRDefault="003630BF">
      <w:pPr>
        <w:pStyle w:val="FootnoteText"/>
      </w:pPr>
      <w:r>
        <w:rPr>
          <w:rStyle w:val="FootnoteReference"/>
        </w:rPr>
        <w:footnoteRef/>
      </w:r>
      <w:r>
        <w:t xml:space="preserve"> </w:t>
      </w:r>
      <w:r w:rsidRPr="00AE1CBD">
        <w:rPr>
          <w:i/>
        </w:rPr>
        <w:t>Id.</w:t>
      </w:r>
      <w:r>
        <w:t xml:space="preserve"> at 8544-8546.</w:t>
      </w:r>
    </w:p>
  </w:footnote>
  <w:footnote w:id="42">
    <w:p w:rsidR="003630BF" w:rsidRPr="00461809" w:rsidRDefault="003630BF" w:rsidP="00A138DC">
      <w:pPr>
        <w:pStyle w:val="FootnoteText"/>
        <w:jc w:val="left"/>
      </w:pPr>
      <w:r w:rsidRPr="00461809">
        <w:rPr>
          <w:rStyle w:val="FootnoteReference"/>
        </w:rPr>
        <w:footnoteRef/>
      </w:r>
      <w:r w:rsidRPr="00461809">
        <w:t xml:space="preserve"> </w:t>
      </w:r>
      <w:r>
        <w:t>Extension Request</w:t>
      </w:r>
      <w:r w:rsidRPr="00461809">
        <w:t xml:space="preserve"> at 7-8. Environmentel states that “. . . [Environmentel] submits that, but for FCC prejudicial action, contrary to FCC and other law and the public interest, with regard to [Environmentel] and the [Havens Affiliates], that it could have by this date commenced operation on the subject Licenses, and this is further good cause for grant of this Request.”  </w:t>
      </w:r>
      <w:r w:rsidRPr="00461809">
        <w:rPr>
          <w:i/>
        </w:rPr>
        <w:t>Id.</w:t>
      </w:r>
      <w:r w:rsidRPr="00461809">
        <w:t xml:space="preserve"> at 7.  Environmentel cites as examples: “the ten year M-LMS rule making that continues to this day which effectively quashes development and use of the M-LMS in the markets (cannot proceed without finalization of core rules); FCC unequal and unfair treatment of the [Havens Affiliates] including [Environmentel] that applied for and obtained some AMTS licenses in comparison to other AMTS licensees (applying to the [Havens Affiliates] rule 80.475(a) (1999) strictly, or overly harshly, but not applying it at all to the competing AMTS applicants and licensees); and concocting a rule that does not exist to allow a competitor to outbid, with false bidding credits, [Environmentel] and a co-controlled LLC in Auction 61 (ultra vires rule change of rule 1.2105) (this is on appeal); and concocting a rule that does not exist to deny renewal of Skybridge’s 220 MHz licenses donated to it as charitable grants (this is on appeal).” </w:t>
      </w:r>
      <w:r w:rsidRPr="00461809">
        <w:rPr>
          <w:i/>
        </w:rPr>
        <w:t>Id.</w:t>
      </w:r>
      <w:r w:rsidRPr="00461809">
        <w:t xml:space="preserve"> at 7-8.</w:t>
      </w:r>
    </w:p>
  </w:footnote>
  <w:footnote w:id="43">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e.g., </w:t>
      </w:r>
      <w:r w:rsidRPr="00461809">
        <w:t>CGG Veritas Land, Inc.,</w:t>
      </w:r>
      <w:r w:rsidRPr="00461809">
        <w:rPr>
          <w:i/>
        </w:rPr>
        <w:t xml:space="preserve"> Memorandum Opinion and Order</w:t>
      </w:r>
      <w:r w:rsidRPr="00461809">
        <w:t xml:space="preserve">, 26 FCC Rcd 2493, 2494 ¶ 4 (2011); Amendment of the Commission’s Rules Concerning Maritime Communications, </w:t>
      </w:r>
      <w:r w:rsidRPr="00461809">
        <w:rPr>
          <w:i/>
        </w:rPr>
        <w:t>Fourth Memorandum Opinion and Order</w:t>
      </w:r>
      <w:r w:rsidRPr="00461809">
        <w:t xml:space="preserve">, 25 FCC Rcd. 5008, 5011 ¶6 (2010); Mobex Network Services, LLC, </w:t>
      </w:r>
      <w:r w:rsidRPr="00461809">
        <w:rPr>
          <w:i/>
        </w:rPr>
        <w:t>Memorandum Opinion and Order</w:t>
      </w:r>
      <w:r w:rsidRPr="00461809">
        <w:t xml:space="preserve">, 25 FCC Rcd 3390, 3395-96 ¶ 11 (2010); Warren Havens, Jimmy Stobaugh, Intelligent Transportation &amp; Monitoring Wireless LLC, Skybridge Spectrum Foundation, &amp; AMTS Consortium LLC, </w:t>
      </w:r>
      <w:r w:rsidRPr="00461809">
        <w:rPr>
          <w:i/>
        </w:rPr>
        <w:t>Memorandum Opinion and Order</w:t>
      </w:r>
      <w:r w:rsidRPr="00461809">
        <w:t>, 24 FCC Rcd 12308, 12311-13 ¶¶ 6-9 (2009).</w:t>
      </w:r>
    </w:p>
  </w:footnote>
  <w:footnote w:id="44">
    <w:p w:rsidR="003630BF" w:rsidRPr="00461809" w:rsidRDefault="003630BF" w:rsidP="00461809">
      <w:pPr>
        <w:pStyle w:val="FootnoteText"/>
        <w:jc w:val="left"/>
      </w:pPr>
      <w:r w:rsidRPr="00461809">
        <w:rPr>
          <w:rStyle w:val="FootnoteReference"/>
        </w:rPr>
        <w:footnoteRef/>
      </w:r>
      <w:r w:rsidRPr="00461809">
        <w:t xml:space="preserve"> </w:t>
      </w:r>
      <w:r w:rsidRPr="00461809">
        <w:rPr>
          <w:i/>
        </w:rPr>
        <w:t>See, e.g.</w:t>
      </w:r>
      <w:r w:rsidRPr="00461809">
        <w:t>, Letter dated June 26, 2009, from Roger S. Noel, Chief, Mobility Division, Wireless Telecommunications Bureau, to Nancy J. Douglas, Douglas SMR Works, Inc., 24 FCC Rcd 8596 (WTB-MD 2009); Letter dated June 26, 2009, from Roger S. Noel, Chief, Mobility Division, Wireless Telecommunications Bureau, to Robert LaRue, Know LaRue Separate Property Trust, 24 FCC Rcd 8621 (WTB-MD 2009); Letter dated June 26, 2009, from Roger S. Noel, Chief, Mobility Division, Wireless Telecommunications Bureau, to Kansas City Wireless Partners, LLP, 24 FCC Rcd 8625 (WTB-MD 2009); Letter dated June 26, 2009, from Roger S. Noel, Chief, Mobility Division, Wireless Telecommunications Bureau, to David G. Boyle, 24 FCC Rcd 8600 (WTB-MD 2009).</w:t>
      </w:r>
    </w:p>
  </w:footnote>
  <w:footnote w:id="45">
    <w:p w:rsidR="003630BF" w:rsidRPr="00C10B86" w:rsidRDefault="003630BF" w:rsidP="00EA232C">
      <w:pPr>
        <w:pStyle w:val="FootnoteText"/>
      </w:pPr>
      <w:r>
        <w:rPr>
          <w:rStyle w:val="FootnoteReference"/>
        </w:rPr>
        <w:footnoteRef/>
      </w:r>
      <w:r>
        <w:t xml:space="preserve"> </w:t>
      </w:r>
      <w:r w:rsidRPr="00AE1CBD">
        <w:rPr>
          <w:i/>
        </w:rPr>
        <w:t>See e.g</w:t>
      </w:r>
      <w:r>
        <w:t xml:space="preserve">., </w:t>
      </w:r>
      <w:r w:rsidRPr="00461809">
        <w:rPr>
          <w:i/>
        </w:rPr>
        <w:t>220 MHz Extension Order</w:t>
      </w:r>
      <w:r>
        <w:rPr>
          <w:i/>
        </w:rPr>
        <w:t xml:space="preserve">; </w:t>
      </w:r>
      <w:r w:rsidRPr="00AE1CBD">
        <w:t>Re:</w:t>
      </w:r>
      <w:r>
        <w:t xml:space="preserve"> </w:t>
      </w:r>
      <w:r w:rsidRPr="00AE1CBD">
        <w:t>Multilateration Location and Monitoring Service Construction Requirements</w:t>
      </w:r>
      <w:r>
        <w:rPr>
          <w:i/>
        </w:rPr>
        <w:t xml:space="preserve">, Order on Reconsideration and Memorandum Opinion and Order, </w:t>
      </w:r>
      <w:r w:rsidRPr="00AE1CBD">
        <w:t>22 FCC Rcd. 1925 ( January 31, 2007)</w:t>
      </w:r>
      <w:r>
        <w:t>; and Extension Letter grant attached to FCC File No. 0003430268 (March 15, 2012).</w:t>
      </w:r>
    </w:p>
  </w:footnote>
  <w:footnote w:id="46">
    <w:p w:rsidR="003630BF" w:rsidRPr="00461809" w:rsidRDefault="003630BF" w:rsidP="00461809">
      <w:pPr>
        <w:pStyle w:val="FootnoteText"/>
      </w:pPr>
      <w:r w:rsidRPr="00461809">
        <w:rPr>
          <w:rStyle w:val="FootnoteReference"/>
        </w:rPr>
        <w:footnoteRef/>
      </w:r>
      <w:r w:rsidRPr="00461809">
        <w:t xml:space="preserve"> </w:t>
      </w:r>
      <w:r w:rsidRPr="00461809">
        <w:rPr>
          <w:i/>
        </w:rPr>
        <w:t>See</w:t>
      </w:r>
      <w:r w:rsidRPr="00461809">
        <w:t xml:space="preserve"> 47 U.S.C § 309(j)(4)(B).</w:t>
      </w:r>
    </w:p>
  </w:footnote>
  <w:footnote w:id="47">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Letter dated May 6, 2011</w:t>
      </w:r>
      <w:r>
        <w:t>,</w:t>
      </w:r>
      <w:r w:rsidRPr="00461809">
        <w:t xml:space="preserve"> from Thomas Derenge, Deputy Chief, Mobility Division, Wireless Telecommunications Bureau, to Dean S. Kozel, Longhorn Communications Inc., 26 FCC Rcd 6716 (2011) (finding that an </w:t>
      </w:r>
      <w:r>
        <w:t>Extension Request</w:t>
      </w:r>
      <w:r w:rsidRPr="00461809">
        <w:t xml:space="preserve"> based on the licensee’s pursuit of alternate business plans could undercut the public interest if it is not supported by evidence that such business plans could be accomplished in the near term).</w:t>
      </w:r>
    </w:p>
  </w:footnote>
  <w:footnote w:id="48">
    <w:p w:rsidR="003630BF" w:rsidRPr="00461809" w:rsidRDefault="003630BF" w:rsidP="00461809">
      <w:pPr>
        <w:pStyle w:val="FootnoteText"/>
        <w:jc w:val="left"/>
        <w:rPr>
          <w:b/>
        </w:rPr>
      </w:pPr>
      <w:r w:rsidRPr="00461809">
        <w:rPr>
          <w:rStyle w:val="FootnoteReference"/>
        </w:rPr>
        <w:footnoteRef/>
      </w:r>
      <w:r w:rsidRPr="00461809">
        <w:t xml:space="preserve"> </w:t>
      </w:r>
      <w:r>
        <w:t>Extension Request</w:t>
      </w:r>
      <w:r w:rsidRPr="00461809">
        <w:t xml:space="preserve"> at 8. Environmentel states that it will supplement the </w:t>
      </w:r>
      <w:r>
        <w:t>Extension Request</w:t>
      </w:r>
      <w:r w:rsidRPr="00461809">
        <w:t xml:space="preserve"> after it receives written confirmations.  </w:t>
      </w:r>
      <w:r w:rsidRPr="00461809">
        <w:rPr>
          <w:i/>
        </w:rPr>
        <w:t>Id.</w:t>
      </w:r>
      <w:r w:rsidRPr="00461809">
        <w:t xml:space="preserve">  We note that no such filings have been made.</w:t>
      </w:r>
    </w:p>
  </w:footnote>
  <w:footnote w:id="49">
    <w:p w:rsidR="003630BF" w:rsidRPr="00461809" w:rsidRDefault="003630BF" w:rsidP="00461809">
      <w:pPr>
        <w:pStyle w:val="FootnoteText"/>
        <w:jc w:val="left"/>
      </w:pPr>
      <w:r w:rsidRPr="00461809">
        <w:rPr>
          <w:rStyle w:val="FootnoteReference"/>
        </w:rPr>
        <w:footnoteRef/>
      </w:r>
      <w:r w:rsidRPr="00461809">
        <w:t xml:space="preserve"> </w:t>
      </w:r>
      <w:r w:rsidRPr="00461809">
        <w:rPr>
          <w:i/>
        </w:rPr>
        <w:t xml:space="preserve">See </w:t>
      </w:r>
      <w:r w:rsidRPr="00461809">
        <w:t>47 C.F.R. § 90.767(c).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26" w:rsidRDefault="0048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BF" w:rsidRDefault="003630BF">
    <w:pPr>
      <w:pStyle w:val="Header"/>
      <w:tabs>
        <w:tab w:val="clear" w:pos="4320"/>
        <w:tab w:val="clear" w:pos="8640"/>
        <w:tab w:val="center" w:pos="4680"/>
        <w:tab w:val="right" w:pos="9360"/>
      </w:tabs>
      <w:rPr>
        <w:b/>
      </w:rPr>
    </w:pPr>
    <w:r>
      <w:rPr>
        <w:b/>
      </w:rPr>
      <w:tab/>
    </w:r>
    <w:r w:rsidR="00B37587" w:rsidRPr="006A6A04">
      <w:rPr>
        <w:b/>
      </w:rPr>
      <w:t>Federal Communications Commissio</w:t>
    </w:r>
    <w:r w:rsidR="00B37587">
      <w:rPr>
        <w:b/>
      </w:rPr>
      <w:t>n</w:t>
    </w:r>
    <w:r w:rsidR="00B37587">
      <w:rPr>
        <w:b/>
      </w:rPr>
      <w:tab/>
    </w:r>
    <w:r w:rsidR="00B37587" w:rsidRPr="006A6A04">
      <w:rPr>
        <w:b/>
      </w:rPr>
      <w:t>DA 1</w:t>
    </w:r>
    <w:r w:rsidR="00B37587">
      <w:rPr>
        <w:b/>
      </w:rPr>
      <w:t>4</w:t>
    </w:r>
    <w:r w:rsidR="00B37587" w:rsidRPr="006A6A04">
      <w:rPr>
        <w:b/>
      </w:rPr>
      <w:t>-</w:t>
    </w:r>
    <w:r w:rsidR="00222D70">
      <w:rPr>
        <w:b/>
      </w:rPr>
      <w:t>380</w:t>
    </w:r>
    <w:r>
      <w:rPr>
        <w:b/>
      </w:rPr>
      <w:t xml:space="preserve"> </w:t>
    </w:r>
  </w:p>
  <w:p w:rsidR="003630BF" w:rsidRDefault="003630B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CE5A9E1" wp14:editId="31B2DB3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3630BF" w:rsidRDefault="00363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BF" w:rsidRPr="006A6A04" w:rsidRDefault="006A6A04" w:rsidP="006A6A04">
    <w:pPr>
      <w:pStyle w:val="Header"/>
      <w:tabs>
        <w:tab w:val="clear" w:pos="4320"/>
        <w:tab w:val="clear" w:pos="8640"/>
        <w:tab w:val="center" w:pos="4680"/>
        <w:tab w:val="right" w:pos="9360"/>
      </w:tabs>
      <w:ind w:left="2970"/>
      <w:jc w:val="center"/>
    </w:pPr>
    <w:r w:rsidRPr="006A6A04">
      <w:rPr>
        <w:noProof/>
      </w:rPr>
      <mc:AlternateContent>
        <mc:Choice Requires="wps">
          <w:drawing>
            <wp:anchor distT="0" distB="0" distL="114300" distR="114300" simplePos="0" relativeHeight="251657216" behindDoc="0" locked="0" layoutInCell="0" allowOverlap="1" wp14:anchorId="1FC6C15F" wp14:editId="26F5215F">
              <wp:simplePos x="0" y="0"/>
              <wp:positionH relativeFrom="column">
                <wp:posOffset>0</wp:posOffset>
              </wp:positionH>
              <wp:positionV relativeFrom="paragraph">
                <wp:posOffset>166531</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4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" o:allowincell="f" strokeweight="1.5pt"/>
          </w:pict>
        </mc:Fallback>
      </mc:AlternateContent>
    </w:r>
    <w:r w:rsidRPr="006A6A04">
      <w:rPr>
        <w:b/>
      </w:rPr>
      <w:t>Federal Communications Commissio</w:t>
    </w:r>
    <w:r>
      <w:rPr>
        <w:b/>
      </w:rPr>
      <w:t>n</w:t>
    </w:r>
    <w:r>
      <w:rPr>
        <w:b/>
      </w:rPr>
      <w:tab/>
    </w:r>
    <w:r w:rsidRPr="006A6A04">
      <w:rPr>
        <w:b/>
      </w:rPr>
      <w:t>DA 1</w:t>
    </w:r>
    <w:r>
      <w:rPr>
        <w:b/>
      </w:rPr>
      <w:t>4</w:t>
    </w:r>
    <w:r w:rsidRPr="006A6A04">
      <w:rPr>
        <w:b/>
      </w:rPr>
      <w:t>-</w:t>
    </w:r>
    <w:r w:rsidR="00222D70">
      <w:rPr>
        <w:b/>
      </w:rPr>
      <w:t>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500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Caption"/>
      <w:lvlText w:val="%1."/>
      <w:lvlJc w:val="left"/>
      <w:pPr>
        <w:tabs>
          <w:tab w:val="num" w:pos="99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2C4F61"/>
    <w:multiLevelType w:val="hybridMultilevel"/>
    <w:tmpl w:val="10CCE3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4"/>
  </w:num>
  <w:num w:numId="4">
    <w:abstractNumId w:val="17"/>
  </w:num>
  <w:num w:numId="5">
    <w:abstractNumId w:val="5"/>
  </w:num>
  <w:num w:numId="6">
    <w:abstractNumId w:val="20"/>
  </w:num>
  <w:num w:numId="7">
    <w:abstractNumId w:val="13"/>
  </w:num>
  <w:num w:numId="8">
    <w:abstractNumId w:val="6"/>
  </w:num>
  <w:num w:numId="9">
    <w:abstractNumId w:val="19"/>
  </w:num>
  <w:num w:numId="10">
    <w:abstractNumId w:val="11"/>
  </w:num>
  <w:num w:numId="11">
    <w:abstractNumId w:val="10"/>
  </w:num>
  <w:num w:numId="12">
    <w:abstractNumId w:val="7"/>
  </w:num>
  <w:num w:numId="13">
    <w:abstractNumId w:val="12"/>
  </w:num>
  <w:num w:numId="14">
    <w:abstractNumId w:val="18"/>
  </w:num>
  <w:num w:numId="15">
    <w:abstractNumId w:val="2"/>
  </w:num>
  <w:num w:numId="16">
    <w:abstractNumId w:val="3"/>
  </w:num>
  <w:num w:numId="17">
    <w:abstractNumId w:val="8"/>
  </w:num>
  <w:num w:numId="18">
    <w:abstractNumId w:val="1"/>
  </w:num>
  <w:num w:numId="19">
    <w:abstractNumId w:val="9"/>
  </w:num>
  <w:num w:numId="20">
    <w:abstractNumId w:val="15"/>
  </w:num>
  <w:num w:numId="21">
    <w:abstractNumId w:val="16"/>
  </w:num>
  <w:num w:numId="22">
    <w:abstractNumId w:val="14"/>
  </w:num>
  <w:num w:numId="23">
    <w:abstractNumId w:val="12"/>
    <w:lvlOverride w:ilvl="0">
      <w:startOverride w:val="1"/>
    </w:lvlOverride>
  </w:num>
  <w:num w:numId="24">
    <w:abstractNumId w:val="12"/>
    <w:lvlOverride w:ilvl="0">
      <w:startOverride w:val="1"/>
    </w:lvlOverride>
  </w:num>
  <w:num w:numId="25">
    <w:abstractNumId w:val="0"/>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6E"/>
    <w:rsid w:val="000007E0"/>
    <w:rsid w:val="00001371"/>
    <w:rsid w:val="00001445"/>
    <w:rsid w:val="0000167A"/>
    <w:rsid w:val="0000181E"/>
    <w:rsid w:val="00003129"/>
    <w:rsid w:val="00004119"/>
    <w:rsid w:val="0001015C"/>
    <w:rsid w:val="00010CE5"/>
    <w:rsid w:val="00011B94"/>
    <w:rsid w:val="00011E47"/>
    <w:rsid w:val="0001439E"/>
    <w:rsid w:val="000144FA"/>
    <w:rsid w:val="000206F4"/>
    <w:rsid w:val="00022848"/>
    <w:rsid w:val="00027409"/>
    <w:rsid w:val="00030827"/>
    <w:rsid w:val="00030B85"/>
    <w:rsid w:val="0003112D"/>
    <w:rsid w:val="0003312E"/>
    <w:rsid w:val="0003415F"/>
    <w:rsid w:val="000426F1"/>
    <w:rsid w:val="00044439"/>
    <w:rsid w:val="00044703"/>
    <w:rsid w:val="00044ED9"/>
    <w:rsid w:val="00053CFF"/>
    <w:rsid w:val="0005450E"/>
    <w:rsid w:val="000547D7"/>
    <w:rsid w:val="000557FC"/>
    <w:rsid w:val="000560FA"/>
    <w:rsid w:val="00064CF9"/>
    <w:rsid w:val="00064D05"/>
    <w:rsid w:val="00066526"/>
    <w:rsid w:val="000677B3"/>
    <w:rsid w:val="00070556"/>
    <w:rsid w:val="00070837"/>
    <w:rsid w:val="00072D39"/>
    <w:rsid w:val="00073AD9"/>
    <w:rsid w:val="0007472C"/>
    <w:rsid w:val="00074927"/>
    <w:rsid w:val="000750E6"/>
    <w:rsid w:val="00076690"/>
    <w:rsid w:val="000873B9"/>
    <w:rsid w:val="000914D6"/>
    <w:rsid w:val="0009246B"/>
    <w:rsid w:val="000A00F5"/>
    <w:rsid w:val="000A1A04"/>
    <w:rsid w:val="000A30CC"/>
    <w:rsid w:val="000A3D68"/>
    <w:rsid w:val="000A579B"/>
    <w:rsid w:val="000B0A43"/>
    <w:rsid w:val="000B1E60"/>
    <w:rsid w:val="000B288E"/>
    <w:rsid w:val="000B3F67"/>
    <w:rsid w:val="000B4D24"/>
    <w:rsid w:val="000B51E8"/>
    <w:rsid w:val="000B5A71"/>
    <w:rsid w:val="000C05E2"/>
    <w:rsid w:val="000C29FD"/>
    <w:rsid w:val="000C4A14"/>
    <w:rsid w:val="000D07EB"/>
    <w:rsid w:val="000D0924"/>
    <w:rsid w:val="000D0CF1"/>
    <w:rsid w:val="000D0EAC"/>
    <w:rsid w:val="000D3447"/>
    <w:rsid w:val="000D448A"/>
    <w:rsid w:val="000D6B18"/>
    <w:rsid w:val="000E0FC8"/>
    <w:rsid w:val="000E1071"/>
    <w:rsid w:val="000E5AA8"/>
    <w:rsid w:val="000F085C"/>
    <w:rsid w:val="000F3A92"/>
    <w:rsid w:val="000F5F22"/>
    <w:rsid w:val="00100AC2"/>
    <w:rsid w:val="00102DBB"/>
    <w:rsid w:val="00103B46"/>
    <w:rsid w:val="0010727A"/>
    <w:rsid w:val="0010776E"/>
    <w:rsid w:val="0011014C"/>
    <w:rsid w:val="00110EF6"/>
    <w:rsid w:val="00111B91"/>
    <w:rsid w:val="00113C74"/>
    <w:rsid w:val="00113CCD"/>
    <w:rsid w:val="00113D03"/>
    <w:rsid w:val="001200CA"/>
    <w:rsid w:val="0012175B"/>
    <w:rsid w:val="0012453B"/>
    <w:rsid w:val="00124DB5"/>
    <w:rsid w:val="001273B8"/>
    <w:rsid w:val="00127B37"/>
    <w:rsid w:val="00133195"/>
    <w:rsid w:val="0013449F"/>
    <w:rsid w:val="00140794"/>
    <w:rsid w:val="00146464"/>
    <w:rsid w:val="00155953"/>
    <w:rsid w:val="00155D69"/>
    <w:rsid w:val="00156860"/>
    <w:rsid w:val="001623BA"/>
    <w:rsid w:val="001732F2"/>
    <w:rsid w:val="001754B8"/>
    <w:rsid w:val="00184501"/>
    <w:rsid w:val="001862E8"/>
    <w:rsid w:val="0019095B"/>
    <w:rsid w:val="0019212D"/>
    <w:rsid w:val="001933F2"/>
    <w:rsid w:val="001942EE"/>
    <w:rsid w:val="001944BF"/>
    <w:rsid w:val="00196F71"/>
    <w:rsid w:val="001A47F1"/>
    <w:rsid w:val="001B0EEC"/>
    <w:rsid w:val="001B16EE"/>
    <w:rsid w:val="001B4865"/>
    <w:rsid w:val="001C128C"/>
    <w:rsid w:val="001C3B20"/>
    <w:rsid w:val="001C5AFC"/>
    <w:rsid w:val="001C5D5C"/>
    <w:rsid w:val="001C6BA0"/>
    <w:rsid w:val="001C6EA8"/>
    <w:rsid w:val="001D2F30"/>
    <w:rsid w:val="001D3837"/>
    <w:rsid w:val="001D4A7C"/>
    <w:rsid w:val="001D7360"/>
    <w:rsid w:val="001D7F44"/>
    <w:rsid w:val="001E1582"/>
    <w:rsid w:val="001E4351"/>
    <w:rsid w:val="001F04BD"/>
    <w:rsid w:val="001F0D5C"/>
    <w:rsid w:val="001F2D33"/>
    <w:rsid w:val="001F41AA"/>
    <w:rsid w:val="00201100"/>
    <w:rsid w:val="0020160D"/>
    <w:rsid w:val="002025CE"/>
    <w:rsid w:val="00205614"/>
    <w:rsid w:val="00207B98"/>
    <w:rsid w:val="00210D98"/>
    <w:rsid w:val="00215C0C"/>
    <w:rsid w:val="00220810"/>
    <w:rsid w:val="00222D70"/>
    <w:rsid w:val="00223E39"/>
    <w:rsid w:val="00224375"/>
    <w:rsid w:val="002307F3"/>
    <w:rsid w:val="00231428"/>
    <w:rsid w:val="00231C26"/>
    <w:rsid w:val="00240367"/>
    <w:rsid w:val="00240524"/>
    <w:rsid w:val="00240E87"/>
    <w:rsid w:val="00242278"/>
    <w:rsid w:val="00245E96"/>
    <w:rsid w:val="00246290"/>
    <w:rsid w:val="002479CB"/>
    <w:rsid w:val="00250B7E"/>
    <w:rsid w:val="00250BFA"/>
    <w:rsid w:val="00252860"/>
    <w:rsid w:val="0025427C"/>
    <w:rsid w:val="00260F72"/>
    <w:rsid w:val="002622CC"/>
    <w:rsid w:val="002649E8"/>
    <w:rsid w:val="002652BD"/>
    <w:rsid w:val="00273B8D"/>
    <w:rsid w:val="002756F6"/>
    <w:rsid w:val="00275E3D"/>
    <w:rsid w:val="00276652"/>
    <w:rsid w:val="00283021"/>
    <w:rsid w:val="00283B3F"/>
    <w:rsid w:val="00285EE0"/>
    <w:rsid w:val="00285EF7"/>
    <w:rsid w:val="00287F33"/>
    <w:rsid w:val="00291556"/>
    <w:rsid w:val="002948CB"/>
    <w:rsid w:val="00297099"/>
    <w:rsid w:val="002A5E25"/>
    <w:rsid w:val="002A74A3"/>
    <w:rsid w:val="002B268E"/>
    <w:rsid w:val="002B6F6D"/>
    <w:rsid w:val="002C3460"/>
    <w:rsid w:val="002C3E34"/>
    <w:rsid w:val="002C5E5C"/>
    <w:rsid w:val="002C6930"/>
    <w:rsid w:val="002C6A26"/>
    <w:rsid w:val="002D02ED"/>
    <w:rsid w:val="002D18EA"/>
    <w:rsid w:val="002D24AC"/>
    <w:rsid w:val="002D7D6B"/>
    <w:rsid w:val="002E1033"/>
    <w:rsid w:val="002E1734"/>
    <w:rsid w:val="002E63B5"/>
    <w:rsid w:val="002E73C3"/>
    <w:rsid w:val="002E7D84"/>
    <w:rsid w:val="002F1163"/>
    <w:rsid w:val="002F50ED"/>
    <w:rsid w:val="002F58AC"/>
    <w:rsid w:val="002F6A85"/>
    <w:rsid w:val="00302C95"/>
    <w:rsid w:val="003030F4"/>
    <w:rsid w:val="00304AC9"/>
    <w:rsid w:val="00305A8A"/>
    <w:rsid w:val="00307F3B"/>
    <w:rsid w:val="00316502"/>
    <w:rsid w:val="00316D89"/>
    <w:rsid w:val="00324C9C"/>
    <w:rsid w:val="0032673B"/>
    <w:rsid w:val="0033227B"/>
    <w:rsid w:val="00334C56"/>
    <w:rsid w:val="00335CA4"/>
    <w:rsid w:val="0034244F"/>
    <w:rsid w:val="00346450"/>
    <w:rsid w:val="003515D1"/>
    <w:rsid w:val="00353536"/>
    <w:rsid w:val="00355B55"/>
    <w:rsid w:val="00357EA5"/>
    <w:rsid w:val="00360F27"/>
    <w:rsid w:val="00361196"/>
    <w:rsid w:val="00362CC1"/>
    <w:rsid w:val="003630BF"/>
    <w:rsid w:val="003651E0"/>
    <w:rsid w:val="00366600"/>
    <w:rsid w:val="00367BF4"/>
    <w:rsid w:val="003739A5"/>
    <w:rsid w:val="00373E87"/>
    <w:rsid w:val="00377AF1"/>
    <w:rsid w:val="00381D3F"/>
    <w:rsid w:val="003826DA"/>
    <w:rsid w:val="00383154"/>
    <w:rsid w:val="00383998"/>
    <w:rsid w:val="003846A9"/>
    <w:rsid w:val="0038731D"/>
    <w:rsid w:val="00387592"/>
    <w:rsid w:val="00387618"/>
    <w:rsid w:val="003901E9"/>
    <w:rsid w:val="003938B7"/>
    <w:rsid w:val="00393C5E"/>
    <w:rsid w:val="00394002"/>
    <w:rsid w:val="003957DB"/>
    <w:rsid w:val="003A3EE9"/>
    <w:rsid w:val="003A7F9F"/>
    <w:rsid w:val="003B30FD"/>
    <w:rsid w:val="003B5835"/>
    <w:rsid w:val="003B5A7A"/>
    <w:rsid w:val="003B5B29"/>
    <w:rsid w:val="003C1D8E"/>
    <w:rsid w:val="003C30FC"/>
    <w:rsid w:val="003C5E29"/>
    <w:rsid w:val="003C767F"/>
    <w:rsid w:val="003D1A1B"/>
    <w:rsid w:val="003D2239"/>
    <w:rsid w:val="003D38F5"/>
    <w:rsid w:val="003D434E"/>
    <w:rsid w:val="003E26CB"/>
    <w:rsid w:val="003E5A60"/>
    <w:rsid w:val="00400F62"/>
    <w:rsid w:val="0040619F"/>
    <w:rsid w:val="0040632D"/>
    <w:rsid w:val="004069C7"/>
    <w:rsid w:val="00410B42"/>
    <w:rsid w:val="00421E25"/>
    <w:rsid w:val="00422245"/>
    <w:rsid w:val="0042388E"/>
    <w:rsid w:val="00426931"/>
    <w:rsid w:val="00431AAE"/>
    <w:rsid w:val="00432212"/>
    <w:rsid w:val="00433208"/>
    <w:rsid w:val="0043653B"/>
    <w:rsid w:val="0044235D"/>
    <w:rsid w:val="00445441"/>
    <w:rsid w:val="0044641B"/>
    <w:rsid w:val="00446827"/>
    <w:rsid w:val="004500C8"/>
    <w:rsid w:val="00451D38"/>
    <w:rsid w:val="00454477"/>
    <w:rsid w:val="00454D54"/>
    <w:rsid w:val="00456618"/>
    <w:rsid w:val="00461809"/>
    <w:rsid w:val="00465D54"/>
    <w:rsid w:val="0046756C"/>
    <w:rsid w:val="00476155"/>
    <w:rsid w:val="0048286D"/>
    <w:rsid w:val="00483F1F"/>
    <w:rsid w:val="00483F26"/>
    <w:rsid w:val="00484D12"/>
    <w:rsid w:val="0048544F"/>
    <w:rsid w:val="0048738D"/>
    <w:rsid w:val="00487C81"/>
    <w:rsid w:val="00491D7F"/>
    <w:rsid w:val="00492598"/>
    <w:rsid w:val="0049288A"/>
    <w:rsid w:val="00492BBB"/>
    <w:rsid w:val="00494865"/>
    <w:rsid w:val="00495866"/>
    <w:rsid w:val="00495FB3"/>
    <w:rsid w:val="00496027"/>
    <w:rsid w:val="004A1E8E"/>
    <w:rsid w:val="004A2209"/>
    <w:rsid w:val="004A285F"/>
    <w:rsid w:val="004A7E0E"/>
    <w:rsid w:val="004B061B"/>
    <w:rsid w:val="004B0E21"/>
    <w:rsid w:val="004B18A1"/>
    <w:rsid w:val="004B32A2"/>
    <w:rsid w:val="004B36C1"/>
    <w:rsid w:val="004B5253"/>
    <w:rsid w:val="004B62D1"/>
    <w:rsid w:val="004B6ADC"/>
    <w:rsid w:val="004C0BC8"/>
    <w:rsid w:val="004C2091"/>
    <w:rsid w:val="004D23A2"/>
    <w:rsid w:val="004D7368"/>
    <w:rsid w:val="004D77D1"/>
    <w:rsid w:val="004E1B2E"/>
    <w:rsid w:val="004E2D66"/>
    <w:rsid w:val="004E3D9E"/>
    <w:rsid w:val="004E3FBA"/>
    <w:rsid w:val="004E45BA"/>
    <w:rsid w:val="004E7091"/>
    <w:rsid w:val="004F057A"/>
    <w:rsid w:val="004F1634"/>
    <w:rsid w:val="004F18C0"/>
    <w:rsid w:val="004F3F7C"/>
    <w:rsid w:val="004F5690"/>
    <w:rsid w:val="004F60E7"/>
    <w:rsid w:val="00500AA6"/>
    <w:rsid w:val="0050165B"/>
    <w:rsid w:val="0050194A"/>
    <w:rsid w:val="00503854"/>
    <w:rsid w:val="00503C06"/>
    <w:rsid w:val="0051032B"/>
    <w:rsid w:val="00514FBA"/>
    <w:rsid w:val="0052267D"/>
    <w:rsid w:val="00525BD8"/>
    <w:rsid w:val="0053506E"/>
    <w:rsid w:val="005368C7"/>
    <w:rsid w:val="005471EC"/>
    <w:rsid w:val="00550E81"/>
    <w:rsid w:val="0055117D"/>
    <w:rsid w:val="00552748"/>
    <w:rsid w:val="005575AC"/>
    <w:rsid w:val="005579B7"/>
    <w:rsid w:val="00562213"/>
    <w:rsid w:val="00564431"/>
    <w:rsid w:val="005670C9"/>
    <w:rsid w:val="005706F0"/>
    <w:rsid w:val="005720D1"/>
    <w:rsid w:val="00574760"/>
    <w:rsid w:val="00575CB7"/>
    <w:rsid w:val="0057664F"/>
    <w:rsid w:val="00581EA4"/>
    <w:rsid w:val="00581F8A"/>
    <w:rsid w:val="0058242F"/>
    <w:rsid w:val="00582AA4"/>
    <w:rsid w:val="00594E08"/>
    <w:rsid w:val="00595E37"/>
    <w:rsid w:val="0059676B"/>
    <w:rsid w:val="005A19A8"/>
    <w:rsid w:val="005A40CC"/>
    <w:rsid w:val="005A41B2"/>
    <w:rsid w:val="005A4827"/>
    <w:rsid w:val="005A6BA4"/>
    <w:rsid w:val="005B3C8B"/>
    <w:rsid w:val="005B4D42"/>
    <w:rsid w:val="005B6004"/>
    <w:rsid w:val="005B7525"/>
    <w:rsid w:val="005C3C6B"/>
    <w:rsid w:val="005C5F1E"/>
    <w:rsid w:val="005C6DCB"/>
    <w:rsid w:val="005C7384"/>
    <w:rsid w:val="005C7D31"/>
    <w:rsid w:val="005D1155"/>
    <w:rsid w:val="005D2D4C"/>
    <w:rsid w:val="005D3D60"/>
    <w:rsid w:val="005E07B6"/>
    <w:rsid w:val="005E5750"/>
    <w:rsid w:val="005E6A50"/>
    <w:rsid w:val="005E736B"/>
    <w:rsid w:val="005E7A12"/>
    <w:rsid w:val="005F0669"/>
    <w:rsid w:val="005F1A9C"/>
    <w:rsid w:val="005F2C7B"/>
    <w:rsid w:val="005F435A"/>
    <w:rsid w:val="00602EAA"/>
    <w:rsid w:val="00607EE4"/>
    <w:rsid w:val="00610B8B"/>
    <w:rsid w:val="006114AB"/>
    <w:rsid w:val="00613079"/>
    <w:rsid w:val="00613DA6"/>
    <w:rsid w:val="00613FFA"/>
    <w:rsid w:val="006207F0"/>
    <w:rsid w:val="0062089E"/>
    <w:rsid w:val="00621628"/>
    <w:rsid w:val="00624B87"/>
    <w:rsid w:val="00627448"/>
    <w:rsid w:val="00627C89"/>
    <w:rsid w:val="00631136"/>
    <w:rsid w:val="00633A75"/>
    <w:rsid w:val="00635A2C"/>
    <w:rsid w:val="00635F3F"/>
    <w:rsid w:val="006456BD"/>
    <w:rsid w:val="0065051D"/>
    <w:rsid w:val="00652D1B"/>
    <w:rsid w:val="00654768"/>
    <w:rsid w:val="00656AE5"/>
    <w:rsid w:val="00661AC4"/>
    <w:rsid w:val="00664B45"/>
    <w:rsid w:val="006662F2"/>
    <w:rsid w:val="006727B8"/>
    <w:rsid w:val="00674335"/>
    <w:rsid w:val="00676F0A"/>
    <w:rsid w:val="00677DB4"/>
    <w:rsid w:val="0068243C"/>
    <w:rsid w:val="0068286D"/>
    <w:rsid w:val="00683733"/>
    <w:rsid w:val="006879DB"/>
    <w:rsid w:val="00693D7E"/>
    <w:rsid w:val="00693D8A"/>
    <w:rsid w:val="006950B9"/>
    <w:rsid w:val="00695C52"/>
    <w:rsid w:val="0069661B"/>
    <w:rsid w:val="006A08F5"/>
    <w:rsid w:val="006A4504"/>
    <w:rsid w:val="006A6A04"/>
    <w:rsid w:val="006A72B3"/>
    <w:rsid w:val="006B0007"/>
    <w:rsid w:val="006B3F3E"/>
    <w:rsid w:val="006B425E"/>
    <w:rsid w:val="006B4A93"/>
    <w:rsid w:val="006B7023"/>
    <w:rsid w:val="006B7647"/>
    <w:rsid w:val="006B7A2F"/>
    <w:rsid w:val="006C051E"/>
    <w:rsid w:val="006C245D"/>
    <w:rsid w:val="006C32B1"/>
    <w:rsid w:val="006C51DD"/>
    <w:rsid w:val="006C6223"/>
    <w:rsid w:val="006C7DD9"/>
    <w:rsid w:val="006C7F32"/>
    <w:rsid w:val="006D1BF4"/>
    <w:rsid w:val="006D2676"/>
    <w:rsid w:val="006D4422"/>
    <w:rsid w:val="006D47D3"/>
    <w:rsid w:val="006D603C"/>
    <w:rsid w:val="006D7D49"/>
    <w:rsid w:val="006E119E"/>
    <w:rsid w:val="006E2717"/>
    <w:rsid w:val="006E5131"/>
    <w:rsid w:val="006E57FB"/>
    <w:rsid w:val="00704C9F"/>
    <w:rsid w:val="00705BAC"/>
    <w:rsid w:val="00706F62"/>
    <w:rsid w:val="00706F7E"/>
    <w:rsid w:val="00707036"/>
    <w:rsid w:val="00712178"/>
    <w:rsid w:val="007169E4"/>
    <w:rsid w:val="007205B2"/>
    <w:rsid w:val="00724BB9"/>
    <w:rsid w:val="0072597B"/>
    <w:rsid w:val="00731033"/>
    <w:rsid w:val="007337A9"/>
    <w:rsid w:val="00736D04"/>
    <w:rsid w:val="007372E8"/>
    <w:rsid w:val="007402BA"/>
    <w:rsid w:val="007409E0"/>
    <w:rsid w:val="00742758"/>
    <w:rsid w:val="00742EF8"/>
    <w:rsid w:val="0074371F"/>
    <w:rsid w:val="007444D6"/>
    <w:rsid w:val="00747294"/>
    <w:rsid w:val="00747C67"/>
    <w:rsid w:val="00747CBA"/>
    <w:rsid w:val="007503AA"/>
    <w:rsid w:val="00751FCE"/>
    <w:rsid w:val="00752846"/>
    <w:rsid w:val="00752EF7"/>
    <w:rsid w:val="00755285"/>
    <w:rsid w:val="00760DA0"/>
    <w:rsid w:val="00762E2D"/>
    <w:rsid w:val="007633C5"/>
    <w:rsid w:val="007725CF"/>
    <w:rsid w:val="007729C4"/>
    <w:rsid w:val="00773190"/>
    <w:rsid w:val="007749DF"/>
    <w:rsid w:val="00775F60"/>
    <w:rsid w:val="00782B4A"/>
    <w:rsid w:val="007854B6"/>
    <w:rsid w:val="007856BE"/>
    <w:rsid w:val="0078582D"/>
    <w:rsid w:val="00786380"/>
    <w:rsid w:val="00794701"/>
    <w:rsid w:val="00794E81"/>
    <w:rsid w:val="00795E04"/>
    <w:rsid w:val="0079617D"/>
    <w:rsid w:val="007A2126"/>
    <w:rsid w:val="007B34E3"/>
    <w:rsid w:val="007B4F4C"/>
    <w:rsid w:val="007C2B3A"/>
    <w:rsid w:val="007C2C49"/>
    <w:rsid w:val="007C4523"/>
    <w:rsid w:val="007C7072"/>
    <w:rsid w:val="007D317C"/>
    <w:rsid w:val="007D67AC"/>
    <w:rsid w:val="007D6AA6"/>
    <w:rsid w:val="007D7E05"/>
    <w:rsid w:val="007E367F"/>
    <w:rsid w:val="007E3DBB"/>
    <w:rsid w:val="007E68C5"/>
    <w:rsid w:val="007F1D05"/>
    <w:rsid w:val="007F33E4"/>
    <w:rsid w:val="007F5856"/>
    <w:rsid w:val="007F7489"/>
    <w:rsid w:val="007F7650"/>
    <w:rsid w:val="00804BC9"/>
    <w:rsid w:val="00807A0A"/>
    <w:rsid w:val="008139B3"/>
    <w:rsid w:val="00816849"/>
    <w:rsid w:val="008176BB"/>
    <w:rsid w:val="00821730"/>
    <w:rsid w:val="008276D7"/>
    <w:rsid w:val="008318C3"/>
    <w:rsid w:val="00833D4A"/>
    <w:rsid w:val="00836C26"/>
    <w:rsid w:val="008372B6"/>
    <w:rsid w:val="00842B11"/>
    <w:rsid w:val="00843875"/>
    <w:rsid w:val="00843F7D"/>
    <w:rsid w:val="0084658F"/>
    <w:rsid w:val="0084680C"/>
    <w:rsid w:val="008504EC"/>
    <w:rsid w:val="0085080B"/>
    <w:rsid w:val="008509CE"/>
    <w:rsid w:val="00851E90"/>
    <w:rsid w:val="00852E20"/>
    <w:rsid w:val="00860E44"/>
    <w:rsid w:val="008644F3"/>
    <w:rsid w:val="008679F7"/>
    <w:rsid w:val="0087346D"/>
    <w:rsid w:val="0088537E"/>
    <w:rsid w:val="00885AE1"/>
    <w:rsid w:val="00887361"/>
    <w:rsid w:val="008878C3"/>
    <w:rsid w:val="00890037"/>
    <w:rsid w:val="00892846"/>
    <w:rsid w:val="008950CA"/>
    <w:rsid w:val="00895FD4"/>
    <w:rsid w:val="008A0C99"/>
    <w:rsid w:val="008A0DFF"/>
    <w:rsid w:val="008A374A"/>
    <w:rsid w:val="008A495C"/>
    <w:rsid w:val="008B1A2A"/>
    <w:rsid w:val="008B31B0"/>
    <w:rsid w:val="008B67A2"/>
    <w:rsid w:val="008B6CD2"/>
    <w:rsid w:val="008C1A5D"/>
    <w:rsid w:val="008D192E"/>
    <w:rsid w:val="008D4ACD"/>
    <w:rsid w:val="008E1F90"/>
    <w:rsid w:val="008E44A8"/>
    <w:rsid w:val="008E5D96"/>
    <w:rsid w:val="008E72D5"/>
    <w:rsid w:val="008F1A30"/>
    <w:rsid w:val="008F4678"/>
    <w:rsid w:val="008F4B64"/>
    <w:rsid w:val="008F5F19"/>
    <w:rsid w:val="00900156"/>
    <w:rsid w:val="00900328"/>
    <w:rsid w:val="00900A8C"/>
    <w:rsid w:val="00901D6A"/>
    <w:rsid w:val="00903847"/>
    <w:rsid w:val="00912006"/>
    <w:rsid w:val="009134A3"/>
    <w:rsid w:val="00916802"/>
    <w:rsid w:val="009219B3"/>
    <w:rsid w:val="00921FFF"/>
    <w:rsid w:val="00927CB9"/>
    <w:rsid w:val="00930344"/>
    <w:rsid w:val="0093290B"/>
    <w:rsid w:val="0093328B"/>
    <w:rsid w:val="0093398C"/>
    <w:rsid w:val="00935999"/>
    <w:rsid w:val="00940D5F"/>
    <w:rsid w:val="00943B65"/>
    <w:rsid w:val="009441D7"/>
    <w:rsid w:val="00946B2E"/>
    <w:rsid w:val="00953A1D"/>
    <w:rsid w:val="00955F22"/>
    <w:rsid w:val="00967952"/>
    <w:rsid w:val="00970FE0"/>
    <w:rsid w:val="0097374E"/>
    <w:rsid w:val="00973B9C"/>
    <w:rsid w:val="009740EF"/>
    <w:rsid w:val="00974B39"/>
    <w:rsid w:val="00976956"/>
    <w:rsid w:val="00980454"/>
    <w:rsid w:val="00980A07"/>
    <w:rsid w:val="009818A1"/>
    <w:rsid w:val="00985136"/>
    <w:rsid w:val="00985541"/>
    <w:rsid w:val="00993116"/>
    <w:rsid w:val="00994B76"/>
    <w:rsid w:val="00995A7A"/>
    <w:rsid w:val="00996A18"/>
    <w:rsid w:val="009978DA"/>
    <w:rsid w:val="009A0D69"/>
    <w:rsid w:val="009A77C7"/>
    <w:rsid w:val="009B3C68"/>
    <w:rsid w:val="009B57B0"/>
    <w:rsid w:val="009B7A72"/>
    <w:rsid w:val="009B7E24"/>
    <w:rsid w:val="009C2B1B"/>
    <w:rsid w:val="009C4341"/>
    <w:rsid w:val="009C4B5A"/>
    <w:rsid w:val="009D17BC"/>
    <w:rsid w:val="009D683B"/>
    <w:rsid w:val="009D7906"/>
    <w:rsid w:val="009E23EE"/>
    <w:rsid w:val="009E29E3"/>
    <w:rsid w:val="009E2B80"/>
    <w:rsid w:val="009E579F"/>
    <w:rsid w:val="009E65F5"/>
    <w:rsid w:val="009E7885"/>
    <w:rsid w:val="009F06DF"/>
    <w:rsid w:val="009F1001"/>
    <w:rsid w:val="009F10B9"/>
    <w:rsid w:val="009F10F8"/>
    <w:rsid w:val="009F1564"/>
    <w:rsid w:val="009F20E2"/>
    <w:rsid w:val="009F2667"/>
    <w:rsid w:val="009F506F"/>
    <w:rsid w:val="009F610E"/>
    <w:rsid w:val="009F671C"/>
    <w:rsid w:val="009F6BDA"/>
    <w:rsid w:val="009F7BEC"/>
    <w:rsid w:val="00A025C4"/>
    <w:rsid w:val="00A0274D"/>
    <w:rsid w:val="00A03447"/>
    <w:rsid w:val="00A0403B"/>
    <w:rsid w:val="00A1231C"/>
    <w:rsid w:val="00A138DC"/>
    <w:rsid w:val="00A2018D"/>
    <w:rsid w:val="00A26CF4"/>
    <w:rsid w:val="00A27A11"/>
    <w:rsid w:val="00A315FE"/>
    <w:rsid w:val="00A3560A"/>
    <w:rsid w:val="00A358E8"/>
    <w:rsid w:val="00A358F6"/>
    <w:rsid w:val="00A40377"/>
    <w:rsid w:val="00A41B03"/>
    <w:rsid w:val="00A47218"/>
    <w:rsid w:val="00A524D1"/>
    <w:rsid w:val="00A63623"/>
    <w:rsid w:val="00A64234"/>
    <w:rsid w:val="00A6663F"/>
    <w:rsid w:val="00A7700F"/>
    <w:rsid w:val="00A777F8"/>
    <w:rsid w:val="00A77EAC"/>
    <w:rsid w:val="00A822F7"/>
    <w:rsid w:val="00A842E2"/>
    <w:rsid w:val="00A858A0"/>
    <w:rsid w:val="00A90DA1"/>
    <w:rsid w:val="00A94442"/>
    <w:rsid w:val="00A953FC"/>
    <w:rsid w:val="00A979A4"/>
    <w:rsid w:val="00AA29B9"/>
    <w:rsid w:val="00AA648C"/>
    <w:rsid w:val="00AA7412"/>
    <w:rsid w:val="00AB10BB"/>
    <w:rsid w:val="00AC0416"/>
    <w:rsid w:val="00AC1F7E"/>
    <w:rsid w:val="00AD0021"/>
    <w:rsid w:val="00AD04A3"/>
    <w:rsid w:val="00AD124A"/>
    <w:rsid w:val="00AD17AF"/>
    <w:rsid w:val="00AD56F9"/>
    <w:rsid w:val="00AE0B55"/>
    <w:rsid w:val="00AE0DE7"/>
    <w:rsid w:val="00AE19C9"/>
    <w:rsid w:val="00AE1CBD"/>
    <w:rsid w:val="00AE2EB7"/>
    <w:rsid w:val="00AE44D2"/>
    <w:rsid w:val="00AE4FD7"/>
    <w:rsid w:val="00AE72EE"/>
    <w:rsid w:val="00AF50A2"/>
    <w:rsid w:val="00AF6830"/>
    <w:rsid w:val="00B02D90"/>
    <w:rsid w:val="00B0578B"/>
    <w:rsid w:val="00B06BDF"/>
    <w:rsid w:val="00B109A8"/>
    <w:rsid w:val="00B22634"/>
    <w:rsid w:val="00B227A6"/>
    <w:rsid w:val="00B22DD7"/>
    <w:rsid w:val="00B22EB0"/>
    <w:rsid w:val="00B272D1"/>
    <w:rsid w:val="00B277C5"/>
    <w:rsid w:val="00B3426E"/>
    <w:rsid w:val="00B3586B"/>
    <w:rsid w:val="00B3629C"/>
    <w:rsid w:val="00B36F87"/>
    <w:rsid w:val="00B37587"/>
    <w:rsid w:val="00B40702"/>
    <w:rsid w:val="00B41065"/>
    <w:rsid w:val="00B42072"/>
    <w:rsid w:val="00B43F07"/>
    <w:rsid w:val="00B500E5"/>
    <w:rsid w:val="00B5182F"/>
    <w:rsid w:val="00B52BA5"/>
    <w:rsid w:val="00B60400"/>
    <w:rsid w:val="00B61074"/>
    <w:rsid w:val="00B632CD"/>
    <w:rsid w:val="00B72064"/>
    <w:rsid w:val="00B734CC"/>
    <w:rsid w:val="00B75357"/>
    <w:rsid w:val="00B75B67"/>
    <w:rsid w:val="00B81E75"/>
    <w:rsid w:val="00B825B4"/>
    <w:rsid w:val="00B85D53"/>
    <w:rsid w:val="00B8689C"/>
    <w:rsid w:val="00B87A62"/>
    <w:rsid w:val="00B92FB5"/>
    <w:rsid w:val="00B95B56"/>
    <w:rsid w:val="00B96247"/>
    <w:rsid w:val="00B969F9"/>
    <w:rsid w:val="00B97A76"/>
    <w:rsid w:val="00BA2005"/>
    <w:rsid w:val="00BA6F3A"/>
    <w:rsid w:val="00BA704E"/>
    <w:rsid w:val="00BA74FE"/>
    <w:rsid w:val="00BB00D3"/>
    <w:rsid w:val="00BB27CF"/>
    <w:rsid w:val="00BB3988"/>
    <w:rsid w:val="00BB3DAC"/>
    <w:rsid w:val="00BB4375"/>
    <w:rsid w:val="00BB5B8E"/>
    <w:rsid w:val="00BB5CB0"/>
    <w:rsid w:val="00BB622F"/>
    <w:rsid w:val="00BB66A5"/>
    <w:rsid w:val="00BB6BCC"/>
    <w:rsid w:val="00BB7372"/>
    <w:rsid w:val="00BC0F98"/>
    <w:rsid w:val="00BC160C"/>
    <w:rsid w:val="00BC3E52"/>
    <w:rsid w:val="00BC4195"/>
    <w:rsid w:val="00BD3F83"/>
    <w:rsid w:val="00BD6A2C"/>
    <w:rsid w:val="00BD7CF6"/>
    <w:rsid w:val="00BE2A23"/>
    <w:rsid w:val="00BE4FEA"/>
    <w:rsid w:val="00BE7E62"/>
    <w:rsid w:val="00BF2E3A"/>
    <w:rsid w:val="00BF5B88"/>
    <w:rsid w:val="00BF5C09"/>
    <w:rsid w:val="00BF6B83"/>
    <w:rsid w:val="00C01079"/>
    <w:rsid w:val="00C010EF"/>
    <w:rsid w:val="00C06D21"/>
    <w:rsid w:val="00C07C96"/>
    <w:rsid w:val="00C10B86"/>
    <w:rsid w:val="00C131E6"/>
    <w:rsid w:val="00C138D8"/>
    <w:rsid w:val="00C13AE6"/>
    <w:rsid w:val="00C144DE"/>
    <w:rsid w:val="00C1695B"/>
    <w:rsid w:val="00C22570"/>
    <w:rsid w:val="00C25437"/>
    <w:rsid w:val="00C271AC"/>
    <w:rsid w:val="00C2769C"/>
    <w:rsid w:val="00C27B52"/>
    <w:rsid w:val="00C34313"/>
    <w:rsid w:val="00C368DC"/>
    <w:rsid w:val="00C416E7"/>
    <w:rsid w:val="00C41AC0"/>
    <w:rsid w:val="00C4294E"/>
    <w:rsid w:val="00C4385A"/>
    <w:rsid w:val="00C453BE"/>
    <w:rsid w:val="00C47B08"/>
    <w:rsid w:val="00C5005B"/>
    <w:rsid w:val="00C52334"/>
    <w:rsid w:val="00C5377F"/>
    <w:rsid w:val="00C56941"/>
    <w:rsid w:val="00C569F8"/>
    <w:rsid w:val="00C57D6D"/>
    <w:rsid w:val="00C66C4D"/>
    <w:rsid w:val="00C70CC2"/>
    <w:rsid w:val="00C72033"/>
    <w:rsid w:val="00C72C71"/>
    <w:rsid w:val="00C83134"/>
    <w:rsid w:val="00C85229"/>
    <w:rsid w:val="00C8636F"/>
    <w:rsid w:val="00C8701F"/>
    <w:rsid w:val="00C941CB"/>
    <w:rsid w:val="00CA4AE5"/>
    <w:rsid w:val="00CA56D0"/>
    <w:rsid w:val="00CB07EB"/>
    <w:rsid w:val="00CB1488"/>
    <w:rsid w:val="00CB2E27"/>
    <w:rsid w:val="00CB5C05"/>
    <w:rsid w:val="00CB5C27"/>
    <w:rsid w:val="00CB611F"/>
    <w:rsid w:val="00CB6EF7"/>
    <w:rsid w:val="00CB7086"/>
    <w:rsid w:val="00CB748E"/>
    <w:rsid w:val="00CC2038"/>
    <w:rsid w:val="00CC7C88"/>
    <w:rsid w:val="00CC7E1D"/>
    <w:rsid w:val="00CD2720"/>
    <w:rsid w:val="00CD7DCB"/>
    <w:rsid w:val="00CE3102"/>
    <w:rsid w:val="00CE5F8A"/>
    <w:rsid w:val="00CE7557"/>
    <w:rsid w:val="00CE7D58"/>
    <w:rsid w:val="00CF225F"/>
    <w:rsid w:val="00CF3F7F"/>
    <w:rsid w:val="00CF69DC"/>
    <w:rsid w:val="00CF6BEE"/>
    <w:rsid w:val="00CF6CEF"/>
    <w:rsid w:val="00D02112"/>
    <w:rsid w:val="00D02218"/>
    <w:rsid w:val="00D07451"/>
    <w:rsid w:val="00D10D02"/>
    <w:rsid w:val="00D117DF"/>
    <w:rsid w:val="00D164A5"/>
    <w:rsid w:val="00D23AB5"/>
    <w:rsid w:val="00D23E23"/>
    <w:rsid w:val="00D25852"/>
    <w:rsid w:val="00D311B3"/>
    <w:rsid w:val="00D319F7"/>
    <w:rsid w:val="00D34693"/>
    <w:rsid w:val="00D36081"/>
    <w:rsid w:val="00D36E9C"/>
    <w:rsid w:val="00D42396"/>
    <w:rsid w:val="00D427DA"/>
    <w:rsid w:val="00D45C61"/>
    <w:rsid w:val="00D52E55"/>
    <w:rsid w:val="00D53CF3"/>
    <w:rsid w:val="00D55802"/>
    <w:rsid w:val="00D56B03"/>
    <w:rsid w:val="00D62A11"/>
    <w:rsid w:val="00D6326A"/>
    <w:rsid w:val="00D6339A"/>
    <w:rsid w:val="00D70F78"/>
    <w:rsid w:val="00D74893"/>
    <w:rsid w:val="00D85B54"/>
    <w:rsid w:val="00D879FB"/>
    <w:rsid w:val="00D87FBB"/>
    <w:rsid w:val="00D953D6"/>
    <w:rsid w:val="00D96C25"/>
    <w:rsid w:val="00DA0991"/>
    <w:rsid w:val="00DA61E0"/>
    <w:rsid w:val="00DA71A9"/>
    <w:rsid w:val="00DB0FD5"/>
    <w:rsid w:val="00DB5DEE"/>
    <w:rsid w:val="00DB6B9A"/>
    <w:rsid w:val="00DC42E6"/>
    <w:rsid w:val="00DC46B7"/>
    <w:rsid w:val="00DC476E"/>
    <w:rsid w:val="00DC5FD2"/>
    <w:rsid w:val="00DC7E36"/>
    <w:rsid w:val="00DD6947"/>
    <w:rsid w:val="00DD7027"/>
    <w:rsid w:val="00DD7E07"/>
    <w:rsid w:val="00DD7E54"/>
    <w:rsid w:val="00DE0B87"/>
    <w:rsid w:val="00DE27C4"/>
    <w:rsid w:val="00DE3A2A"/>
    <w:rsid w:val="00DE513D"/>
    <w:rsid w:val="00DE5686"/>
    <w:rsid w:val="00DE72E7"/>
    <w:rsid w:val="00DF19EF"/>
    <w:rsid w:val="00DF2441"/>
    <w:rsid w:val="00DF5A4C"/>
    <w:rsid w:val="00DF6BE9"/>
    <w:rsid w:val="00E05266"/>
    <w:rsid w:val="00E05E7B"/>
    <w:rsid w:val="00E061BB"/>
    <w:rsid w:val="00E113B2"/>
    <w:rsid w:val="00E120F6"/>
    <w:rsid w:val="00E14F23"/>
    <w:rsid w:val="00E22274"/>
    <w:rsid w:val="00E223E5"/>
    <w:rsid w:val="00E2253A"/>
    <w:rsid w:val="00E225E4"/>
    <w:rsid w:val="00E23129"/>
    <w:rsid w:val="00E233EC"/>
    <w:rsid w:val="00E312B0"/>
    <w:rsid w:val="00E31A2B"/>
    <w:rsid w:val="00E416A8"/>
    <w:rsid w:val="00E44321"/>
    <w:rsid w:val="00E5127F"/>
    <w:rsid w:val="00E53E3E"/>
    <w:rsid w:val="00E565E3"/>
    <w:rsid w:val="00E565FB"/>
    <w:rsid w:val="00E73945"/>
    <w:rsid w:val="00E767CB"/>
    <w:rsid w:val="00E77A7D"/>
    <w:rsid w:val="00E8025B"/>
    <w:rsid w:val="00E81C0E"/>
    <w:rsid w:val="00E90D75"/>
    <w:rsid w:val="00E91151"/>
    <w:rsid w:val="00E96140"/>
    <w:rsid w:val="00EA232C"/>
    <w:rsid w:val="00EA49FB"/>
    <w:rsid w:val="00EA5A59"/>
    <w:rsid w:val="00EA76A0"/>
    <w:rsid w:val="00EB1294"/>
    <w:rsid w:val="00EB624D"/>
    <w:rsid w:val="00EB6987"/>
    <w:rsid w:val="00EC7D54"/>
    <w:rsid w:val="00ED074F"/>
    <w:rsid w:val="00ED0FF9"/>
    <w:rsid w:val="00ED148B"/>
    <w:rsid w:val="00ED16F5"/>
    <w:rsid w:val="00ED2890"/>
    <w:rsid w:val="00ED2C08"/>
    <w:rsid w:val="00ED6B92"/>
    <w:rsid w:val="00ED730B"/>
    <w:rsid w:val="00EE0F9E"/>
    <w:rsid w:val="00EE3934"/>
    <w:rsid w:val="00EE4324"/>
    <w:rsid w:val="00EE4464"/>
    <w:rsid w:val="00EE4738"/>
    <w:rsid w:val="00EE495F"/>
    <w:rsid w:val="00EE76BD"/>
    <w:rsid w:val="00EF2429"/>
    <w:rsid w:val="00F02282"/>
    <w:rsid w:val="00F04376"/>
    <w:rsid w:val="00F067A4"/>
    <w:rsid w:val="00F07279"/>
    <w:rsid w:val="00F10CF5"/>
    <w:rsid w:val="00F132AA"/>
    <w:rsid w:val="00F16CBC"/>
    <w:rsid w:val="00F241CB"/>
    <w:rsid w:val="00F26D96"/>
    <w:rsid w:val="00F2728C"/>
    <w:rsid w:val="00F32B12"/>
    <w:rsid w:val="00F366B0"/>
    <w:rsid w:val="00F4151E"/>
    <w:rsid w:val="00F418A6"/>
    <w:rsid w:val="00F42212"/>
    <w:rsid w:val="00F433C4"/>
    <w:rsid w:val="00F43F46"/>
    <w:rsid w:val="00F47FBD"/>
    <w:rsid w:val="00F507AF"/>
    <w:rsid w:val="00F541BC"/>
    <w:rsid w:val="00F55633"/>
    <w:rsid w:val="00F606AD"/>
    <w:rsid w:val="00F6238B"/>
    <w:rsid w:val="00F62BBC"/>
    <w:rsid w:val="00F6354F"/>
    <w:rsid w:val="00F652FF"/>
    <w:rsid w:val="00F668A8"/>
    <w:rsid w:val="00F6790D"/>
    <w:rsid w:val="00F743E2"/>
    <w:rsid w:val="00F76D8C"/>
    <w:rsid w:val="00F76EE5"/>
    <w:rsid w:val="00F77A96"/>
    <w:rsid w:val="00F77E0F"/>
    <w:rsid w:val="00F82890"/>
    <w:rsid w:val="00F82EC8"/>
    <w:rsid w:val="00F8308F"/>
    <w:rsid w:val="00F84475"/>
    <w:rsid w:val="00F85BD2"/>
    <w:rsid w:val="00F86B51"/>
    <w:rsid w:val="00F87F7E"/>
    <w:rsid w:val="00F90B53"/>
    <w:rsid w:val="00F96449"/>
    <w:rsid w:val="00FA223D"/>
    <w:rsid w:val="00FA39E0"/>
    <w:rsid w:val="00FA3C84"/>
    <w:rsid w:val="00FA7770"/>
    <w:rsid w:val="00FA7D19"/>
    <w:rsid w:val="00FB161B"/>
    <w:rsid w:val="00FB30EF"/>
    <w:rsid w:val="00FB3E8D"/>
    <w:rsid w:val="00FB49B1"/>
    <w:rsid w:val="00FB6CA0"/>
    <w:rsid w:val="00FC116E"/>
    <w:rsid w:val="00FC3599"/>
    <w:rsid w:val="00FC3627"/>
    <w:rsid w:val="00FC3B42"/>
    <w:rsid w:val="00FC48FB"/>
    <w:rsid w:val="00FC5B63"/>
    <w:rsid w:val="00FC7159"/>
    <w:rsid w:val="00FD111E"/>
    <w:rsid w:val="00FD33CB"/>
    <w:rsid w:val="00FD40F7"/>
    <w:rsid w:val="00FD5A39"/>
    <w:rsid w:val="00FD7414"/>
    <w:rsid w:val="00FE5454"/>
    <w:rsid w:val="00FF0FD9"/>
    <w:rsid w:val="00FF3D42"/>
    <w:rsid w:val="00FF4225"/>
    <w:rsid w:val="00FF589D"/>
    <w:rsid w:val="00FF612D"/>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tabs>
        <w:tab w:val="num" w:pos="990"/>
        <w:tab w:val="left" w:pos="1440"/>
      </w:tabs>
      <w:spacing w:after="220"/>
      <w:ind w:left="-90" w:firstLine="720"/>
      <w:jc w:val="both"/>
    </w:pPr>
  </w:style>
  <w:style w:type="paragraph" w:styleId="Caption">
    <w:name w:val="caption"/>
    <w:basedOn w:val="Normal"/>
    <w:next w:val="Normal"/>
    <w:qFormat/>
    <w:pPr>
      <w:numPr>
        <w:numId w:val="13"/>
      </w:num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styleId="Hyperlink">
    <w:name w:val="Hyperlink"/>
    <w:uiPriority w:val="99"/>
    <w:unhideWhenUsed/>
    <w:rsid w:val="00E113B2"/>
    <w:rPr>
      <w:color w:val="0000FF"/>
      <w:u w:val="single"/>
    </w:rPr>
  </w:style>
  <w:style w:type="character" w:styleId="FollowedHyperlink">
    <w:name w:val="FollowedHyperlink"/>
    <w:rsid w:val="006C7F32"/>
    <w:rPr>
      <w:color w:val="800080"/>
      <w:u w:val="single"/>
    </w:rPr>
  </w:style>
  <w:style w:type="paragraph" w:styleId="EndnoteText">
    <w:name w:val="endnote text"/>
    <w:basedOn w:val="Normal"/>
    <w:link w:val="EndnoteTextChar"/>
    <w:rsid w:val="00AD56F9"/>
    <w:rPr>
      <w:sz w:val="20"/>
    </w:rPr>
  </w:style>
  <w:style w:type="character" w:customStyle="1" w:styleId="EndnoteTextChar">
    <w:name w:val="Endnote Text Char"/>
    <w:basedOn w:val="DefaultParagraphFont"/>
    <w:link w:val="EndnoteText"/>
    <w:rsid w:val="00AD56F9"/>
  </w:style>
  <w:style w:type="character" w:styleId="EndnoteReference">
    <w:name w:val="endnote reference"/>
    <w:rsid w:val="00AD56F9"/>
    <w:rPr>
      <w:vertAlign w:val="superscript"/>
    </w:rPr>
  </w:style>
  <w:style w:type="character" w:customStyle="1" w:styleId="apple-converted-space">
    <w:name w:val="apple-converted-space"/>
    <w:rsid w:val="00156860"/>
  </w:style>
  <w:style w:type="character" w:styleId="Emphasis">
    <w:name w:val="Emphasis"/>
    <w:uiPriority w:val="20"/>
    <w:qFormat/>
    <w:rsid w:val="00156860"/>
    <w:rPr>
      <w:i/>
      <w:iCs/>
    </w:rPr>
  </w:style>
  <w:style w:type="paragraph" w:styleId="DocumentMap">
    <w:name w:val="Document Map"/>
    <w:basedOn w:val="Normal"/>
    <w:link w:val="DocumentMapChar"/>
    <w:rsid w:val="00F43F46"/>
    <w:rPr>
      <w:rFonts w:ascii="Lucida Grande" w:hAnsi="Lucida Grande" w:cs="Lucida Grande"/>
      <w:sz w:val="24"/>
      <w:szCs w:val="24"/>
    </w:rPr>
  </w:style>
  <w:style w:type="character" w:customStyle="1" w:styleId="DocumentMapChar">
    <w:name w:val="Document Map Char"/>
    <w:basedOn w:val="DefaultParagraphFont"/>
    <w:link w:val="DocumentMap"/>
    <w:rsid w:val="00F43F46"/>
    <w:rPr>
      <w:rFonts w:ascii="Lucida Grande" w:hAnsi="Lucida Grande" w:cs="Lucida Grande"/>
      <w:sz w:val="24"/>
      <w:szCs w:val="24"/>
    </w:rPr>
  </w:style>
  <w:style w:type="table" w:styleId="TableGrid">
    <w:name w:val="Table Grid"/>
    <w:basedOn w:val="TableNormal"/>
    <w:uiPriority w:val="59"/>
    <w:rsid w:val="00860E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tabs>
        <w:tab w:val="num" w:pos="990"/>
        <w:tab w:val="left" w:pos="1440"/>
      </w:tabs>
      <w:spacing w:after="220"/>
      <w:ind w:left="-90" w:firstLine="720"/>
      <w:jc w:val="both"/>
    </w:pPr>
  </w:style>
  <w:style w:type="paragraph" w:styleId="Caption">
    <w:name w:val="caption"/>
    <w:basedOn w:val="Normal"/>
    <w:next w:val="Normal"/>
    <w:qFormat/>
    <w:pPr>
      <w:numPr>
        <w:numId w:val="13"/>
      </w:numPr>
      <w:spacing w:before="120" w:after="120"/>
    </w:pPr>
    <w:rPr>
      <w:b/>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
    <w:basedOn w:val="Normal"/>
    <w:link w:val="FootnoteTextChar1"/>
    <w:semiHidden/>
    <w:pPr>
      <w:tabs>
        <w:tab w:val="left" w:pos="180"/>
        <w:tab w:val="left" w:pos="720"/>
        <w:tab w:val="left" w:pos="1440"/>
        <w:tab w:val="left" w:pos="2160"/>
      </w:tabs>
      <w:spacing w:after="120"/>
      <w:jc w:val="both"/>
    </w:pPr>
    <w:rPr>
      <w:sz w:val="20"/>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sid w:val="005E7A12"/>
    <w:rPr>
      <w:lang w:val="en-US" w:eastAsia="en-US" w:bidi="ar-SA"/>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E14F23"/>
    <w:rPr>
      <w:rFonts w:ascii="Tahoma" w:hAnsi="Tahoma" w:cs="Tahoma"/>
      <w:sz w:val="16"/>
      <w:szCs w:val="16"/>
    </w:rPr>
  </w:style>
  <w:style w:type="character" w:styleId="CommentReference">
    <w:name w:val="annotation reference"/>
    <w:semiHidden/>
    <w:rsid w:val="00DA71A9"/>
    <w:rPr>
      <w:sz w:val="16"/>
      <w:szCs w:val="16"/>
    </w:rPr>
  </w:style>
  <w:style w:type="paragraph" w:styleId="CommentText">
    <w:name w:val="annotation text"/>
    <w:basedOn w:val="Normal"/>
    <w:semiHidden/>
    <w:rsid w:val="00DA71A9"/>
    <w:rPr>
      <w:sz w:val="20"/>
    </w:rPr>
  </w:style>
  <w:style w:type="paragraph" w:styleId="CommentSubject">
    <w:name w:val="annotation subject"/>
    <w:basedOn w:val="CommentText"/>
    <w:next w:val="CommentText"/>
    <w:semiHidden/>
    <w:rsid w:val="00DA71A9"/>
    <w:rPr>
      <w:b/>
      <w:bCs/>
    </w:rPr>
  </w:style>
  <w:style w:type="character" w:styleId="Hyperlink">
    <w:name w:val="Hyperlink"/>
    <w:uiPriority w:val="99"/>
    <w:unhideWhenUsed/>
    <w:rsid w:val="00E113B2"/>
    <w:rPr>
      <w:color w:val="0000FF"/>
      <w:u w:val="single"/>
    </w:rPr>
  </w:style>
  <w:style w:type="character" w:styleId="FollowedHyperlink">
    <w:name w:val="FollowedHyperlink"/>
    <w:rsid w:val="006C7F32"/>
    <w:rPr>
      <w:color w:val="800080"/>
      <w:u w:val="single"/>
    </w:rPr>
  </w:style>
  <w:style w:type="paragraph" w:styleId="EndnoteText">
    <w:name w:val="endnote text"/>
    <w:basedOn w:val="Normal"/>
    <w:link w:val="EndnoteTextChar"/>
    <w:rsid w:val="00AD56F9"/>
    <w:rPr>
      <w:sz w:val="20"/>
    </w:rPr>
  </w:style>
  <w:style w:type="character" w:customStyle="1" w:styleId="EndnoteTextChar">
    <w:name w:val="Endnote Text Char"/>
    <w:basedOn w:val="DefaultParagraphFont"/>
    <w:link w:val="EndnoteText"/>
    <w:rsid w:val="00AD56F9"/>
  </w:style>
  <w:style w:type="character" w:styleId="EndnoteReference">
    <w:name w:val="endnote reference"/>
    <w:rsid w:val="00AD56F9"/>
    <w:rPr>
      <w:vertAlign w:val="superscript"/>
    </w:rPr>
  </w:style>
  <w:style w:type="character" w:customStyle="1" w:styleId="apple-converted-space">
    <w:name w:val="apple-converted-space"/>
    <w:rsid w:val="00156860"/>
  </w:style>
  <w:style w:type="character" w:styleId="Emphasis">
    <w:name w:val="Emphasis"/>
    <w:uiPriority w:val="20"/>
    <w:qFormat/>
    <w:rsid w:val="00156860"/>
    <w:rPr>
      <w:i/>
      <w:iCs/>
    </w:rPr>
  </w:style>
  <w:style w:type="paragraph" w:styleId="DocumentMap">
    <w:name w:val="Document Map"/>
    <w:basedOn w:val="Normal"/>
    <w:link w:val="DocumentMapChar"/>
    <w:rsid w:val="00F43F46"/>
    <w:rPr>
      <w:rFonts w:ascii="Lucida Grande" w:hAnsi="Lucida Grande" w:cs="Lucida Grande"/>
      <w:sz w:val="24"/>
      <w:szCs w:val="24"/>
    </w:rPr>
  </w:style>
  <w:style w:type="character" w:customStyle="1" w:styleId="DocumentMapChar">
    <w:name w:val="Document Map Char"/>
    <w:basedOn w:val="DefaultParagraphFont"/>
    <w:link w:val="DocumentMap"/>
    <w:rsid w:val="00F43F46"/>
    <w:rPr>
      <w:rFonts w:ascii="Lucida Grande" w:hAnsi="Lucida Grande" w:cs="Lucida Grande"/>
      <w:sz w:val="24"/>
      <w:szCs w:val="24"/>
    </w:rPr>
  </w:style>
  <w:style w:type="table" w:styleId="TableGrid">
    <w:name w:val="Table Grid"/>
    <w:basedOn w:val="TableNormal"/>
    <w:uiPriority w:val="59"/>
    <w:rsid w:val="00860E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87">
      <w:bodyDiv w:val="1"/>
      <w:marLeft w:val="0"/>
      <w:marRight w:val="0"/>
      <w:marTop w:val="0"/>
      <w:marBottom w:val="0"/>
      <w:divBdr>
        <w:top w:val="none" w:sz="0" w:space="0" w:color="auto"/>
        <w:left w:val="none" w:sz="0" w:space="0" w:color="auto"/>
        <w:bottom w:val="none" w:sz="0" w:space="0" w:color="auto"/>
        <w:right w:val="none" w:sz="0" w:space="0" w:color="auto"/>
      </w:divBdr>
      <w:divsChild>
        <w:div w:id="349450951">
          <w:marLeft w:val="0"/>
          <w:marRight w:val="0"/>
          <w:marTop w:val="0"/>
          <w:marBottom w:val="0"/>
          <w:divBdr>
            <w:top w:val="none" w:sz="0" w:space="0" w:color="auto"/>
            <w:left w:val="none" w:sz="0" w:space="0" w:color="auto"/>
            <w:bottom w:val="none" w:sz="0" w:space="0" w:color="auto"/>
            <w:right w:val="none" w:sz="0" w:space="0" w:color="auto"/>
          </w:divBdr>
          <w:divsChild>
            <w:div w:id="20107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6420">
      <w:bodyDiv w:val="1"/>
      <w:marLeft w:val="0"/>
      <w:marRight w:val="0"/>
      <w:marTop w:val="0"/>
      <w:marBottom w:val="0"/>
      <w:divBdr>
        <w:top w:val="none" w:sz="0" w:space="0" w:color="auto"/>
        <w:left w:val="none" w:sz="0" w:space="0" w:color="auto"/>
        <w:bottom w:val="none" w:sz="0" w:space="0" w:color="auto"/>
        <w:right w:val="none" w:sz="0" w:space="0" w:color="auto"/>
      </w:divBdr>
    </w:div>
    <w:div w:id="338314261">
      <w:bodyDiv w:val="1"/>
      <w:marLeft w:val="0"/>
      <w:marRight w:val="0"/>
      <w:marTop w:val="0"/>
      <w:marBottom w:val="0"/>
      <w:divBdr>
        <w:top w:val="none" w:sz="0" w:space="0" w:color="auto"/>
        <w:left w:val="none" w:sz="0" w:space="0" w:color="auto"/>
        <w:bottom w:val="none" w:sz="0" w:space="0" w:color="auto"/>
        <w:right w:val="none" w:sz="0" w:space="0" w:color="auto"/>
      </w:divBdr>
      <w:divsChild>
        <w:div w:id="1864976319">
          <w:marLeft w:val="0"/>
          <w:marRight w:val="0"/>
          <w:marTop w:val="0"/>
          <w:marBottom w:val="0"/>
          <w:divBdr>
            <w:top w:val="none" w:sz="0" w:space="0" w:color="auto"/>
            <w:left w:val="none" w:sz="0" w:space="0" w:color="auto"/>
            <w:bottom w:val="none" w:sz="0" w:space="0" w:color="auto"/>
            <w:right w:val="none" w:sz="0" w:space="0" w:color="auto"/>
          </w:divBdr>
          <w:divsChild>
            <w:div w:id="13470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4432">
      <w:bodyDiv w:val="1"/>
      <w:marLeft w:val="0"/>
      <w:marRight w:val="0"/>
      <w:marTop w:val="0"/>
      <w:marBottom w:val="0"/>
      <w:divBdr>
        <w:top w:val="none" w:sz="0" w:space="0" w:color="auto"/>
        <w:left w:val="none" w:sz="0" w:space="0" w:color="auto"/>
        <w:bottom w:val="none" w:sz="0" w:space="0" w:color="auto"/>
        <w:right w:val="none" w:sz="0" w:space="0" w:color="auto"/>
      </w:divBdr>
    </w:div>
    <w:div w:id="432092934">
      <w:bodyDiv w:val="1"/>
      <w:marLeft w:val="0"/>
      <w:marRight w:val="0"/>
      <w:marTop w:val="0"/>
      <w:marBottom w:val="0"/>
      <w:divBdr>
        <w:top w:val="none" w:sz="0" w:space="0" w:color="auto"/>
        <w:left w:val="none" w:sz="0" w:space="0" w:color="auto"/>
        <w:bottom w:val="none" w:sz="0" w:space="0" w:color="auto"/>
        <w:right w:val="none" w:sz="0" w:space="0" w:color="auto"/>
      </w:divBdr>
      <w:divsChild>
        <w:div w:id="1504780845">
          <w:marLeft w:val="0"/>
          <w:marRight w:val="0"/>
          <w:marTop w:val="0"/>
          <w:marBottom w:val="0"/>
          <w:divBdr>
            <w:top w:val="none" w:sz="0" w:space="0" w:color="auto"/>
            <w:left w:val="none" w:sz="0" w:space="0" w:color="auto"/>
            <w:bottom w:val="none" w:sz="0" w:space="0" w:color="auto"/>
            <w:right w:val="none" w:sz="0" w:space="0" w:color="auto"/>
          </w:divBdr>
          <w:divsChild>
            <w:div w:id="296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158">
      <w:bodyDiv w:val="1"/>
      <w:marLeft w:val="0"/>
      <w:marRight w:val="0"/>
      <w:marTop w:val="0"/>
      <w:marBottom w:val="0"/>
      <w:divBdr>
        <w:top w:val="none" w:sz="0" w:space="0" w:color="auto"/>
        <w:left w:val="none" w:sz="0" w:space="0" w:color="auto"/>
        <w:bottom w:val="none" w:sz="0" w:space="0" w:color="auto"/>
        <w:right w:val="none" w:sz="0" w:space="0" w:color="auto"/>
      </w:divBdr>
    </w:div>
    <w:div w:id="590158660">
      <w:bodyDiv w:val="1"/>
      <w:marLeft w:val="0"/>
      <w:marRight w:val="0"/>
      <w:marTop w:val="0"/>
      <w:marBottom w:val="0"/>
      <w:divBdr>
        <w:top w:val="none" w:sz="0" w:space="0" w:color="auto"/>
        <w:left w:val="none" w:sz="0" w:space="0" w:color="auto"/>
        <w:bottom w:val="none" w:sz="0" w:space="0" w:color="auto"/>
        <w:right w:val="none" w:sz="0" w:space="0" w:color="auto"/>
      </w:divBdr>
    </w:div>
    <w:div w:id="715087860">
      <w:bodyDiv w:val="1"/>
      <w:marLeft w:val="0"/>
      <w:marRight w:val="0"/>
      <w:marTop w:val="0"/>
      <w:marBottom w:val="0"/>
      <w:divBdr>
        <w:top w:val="none" w:sz="0" w:space="0" w:color="auto"/>
        <w:left w:val="none" w:sz="0" w:space="0" w:color="auto"/>
        <w:bottom w:val="none" w:sz="0" w:space="0" w:color="auto"/>
        <w:right w:val="none" w:sz="0" w:space="0" w:color="auto"/>
      </w:divBdr>
    </w:div>
    <w:div w:id="772280937">
      <w:bodyDiv w:val="1"/>
      <w:marLeft w:val="0"/>
      <w:marRight w:val="0"/>
      <w:marTop w:val="0"/>
      <w:marBottom w:val="0"/>
      <w:divBdr>
        <w:top w:val="none" w:sz="0" w:space="0" w:color="auto"/>
        <w:left w:val="none" w:sz="0" w:space="0" w:color="auto"/>
        <w:bottom w:val="none" w:sz="0" w:space="0" w:color="auto"/>
        <w:right w:val="none" w:sz="0" w:space="0" w:color="auto"/>
      </w:divBdr>
    </w:div>
    <w:div w:id="820270182">
      <w:bodyDiv w:val="1"/>
      <w:marLeft w:val="0"/>
      <w:marRight w:val="0"/>
      <w:marTop w:val="0"/>
      <w:marBottom w:val="0"/>
      <w:divBdr>
        <w:top w:val="none" w:sz="0" w:space="0" w:color="auto"/>
        <w:left w:val="none" w:sz="0" w:space="0" w:color="auto"/>
        <w:bottom w:val="none" w:sz="0" w:space="0" w:color="auto"/>
        <w:right w:val="none" w:sz="0" w:space="0" w:color="auto"/>
      </w:divBdr>
      <w:divsChild>
        <w:div w:id="572810909">
          <w:marLeft w:val="0"/>
          <w:marRight w:val="0"/>
          <w:marTop w:val="0"/>
          <w:marBottom w:val="0"/>
          <w:divBdr>
            <w:top w:val="none" w:sz="0" w:space="0" w:color="auto"/>
            <w:left w:val="none" w:sz="0" w:space="0" w:color="auto"/>
            <w:bottom w:val="none" w:sz="0" w:space="0" w:color="auto"/>
            <w:right w:val="none" w:sz="0" w:space="0" w:color="auto"/>
          </w:divBdr>
          <w:divsChild>
            <w:div w:id="5230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6199">
      <w:bodyDiv w:val="1"/>
      <w:marLeft w:val="0"/>
      <w:marRight w:val="0"/>
      <w:marTop w:val="0"/>
      <w:marBottom w:val="0"/>
      <w:divBdr>
        <w:top w:val="none" w:sz="0" w:space="0" w:color="auto"/>
        <w:left w:val="none" w:sz="0" w:space="0" w:color="auto"/>
        <w:bottom w:val="none" w:sz="0" w:space="0" w:color="auto"/>
        <w:right w:val="none" w:sz="0" w:space="0" w:color="auto"/>
      </w:divBdr>
      <w:divsChild>
        <w:div w:id="1614635286">
          <w:marLeft w:val="0"/>
          <w:marRight w:val="0"/>
          <w:marTop w:val="0"/>
          <w:marBottom w:val="0"/>
          <w:divBdr>
            <w:top w:val="none" w:sz="0" w:space="0" w:color="auto"/>
            <w:left w:val="none" w:sz="0" w:space="0" w:color="auto"/>
            <w:bottom w:val="none" w:sz="0" w:space="0" w:color="auto"/>
            <w:right w:val="none" w:sz="0" w:space="0" w:color="auto"/>
          </w:divBdr>
          <w:divsChild>
            <w:div w:id="1055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0720">
      <w:bodyDiv w:val="1"/>
      <w:marLeft w:val="0"/>
      <w:marRight w:val="0"/>
      <w:marTop w:val="0"/>
      <w:marBottom w:val="0"/>
      <w:divBdr>
        <w:top w:val="none" w:sz="0" w:space="0" w:color="auto"/>
        <w:left w:val="none" w:sz="0" w:space="0" w:color="auto"/>
        <w:bottom w:val="none" w:sz="0" w:space="0" w:color="auto"/>
        <w:right w:val="none" w:sz="0" w:space="0" w:color="auto"/>
      </w:divBdr>
    </w:div>
    <w:div w:id="1240209897">
      <w:bodyDiv w:val="1"/>
      <w:marLeft w:val="0"/>
      <w:marRight w:val="0"/>
      <w:marTop w:val="0"/>
      <w:marBottom w:val="0"/>
      <w:divBdr>
        <w:top w:val="none" w:sz="0" w:space="0" w:color="auto"/>
        <w:left w:val="none" w:sz="0" w:space="0" w:color="auto"/>
        <w:bottom w:val="none" w:sz="0" w:space="0" w:color="auto"/>
        <w:right w:val="none" w:sz="0" w:space="0" w:color="auto"/>
      </w:divBdr>
    </w:div>
    <w:div w:id="1280531175">
      <w:bodyDiv w:val="1"/>
      <w:marLeft w:val="0"/>
      <w:marRight w:val="0"/>
      <w:marTop w:val="0"/>
      <w:marBottom w:val="0"/>
      <w:divBdr>
        <w:top w:val="none" w:sz="0" w:space="0" w:color="auto"/>
        <w:left w:val="none" w:sz="0" w:space="0" w:color="auto"/>
        <w:bottom w:val="none" w:sz="0" w:space="0" w:color="auto"/>
        <w:right w:val="none" w:sz="0" w:space="0" w:color="auto"/>
      </w:divBdr>
    </w:div>
    <w:div w:id="1304777634">
      <w:bodyDiv w:val="1"/>
      <w:marLeft w:val="0"/>
      <w:marRight w:val="0"/>
      <w:marTop w:val="0"/>
      <w:marBottom w:val="0"/>
      <w:divBdr>
        <w:top w:val="none" w:sz="0" w:space="0" w:color="auto"/>
        <w:left w:val="none" w:sz="0" w:space="0" w:color="auto"/>
        <w:bottom w:val="none" w:sz="0" w:space="0" w:color="auto"/>
        <w:right w:val="none" w:sz="0" w:space="0" w:color="auto"/>
      </w:divBdr>
      <w:divsChild>
        <w:div w:id="888029758">
          <w:marLeft w:val="0"/>
          <w:marRight w:val="0"/>
          <w:marTop w:val="0"/>
          <w:marBottom w:val="0"/>
          <w:divBdr>
            <w:top w:val="none" w:sz="0" w:space="0" w:color="auto"/>
            <w:left w:val="none" w:sz="0" w:space="0" w:color="auto"/>
            <w:bottom w:val="none" w:sz="0" w:space="0" w:color="auto"/>
            <w:right w:val="none" w:sz="0" w:space="0" w:color="auto"/>
          </w:divBdr>
          <w:divsChild>
            <w:div w:id="758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0820">
      <w:bodyDiv w:val="1"/>
      <w:marLeft w:val="0"/>
      <w:marRight w:val="0"/>
      <w:marTop w:val="0"/>
      <w:marBottom w:val="0"/>
      <w:divBdr>
        <w:top w:val="none" w:sz="0" w:space="0" w:color="auto"/>
        <w:left w:val="none" w:sz="0" w:space="0" w:color="auto"/>
        <w:bottom w:val="none" w:sz="0" w:space="0" w:color="auto"/>
        <w:right w:val="none" w:sz="0" w:space="0" w:color="auto"/>
      </w:divBdr>
    </w:div>
    <w:div w:id="1310289231">
      <w:bodyDiv w:val="1"/>
      <w:marLeft w:val="0"/>
      <w:marRight w:val="0"/>
      <w:marTop w:val="0"/>
      <w:marBottom w:val="0"/>
      <w:divBdr>
        <w:top w:val="none" w:sz="0" w:space="0" w:color="auto"/>
        <w:left w:val="none" w:sz="0" w:space="0" w:color="auto"/>
        <w:bottom w:val="none" w:sz="0" w:space="0" w:color="auto"/>
        <w:right w:val="none" w:sz="0" w:space="0" w:color="auto"/>
      </w:divBdr>
    </w:div>
    <w:div w:id="1340619979">
      <w:bodyDiv w:val="1"/>
      <w:marLeft w:val="0"/>
      <w:marRight w:val="0"/>
      <w:marTop w:val="0"/>
      <w:marBottom w:val="0"/>
      <w:divBdr>
        <w:top w:val="none" w:sz="0" w:space="0" w:color="auto"/>
        <w:left w:val="none" w:sz="0" w:space="0" w:color="auto"/>
        <w:bottom w:val="none" w:sz="0" w:space="0" w:color="auto"/>
        <w:right w:val="none" w:sz="0" w:space="0" w:color="auto"/>
      </w:divBdr>
    </w:div>
    <w:div w:id="1451582258">
      <w:bodyDiv w:val="1"/>
      <w:marLeft w:val="0"/>
      <w:marRight w:val="0"/>
      <w:marTop w:val="0"/>
      <w:marBottom w:val="0"/>
      <w:divBdr>
        <w:top w:val="none" w:sz="0" w:space="0" w:color="auto"/>
        <w:left w:val="none" w:sz="0" w:space="0" w:color="auto"/>
        <w:bottom w:val="none" w:sz="0" w:space="0" w:color="auto"/>
        <w:right w:val="none" w:sz="0" w:space="0" w:color="auto"/>
      </w:divBdr>
    </w:div>
    <w:div w:id="1584802531">
      <w:bodyDiv w:val="1"/>
      <w:marLeft w:val="0"/>
      <w:marRight w:val="0"/>
      <w:marTop w:val="0"/>
      <w:marBottom w:val="0"/>
      <w:divBdr>
        <w:top w:val="none" w:sz="0" w:space="0" w:color="auto"/>
        <w:left w:val="none" w:sz="0" w:space="0" w:color="auto"/>
        <w:bottom w:val="none" w:sz="0" w:space="0" w:color="auto"/>
        <w:right w:val="none" w:sz="0" w:space="0" w:color="auto"/>
      </w:divBdr>
    </w:div>
    <w:div w:id="1754737429">
      <w:bodyDiv w:val="1"/>
      <w:marLeft w:val="0"/>
      <w:marRight w:val="0"/>
      <w:marTop w:val="0"/>
      <w:marBottom w:val="0"/>
      <w:divBdr>
        <w:top w:val="none" w:sz="0" w:space="0" w:color="auto"/>
        <w:left w:val="none" w:sz="0" w:space="0" w:color="auto"/>
        <w:bottom w:val="none" w:sz="0" w:space="0" w:color="auto"/>
        <w:right w:val="none" w:sz="0" w:space="0" w:color="auto"/>
      </w:divBdr>
    </w:div>
    <w:div w:id="2126843625">
      <w:bodyDiv w:val="1"/>
      <w:marLeft w:val="0"/>
      <w:marRight w:val="0"/>
      <w:marTop w:val="0"/>
      <w:marBottom w:val="0"/>
      <w:divBdr>
        <w:top w:val="none" w:sz="0" w:space="0" w:color="auto"/>
        <w:left w:val="none" w:sz="0" w:space="0" w:color="auto"/>
        <w:bottom w:val="none" w:sz="0" w:space="0" w:color="auto"/>
        <w:right w:val="none" w:sz="0" w:space="0" w:color="auto"/>
      </w:divBdr>
      <w:divsChild>
        <w:div w:id="1936555634">
          <w:marLeft w:val="0"/>
          <w:marRight w:val="0"/>
          <w:marTop w:val="0"/>
          <w:marBottom w:val="0"/>
          <w:divBdr>
            <w:top w:val="none" w:sz="0" w:space="0" w:color="auto"/>
            <w:left w:val="none" w:sz="0" w:space="0" w:color="auto"/>
            <w:bottom w:val="none" w:sz="0" w:space="0" w:color="auto"/>
            <w:right w:val="none" w:sz="0" w:space="0" w:color="auto"/>
          </w:divBdr>
          <w:divsChild>
            <w:div w:id="1654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0515">
      <w:bodyDiv w:val="1"/>
      <w:marLeft w:val="0"/>
      <w:marRight w:val="0"/>
      <w:marTop w:val="0"/>
      <w:marBottom w:val="0"/>
      <w:divBdr>
        <w:top w:val="none" w:sz="0" w:space="0" w:color="auto"/>
        <w:left w:val="none" w:sz="0" w:space="0" w:color="auto"/>
        <w:bottom w:val="none" w:sz="0" w:space="0" w:color="auto"/>
        <w:right w:val="none" w:sz="0" w:space="0" w:color="auto"/>
      </w:divBdr>
      <w:divsChild>
        <w:div w:id="182667589">
          <w:marLeft w:val="0"/>
          <w:marRight w:val="0"/>
          <w:marTop w:val="0"/>
          <w:marBottom w:val="0"/>
          <w:divBdr>
            <w:top w:val="none" w:sz="0" w:space="0" w:color="auto"/>
            <w:left w:val="none" w:sz="0" w:space="0" w:color="auto"/>
            <w:bottom w:val="none" w:sz="0" w:space="0" w:color="auto"/>
            <w:right w:val="none" w:sz="0" w:space="0" w:color="auto"/>
          </w:divBdr>
          <w:divsChild>
            <w:div w:id="1881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3553</Words>
  <Characters>20205</Characters>
  <Application>Microsoft Office Word</Application>
  <DocSecurity>0</DocSecurity>
  <Lines>557</Lines>
  <Paragraphs>311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23887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2014-03-04T20:57:00Z</cp:lastPrinted>
  <dcterms:created xsi:type="dcterms:W3CDTF">2014-03-20T12:58:00Z</dcterms:created>
  <dcterms:modified xsi:type="dcterms:W3CDTF">2014-03-20T12:58:00Z</dcterms:modified>
  <cp:category> </cp:category>
  <cp:contentStatus> </cp:contentStatus>
</cp:coreProperties>
</file>