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Pr="00D95D66" w:rsidRDefault="000D5D8C" w:rsidP="000D5D8C">
      <w:pPr>
        <w:jc w:val="center"/>
        <w:rPr>
          <w:b/>
        </w:rPr>
      </w:pPr>
      <w:r w:rsidRPr="00D95D66">
        <w:rPr>
          <w:b/>
        </w:rPr>
        <w:t>Washington</w:t>
      </w:r>
      <w:r w:rsidR="004C2EE3" w:rsidRPr="00D95D66">
        <w:rPr>
          <w:b/>
        </w:rPr>
        <w:t>,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03139B" w:rsidRDefault="0003139B">
            <w:pPr>
              <w:tabs>
                <w:tab w:val="center" w:pos="4680"/>
              </w:tabs>
              <w:suppressAutoHyphens/>
              <w:rPr>
                <w:spacing w:val="-2"/>
              </w:rPr>
            </w:pPr>
          </w:p>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177067" w:rsidRDefault="00362C03" w:rsidP="007115F7">
            <w:pPr>
              <w:tabs>
                <w:tab w:val="center" w:pos="4680"/>
              </w:tabs>
              <w:suppressAutoHyphens/>
              <w:rPr>
                <w:spacing w:val="-2"/>
              </w:rPr>
            </w:pPr>
            <w:r>
              <w:rPr>
                <w:spacing w:val="-2"/>
              </w:rPr>
              <w:t>Net One International</w:t>
            </w:r>
          </w:p>
          <w:p w:rsidR="00362C03" w:rsidRDefault="00362C03" w:rsidP="007115F7">
            <w:pPr>
              <w:tabs>
                <w:tab w:val="center" w:pos="4680"/>
              </w:tabs>
              <w:suppressAutoHyphens/>
              <w:rPr>
                <w:spacing w:val="-2"/>
              </w:rPr>
            </w:pPr>
            <w:r>
              <w:rPr>
                <w:spacing w:val="-2"/>
              </w:rPr>
              <w:t>Net One, LLC</w:t>
            </w:r>
          </w:p>
          <w:p w:rsidR="00362C03" w:rsidRDefault="00362C03" w:rsidP="007115F7">
            <w:pPr>
              <w:tabs>
                <w:tab w:val="center" w:pos="4680"/>
              </w:tabs>
              <w:suppressAutoHyphens/>
              <w:rPr>
                <w:spacing w:val="-2"/>
              </w:rPr>
            </w:pPr>
            <w:r>
              <w:rPr>
                <w:spacing w:val="-2"/>
              </w:rPr>
              <w:t>Farrahtel International, LLC</w:t>
            </w:r>
          </w:p>
          <w:p w:rsidR="00380C81" w:rsidRDefault="00380C81" w:rsidP="007115F7">
            <w:pPr>
              <w:tabs>
                <w:tab w:val="center" w:pos="4680"/>
              </w:tabs>
              <w:suppressAutoHyphens/>
              <w:rPr>
                <w:spacing w:val="-2"/>
              </w:rPr>
            </w:pPr>
          </w:p>
          <w:p w:rsidR="00501CF0" w:rsidRPr="007115F7" w:rsidRDefault="00501CF0" w:rsidP="007115F7">
            <w:pPr>
              <w:tabs>
                <w:tab w:val="center" w:pos="4680"/>
              </w:tabs>
              <w:suppressAutoHyphens/>
              <w:rPr>
                <w:spacing w:val="-2"/>
              </w:rPr>
            </w:pPr>
            <w:r w:rsidRPr="00E56157">
              <w:rPr>
                <w:szCs w:val="22"/>
              </w:rPr>
              <w:t>Apparent Liability for Forfeiture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62C03" w:rsidRDefault="00362C0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501CF0" w:rsidRPr="00D8686E" w:rsidRDefault="00A10519" w:rsidP="00501CF0">
            <w:pPr>
              <w:rPr>
                <w:spacing w:val="-2"/>
                <w:szCs w:val="22"/>
              </w:rPr>
            </w:pPr>
            <w:r>
              <w:rPr>
                <w:spacing w:val="-2"/>
                <w:szCs w:val="22"/>
              </w:rPr>
              <w:t>File No. EB-TCD-12-00000418</w:t>
            </w:r>
            <w:r>
              <w:rPr>
                <w:rStyle w:val="FootnoteReference"/>
                <w:spacing w:val="-2"/>
                <w:szCs w:val="22"/>
              </w:rPr>
              <w:footnoteReference w:id="2"/>
            </w:r>
          </w:p>
          <w:p w:rsidR="00501CF0" w:rsidRPr="00E56157" w:rsidRDefault="00501CF0" w:rsidP="00501CF0">
            <w:pPr>
              <w:rPr>
                <w:spacing w:val="-2"/>
                <w:szCs w:val="22"/>
              </w:rPr>
            </w:pPr>
          </w:p>
          <w:p w:rsidR="00501CF0" w:rsidRDefault="00501CF0" w:rsidP="00501CF0">
            <w:pPr>
              <w:rPr>
                <w:spacing w:val="-2"/>
                <w:szCs w:val="22"/>
              </w:rPr>
            </w:pPr>
            <w:r w:rsidRPr="00E56157">
              <w:rPr>
                <w:spacing w:val="-2"/>
                <w:szCs w:val="22"/>
              </w:rPr>
              <w:t>NAL/Acct. No</w:t>
            </w:r>
            <w:r w:rsidR="00380C81">
              <w:rPr>
                <w:spacing w:val="-2"/>
                <w:szCs w:val="22"/>
              </w:rPr>
              <w:t xml:space="preserve">. </w:t>
            </w:r>
            <w:r w:rsidR="00362C03">
              <w:rPr>
                <w:spacing w:val="-2"/>
                <w:szCs w:val="22"/>
              </w:rPr>
              <w:t>201232170002</w:t>
            </w:r>
          </w:p>
          <w:p w:rsidR="00501CF0" w:rsidRPr="00E56157" w:rsidRDefault="00501CF0" w:rsidP="00501CF0">
            <w:pPr>
              <w:rPr>
                <w:spacing w:val="-2"/>
                <w:szCs w:val="22"/>
              </w:rPr>
            </w:pPr>
          </w:p>
          <w:p w:rsidR="00501CF0" w:rsidRDefault="00EB4157" w:rsidP="00501CF0">
            <w:pPr>
              <w:rPr>
                <w:spacing w:val="-2"/>
                <w:szCs w:val="22"/>
              </w:rPr>
            </w:pPr>
            <w:r>
              <w:rPr>
                <w:spacing w:val="-2"/>
                <w:szCs w:val="22"/>
              </w:rPr>
              <w:t>FRN</w:t>
            </w:r>
            <w:r w:rsidR="006B1957">
              <w:rPr>
                <w:spacing w:val="-2"/>
                <w:szCs w:val="22"/>
              </w:rPr>
              <w:t xml:space="preserve">:  </w:t>
            </w:r>
            <w:r w:rsidR="00362C03">
              <w:rPr>
                <w:spacing w:val="-2"/>
                <w:szCs w:val="22"/>
              </w:rPr>
              <w:t>0004337556</w:t>
            </w:r>
          </w:p>
          <w:p w:rsidR="004C2EE3" w:rsidRDefault="004C2EE3">
            <w:pPr>
              <w:tabs>
                <w:tab w:val="center" w:pos="4680"/>
              </w:tabs>
              <w:suppressAutoHyphens/>
              <w:rPr>
                <w:spacing w:val="-2"/>
              </w:rPr>
            </w:pPr>
          </w:p>
        </w:tc>
      </w:tr>
    </w:tbl>
    <w:p w:rsidR="004C2EE3" w:rsidRDefault="004C2EE3" w:rsidP="0070224F"/>
    <w:p w:rsidR="00501CF0" w:rsidRDefault="00A76B85" w:rsidP="00501CF0">
      <w:pPr>
        <w:spacing w:before="120"/>
        <w:jc w:val="center"/>
        <w:rPr>
          <w:b/>
          <w:spacing w:val="-2"/>
          <w:szCs w:val="22"/>
        </w:rPr>
      </w:pPr>
      <w:r>
        <w:rPr>
          <w:b/>
          <w:spacing w:val="-2"/>
          <w:szCs w:val="22"/>
        </w:rPr>
        <w:t xml:space="preserve">ORDER OF </w:t>
      </w:r>
      <w:r w:rsidR="00501CF0">
        <w:rPr>
          <w:b/>
          <w:spacing w:val="-2"/>
          <w:szCs w:val="22"/>
        </w:rPr>
        <w:t>FORFEITURE</w:t>
      </w:r>
    </w:p>
    <w:p w:rsidR="00841AB1" w:rsidRDefault="00841AB1" w:rsidP="00F021FA">
      <w:pPr>
        <w:pStyle w:val="StyleBoldCentered"/>
      </w:pPr>
    </w:p>
    <w:p w:rsidR="004C2EE3" w:rsidRDefault="004C2EE3">
      <w:pPr>
        <w:tabs>
          <w:tab w:val="left" w:pos="-720"/>
        </w:tabs>
        <w:suppressAutoHyphens/>
        <w:spacing w:line="227" w:lineRule="auto"/>
        <w:rPr>
          <w:spacing w:val="-2"/>
        </w:rPr>
      </w:pPr>
    </w:p>
    <w:p w:rsidR="00501CF0" w:rsidRDefault="00501CF0" w:rsidP="00501CF0">
      <w:pPr>
        <w:tabs>
          <w:tab w:val="left" w:pos="5760"/>
        </w:tabs>
        <w:rPr>
          <w:b/>
        </w:rPr>
      </w:pPr>
      <w:r w:rsidRPr="006D771A">
        <w:rPr>
          <w:b/>
        </w:rPr>
        <w:t xml:space="preserve">Adopted: </w:t>
      </w:r>
      <w:r w:rsidR="00380C81">
        <w:rPr>
          <w:b/>
        </w:rPr>
        <w:t xml:space="preserve"> </w:t>
      </w:r>
      <w:r w:rsidR="003F2FF2">
        <w:rPr>
          <w:b/>
        </w:rPr>
        <w:t>January</w:t>
      </w:r>
      <w:r w:rsidR="003C0288">
        <w:rPr>
          <w:b/>
        </w:rPr>
        <w:t xml:space="preserve"> </w:t>
      </w:r>
      <w:r w:rsidR="00C4578C">
        <w:rPr>
          <w:b/>
        </w:rPr>
        <w:t>1</w:t>
      </w:r>
      <w:r w:rsidR="00146E47">
        <w:rPr>
          <w:b/>
        </w:rPr>
        <w:t>5</w:t>
      </w:r>
      <w:r w:rsidR="003C0288">
        <w:rPr>
          <w:b/>
        </w:rPr>
        <w:t>, 201</w:t>
      </w:r>
      <w:r w:rsidR="003F2FF2">
        <w:rPr>
          <w:b/>
        </w:rPr>
        <w:t>4</w:t>
      </w:r>
      <w:r w:rsidRPr="006D771A">
        <w:rPr>
          <w:b/>
        </w:rPr>
        <w:tab/>
        <w:t xml:space="preserve">            </w:t>
      </w:r>
      <w:r>
        <w:rPr>
          <w:b/>
        </w:rPr>
        <w:t xml:space="preserve">  </w:t>
      </w:r>
      <w:r w:rsidRPr="006D771A">
        <w:rPr>
          <w:b/>
        </w:rPr>
        <w:t xml:space="preserve">Released: </w:t>
      </w:r>
      <w:r w:rsidR="00380C81">
        <w:rPr>
          <w:b/>
        </w:rPr>
        <w:t xml:space="preserve"> </w:t>
      </w:r>
      <w:r w:rsidR="003F2FF2">
        <w:rPr>
          <w:b/>
        </w:rPr>
        <w:t>January</w:t>
      </w:r>
      <w:r w:rsidR="00C4578C">
        <w:rPr>
          <w:b/>
        </w:rPr>
        <w:t xml:space="preserve"> 1</w:t>
      </w:r>
      <w:r w:rsidR="00146E47">
        <w:rPr>
          <w:b/>
        </w:rPr>
        <w:t>5</w:t>
      </w:r>
      <w:r w:rsidR="003C0288">
        <w:rPr>
          <w:b/>
        </w:rPr>
        <w:t>, 201</w:t>
      </w:r>
      <w:r w:rsidR="003F2FF2">
        <w:rPr>
          <w:b/>
        </w:rPr>
        <w:t>4</w:t>
      </w:r>
    </w:p>
    <w:p w:rsidR="00501CF0" w:rsidRDefault="00501CF0" w:rsidP="00501CF0">
      <w:pPr>
        <w:tabs>
          <w:tab w:val="left" w:pos="5760"/>
          <w:tab w:val="left" w:pos="8160"/>
        </w:tabs>
        <w:rPr>
          <w:szCs w:val="22"/>
        </w:rPr>
      </w:pPr>
    </w:p>
    <w:p w:rsidR="00501CF0" w:rsidRDefault="00501CF0" w:rsidP="00501CF0">
      <w:pPr>
        <w:tabs>
          <w:tab w:val="left" w:pos="5760"/>
          <w:tab w:val="left" w:pos="8160"/>
        </w:tabs>
        <w:rPr>
          <w:szCs w:val="22"/>
        </w:rPr>
      </w:pPr>
    </w:p>
    <w:p w:rsidR="00501CF0" w:rsidRPr="00E56157" w:rsidRDefault="00501CF0" w:rsidP="00501CF0">
      <w:pPr>
        <w:tabs>
          <w:tab w:val="left" w:pos="5760"/>
          <w:tab w:val="left" w:pos="8160"/>
        </w:tabs>
        <w:rPr>
          <w:szCs w:val="22"/>
        </w:rPr>
      </w:pPr>
      <w:r>
        <w:rPr>
          <w:szCs w:val="22"/>
        </w:rPr>
        <w:t>B</w:t>
      </w:r>
      <w:r w:rsidRPr="00E56157">
        <w:rPr>
          <w:szCs w:val="22"/>
        </w:rPr>
        <w:t xml:space="preserve">y the </w:t>
      </w:r>
      <w:r w:rsidR="00C74628">
        <w:rPr>
          <w:szCs w:val="22"/>
        </w:rPr>
        <w:t xml:space="preserve">Acting </w:t>
      </w:r>
      <w:r w:rsidR="003F5855">
        <w:rPr>
          <w:szCs w:val="22"/>
        </w:rPr>
        <w:t xml:space="preserve">Deputy </w:t>
      </w:r>
      <w:r w:rsidR="00797BC9">
        <w:rPr>
          <w:szCs w:val="22"/>
        </w:rPr>
        <w:t>Chief, Enforcement Bureau</w:t>
      </w:r>
      <w:r w:rsidRPr="00E56157">
        <w:rPr>
          <w:szCs w:val="22"/>
        </w:rPr>
        <w:t>:</w:t>
      </w:r>
    </w:p>
    <w:p w:rsidR="004D0C50" w:rsidRPr="00E56157" w:rsidRDefault="004D0C50" w:rsidP="004D0C50">
      <w:pPr>
        <w:tabs>
          <w:tab w:val="left" w:pos="5760"/>
        </w:tabs>
        <w:rPr>
          <w:szCs w:val="22"/>
        </w:rPr>
      </w:pPr>
    </w:p>
    <w:p w:rsidR="004D0C50" w:rsidRPr="00150BCD" w:rsidRDefault="004D0C50" w:rsidP="00846ED7">
      <w:pPr>
        <w:pStyle w:val="Heading1"/>
      </w:pPr>
      <w:r w:rsidRPr="00150BCD">
        <w:t>INTRODUCTION</w:t>
      </w:r>
      <w:r w:rsidR="0043321A">
        <w:t xml:space="preserve"> </w:t>
      </w:r>
    </w:p>
    <w:p w:rsidR="00F17AF1" w:rsidRPr="004155EE" w:rsidRDefault="004D0C50" w:rsidP="000A0A13">
      <w:pPr>
        <w:pStyle w:val="ParaNum"/>
        <w:rPr>
          <w:szCs w:val="22"/>
        </w:rPr>
      </w:pPr>
      <w:r w:rsidRPr="00E56157">
        <w:t xml:space="preserve">In this </w:t>
      </w:r>
      <w:r w:rsidR="00370647">
        <w:t xml:space="preserve">Order of </w:t>
      </w:r>
      <w:r w:rsidRPr="00315F20">
        <w:t>Forfeiture</w:t>
      </w:r>
      <w:r>
        <w:t>,</w:t>
      </w:r>
      <w:r w:rsidR="003D35B0">
        <w:t xml:space="preserve"> </w:t>
      </w:r>
      <w:r w:rsidR="004155EE">
        <w:t xml:space="preserve">we affirm our findings in the December 9, 2011, </w:t>
      </w:r>
      <w:r w:rsidR="004155EE" w:rsidRPr="004155EE">
        <w:rPr>
          <w:i/>
        </w:rPr>
        <w:t>Notice of Apparent Liability</w:t>
      </w:r>
      <w:r w:rsidR="00146E47">
        <w:rPr>
          <w:i/>
        </w:rPr>
        <w:t xml:space="preserve"> for Forfeiture</w:t>
      </w:r>
      <w:r w:rsidR="004155EE">
        <w:t xml:space="preserve"> (</w:t>
      </w:r>
      <w:r w:rsidR="00EA5081">
        <w:rPr>
          <w:i/>
        </w:rPr>
        <w:t xml:space="preserve">NAL </w:t>
      </w:r>
      <w:r w:rsidR="00EA5081">
        <w:t xml:space="preserve">or </w:t>
      </w:r>
      <w:r w:rsidR="00451A11">
        <w:rPr>
          <w:i/>
        </w:rPr>
        <w:t xml:space="preserve">Net One </w:t>
      </w:r>
      <w:r w:rsidR="004155EE" w:rsidRPr="004155EE">
        <w:rPr>
          <w:i/>
        </w:rPr>
        <w:t>NAL</w:t>
      </w:r>
      <w:r w:rsidR="004155EE">
        <w:t>)</w:t>
      </w:r>
      <w:r w:rsidR="004155EE">
        <w:rPr>
          <w:rStyle w:val="FootnoteReference"/>
          <w:szCs w:val="22"/>
        </w:rPr>
        <w:footnoteReference w:id="3"/>
      </w:r>
      <w:r w:rsidR="004155EE">
        <w:t xml:space="preserve"> that Net One International, Net One, LLC, and Farrahtel International, LLC (collectively, Net One or the Company) </w:t>
      </w:r>
      <w:r w:rsidR="00541D36">
        <w:t xml:space="preserve">willfully or repeatedly failed to comply with a Commission order </w:t>
      </w:r>
      <w:r w:rsidR="006C6AAB">
        <w:t xml:space="preserve">issued by the </w:t>
      </w:r>
      <w:r w:rsidR="00513D17">
        <w:t>Enforcement Bureau (Bureau)</w:t>
      </w:r>
      <w:r w:rsidR="00771EB4">
        <w:rPr>
          <w:rStyle w:val="FootnoteReference"/>
        </w:rPr>
        <w:footnoteReference w:id="4"/>
      </w:r>
      <w:r w:rsidR="00541D36">
        <w:t xml:space="preserve"> to </w:t>
      </w:r>
      <w:r w:rsidR="00513D17">
        <w:t xml:space="preserve">produce certain information and documents relating to an investigation of Net One’s possible violations of </w:t>
      </w:r>
      <w:r w:rsidR="00541D36">
        <w:t xml:space="preserve">Section 201(b) of </w:t>
      </w:r>
      <w:r w:rsidR="00513D17">
        <w:t>the Communications Act of 1934</w:t>
      </w:r>
      <w:r w:rsidR="0094624A">
        <w:t>,</w:t>
      </w:r>
      <w:r w:rsidR="00513D17">
        <w:t xml:space="preserve"> as amended (Communications Act or Act).</w:t>
      </w:r>
      <w:r w:rsidR="007B1309">
        <w:rPr>
          <w:rStyle w:val="FootnoteReference"/>
        </w:rPr>
        <w:footnoteReference w:id="5"/>
      </w:r>
      <w:r w:rsidR="00734C1F">
        <w:t xml:space="preserve">  </w:t>
      </w:r>
      <w:r w:rsidR="004155EE">
        <w:rPr>
          <w:szCs w:val="22"/>
        </w:rPr>
        <w:t>Pursuant to Section 503(b)(1)(B) of the Act,</w:t>
      </w:r>
      <w:r w:rsidR="007B1309">
        <w:rPr>
          <w:rStyle w:val="FootnoteReference"/>
        </w:rPr>
        <w:footnoteReference w:id="6"/>
      </w:r>
      <w:r w:rsidR="004155EE">
        <w:rPr>
          <w:szCs w:val="22"/>
        </w:rPr>
        <w:t xml:space="preserve"> </w:t>
      </w:r>
      <w:r w:rsidR="00E6607D">
        <w:t xml:space="preserve">we assess the </w:t>
      </w:r>
      <w:r w:rsidR="004155EE">
        <w:t xml:space="preserve">monetary forfeiture proposed in the </w:t>
      </w:r>
      <w:r w:rsidR="00451A11">
        <w:rPr>
          <w:i/>
        </w:rPr>
        <w:t xml:space="preserve">Net One </w:t>
      </w:r>
      <w:r w:rsidR="004155EE">
        <w:rPr>
          <w:i/>
        </w:rPr>
        <w:t xml:space="preserve">NAL </w:t>
      </w:r>
      <w:r w:rsidR="004155EE">
        <w:t>of twenty-five thousand dollars ($25,000) against Net One.</w:t>
      </w:r>
    </w:p>
    <w:p w:rsidR="00B83FF4" w:rsidRDefault="00B83FF4" w:rsidP="00B83FF4">
      <w:pPr>
        <w:pStyle w:val="Heading1"/>
      </w:pPr>
      <w:r>
        <w:t>background</w:t>
      </w:r>
    </w:p>
    <w:p w:rsidR="000A36C5" w:rsidRDefault="007806EA" w:rsidP="000A0A13">
      <w:pPr>
        <w:pStyle w:val="ParaNum"/>
      </w:pPr>
      <w:r>
        <w:t>O</w:t>
      </w:r>
      <w:r w:rsidRPr="00E948E8">
        <w:t xml:space="preserve">n </w:t>
      </w:r>
      <w:r w:rsidR="00B12E98">
        <w:t>July 15, 2011</w:t>
      </w:r>
      <w:r>
        <w:t>, t</w:t>
      </w:r>
      <w:r w:rsidR="00CD0F54">
        <w:t xml:space="preserve">he </w:t>
      </w:r>
      <w:r w:rsidR="00952336" w:rsidRPr="00E948E8">
        <w:t>Bureau sent a</w:t>
      </w:r>
      <w:r w:rsidR="008C0F6F">
        <w:t xml:space="preserve"> letter of inquiry (</w:t>
      </w:r>
      <w:r w:rsidR="00952336" w:rsidRPr="00E948E8">
        <w:t>LOI</w:t>
      </w:r>
      <w:r w:rsidR="008C0F6F">
        <w:t>)</w:t>
      </w:r>
      <w:r w:rsidR="00952336" w:rsidRPr="00E948E8">
        <w:t xml:space="preserve"> to </w:t>
      </w:r>
      <w:r w:rsidR="0081256A">
        <w:t>Net One, ordering Net One to provide certain information and documents</w:t>
      </w:r>
      <w:r w:rsidR="00113441">
        <w:t xml:space="preserve"> related to its billing practices and its offering of prepaid telecommunications services</w:t>
      </w:r>
      <w:r w:rsidR="0081256A">
        <w:t>.</w:t>
      </w:r>
      <w:r w:rsidR="0081256A">
        <w:rPr>
          <w:rStyle w:val="FootnoteReference"/>
        </w:rPr>
        <w:footnoteReference w:id="7"/>
      </w:r>
      <w:r>
        <w:t xml:space="preserve"> </w:t>
      </w:r>
      <w:r w:rsidR="00AA65C7">
        <w:t xml:space="preserve"> The Bureau directed Net One to respond </w:t>
      </w:r>
      <w:r w:rsidR="008C0F6F">
        <w:t xml:space="preserve">to the LOI on or before August 4, </w:t>
      </w:r>
      <w:r w:rsidR="008C0F6F">
        <w:lastRenderedPageBreak/>
        <w:t>2011.</w:t>
      </w:r>
      <w:r w:rsidR="008E7AC8">
        <w:t xml:space="preserve">  </w:t>
      </w:r>
      <w:r w:rsidR="008E7AC8">
        <w:rPr>
          <w:szCs w:val="22"/>
        </w:rPr>
        <w:t>Net One received and signed for the LOI on July 19, 2011</w:t>
      </w:r>
      <w:r w:rsidR="004734F1">
        <w:rPr>
          <w:szCs w:val="22"/>
        </w:rPr>
        <w:t>,</w:t>
      </w:r>
      <w:r w:rsidR="008E7AC8">
        <w:rPr>
          <w:rStyle w:val="FootnoteReference"/>
          <w:szCs w:val="22"/>
        </w:rPr>
        <w:footnoteReference w:id="8"/>
      </w:r>
      <w:r w:rsidR="00945B81">
        <w:rPr>
          <w:szCs w:val="22"/>
        </w:rPr>
        <w:t xml:space="preserve"> </w:t>
      </w:r>
      <w:r w:rsidR="004734F1">
        <w:t xml:space="preserve">but </w:t>
      </w:r>
      <w:r w:rsidR="008C0F6F">
        <w:t xml:space="preserve">neither contacted the Bureau </w:t>
      </w:r>
      <w:r w:rsidR="00945B81">
        <w:t>n</w:t>
      </w:r>
      <w:r w:rsidR="008C0F6F">
        <w:t>or responded to the LOI by the filing deadline.</w:t>
      </w:r>
      <w:r w:rsidR="00F037C7">
        <w:t xml:space="preserve"> </w:t>
      </w:r>
      <w:r w:rsidR="008C0F6F">
        <w:t xml:space="preserve"> </w:t>
      </w:r>
      <w:r w:rsidR="00AA65C7">
        <w:t xml:space="preserve">On August 29, 2011, the Bureau </w:t>
      </w:r>
      <w:r w:rsidR="004734F1">
        <w:t xml:space="preserve">advised </w:t>
      </w:r>
      <w:r w:rsidR="00AA65C7">
        <w:t xml:space="preserve">Net One that the due date had passed and </w:t>
      </w:r>
      <w:r w:rsidR="004734F1">
        <w:t xml:space="preserve">again ordered the Company </w:t>
      </w:r>
      <w:r w:rsidR="00AA65C7">
        <w:t>to respond to the LOI.</w:t>
      </w:r>
      <w:r w:rsidR="00AA65C7">
        <w:rPr>
          <w:rStyle w:val="FootnoteReference"/>
        </w:rPr>
        <w:footnoteReference w:id="9"/>
      </w:r>
      <w:r w:rsidR="00AA65C7">
        <w:t xml:space="preserve">  </w:t>
      </w:r>
      <w:r w:rsidR="00C8426F">
        <w:t xml:space="preserve">Again, </w:t>
      </w:r>
      <w:r w:rsidR="00AA65C7">
        <w:t xml:space="preserve">Net One </w:t>
      </w:r>
      <w:r w:rsidR="00C8426F">
        <w:t xml:space="preserve">failed to </w:t>
      </w:r>
      <w:r w:rsidR="00AA65C7">
        <w:t>respond</w:t>
      </w:r>
      <w:r w:rsidR="00113441">
        <w:t xml:space="preserve">.  </w:t>
      </w:r>
      <w:r w:rsidR="00FC1076">
        <w:t xml:space="preserve">Thus, </w:t>
      </w:r>
      <w:r w:rsidR="00FC1076" w:rsidRPr="003F5855">
        <w:t xml:space="preserve">on </w:t>
      </w:r>
      <w:r w:rsidR="00AA65C7" w:rsidRPr="003F5855">
        <w:t>December 9, 2011</w:t>
      </w:r>
      <w:r w:rsidR="00113441" w:rsidRPr="003F5855">
        <w:t>,</w:t>
      </w:r>
      <w:r w:rsidR="00AA65C7" w:rsidRPr="003F5855">
        <w:t xml:space="preserve"> the Bureau released the </w:t>
      </w:r>
      <w:r w:rsidR="00AA65C7" w:rsidRPr="003F5855">
        <w:rPr>
          <w:i/>
        </w:rPr>
        <w:t>Net One NAL</w:t>
      </w:r>
      <w:r w:rsidR="00FC1076" w:rsidRPr="003F5855">
        <w:t>, proposing</w:t>
      </w:r>
      <w:r w:rsidR="00FC1076">
        <w:t xml:space="preserve"> </w:t>
      </w:r>
      <w:r w:rsidR="00711BB7">
        <w:t xml:space="preserve">a forfeiture of $25,000 </w:t>
      </w:r>
      <w:r w:rsidR="00FC1076">
        <w:t>for</w:t>
      </w:r>
      <w:r w:rsidR="00711BB7">
        <w:t xml:space="preserve"> Net One’s failure to respond to the LOI</w:t>
      </w:r>
      <w:r w:rsidR="00FC1076">
        <w:t>,</w:t>
      </w:r>
      <w:r w:rsidR="00711BB7">
        <w:t xml:space="preserve"> and </w:t>
      </w:r>
      <w:r w:rsidR="00FC1076">
        <w:t xml:space="preserve">again ordering the Company </w:t>
      </w:r>
      <w:r w:rsidR="00711BB7">
        <w:t xml:space="preserve">to </w:t>
      </w:r>
      <w:r w:rsidR="00FC1076">
        <w:t>produce the documents and information requested, this time by</w:t>
      </w:r>
      <w:r w:rsidR="00711BB7">
        <w:t xml:space="preserve"> </w:t>
      </w:r>
      <w:r w:rsidR="00EA5081">
        <w:t xml:space="preserve">no later than </w:t>
      </w:r>
      <w:r w:rsidR="00337E3B">
        <w:t>December 19, 2011</w:t>
      </w:r>
      <w:r w:rsidR="00711BB7">
        <w:t>.</w:t>
      </w:r>
      <w:r w:rsidR="00337E3B">
        <w:t xml:space="preserve">  </w:t>
      </w:r>
    </w:p>
    <w:p w:rsidR="000A36C5" w:rsidRDefault="00337E3B" w:rsidP="000A0A13">
      <w:pPr>
        <w:pStyle w:val="ParaNum"/>
      </w:pPr>
      <w:r>
        <w:t xml:space="preserve">Net One </w:t>
      </w:r>
      <w:r w:rsidR="00FE7566">
        <w:t xml:space="preserve">contacted the Bureau </w:t>
      </w:r>
      <w:r w:rsidR="00A54193">
        <w:t>on the December 19</w:t>
      </w:r>
      <w:r w:rsidR="00A54193" w:rsidRPr="00FE7566">
        <w:rPr>
          <w:vertAlign w:val="superscript"/>
        </w:rPr>
        <w:t>th</w:t>
      </w:r>
      <w:r w:rsidR="00A54193">
        <w:t xml:space="preserve"> deadline </w:t>
      </w:r>
      <w:r w:rsidR="00FE7566">
        <w:t xml:space="preserve">and requested an extension of time </w:t>
      </w:r>
      <w:r w:rsidR="00057EA0">
        <w:t>until December 23</w:t>
      </w:r>
      <w:r w:rsidR="00057EA0" w:rsidRPr="00057EA0">
        <w:rPr>
          <w:vertAlign w:val="superscript"/>
        </w:rPr>
        <w:t>rd</w:t>
      </w:r>
      <w:r w:rsidR="00057EA0">
        <w:t xml:space="preserve"> </w:t>
      </w:r>
      <w:r w:rsidR="00FE7566">
        <w:t>to file</w:t>
      </w:r>
      <w:r w:rsidR="00057EA0">
        <w:t xml:space="preserve"> its response</w:t>
      </w:r>
      <w:r w:rsidR="00FE7566">
        <w:t>.</w:t>
      </w:r>
      <w:r w:rsidR="00FE7566">
        <w:rPr>
          <w:rStyle w:val="FootnoteReference"/>
        </w:rPr>
        <w:footnoteReference w:id="10"/>
      </w:r>
      <w:r w:rsidR="00FE7566">
        <w:t xml:space="preserve">  The Bureau granted Net One’s request.</w:t>
      </w:r>
      <w:r w:rsidR="00FE7566">
        <w:rPr>
          <w:rStyle w:val="FootnoteReference"/>
        </w:rPr>
        <w:footnoteReference w:id="11"/>
      </w:r>
      <w:r w:rsidR="000A36C5">
        <w:t xml:space="preserve">  O</w:t>
      </w:r>
      <w:r w:rsidR="00785F04">
        <w:t xml:space="preserve">n </w:t>
      </w:r>
      <w:r w:rsidR="006B1FA4">
        <w:t>December 22, 2011</w:t>
      </w:r>
      <w:r w:rsidR="000A36C5">
        <w:t>,</w:t>
      </w:r>
      <w:r w:rsidR="006B1FA4">
        <w:t xml:space="preserve"> Net One </w:t>
      </w:r>
      <w:r w:rsidR="00FE7566">
        <w:t xml:space="preserve">filed </w:t>
      </w:r>
      <w:r w:rsidR="003652B0">
        <w:t xml:space="preserve">a </w:t>
      </w:r>
      <w:r w:rsidR="006B1FA4">
        <w:t>response to the LOI.</w:t>
      </w:r>
      <w:r w:rsidR="00333164">
        <w:rPr>
          <w:rStyle w:val="FootnoteReference"/>
        </w:rPr>
        <w:footnoteReference w:id="12"/>
      </w:r>
      <w:r w:rsidR="006B1FA4">
        <w:t xml:space="preserve">  </w:t>
      </w:r>
      <w:r w:rsidR="00333164">
        <w:t xml:space="preserve">The Bureau advised Net One that </w:t>
      </w:r>
      <w:r w:rsidR="00630C5E">
        <w:t xml:space="preserve">its </w:t>
      </w:r>
      <w:r w:rsidR="00333164">
        <w:t>LOI response was incomplete</w:t>
      </w:r>
      <w:r w:rsidR="00630C5E">
        <w:t>,</w:t>
      </w:r>
      <w:r w:rsidR="00333164">
        <w:t xml:space="preserve"> and </w:t>
      </w:r>
      <w:r w:rsidR="00630C5E">
        <w:t xml:space="preserve">again </w:t>
      </w:r>
      <w:r w:rsidR="00FC1076">
        <w:t xml:space="preserve">ordered the Company </w:t>
      </w:r>
      <w:r w:rsidR="00333164">
        <w:t>to fully respond.</w:t>
      </w:r>
      <w:r w:rsidR="00333164">
        <w:rPr>
          <w:rStyle w:val="FootnoteReference"/>
        </w:rPr>
        <w:footnoteReference w:id="13"/>
      </w:r>
      <w:r w:rsidR="00C26663">
        <w:t xml:space="preserve">  </w:t>
      </w:r>
      <w:r w:rsidR="006B1FA4">
        <w:t xml:space="preserve">On </w:t>
      </w:r>
      <w:r w:rsidR="00785F04">
        <w:t xml:space="preserve">January 20, 2012, </w:t>
      </w:r>
      <w:r w:rsidR="00BE1157">
        <w:t xml:space="preserve">Net One </w:t>
      </w:r>
      <w:r w:rsidR="00785F04">
        <w:t>submitted</w:t>
      </w:r>
      <w:r w:rsidR="00BE1157">
        <w:t xml:space="preserve"> a </w:t>
      </w:r>
      <w:r w:rsidR="006B1FA4">
        <w:t xml:space="preserve">supplemental </w:t>
      </w:r>
      <w:r w:rsidR="00BE1157">
        <w:t>response to the LOI</w:t>
      </w:r>
      <w:r w:rsidR="00367A5E">
        <w:rPr>
          <w:rStyle w:val="FootnoteReference"/>
        </w:rPr>
        <w:footnoteReference w:id="14"/>
      </w:r>
      <w:r w:rsidR="00BE1157">
        <w:t xml:space="preserve"> as well as a response to the </w:t>
      </w:r>
      <w:r w:rsidR="00BE1157" w:rsidRPr="000A36C5">
        <w:rPr>
          <w:i/>
        </w:rPr>
        <w:t>Net One NAL.</w:t>
      </w:r>
      <w:r w:rsidR="00785F04" w:rsidRPr="00502A8B">
        <w:rPr>
          <w:rStyle w:val="FootnoteReference"/>
        </w:rPr>
        <w:footnoteReference w:id="15"/>
      </w:r>
      <w:r w:rsidR="00D45423">
        <w:rPr>
          <w:i/>
        </w:rPr>
        <w:t xml:space="preserve">  </w:t>
      </w:r>
      <w:r w:rsidR="00D45423">
        <w:t>In its filing, Net One asserted that it had “remitted the remaining information” responsive to the LOI</w:t>
      </w:r>
      <w:r w:rsidR="00F037C7">
        <w:t>, in accordance with</w:t>
      </w:r>
      <w:r w:rsidR="00D45423">
        <w:t xml:space="preserve"> the latest extension of time.</w:t>
      </w:r>
      <w:r w:rsidR="00D45423">
        <w:rPr>
          <w:rStyle w:val="FootnoteReference"/>
        </w:rPr>
        <w:footnoteReference w:id="16"/>
      </w:r>
      <w:r w:rsidR="00D45423">
        <w:t xml:space="preserve"> </w:t>
      </w:r>
      <w:r w:rsidR="00502A8B">
        <w:t xml:space="preserve"> </w:t>
      </w:r>
    </w:p>
    <w:p w:rsidR="000A36C5" w:rsidRDefault="00FC1076" w:rsidP="000A0A13">
      <w:pPr>
        <w:pStyle w:val="ParaNum"/>
      </w:pPr>
      <w:r>
        <w:t xml:space="preserve">In fact, </w:t>
      </w:r>
      <w:r w:rsidR="00630C5E">
        <w:t xml:space="preserve">however, </w:t>
      </w:r>
      <w:r>
        <w:t>Net</w:t>
      </w:r>
      <w:r w:rsidR="0014555E">
        <w:t xml:space="preserve"> </w:t>
      </w:r>
      <w:r>
        <w:t>One</w:t>
      </w:r>
      <w:r w:rsidR="00630C5E">
        <w:t xml:space="preserve"> still had not produced all documents and information requested in the LOI</w:t>
      </w:r>
      <w:r w:rsidR="00F037C7">
        <w:t>.</w:t>
      </w:r>
      <w:r w:rsidR="00630C5E">
        <w:t xml:space="preserve">  </w:t>
      </w:r>
      <w:r>
        <w:t xml:space="preserve">Bureau staff pointed </w:t>
      </w:r>
      <w:r w:rsidR="008B1481">
        <w:t xml:space="preserve">out the deficiencies </w:t>
      </w:r>
      <w:r w:rsidR="00630C5E">
        <w:t>to Net</w:t>
      </w:r>
      <w:r w:rsidR="0014555E">
        <w:t xml:space="preserve"> </w:t>
      </w:r>
      <w:r w:rsidR="00630C5E">
        <w:t xml:space="preserve">One </w:t>
      </w:r>
      <w:r w:rsidR="008B1481">
        <w:t xml:space="preserve">and </w:t>
      </w:r>
      <w:r w:rsidR="00630C5E">
        <w:t xml:space="preserve">again </w:t>
      </w:r>
      <w:r w:rsidR="008B1481">
        <w:t xml:space="preserve">directed the Company to provide </w:t>
      </w:r>
      <w:r w:rsidR="00630C5E">
        <w:t xml:space="preserve">a </w:t>
      </w:r>
      <w:r w:rsidR="008B1481">
        <w:t>complete response.</w:t>
      </w:r>
      <w:r w:rsidR="008B1481">
        <w:rPr>
          <w:rStyle w:val="FootnoteReference"/>
        </w:rPr>
        <w:footnoteReference w:id="17"/>
      </w:r>
      <w:r w:rsidR="008B1481">
        <w:t xml:space="preserve">  On April 19, 2012, Net One provided a further supplemental response.  </w:t>
      </w:r>
      <w:r w:rsidR="00630C5E">
        <w:t>Again, Net</w:t>
      </w:r>
      <w:r w:rsidR="0014555E">
        <w:t xml:space="preserve"> </w:t>
      </w:r>
      <w:r w:rsidR="00630C5E">
        <w:t>One failed to produce all documents and information required by the LOI; f</w:t>
      </w:r>
      <w:r w:rsidR="008B1481">
        <w:t>or example, the Company failed to provide a list of customer complaints, the number of customers billed each month, a detailed description of how the Company verifies disputed billing, and copies of all complaints submitted during the time period requested in the LOI.</w:t>
      </w:r>
      <w:r w:rsidR="008B1481">
        <w:rPr>
          <w:rStyle w:val="FootnoteReference"/>
        </w:rPr>
        <w:footnoteReference w:id="18"/>
      </w:r>
      <w:r w:rsidR="008E471F">
        <w:t xml:space="preserve">  </w:t>
      </w:r>
      <w:r w:rsidR="00E6607D">
        <w:t>The Company has yet to provide a complete response to the Bureau’s LOI.</w:t>
      </w:r>
    </w:p>
    <w:p w:rsidR="008B1481" w:rsidRDefault="00630C5E" w:rsidP="000A0A13">
      <w:pPr>
        <w:pStyle w:val="ParaNum"/>
      </w:pPr>
      <w:r>
        <w:t>In</w:t>
      </w:r>
      <w:r w:rsidR="000A36C5">
        <w:t xml:space="preserve"> </w:t>
      </w:r>
      <w:r w:rsidR="00E53F47">
        <w:t xml:space="preserve">response to the </w:t>
      </w:r>
      <w:r w:rsidR="00E53F47" w:rsidRPr="000A36C5">
        <w:rPr>
          <w:i/>
        </w:rPr>
        <w:t>NAL</w:t>
      </w:r>
      <w:r w:rsidR="00E53F47">
        <w:t xml:space="preserve">, Net One </w:t>
      </w:r>
      <w:r w:rsidR="000A36C5">
        <w:t>admits that it failed to timely respond to the Bureau</w:t>
      </w:r>
      <w:r w:rsidR="009E3F46">
        <w:t>’</w:t>
      </w:r>
      <w:r w:rsidR="000A36C5">
        <w:t>s LOI.</w:t>
      </w:r>
      <w:r w:rsidR="000A36C5">
        <w:rPr>
          <w:rStyle w:val="FootnoteReference"/>
        </w:rPr>
        <w:footnoteReference w:id="19"/>
      </w:r>
      <w:r w:rsidR="000A36C5">
        <w:t xml:space="preserve">  </w:t>
      </w:r>
      <w:r w:rsidR="001E6628">
        <w:t>Net One argues that it “is a small company that is struggling to survive and has limited resources in terms of personnel</w:t>
      </w:r>
      <w:r w:rsidR="00246374">
        <w:t>.</w:t>
      </w:r>
      <w:r w:rsidR="001E6628">
        <w:t>”</w:t>
      </w:r>
      <w:r w:rsidR="00246374">
        <w:rPr>
          <w:rStyle w:val="FootnoteReference"/>
        </w:rPr>
        <w:footnoteReference w:id="20"/>
      </w:r>
      <w:r w:rsidR="001E6628">
        <w:t xml:space="preserve"> </w:t>
      </w:r>
      <w:r w:rsidR="00246374">
        <w:t xml:space="preserve"> The </w:t>
      </w:r>
      <w:r w:rsidR="00605FDB">
        <w:t>C</w:t>
      </w:r>
      <w:r w:rsidR="00246374">
        <w:t>ompany a</w:t>
      </w:r>
      <w:r w:rsidR="001E6628">
        <w:t>cknowledges that it had “obtained several extensions of time in which to produce the relevant materials.”</w:t>
      </w:r>
      <w:r w:rsidR="00CC40ED">
        <w:rPr>
          <w:rStyle w:val="FootnoteReference"/>
        </w:rPr>
        <w:footnoteReference w:id="21"/>
      </w:r>
      <w:r w:rsidR="001E6628">
        <w:t xml:space="preserve">  </w:t>
      </w:r>
      <w:r w:rsidR="00D45423">
        <w:t>It c</w:t>
      </w:r>
      <w:r w:rsidR="00F037C7">
        <w:t>haracterizes</w:t>
      </w:r>
      <w:r w:rsidR="00D45423">
        <w:t xml:space="preserve"> its failure to respond as “an inadvertent oversight</w:t>
      </w:r>
      <w:r w:rsidR="00701ABA">
        <w:t>.</w:t>
      </w:r>
      <w:r w:rsidR="00D45423">
        <w:t>”</w:t>
      </w:r>
      <w:r w:rsidR="00563796">
        <w:rPr>
          <w:rStyle w:val="FootnoteReference"/>
        </w:rPr>
        <w:footnoteReference w:id="22"/>
      </w:r>
      <w:r w:rsidR="00D45423">
        <w:t xml:space="preserve"> </w:t>
      </w:r>
      <w:r w:rsidR="00701ABA">
        <w:t xml:space="preserve"> Net One contends </w:t>
      </w:r>
      <w:r w:rsidR="00D45423">
        <w:t xml:space="preserve">that the </w:t>
      </w:r>
      <w:r w:rsidR="00701ABA">
        <w:t xml:space="preserve">Bureau’s </w:t>
      </w:r>
      <w:r w:rsidR="00D45423">
        <w:t>LOI was “inadvertently misdirected and not acted upon” as a result of “turnover of a key executive at Net One and an internal process that ulti</w:t>
      </w:r>
      <w:r w:rsidR="00701ABA">
        <w:t>mately has proven flawed.</w:t>
      </w:r>
      <w:r w:rsidR="00D45423">
        <w:t>”</w:t>
      </w:r>
      <w:r w:rsidR="00D45423">
        <w:rPr>
          <w:rStyle w:val="FootnoteReference"/>
        </w:rPr>
        <w:footnoteReference w:id="23"/>
      </w:r>
      <w:r w:rsidR="00D45423">
        <w:t xml:space="preserve">  </w:t>
      </w:r>
      <w:r w:rsidR="00367A5E">
        <w:t>Net One request</w:t>
      </w:r>
      <w:r w:rsidR="008B1481">
        <w:t>s</w:t>
      </w:r>
      <w:r w:rsidR="00367A5E">
        <w:t xml:space="preserve"> that the </w:t>
      </w:r>
      <w:r w:rsidR="00367A5E" w:rsidRPr="000A36C5">
        <w:rPr>
          <w:i/>
        </w:rPr>
        <w:t>NAL</w:t>
      </w:r>
      <w:r w:rsidR="00367A5E">
        <w:t xml:space="preserve"> </w:t>
      </w:r>
      <w:r w:rsidR="00BE6C9C">
        <w:t>“</w:t>
      </w:r>
      <w:r w:rsidR="00367A5E">
        <w:t>be cancelled or otherwise reduced.</w:t>
      </w:r>
      <w:r w:rsidR="00BE6C9C">
        <w:t>”</w:t>
      </w:r>
      <w:r w:rsidR="00367A5E">
        <w:rPr>
          <w:rStyle w:val="FootnoteReference"/>
        </w:rPr>
        <w:footnoteReference w:id="24"/>
      </w:r>
      <w:r w:rsidR="002444D7" w:rsidRPr="002444D7">
        <w:t xml:space="preserve"> </w:t>
      </w:r>
      <w:r w:rsidR="007663EC">
        <w:t xml:space="preserve"> </w:t>
      </w:r>
    </w:p>
    <w:p w:rsidR="00F536D1" w:rsidRDefault="00821D1A" w:rsidP="00821D1A">
      <w:pPr>
        <w:pStyle w:val="Heading1"/>
      </w:pPr>
      <w:r>
        <w:t>discussion</w:t>
      </w:r>
    </w:p>
    <w:p w:rsidR="00146E47" w:rsidRPr="00146E47" w:rsidRDefault="00643E4B" w:rsidP="000A0A13">
      <w:pPr>
        <w:pStyle w:val="ParaNum"/>
        <w:rPr>
          <w:sz w:val="20"/>
        </w:rPr>
      </w:pPr>
      <w:r w:rsidRPr="00055BDB">
        <w:rPr>
          <w:szCs w:val="22"/>
        </w:rPr>
        <w:t>Section 503(b)(1)</w:t>
      </w:r>
      <w:r w:rsidR="005B5BD3" w:rsidRPr="00055BDB">
        <w:rPr>
          <w:szCs w:val="22"/>
        </w:rPr>
        <w:t>(B)</w:t>
      </w:r>
      <w:r w:rsidRPr="00055BDB">
        <w:rPr>
          <w:szCs w:val="22"/>
        </w:rPr>
        <w:t xml:space="preserve"> of the Act provides that any person who willfully or repeatedly fails to comply with any provision of the Act or any rule, regulation, or order issued by the Commission, shall be liable to the United States for a forfeiture penalty.</w:t>
      </w:r>
      <w:r w:rsidRPr="00A93B01">
        <w:rPr>
          <w:rStyle w:val="FootnoteReference"/>
          <w:color w:val="000000"/>
          <w:szCs w:val="22"/>
        </w:rPr>
        <w:footnoteReference w:id="25"/>
      </w:r>
      <w:r w:rsidRPr="00055BDB">
        <w:rPr>
          <w:szCs w:val="22"/>
        </w:rPr>
        <w:t xml:space="preserve">  </w:t>
      </w:r>
      <w:r w:rsidR="00B514B8">
        <w:rPr>
          <w:szCs w:val="22"/>
        </w:rPr>
        <w:t xml:space="preserve">At the time of the subject violation, </w:t>
      </w:r>
      <w:r w:rsidR="00107BCF" w:rsidRPr="00055BDB">
        <w:rPr>
          <w:color w:val="000000"/>
          <w:szCs w:val="22"/>
        </w:rPr>
        <w:t>Section 503(b)(2)(B) of the A</w:t>
      </w:r>
      <w:r w:rsidR="00107BCF" w:rsidRPr="00273A69">
        <w:rPr>
          <w:color w:val="000000"/>
          <w:szCs w:val="22"/>
        </w:rPr>
        <w:t>ct authorize</w:t>
      </w:r>
      <w:r w:rsidR="00273A69">
        <w:rPr>
          <w:color w:val="000000"/>
          <w:szCs w:val="22"/>
        </w:rPr>
        <w:t>d</w:t>
      </w:r>
      <w:r w:rsidR="00107BCF" w:rsidRPr="00055BDB">
        <w:rPr>
          <w:color w:val="000000"/>
          <w:szCs w:val="22"/>
        </w:rPr>
        <w:t xml:space="preserve"> the Commission to assess a forfeiture of up to $150,000 for each violation, or each day of a continuing violation, up to a statu</w:t>
      </w:r>
      <w:r w:rsidR="00107BCF" w:rsidRPr="00273A69">
        <w:rPr>
          <w:color w:val="000000"/>
          <w:szCs w:val="22"/>
        </w:rPr>
        <w:t xml:space="preserve">tory </w:t>
      </w:r>
      <w:r w:rsidR="00107BCF" w:rsidRPr="00055BDB">
        <w:rPr>
          <w:color w:val="000000"/>
          <w:szCs w:val="22"/>
        </w:rPr>
        <w:t>maximum of $1,500,000 for a single act or failure to act</w:t>
      </w:r>
      <w:r w:rsidR="005B5BD3" w:rsidRPr="00055BDB">
        <w:rPr>
          <w:color w:val="000000"/>
          <w:szCs w:val="22"/>
        </w:rPr>
        <w:t>,</w:t>
      </w:r>
      <w:r w:rsidR="00107BCF" w:rsidRPr="00055BDB">
        <w:rPr>
          <w:color w:val="000000"/>
          <w:szCs w:val="22"/>
        </w:rPr>
        <w:t xml:space="preserve"> by common carriers.</w:t>
      </w:r>
      <w:r w:rsidR="00107BCF" w:rsidRPr="00D43255">
        <w:rPr>
          <w:rStyle w:val="FootnoteReference"/>
          <w:color w:val="000000"/>
          <w:szCs w:val="22"/>
        </w:rPr>
        <w:footnoteReference w:id="26"/>
      </w:r>
      <w:r w:rsidR="00107BCF" w:rsidRPr="00055BDB">
        <w:rPr>
          <w:color w:val="000000"/>
          <w:szCs w:val="22"/>
        </w:rPr>
        <w:t xml:space="preserve">  In determining the amount of the proposed forfeiture, we </w:t>
      </w:r>
      <w:r w:rsidR="005E6B9D" w:rsidRPr="00055BDB">
        <w:rPr>
          <w:color w:val="000000"/>
          <w:szCs w:val="22"/>
        </w:rPr>
        <w:t xml:space="preserve">must </w:t>
      </w:r>
      <w:r w:rsidR="00107BCF" w:rsidRPr="00055BDB">
        <w:rPr>
          <w:color w:val="000000"/>
          <w:szCs w:val="22"/>
        </w:rPr>
        <w:t>consid</w:t>
      </w:r>
      <w:r w:rsidR="006E062A" w:rsidRPr="00055BDB">
        <w:rPr>
          <w:color w:val="000000"/>
          <w:szCs w:val="22"/>
        </w:rPr>
        <w:t>er the factors enumerated in S</w:t>
      </w:r>
      <w:r w:rsidR="00107BCF" w:rsidRPr="00055BDB">
        <w:rPr>
          <w:color w:val="000000"/>
          <w:szCs w:val="22"/>
        </w:rPr>
        <w:t>ection 503(b)(2)(E) of the Act</w:t>
      </w:r>
      <w:r w:rsidR="005B5BD3" w:rsidRPr="00055BDB">
        <w:rPr>
          <w:color w:val="000000"/>
          <w:szCs w:val="22"/>
        </w:rPr>
        <w:t>:</w:t>
      </w:r>
      <w:r w:rsidR="009B6F63" w:rsidRPr="00055BDB">
        <w:rPr>
          <w:color w:val="000000"/>
          <w:szCs w:val="22"/>
        </w:rPr>
        <w:t xml:space="preserve">  </w:t>
      </w:r>
      <w:r w:rsidR="00107BCF" w:rsidRPr="00055BDB">
        <w:rPr>
          <w:color w:val="000000"/>
          <w:szCs w:val="22"/>
        </w:rPr>
        <w:t>“the nature, circumstances, extent and gravity of the violation, and, with respect to the violator, the degree of culpability, any history of prior offenses, ability to pay, and such other matters as justice may require.”</w:t>
      </w:r>
      <w:r w:rsidR="00107BCF" w:rsidRPr="00D43255">
        <w:rPr>
          <w:rStyle w:val="FootnoteReference"/>
          <w:szCs w:val="22"/>
        </w:rPr>
        <w:footnoteReference w:id="27"/>
      </w:r>
      <w:r w:rsidR="000A5D15" w:rsidRPr="000A5D15">
        <w:t xml:space="preserve"> </w:t>
      </w:r>
      <w:r w:rsidR="0070546F">
        <w:t xml:space="preserve"> </w:t>
      </w:r>
      <w:r w:rsidR="008E278B" w:rsidRPr="00055BDB">
        <w:rPr>
          <w:szCs w:val="22"/>
        </w:rPr>
        <w:t>Our forfeiture guidelines set forth the base amount for penalties for certain kinds of violations, and identify criteria, consistent with the Section 503(b)(2)(E) factors, that may influence whether we adjust the base amount downward or upward.</w:t>
      </w:r>
      <w:r w:rsidR="009B6F63" w:rsidRPr="00055BDB">
        <w:rPr>
          <w:rStyle w:val="FootnoteReference"/>
          <w:szCs w:val="22"/>
        </w:rPr>
        <w:t xml:space="preserve"> </w:t>
      </w:r>
      <w:r w:rsidR="009B6F63" w:rsidRPr="00A93B01">
        <w:rPr>
          <w:rStyle w:val="FootnoteReference"/>
          <w:szCs w:val="22"/>
        </w:rPr>
        <w:footnoteReference w:id="28"/>
      </w:r>
      <w:r w:rsidR="009B6F63" w:rsidRPr="00055BDB">
        <w:rPr>
          <w:szCs w:val="22"/>
        </w:rPr>
        <w:t xml:space="preserve">  </w:t>
      </w:r>
      <w:r w:rsidR="008E278B" w:rsidRPr="00055BDB">
        <w:rPr>
          <w:szCs w:val="22"/>
        </w:rPr>
        <w:t xml:space="preserve">For example, we may adjust a penalty upward </w:t>
      </w:r>
      <w:r w:rsidR="00024081">
        <w:rPr>
          <w:szCs w:val="22"/>
        </w:rPr>
        <w:t>if it is</w:t>
      </w:r>
      <w:r w:rsidR="008E278B" w:rsidRPr="00055BDB">
        <w:rPr>
          <w:szCs w:val="22"/>
        </w:rPr>
        <w:t xml:space="preserve"> “[e]gregious misconduct,” </w:t>
      </w:r>
      <w:r w:rsidR="004D1989">
        <w:rPr>
          <w:szCs w:val="22"/>
        </w:rPr>
        <w:t>involves</w:t>
      </w:r>
      <w:r w:rsidR="00024081">
        <w:rPr>
          <w:szCs w:val="22"/>
        </w:rPr>
        <w:t xml:space="preserve"> </w:t>
      </w:r>
      <w:r w:rsidR="008E278B" w:rsidRPr="00055BDB">
        <w:rPr>
          <w:szCs w:val="22"/>
        </w:rPr>
        <w:t>an “[i]ntentional violation,” or</w:t>
      </w:r>
      <w:r w:rsidR="004D1989">
        <w:rPr>
          <w:szCs w:val="22"/>
        </w:rPr>
        <w:t xml:space="preserve"> </w:t>
      </w:r>
      <w:r w:rsidR="00184C6C">
        <w:rPr>
          <w:szCs w:val="22"/>
        </w:rPr>
        <w:t xml:space="preserve">involves </w:t>
      </w:r>
      <w:r w:rsidR="004D1989">
        <w:rPr>
          <w:szCs w:val="22"/>
        </w:rPr>
        <w:t>“</w:t>
      </w:r>
      <w:r w:rsidR="005B5BD3" w:rsidRPr="004D1989">
        <w:rPr>
          <w:szCs w:val="22"/>
        </w:rPr>
        <w:t>[r]epeated or continuous violation[s]</w:t>
      </w:r>
      <w:r w:rsidR="008E278B" w:rsidRPr="004D1989">
        <w:rPr>
          <w:szCs w:val="22"/>
        </w:rPr>
        <w:t>.”</w:t>
      </w:r>
      <w:r w:rsidR="009B6F63">
        <w:rPr>
          <w:rStyle w:val="FootnoteReference"/>
          <w:szCs w:val="22"/>
        </w:rPr>
        <w:footnoteReference w:id="29"/>
      </w:r>
      <w:r w:rsidR="00186597" w:rsidRPr="00055BDB">
        <w:rPr>
          <w:szCs w:val="22"/>
        </w:rPr>
        <w:t xml:space="preserve">  </w:t>
      </w:r>
    </w:p>
    <w:p w:rsidR="00F23AF3" w:rsidRPr="00055BDB" w:rsidRDefault="00824586" w:rsidP="000A0A13">
      <w:pPr>
        <w:pStyle w:val="ParaNum"/>
        <w:rPr>
          <w:sz w:val="20"/>
        </w:rPr>
      </w:pPr>
      <w:r w:rsidRPr="00AE1B43">
        <w:t>Net One</w:t>
      </w:r>
      <w:r w:rsidR="00107BCF" w:rsidRPr="00AE1B43">
        <w:t xml:space="preserve"> has failed to persuade us that there is any basis for canceling or reducing the amount of the forfeiture. </w:t>
      </w:r>
      <w:r w:rsidR="0032601D">
        <w:t xml:space="preserve"> </w:t>
      </w:r>
      <w:r w:rsidR="00CF2890">
        <w:t xml:space="preserve">The Company’s claim that its failure to respond to the LOI was “inadvertent,” and a result of a “flawed process” and personnel changes, is </w:t>
      </w:r>
      <w:r w:rsidR="00746C03">
        <w:t xml:space="preserve">simply not credible given </w:t>
      </w:r>
      <w:r w:rsidR="005B5BD3">
        <w:t xml:space="preserve">the facts.  </w:t>
      </w:r>
      <w:r w:rsidR="009146DE">
        <w:t>If Net</w:t>
      </w:r>
      <w:r w:rsidR="0014555E">
        <w:t xml:space="preserve"> </w:t>
      </w:r>
      <w:r w:rsidR="009146DE">
        <w:t xml:space="preserve">One’s failure to respond to the LOI had been </w:t>
      </w:r>
      <w:r w:rsidR="00746C03">
        <w:t>a genuine mistake</w:t>
      </w:r>
      <w:r w:rsidR="009146DE">
        <w:t>, one would have expected</w:t>
      </w:r>
      <w:r w:rsidR="00746C03">
        <w:t xml:space="preserve">, for example, </w:t>
      </w:r>
      <w:r w:rsidR="009146DE">
        <w:t>the Company to bring its conduct into compliance</w:t>
      </w:r>
      <w:r w:rsidR="00746C03">
        <w:t xml:space="preserve">, or at the very least contact Bureau staff about its compliance difficulties, </w:t>
      </w:r>
      <w:r w:rsidR="009146DE">
        <w:t>after becoming aware of its failings.  However, Net</w:t>
      </w:r>
      <w:r w:rsidR="0014555E">
        <w:t xml:space="preserve"> </w:t>
      </w:r>
      <w:r w:rsidR="009146DE">
        <w:t xml:space="preserve">One </w:t>
      </w:r>
      <w:r w:rsidR="00746C03">
        <w:t>completely di</w:t>
      </w:r>
      <w:r w:rsidR="009146DE">
        <w:t>sregard</w:t>
      </w:r>
      <w:r w:rsidR="00746C03">
        <w:t>ed</w:t>
      </w:r>
      <w:r w:rsidR="009146DE">
        <w:t xml:space="preserve"> </w:t>
      </w:r>
      <w:r w:rsidR="00746C03">
        <w:t xml:space="preserve">not only </w:t>
      </w:r>
      <w:r w:rsidR="009146DE">
        <w:t xml:space="preserve">the </w:t>
      </w:r>
      <w:r w:rsidR="00746C03">
        <w:t xml:space="preserve">original deadline for response to the </w:t>
      </w:r>
      <w:r w:rsidR="009146DE">
        <w:t>LOI,</w:t>
      </w:r>
      <w:r w:rsidR="00746C03">
        <w:t xml:space="preserve"> but also the subsequent warning about the need to respond and the consequences of failing to do so.  </w:t>
      </w:r>
      <w:r w:rsidR="002977FB">
        <w:t xml:space="preserve">Moreover, </w:t>
      </w:r>
      <w:r w:rsidR="00746C03">
        <w:t>since the NAL</w:t>
      </w:r>
      <w:r w:rsidR="003257A4">
        <w:t xml:space="preserve"> was issued</w:t>
      </w:r>
      <w:r w:rsidR="00746C03">
        <w:t>, Net</w:t>
      </w:r>
      <w:r w:rsidR="0014555E">
        <w:t xml:space="preserve"> </w:t>
      </w:r>
      <w:r w:rsidR="00746C03">
        <w:t>One has continued to fail to fully respond to the NAL, notwithstanding the Bureau repeatedly advising Net</w:t>
      </w:r>
      <w:r w:rsidR="0014555E">
        <w:t xml:space="preserve"> </w:t>
      </w:r>
      <w:r w:rsidR="00746C03">
        <w:t xml:space="preserve">One about the deficiencies in its responses.  </w:t>
      </w:r>
      <w:r w:rsidR="00D977DF">
        <w:t>Net</w:t>
      </w:r>
      <w:r w:rsidR="0014555E">
        <w:t xml:space="preserve"> </w:t>
      </w:r>
      <w:r w:rsidR="00D977DF">
        <w:t>One’s conduct</w:t>
      </w:r>
      <w:r w:rsidR="00746C03">
        <w:t>, th</w:t>
      </w:r>
      <w:r w:rsidR="003257A4">
        <w:t xml:space="preserve">erefore, does not appear to be </w:t>
      </w:r>
      <w:r w:rsidR="00746C03">
        <w:t>“</w:t>
      </w:r>
      <w:r w:rsidR="00000F04">
        <w:t>inadvertent,</w:t>
      </w:r>
      <w:r w:rsidR="003257A4">
        <w:t>”</w:t>
      </w:r>
      <w:r w:rsidR="00000F04">
        <w:t xml:space="preserve"> but rather </w:t>
      </w:r>
      <w:r w:rsidR="003257A4">
        <w:t>“</w:t>
      </w:r>
      <w:r w:rsidR="00D977DF">
        <w:t>egregious, intentional, and continuous,</w:t>
      </w:r>
      <w:r w:rsidR="003257A4">
        <w:t>”</w:t>
      </w:r>
      <w:r w:rsidR="00D977DF">
        <w:t xml:space="preserve"> as we found in the NAL.</w:t>
      </w:r>
      <w:r w:rsidR="003257A4">
        <w:rPr>
          <w:rStyle w:val="FootnoteReference"/>
        </w:rPr>
        <w:footnoteReference w:id="30"/>
      </w:r>
      <w:r w:rsidR="00000F04">
        <w:t xml:space="preserve">  These factors provided a basis for an upward adjustment for a forfeiture, and not the reduction or cancelation sought by Net</w:t>
      </w:r>
      <w:r w:rsidR="0014555E">
        <w:t xml:space="preserve"> </w:t>
      </w:r>
      <w:r w:rsidR="00000F04">
        <w:t xml:space="preserve">One.  </w:t>
      </w:r>
      <w:r w:rsidR="00A15F60" w:rsidRPr="00055BDB">
        <w:rPr>
          <w:szCs w:val="22"/>
        </w:rPr>
        <w:t xml:space="preserve"> </w:t>
      </w:r>
      <w:r w:rsidR="0017426B" w:rsidRPr="00055BDB">
        <w:rPr>
          <w:szCs w:val="22"/>
        </w:rPr>
        <w:t xml:space="preserve"> </w:t>
      </w:r>
    </w:p>
    <w:p w:rsidR="00064E7C" w:rsidRPr="00EC29CE" w:rsidRDefault="0073154B" w:rsidP="000A0A13">
      <w:pPr>
        <w:pStyle w:val="ParaNum"/>
        <w:rPr>
          <w:szCs w:val="22"/>
        </w:rPr>
      </w:pPr>
      <w:r>
        <w:rPr>
          <w:szCs w:val="22"/>
        </w:rPr>
        <w:t xml:space="preserve">Further, </w:t>
      </w:r>
      <w:r w:rsidR="00AE5EC7">
        <w:rPr>
          <w:szCs w:val="22"/>
        </w:rPr>
        <w:t xml:space="preserve">we </w:t>
      </w:r>
      <w:r>
        <w:rPr>
          <w:szCs w:val="22"/>
        </w:rPr>
        <w:t xml:space="preserve">find no basis for reducing or cancelling the forfeiture based on Net One’s statement that </w:t>
      </w:r>
      <w:r w:rsidR="0032601D" w:rsidRPr="00EA691F">
        <w:rPr>
          <w:color w:val="000000"/>
          <w:szCs w:val="22"/>
        </w:rPr>
        <w:t>“it is a small company that is struggling to survive.”</w:t>
      </w:r>
      <w:r w:rsidR="0032601D">
        <w:rPr>
          <w:rStyle w:val="FootnoteReference"/>
          <w:szCs w:val="22"/>
        </w:rPr>
        <w:footnoteReference w:id="31"/>
      </w:r>
      <w:r>
        <w:rPr>
          <w:color w:val="000000"/>
          <w:szCs w:val="22"/>
        </w:rPr>
        <w:t xml:space="preserve">  </w:t>
      </w:r>
      <w:r w:rsidR="00064E7C">
        <w:rPr>
          <w:color w:val="000000"/>
          <w:szCs w:val="22"/>
        </w:rPr>
        <w:t xml:space="preserve">The </w:t>
      </w:r>
      <w:r w:rsidR="00064E7C">
        <w:rPr>
          <w:i/>
          <w:color w:val="000000"/>
          <w:szCs w:val="22"/>
        </w:rPr>
        <w:t xml:space="preserve">Net One NAL </w:t>
      </w:r>
      <w:r w:rsidR="00064E7C">
        <w:rPr>
          <w:color w:val="000000"/>
          <w:szCs w:val="22"/>
        </w:rPr>
        <w:t xml:space="preserve">was clear on the standard of review for considering a reduction or cancellation of a proposed forfeiture based on an inability to pay.  </w:t>
      </w:r>
    </w:p>
    <w:p w:rsidR="00EC29CE" w:rsidRDefault="00EC29CE" w:rsidP="00EC29CE">
      <w:pPr>
        <w:pStyle w:val="ParaNum"/>
        <w:numPr>
          <w:ilvl w:val="0"/>
          <w:numId w:val="0"/>
        </w:numPr>
        <w:ind w:left="720" w:right="720"/>
        <w:rPr>
          <w:color w:val="000000"/>
          <w:szCs w:val="22"/>
        </w:rPr>
      </w:pPr>
      <w:r w:rsidRPr="00EC29CE">
        <w:rPr>
          <w:color w:val="000000"/>
          <w:szCs w:val="22"/>
        </w:rPr>
        <w:t>The Commission will not consider reducing or canceling a forfeiture in response to a claim of inability to pay unless the petitioner submits: (1) federal tax returns for the most r</w:t>
      </w:r>
      <w:r>
        <w:rPr>
          <w:color w:val="000000"/>
          <w:szCs w:val="22"/>
        </w:rPr>
        <w:t>ecent three-year period; (2) fi</w:t>
      </w:r>
      <w:r w:rsidRPr="00EC29CE">
        <w:rPr>
          <w:color w:val="000000"/>
          <w:szCs w:val="22"/>
        </w:rPr>
        <w:t>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r>
        <w:rPr>
          <w:rStyle w:val="FootnoteReference"/>
          <w:szCs w:val="22"/>
        </w:rPr>
        <w:footnoteReference w:id="32"/>
      </w:r>
    </w:p>
    <w:p w:rsidR="00107BCF" w:rsidRPr="006D609C" w:rsidRDefault="0032601D" w:rsidP="006D609C">
      <w:pPr>
        <w:pStyle w:val="ParaNum"/>
        <w:numPr>
          <w:ilvl w:val="0"/>
          <w:numId w:val="0"/>
        </w:numPr>
        <w:rPr>
          <w:color w:val="000000"/>
          <w:szCs w:val="22"/>
        </w:rPr>
      </w:pPr>
      <w:r w:rsidRPr="00EA691F">
        <w:rPr>
          <w:color w:val="000000"/>
          <w:szCs w:val="22"/>
        </w:rPr>
        <w:t>Net One provided no suc</w:t>
      </w:r>
      <w:r w:rsidR="00EC29CE">
        <w:rPr>
          <w:color w:val="000000"/>
          <w:szCs w:val="22"/>
        </w:rPr>
        <w:t xml:space="preserve">h documentation and </w:t>
      </w:r>
      <w:r w:rsidR="00260B32">
        <w:rPr>
          <w:color w:val="000000"/>
          <w:szCs w:val="22"/>
        </w:rPr>
        <w:t>we, therefor</w:t>
      </w:r>
      <w:r w:rsidR="00AE5EC7">
        <w:rPr>
          <w:color w:val="000000"/>
          <w:szCs w:val="22"/>
        </w:rPr>
        <w:t>e</w:t>
      </w:r>
      <w:r w:rsidR="00260B32">
        <w:rPr>
          <w:color w:val="000000"/>
          <w:szCs w:val="22"/>
        </w:rPr>
        <w:t xml:space="preserve">, </w:t>
      </w:r>
      <w:r w:rsidR="00EC29CE">
        <w:rPr>
          <w:color w:val="000000"/>
          <w:szCs w:val="22"/>
        </w:rPr>
        <w:t>decline to reduce or cancel the forfeiture based on Net One’s ability to pay.</w:t>
      </w:r>
      <w:r w:rsidR="00107BCF" w:rsidRPr="00AE1B43">
        <w:rPr>
          <w:szCs w:val="22"/>
        </w:rPr>
        <w:t xml:space="preserve">    </w:t>
      </w:r>
    </w:p>
    <w:p w:rsidR="00C304DE" w:rsidRDefault="006B4B48" w:rsidP="00C304DE">
      <w:pPr>
        <w:pStyle w:val="Heading1"/>
      </w:pPr>
      <w:r>
        <w:t>conclusion</w:t>
      </w:r>
    </w:p>
    <w:p w:rsidR="00705B86" w:rsidRDefault="00C000F2" w:rsidP="000A0A13">
      <w:pPr>
        <w:pStyle w:val="ParaNum"/>
      </w:pPr>
      <w:r>
        <w:t xml:space="preserve"> </w:t>
      </w:r>
      <w:r w:rsidR="006D609C" w:rsidRPr="006D609C">
        <w:rPr>
          <w:szCs w:val="22"/>
        </w:rPr>
        <w:t xml:space="preserve">After reviewing the record in this case and the information Net One provided in its NAL Response, we conclude that the proposed $25,000 penalty is appropriate.  This penalty will serve as an adequate deterrent and </w:t>
      </w:r>
      <w:r w:rsidR="006D609C" w:rsidRPr="006D609C">
        <w:rPr>
          <w:color w:val="000000"/>
          <w:szCs w:val="22"/>
        </w:rPr>
        <w:t>reflects</w:t>
      </w:r>
      <w:r w:rsidR="006D609C" w:rsidRPr="006D609C">
        <w:rPr>
          <w:szCs w:val="22"/>
        </w:rPr>
        <w:t xml:space="preserve"> the egregious nature of Net One’s conduct and Net One’s disregard for the Commission’s authority and investigatory process.  </w:t>
      </w:r>
      <w:r w:rsidR="004368B7" w:rsidRPr="004368B7">
        <w:t xml:space="preserve">Accordingly, the Bureau </w:t>
      </w:r>
      <w:r w:rsidR="006D609C">
        <w:t xml:space="preserve">affirms the </w:t>
      </w:r>
      <w:r w:rsidR="006D609C" w:rsidRPr="006D609C">
        <w:rPr>
          <w:i/>
        </w:rPr>
        <w:t>NAL</w:t>
      </w:r>
      <w:r w:rsidR="006D609C">
        <w:t xml:space="preserve"> and </w:t>
      </w:r>
      <w:r w:rsidR="004368B7" w:rsidRPr="006D609C">
        <w:t>finds</w:t>
      </w:r>
      <w:r w:rsidR="004368B7" w:rsidRPr="004368B7">
        <w:t xml:space="preserve"> that Net One violated a </w:t>
      </w:r>
      <w:r w:rsidR="006D609C">
        <w:t xml:space="preserve">validly </w:t>
      </w:r>
      <w:r w:rsidR="006D609C" w:rsidRPr="00B84F90">
        <w:t xml:space="preserve">issued Commission </w:t>
      </w:r>
      <w:r w:rsidR="004368B7" w:rsidRPr="00B84F90">
        <w:t>order to respond</w:t>
      </w:r>
      <w:r w:rsidR="004368B7" w:rsidRPr="004368B7">
        <w:t xml:space="preserve"> to a </w:t>
      </w:r>
      <w:r w:rsidR="006D609C">
        <w:t>Bureau LOI</w:t>
      </w:r>
      <w:r w:rsidR="004368B7" w:rsidRPr="004368B7">
        <w:t xml:space="preserve"> and </w:t>
      </w:r>
      <w:r w:rsidR="00787E64" w:rsidRPr="006D609C">
        <w:rPr>
          <w:szCs w:val="22"/>
        </w:rPr>
        <w:t xml:space="preserve">assess </w:t>
      </w:r>
      <w:r w:rsidR="006E062A">
        <w:rPr>
          <w:szCs w:val="22"/>
        </w:rPr>
        <w:t>the</w:t>
      </w:r>
      <w:r w:rsidR="00787E64" w:rsidRPr="006D609C">
        <w:rPr>
          <w:szCs w:val="22"/>
        </w:rPr>
        <w:t xml:space="preserve"> $</w:t>
      </w:r>
      <w:r w:rsidR="002E0BC1" w:rsidRPr="006D609C">
        <w:rPr>
          <w:szCs w:val="22"/>
        </w:rPr>
        <w:t>25,</w:t>
      </w:r>
      <w:r w:rsidR="00787E64" w:rsidRPr="006D609C">
        <w:rPr>
          <w:szCs w:val="22"/>
        </w:rPr>
        <w:t xml:space="preserve">000 forfeiture against the Company.  </w:t>
      </w:r>
    </w:p>
    <w:p w:rsidR="00D102E6" w:rsidRDefault="00D102E6" w:rsidP="00D102E6">
      <w:pPr>
        <w:pStyle w:val="Heading1"/>
      </w:pPr>
      <w:r>
        <w:t>ordering clauses</w:t>
      </w:r>
    </w:p>
    <w:p w:rsidR="00CB3D24" w:rsidRDefault="00CB3D24" w:rsidP="000A0A13">
      <w:pPr>
        <w:pStyle w:val="ParaNum"/>
        <w:rPr>
          <w:szCs w:val="22"/>
        </w:rPr>
      </w:pPr>
      <w:r w:rsidRPr="00D43255">
        <w:rPr>
          <w:szCs w:val="22"/>
        </w:rPr>
        <w:t xml:space="preserve">Accordingly, </w:t>
      </w:r>
      <w:r w:rsidRPr="00D43255">
        <w:rPr>
          <w:b/>
          <w:szCs w:val="22"/>
        </w:rPr>
        <w:t>IT IS ORDERED</w:t>
      </w:r>
      <w:r>
        <w:rPr>
          <w:szCs w:val="22"/>
        </w:rPr>
        <w:t>, pursuant to S</w:t>
      </w:r>
      <w:r w:rsidRPr="00D43255">
        <w:rPr>
          <w:szCs w:val="22"/>
        </w:rPr>
        <w:t>ection 503(b) of the Communications Act of 1934, a</w:t>
      </w:r>
      <w:r>
        <w:rPr>
          <w:szCs w:val="22"/>
        </w:rPr>
        <w:t>s amended, 47 U.S.C. § 503(b) and S</w:t>
      </w:r>
      <w:r w:rsidRPr="00D43255">
        <w:rPr>
          <w:szCs w:val="22"/>
        </w:rPr>
        <w:t>ection 1.80 of the Commission’s rules,</w:t>
      </w:r>
      <w:r>
        <w:rPr>
          <w:szCs w:val="22"/>
        </w:rPr>
        <w:t xml:space="preserve"> 47 C.F.R. § 1.80, that</w:t>
      </w:r>
      <w:r w:rsidR="002E0BC1" w:rsidRPr="00D43255">
        <w:rPr>
          <w:szCs w:val="22"/>
        </w:rPr>
        <w:t xml:space="preserve"> </w:t>
      </w:r>
      <w:r w:rsidR="002E0BC1">
        <w:t xml:space="preserve">Net One International, Net One, LLC, and Farrahtel International, LLC, </w:t>
      </w:r>
      <w:r w:rsidR="006E062A">
        <w:t xml:space="preserve">jointly and severally </w:t>
      </w:r>
      <w:r w:rsidRPr="00D43255">
        <w:rPr>
          <w:b/>
          <w:szCs w:val="22"/>
        </w:rPr>
        <w:t>SHALL FORFEIT</w:t>
      </w:r>
      <w:r w:rsidRPr="00D43255">
        <w:rPr>
          <w:szCs w:val="22"/>
        </w:rPr>
        <w:t xml:space="preserve"> to the United</w:t>
      </w:r>
      <w:r>
        <w:rPr>
          <w:szCs w:val="22"/>
        </w:rPr>
        <w:t xml:space="preserve"> States government the sum of </w:t>
      </w:r>
      <w:r w:rsidR="00966B14">
        <w:rPr>
          <w:szCs w:val="22"/>
        </w:rPr>
        <w:t>twenty-five thousand dollars (</w:t>
      </w:r>
      <w:r>
        <w:rPr>
          <w:szCs w:val="22"/>
        </w:rPr>
        <w:t>$</w:t>
      </w:r>
      <w:r w:rsidR="002E0BC1">
        <w:rPr>
          <w:szCs w:val="22"/>
        </w:rPr>
        <w:t>25</w:t>
      </w:r>
      <w:r w:rsidRPr="00D43255">
        <w:rPr>
          <w:szCs w:val="22"/>
        </w:rPr>
        <w:t>,000</w:t>
      </w:r>
      <w:r w:rsidR="00966B14">
        <w:rPr>
          <w:szCs w:val="22"/>
        </w:rPr>
        <w:t>)</w:t>
      </w:r>
      <w:r w:rsidRPr="00D43255">
        <w:rPr>
          <w:szCs w:val="22"/>
        </w:rPr>
        <w:t xml:space="preserve"> for willfully or repeatedly</w:t>
      </w:r>
      <w:r w:rsidR="00E6607D">
        <w:rPr>
          <w:szCs w:val="22"/>
        </w:rPr>
        <w:t xml:space="preserve"> violating a Commission order</w:t>
      </w:r>
      <w:r w:rsidRPr="00D43255">
        <w:rPr>
          <w:szCs w:val="22"/>
        </w:rPr>
        <w:t>.</w:t>
      </w:r>
    </w:p>
    <w:p w:rsidR="00CB3D24" w:rsidRPr="006D3182" w:rsidRDefault="00CB3D24" w:rsidP="000A0A13">
      <w:pPr>
        <w:pStyle w:val="ParaNum"/>
        <w:rPr>
          <w:szCs w:val="22"/>
        </w:rPr>
      </w:pPr>
      <w:r w:rsidRPr="006D3182">
        <w:rPr>
          <w:rFonts w:eastAsia="MS Mincho" w:cs="Arial"/>
          <w:szCs w:val="22"/>
        </w:rPr>
        <w:t>Payment of the forfeiture shall be made in the manner provi</w:t>
      </w:r>
      <w:r w:rsidR="006E062A">
        <w:rPr>
          <w:rFonts w:eastAsia="MS Mincho" w:cs="Arial"/>
          <w:szCs w:val="22"/>
        </w:rPr>
        <w:t>ded for in Section 1.80 of the Commission’s r</w:t>
      </w:r>
      <w:r w:rsidRPr="006D3182">
        <w:rPr>
          <w:rFonts w:eastAsia="MS Mincho" w:cs="Arial"/>
          <w:szCs w:val="22"/>
        </w:rPr>
        <w:t>ules within thirty (30) calendar days after the release date of this Forfeiture Order.</w:t>
      </w:r>
      <w:r w:rsidRPr="006D3182">
        <w:rPr>
          <w:rStyle w:val="FootnoteReference"/>
          <w:rFonts w:eastAsia="MS Mincho" w:cs="Arial"/>
          <w:szCs w:val="22"/>
        </w:rPr>
        <w:footnoteReference w:id="33"/>
      </w:r>
      <w:r w:rsidRPr="006D3182">
        <w:rPr>
          <w:rFonts w:eastAsia="MS Mincho" w:cs="Arial"/>
          <w:szCs w:val="22"/>
        </w:rPr>
        <w:t xml:space="preserve">  If the forfeiture is not paid within the period specified, the case may be referred to the U</w:t>
      </w:r>
      <w:r w:rsidR="006E062A">
        <w:rPr>
          <w:rFonts w:eastAsia="MS Mincho" w:cs="Arial"/>
          <w:szCs w:val="22"/>
        </w:rPr>
        <w:t>nited States</w:t>
      </w:r>
      <w:r w:rsidRPr="006D3182">
        <w:rPr>
          <w:rFonts w:eastAsia="MS Mincho" w:cs="Arial"/>
          <w:szCs w:val="22"/>
        </w:rPr>
        <w:t xml:space="preserve"> Department of Justice for enforcement of the forfeiture pursuant to Section 504(a) of the Act.</w:t>
      </w:r>
      <w:r w:rsidRPr="006D3182">
        <w:rPr>
          <w:rStyle w:val="FootnoteReference"/>
          <w:rFonts w:eastAsia="MS Mincho" w:cs="Arial"/>
          <w:szCs w:val="22"/>
        </w:rPr>
        <w:footnoteReference w:id="34"/>
      </w:r>
      <w:r w:rsidRPr="006D3182">
        <w:rPr>
          <w:rFonts w:eastAsia="MS Mincho" w:cs="Arial"/>
          <w:szCs w:val="22"/>
        </w:rPr>
        <w:t xml:space="preserve">  </w:t>
      </w:r>
      <w:r w:rsidR="002E0BC1">
        <w:t xml:space="preserve">Net One International, Net One, LLC, and Farrahtel International, LLC, </w:t>
      </w:r>
      <w:r w:rsidRPr="006D3182">
        <w:rPr>
          <w:rFonts w:eastAsia="MS Mincho" w:cs="Arial"/>
          <w:szCs w:val="22"/>
        </w:rPr>
        <w:t>shall send electronic notification of payment to Johnny Drake at Johnny.Drake@fcc.gov on the date said payment is made.</w:t>
      </w:r>
      <w:r w:rsidRPr="006D3182">
        <w:rPr>
          <w:rFonts w:eastAsia="MS Mincho"/>
          <w:color w:val="000000"/>
          <w:szCs w:val="22"/>
        </w:rPr>
        <w:t xml:space="preserve">  </w:t>
      </w:r>
      <w:r w:rsidRPr="006D3182">
        <w:rPr>
          <w:rFonts w:eastAsia="MS Mincho" w:cs="Arial"/>
          <w:szCs w:val="22"/>
        </w:rPr>
        <w:t>The payment must be made by check or similar instrument, wire transfer, or credit card, and must include the NAL/Account number and FRN referenced above.  Regardless of the form of payment, a completed FCC Form 159 (Remittance Advice) must be submitted.</w:t>
      </w:r>
      <w:r w:rsidRPr="006D3182">
        <w:rPr>
          <w:rStyle w:val="FootnoteReference"/>
          <w:rFonts w:eastAsia="MS Mincho" w:cs="Arial"/>
          <w:szCs w:val="22"/>
        </w:rPr>
        <w:footnoteReference w:id="35"/>
      </w:r>
      <w:r w:rsidRPr="006D3182">
        <w:rPr>
          <w:rFonts w:eastAsia="MS Mincho" w:cs="Arial"/>
          <w:szCs w:val="22"/>
        </w:rPr>
        <w:t xml:space="preserve">  When completing the FCC Form 159, enter the Account Number in block number 23A (call sign/other ID) and enter the letters “FORF” in block number 24A (payment type code).   </w:t>
      </w:r>
      <w:r w:rsidRPr="006D3182">
        <w:rPr>
          <w:color w:val="000000"/>
          <w:szCs w:val="22"/>
        </w:rPr>
        <w:t>Below are additional instructions you should follow based on the form of payment you select:</w:t>
      </w:r>
    </w:p>
    <w:p w:rsidR="00CB3D24" w:rsidRPr="006D3182" w:rsidRDefault="00CB3D24" w:rsidP="00747901">
      <w:pPr>
        <w:pStyle w:val="ParaNum"/>
        <w:numPr>
          <w:ilvl w:val="0"/>
          <w:numId w:val="6"/>
        </w:numPr>
        <w:rPr>
          <w:rFonts w:eastAsia="MS Mincho"/>
          <w:szCs w:val="22"/>
        </w:rPr>
      </w:pPr>
      <w:r w:rsidRPr="006D3182">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CB3D24" w:rsidRPr="006D3182" w:rsidRDefault="00CB3D24" w:rsidP="00747901">
      <w:pPr>
        <w:pStyle w:val="ParaNum"/>
        <w:numPr>
          <w:ilvl w:val="0"/>
          <w:numId w:val="6"/>
        </w:numPr>
        <w:rPr>
          <w:rFonts w:eastAsia="MS Mincho"/>
          <w:szCs w:val="22"/>
        </w:rPr>
      </w:pPr>
      <w:r w:rsidRPr="006D3182">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CB3D24" w:rsidRPr="006D3182" w:rsidRDefault="00CB3D24" w:rsidP="00747901">
      <w:pPr>
        <w:pStyle w:val="ParaNum"/>
        <w:numPr>
          <w:ilvl w:val="0"/>
          <w:numId w:val="6"/>
        </w:numPr>
        <w:rPr>
          <w:rFonts w:eastAsia="MS Mincho"/>
          <w:szCs w:val="22"/>
        </w:rPr>
      </w:pPr>
      <w:r w:rsidRPr="006D3182">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CB3D24" w:rsidRDefault="00CB3D24" w:rsidP="00CB3D24">
      <w:pPr>
        <w:pStyle w:val="ParaNum"/>
        <w:numPr>
          <w:ilvl w:val="0"/>
          <w:numId w:val="0"/>
        </w:numPr>
        <w:rPr>
          <w:rFonts w:eastAsia="MS Mincho"/>
          <w:szCs w:val="22"/>
        </w:rPr>
      </w:pPr>
      <w:r w:rsidRPr="006D3182">
        <w:rPr>
          <w:rFonts w:eastAsia="MS Mincho"/>
          <w:szCs w:val="22"/>
        </w:rPr>
        <w:t xml:space="preserve">Any request for full payment under an installment plan should be sent to:  Chief Financial Officer—Financial Operations, </w:t>
      </w:r>
      <w:r w:rsidRPr="006D3182">
        <w:rPr>
          <w:rFonts w:eastAsia="MS Mincho" w:cs="Arial"/>
          <w:szCs w:val="22"/>
        </w:rPr>
        <w:t>Federal</w:t>
      </w:r>
      <w:r w:rsidRPr="006D3182">
        <w:rPr>
          <w:rFonts w:eastAsia="MS Mincho"/>
          <w:szCs w:val="22"/>
        </w:rPr>
        <w:t xml:space="preserve"> Communications Commission, 445 12th Street, SW, Room 1-A625, Washington, DC  20554.</w:t>
      </w:r>
      <w:r w:rsidRPr="006D3182">
        <w:rPr>
          <w:rStyle w:val="FootnoteReference"/>
          <w:rFonts w:eastAsia="MS Mincho"/>
          <w:szCs w:val="22"/>
        </w:rPr>
        <w:footnoteReference w:id="36"/>
      </w:r>
      <w:r w:rsidRPr="006D3182">
        <w:rPr>
          <w:rFonts w:eastAsia="MS Mincho"/>
          <w:szCs w:val="22"/>
        </w:rPr>
        <w:t>  If you have questions regarding payment procedures, please contact the Financial Operations Group Help Desk by phone, 1-877-480-3201, or by e</w:t>
      </w:r>
      <w:r w:rsidRPr="006D3182">
        <w:rPr>
          <w:rFonts w:eastAsia="MS Mincho"/>
          <w:szCs w:val="22"/>
        </w:rPr>
        <w:noBreakHyphen/>
        <w:t xml:space="preserve">mail, </w:t>
      </w:r>
      <w:r w:rsidRPr="006D3182">
        <w:rPr>
          <w:rFonts w:eastAsia="MS Mincho" w:cs="Arial"/>
          <w:szCs w:val="22"/>
        </w:rPr>
        <w:t>ARINQUIRIES@fcc.gov</w:t>
      </w:r>
      <w:r w:rsidRPr="006D3182">
        <w:rPr>
          <w:rFonts w:eastAsia="MS Mincho"/>
          <w:szCs w:val="22"/>
        </w:rPr>
        <w:t xml:space="preserve">.  </w:t>
      </w:r>
    </w:p>
    <w:p w:rsidR="00C4578C" w:rsidRDefault="00C4578C">
      <w:pPr>
        <w:widowControl/>
        <w:rPr>
          <w:szCs w:val="22"/>
        </w:rPr>
      </w:pPr>
      <w:r>
        <w:rPr>
          <w:szCs w:val="22"/>
        </w:rPr>
        <w:br w:type="page"/>
      </w:r>
    </w:p>
    <w:p w:rsidR="00AE50A7" w:rsidRPr="00AE50A7" w:rsidRDefault="00CB3D24" w:rsidP="000A0A13">
      <w:pPr>
        <w:pStyle w:val="ParaNum"/>
        <w:rPr>
          <w:szCs w:val="22"/>
        </w:rPr>
      </w:pPr>
      <w:r w:rsidRPr="00D43255">
        <w:rPr>
          <w:b/>
          <w:szCs w:val="22"/>
        </w:rPr>
        <w:t>IT IS FURTHER ORDERED</w:t>
      </w:r>
      <w:r w:rsidRPr="00D43255">
        <w:rPr>
          <w:szCs w:val="22"/>
        </w:rPr>
        <w:t xml:space="preserve"> that a copy of this </w:t>
      </w:r>
      <w:r w:rsidRPr="00243C46">
        <w:rPr>
          <w:szCs w:val="22"/>
        </w:rPr>
        <w:t>Order for Forfeiture</w:t>
      </w:r>
      <w:r w:rsidRPr="00D43255">
        <w:rPr>
          <w:szCs w:val="22"/>
        </w:rPr>
        <w:t xml:space="preserve"> shall be sent by Certified Mail Return Receipt Requested and First Class Mail to </w:t>
      </w:r>
      <w:r w:rsidR="004368B7">
        <w:rPr>
          <w:szCs w:val="22"/>
        </w:rPr>
        <w:t xml:space="preserve">Thomas Gainor, Moffa, Gainor, and Sutton, PA, One Financial Plaza, Suite 2202, 100 Southeast Third Avenue, Fort Lauderdale, FL 33394, attorneys for </w:t>
      </w:r>
      <w:r w:rsidR="001A0D9F">
        <w:t>Net One International, Net One, LLC, and Farrahtel</w:t>
      </w:r>
      <w:r w:rsidR="004368B7">
        <w:t xml:space="preserve"> International, LLC.</w:t>
      </w:r>
      <w:r w:rsidR="001A0D9F" w:rsidRPr="00AF38CF">
        <w:t xml:space="preserve"> </w:t>
      </w:r>
    </w:p>
    <w:p w:rsidR="00AE50A7" w:rsidRPr="00AE50A7" w:rsidRDefault="00AE50A7" w:rsidP="00AE50A7">
      <w:pPr>
        <w:pStyle w:val="ParaNum"/>
        <w:numPr>
          <w:ilvl w:val="0"/>
          <w:numId w:val="0"/>
        </w:numPr>
        <w:ind w:left="720"/>
        <w:rPr>
          <w:szCs w:val="22"/>
        </w:rPr>
      </w:pPr>
    </w:p>
    <w:p w:rsidR="00AE50A7" w:rsidRDefault="00AE50A7" w:rsidP="00AE50A7">
      <w:pPr>
        <w:pStyle w:val="ParaNum"/>
        <w:numPr>
          <w:ilvl w:val="0"/>
          <w:numId w:val="0"/>
        </w:numPr>
        <w:ind w:left="3600"/>
        <w:rPr>
          <w:szCs w:val="22"/>
        </w:rPr>
      </w:pPr>
      <w:r>
        <w:t xml:space="preserve">            </w:t>
      </w:r>
      <w:r w:rsidR="001A0D9F" w:rsidRPr="00AF38CF">
        <w:t xml:space="preserve"> </w:t>
      </w:r>
      <w:r>
        <w:rPr>
          <w:szCs w:val="22"/>
        </w:rPr>
        <w:t>FEDERAL COMMUNICATIONS COMMISSION</w:t>
      </w:r>
    </w:p>
    <w:p w:rsidR="00AE50A7" w:rsidRDefault="00AE50A7" w:rsidP="00AE50A7">
      <w:pPr>
        <w:keepNext/>
        <w:keepLines/>
        <w:ind w:left="3600" w:firstLine="720"/>
        <w:outlineLvl w:val="0"/>
        <w:rPr>
          <w:szCs w:val="22"/>
        </w:rPr>
      </w:pPr>
    </w:p>
    <w:p w:rsidR="006E062A" w:rsidRDefault="006E062A" w:rsidP="00AE50A7">
      <w:pPr>
        <w:keepNext/>
        <w:keepLines/>
        <w:ind w:left="3600" w:firstLine="720"/>
        <w:outlineLvl w:val="0"/>
        <w:rPr>
          <w:szCs w:val="22"/>
        </w:rPr>
      </w:pPr>
    </w:p>
    <w:p w:rsidR="006E062A" w:rsidRDefault="006E062A" w:rsidP="00AE50A7">
      <w:pPr>
        <w:keepNext/>
        <w:keepLines/>
        <w:ind w:left="3600" w:firstLine="720"/>
        <w:outlineLvl w:val="0"/>
        <w:rPr>
          <w:szCs w:val="22"/>
        </w:rPr>
      </w:pPr>
    </w:p>
    <w:p w:rsidR="00AE50A7" w:rsidRDefault="002E0D8A" w:rsidP="004E3C89">
      <w:pPr>
        <w:keepNext/>
        <w:keepLines/>
        <w:ind w:left="3600" w:firstLine="720"/>
        <w:outlineLvl w:val="0"/>
        <w:rPr>
          <w:szCs w:val="22"/>
        </w:rPr>
      </w:pPr>
      <w:r>
        <w:rPr>
          <w:szCs w:val="22"/>
        </w:rPr>
        <w:t>Robert H. Ratcliffe</w:t>
      </w:r>
    </w:p>
    <w:p w:rsidR="002E0D8A" w:rsidRDefault="002E0D8A" w:rsidP="004E3C89">
      <w:pPr>
        <w:keepNext/>
        <w:keepLines/>
        <w:ind w:left="3600" w:firstLine="720"/>
        <w:outlineLvl w:val="0"/>
        <w:rPr>
          <w:szCs w:val="22"/>
        </w:rPr>
      </w:pPr>
      <w:r>
        <w:rPr>
          <w:szCs w:val="22"/>
        </w:rPr>
        <w:t>Acting Deputy Chief</w:t>
      </w:r>
    </w:p>
    <w:p w:rsidR="002E0D8A" w:rsidRDefault="002E0D8A" w:rsidP="004E3C89">
      <w:pPr>
        <w:keepNext/>
        <w:keepLines/>
        <w:ind w:left="3600" w:firstLine="720"/>
        <w:outlineLvl w:val="0"/>
        <w:rPr>
          <w:szCs w:val="22"/>
        </w:rPr>
      </w:pPr>
      <w:r>
        <w:rPr>
          <w:szCs w:val="22"/>
        </w:rPr>
        <w:t>Enforcement Bureau</w:t>
      </w:r>
    </w:p>
    <w:p w:rsidR="005019CF" w:rsidRDefault="005019CF" w:rsidP="00AE50A7">
      <w:pPr>
        <w:pStyle w:val="ParaNum"/>
        <w:numPr>
          <w:ilvl w:val="0"/>
          <w:numId w:val="0"/>
        </w:numPr>
        <w:ind w:left="720"/>
        <w:rPr>
          <w:szCs w:val="22"/>
        </w:rPr>
      </w:pPr>
    </w:p>
    <w:sectPr w:rsidR="005019C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DE" w:rsidRDefault="008453DE">
      <w:pPr>
        <w:spacing w:line="20" w:lineRule="exact"/>
      </w:pPr>
    </w:p>
  </w:endnote>
  <w:endnote w:type="continuationSeparator" w:id="0">
    <w:p w:rsidR="008453DE" w:rsidRDefault="008453DE">
      <w:r>
        <w:t xml:space="preserve"> </w:t>
      </w:r>
    </w:p>
  </w:endnote>
  <w:endnote w:type="continuationNotice" w:id="1">
    <w:p w:rsidR="008453DE" w:rsidRDefault="008453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59"/>
    <w:family w:val="auto"/>
    <w:pitch w:val="variable"/>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D7" w:rsidRDefault="002444D7" w:rsidP="0055614C">
    <w:pPr>
      <w:pStyle w:val="Footer"/>
      <w:framePr w:wrap="around" w:vAnchor="text" w:hAnchor="margin" w:xAlign="center" w:y="1"/>
    </w:pPr>
    <w:r>
      <w:fldChar w:fldCharType="begin"/>
    </w:r>
    <w:r>
      <w:instrText xml:space="preserve">PAGE  </w:instrText>
    </w:r>
    <w:r>
      <w:fldChar w:fldCharType="end"/>
    </w:r>
  </w:p>
  <w:p w:rsidR="002444D7" w:rsidRDefault="00244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D7" w:rsidRDefault="002444D7" w:rsidP="0055614C">
    <w:pPr>
      <w:pStyle w:val="Footer"/>
      <w:framePr w:wrap="around" w:vAnchor="text" w:hAnchor="margin" w:xAlign="center" w:y="1"/>
    </w:pPr>
    <w:r>
      <w:fldChar w:fldCharType="begin"/>
    </w:r>
    <w:r>
      <w:instrText xml:space="preserve">PAGE  </w:instrText>
    </w:r>
    <w:r>
      <w:fldChar w:fldCharType="separate"/>
    </w:r>
    <w:r w:rsidR="00E04958">
      <w:rPr>
        <w:noProof/>
      </w:rPr>
      <w:t>2</w:t>
    </w:r>
    <w:r>
      <w:fldChar w:fldCharType="end"/>
    </w:r>
  </w:p>
  <w:p w:rsidR="002444D7" w:rsidRDefault="002444D7">
    <w:pPr>
      <w:spacing w:before="140" w:line="100" w:lineRule="exact"/>
      <w:rPr>
        <w:sz w:val="10"/>
      </w:rPr>
    </w:pPr>
  </w:p>
  <w:p w:rsidR="002444D7" w:rsidRDefault="002444D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C2" w:rsidRDefault="0082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DE" w:rsidRDefault="008453DE">
      <w:r>
        <w:separator/>
      </w:r>
    </w:p>
  </w:footnote>
  <w:footnote w:type="continuationSeparator" w:id="0">
    <w:p w:rsidR="008453DE" w:rsidRDefault="008453DE">
      <w:pPr>
        <w:rPr>
          <w:sz w:val="20"/>
        </w:rPr>
      </w:pPr>
      <w:r>
        <w:rPr>
          <w:sz w:val="20"/>
        </w:rPr>
        <w:t xml:space="preserve">(Continued from previous page)  </w:t>
      </w:r>
      <w:r>
        <w:rPr>
          <w:sz w:val="20"/>
        </w:rPr>
        <w:separator/>
      </w:r>
    </w:p>
  </w:footnote>
  <w:footnote w:type="continuationNotice" w:id="1">
    <w:p w:rsidR="008453DE" w:rsidRDefault="008453DE">
      <w:pPr>
        <w:rPr>
          <w:sz w:val="20"/>
        </w:rPr>
      </w:pPr>
      <w:r>
        <w:rPr>
          <w:sz w:val="20"/>
        </w:rPr>
        <w:t>(continued….)</w:t>
      </w:r>
    </w:p>
  </w:footnote>
  <w:footnote w:id="2">
    <w:p w:rsidR="002444D7" w:rsidRDefault="002444D7" w:rsidP="00A10519">
      <w:pPr>
        <w:pStyle w:val="FootnoteText"/>
      </w:pPr>
      <w:r>
        <w:rPr>
          <w:rStyle w:val="FootnoteReference"/>
        </w:rPr>
        <w:footnoteRef/>
      </w:r>
      <w:r>
        <w:t xml:space="preserve"> This case was formerly assigned the file number EB-11-TC-063.  In January 2012, the Telecommunications Consumers Division assigned the case a new file number.</w:t>
      </w:r>
    </w:p>
  </w:footnote>
  <w:footnote w:id="3">
    <w:p w:rsidR="004155EE" w:rsidRDefault="004155EE" w:rsidP="004155EE">
      <w:pPr>
        <w:pStyle w:val="FootnoteText"/>
      </w:pPr>
      <w:r>
        <w:rPr>
          <w:rStyle w:val="FootnoteReference"/>
        </w:rPr>
        <w:footnoteRef/>
      </w:r>
      <w:r>
        <w:t xml:space="preserve"> </w:t>
      </w:r>
      <w:r w:rsidRPr="00513D17">
        <w:rPr>
          <w:i/>
        </w:rPr>
        <w:t>Net One International, et al</w:t>
      </w:r>
      <w:r>
        <w:t>., Notice of Apparent Liability for Forfeiture and Order, 26 FCC Rcd 16493 (EB 2011) (</w:t>
      </w:r>
      <w:r w:rsidRPr="00513D17">
        <w:rPr>
          <w:i/>
        </w:rPr>
        <w:t>Net One NAL</w:t>
      </w:r>
      <w:r>
        <w:t>).</w:t>
      </w:r>
      <w:r w:rsidR="00A47D2F">
        <w:t xml:space="preserve">  Net One is a </w:t>
      </w:r>
      <w:r w:rsidR="00273A69">
        <w:t xml:space="preserve">common </w:t>
      </w:r>
      <w:r w:rsidR="00A47D2F">
        <w:t>carrier that provides calling card services.</w:t>
      </w:r>
    </w:p>
  </w:footnote>
  <w:footnote w:id="4">
    <w:p w:rsidR="00771EB4" w:rsidRDefault="00771EB4">
      <w:pPr>
        <w:pStyle w:val="FootnoteText"/>
      </w:pPr>
      <w:r>
        <w:rPr>
          <w:rStyle w:val="FootnoteReference"/>
        </w:rPr>
        <w:footnoteRef/>
      </w:r>
      <w:r>
        <w:t xml:space="preserve"> </w:t>
      </w:r>
      <w:r w:rsidR="004155EE">
        <w:t xml:space="preserve">The Bureau order was issued </w:t>
      </w:r>
      <w:r w:rsidR="004155EE" w:rsidRPr="004155EE">
        <w:t>pursuant to delegated authority</w:t>
      </w:r>
      <w:r w:rsidR="004155EE">
        <w:t xml:space="preserve">. </w:t>
      </w:r>
      <w:r w:rsidR="004155EE" w:rsidRPr="004155EE">
        <w:t xml:space="preserve"> </w:t>
      </w:r>
      <w:r w:rsidRPr="00771EB4">
        <w:rPr>
          <w:i/>
        </w:rPr>
        <w:t>See</w:t>
      </w:r>
      <w:r w:rsidRPr="00771EB4">
        <w:t xml:space="preserve"> 47 U.S.C. § 155</w:t>
      </w:r>
      <w:r w:rsidR="00F82DA1">
        <w:t>(c)</w:t>
      </w:r>
      <w:r w:rsidRPr="00771EB4">
        <w:t>(1)-(3).</w:t>
      </w:r>
    </w:p>
  </w:footnote>
  <w:footnote w:id="5">
    <w:p w:rsidR="007B1309" w:rsidRDefault="007B1309">
      <w:pPr>
        <w:pStyle w:val="FootnoteText"/>
      </w:pPr>
      <w:r>
        <w:rPr>
          <w:rStyle w:val="FootnoteReference"/>
        </w:rPr>
        <w:footnoteRef/>
      </w:r>
      <w:r>
        <w:t xml:space="preserve"> 47 U.S.C. </w:t>
      </w:r>
      <w:r w:rsidRPr="004734F1">
        <w:t>§</w:t>
      </w:r>
      <w:r>
        <w:t xml:space="preserve"> 201(b).</w:t>
      </w:r>
    </w:p>
  </w:footnote>
  <w:footnote w:id="6">
    <w:p w:rsidR="007B1309" w:rsidRDefault="007B1309" w:rsidP="007B1309">
      <w:pPr>
        <w:pStyle w:val="FootnoteText"/>
      </w:pPr>
      <w:r>
        <w:rPr>
          <w:rStyle w:val="FootnoteReference"/>
        </w:rPr>
        <w:footnoteRef/>
      </w:r>
      <w:r>
        <w:t xml:space="preserve"> 47 U.S.C. </w:t>
      </w:r>
      <w:r w:rsidRPr="004734F1">
        <w:t>§</w:t>
      </w:r>
      <w:r>
        <w:t xml:space="preserve"> 503(b)(1)(B).  </w:t>
      </w:r>
    </w:p>
  </w:footnote>
  <w:footnote w:id="7">
    <w:p w:rsidR="002444D7" w:rsidRDefault="002444D7" w:rsidP="00B73543">
      <w:pPr>
        <w:pStyle w:val="FootnoteText"/>
        <w:tabs>
          <w:tab w:val="left" w:pos="2070"/>
        </w:tabs>
      </w:pPr>
      <w:r>
        <w:rPr>
          <w:rStyle w:val="FootnoteReference"/>
        </w:rPr>
        <w:footnoteRef/>
      </w:r>
      <w:r>
        <w:t xml:space="preserve"> </w:t>
      </w:r>
      <w:r w:rsidRPr="006B1FA4">
        <w:rPr>
          <w:i/>
        </w:rPr>
        <w:t>See</w:t>
      </w:r>
      <w:r>
        <w:t xml:space="preserve"> Letter from Richard A. Hindman, Chief, Telecommunications Consumers Division, FCC Enforcement Bureau, to Net One International (July 15, 2011) </w:t>
      </w:r>
      <w:r w:rsidRPr="002C2CAC">
        <w:t>(on file in EB-TCD-12-</w:t>
      </w:r>
      <w:r w:rsidR="007C3A42">
        <w:t>00000418)</w:t>
      </w:r>
      <w:r>
        <w:t>.</w:t>
      </w:r>
    </w:p>
  </w:footnote>
  <w:footnote w:id="8">
    <w:p w:rsidR="008E7AC8" w:rsidRDefault="008E7AC8" w:rsidP="008E7AC8">
      <w:pPr>
        <w:pStyle w:val="FootnoteText"/>
      </w:pPr>
      <w:r>
        <w:rPr>
          <w:rStyle w:val="FootnoteReference"/>
        </w:rPr>
        <w:footnoteRef/>
      </w:r>
      <w:r>
        <w:t xml:space="preserve"> The Winter Park, FL post office stamped the return receipt card July 19, 2011.  The card was apparently signed by El Bachir Alaoui Hichami, the Treasurer of Net One.</w:t>
      </w:r>
    </w:p>
  </w:footnote>
  <w:footnote w:id="9">
    <w:p w:rsidR="002444D7" w:rsidRDefault="002444D7">
      <w:pPr>
        <w:pStyle w:val="FootnoteText"/>
      </w:pPr>
      <w:r>
        <w:rPr>
          <w:rStyle w:val="FootnoteReference"/>
        </w:rPr>
        <w:footnoteRef/>
      </w:r>
      <w:r>
        <w:t xml:space="preserve"> </w:t>
      </w:r>
      <w:r w:rsidRPr="00AA65C7">
        <w:rPr>
          <w:i/>
        </w:rPr>
        <w:t>See</w:t>
      </w:r>
      <w:r w:rsidR="005A2A73">
        <w:t xml:space="preserve"> E</w:t>
      </w:r>
      <w:r>
        <w:t>-mail from Mika Savir, Attorney, Telecommunications Consumers Division, FCC Enforcement Bureau, to El Bachir</w:t>
      </w:r>
      <w:r w:rsidR="0053215C">
        <w:t xml:space="preserve"> Alaoui Hichami (Aug. 29, 2011</w:t>
      </w:r>
      <w:r w:rsidR="00FF1DB0">
        <w:t>, 11:35</w:t>
      </w:r>
      <w:r w:rsidR="005A2A73">
        <w:t xml:space="preserve"> EST</w:t>
      </w:r>
      <w:r w:rsidR="0053215C">
        <w:t>) (on file in EB-TCD-12-00000418)</w:t>
      </w:r>
      <w:r w:rsidR="009B2CE3">
        <w:t>.</w:t>
      </w:r>
    </w:p>
  </w:footnote>
  <w:footnote w:id="10">
    <w:p w:rsidR="00FE7566" w:rsidRDefault="00FE7566">
      <w:pPr>
        <w:pStyle w:val="FootnoteText"/>
      </w:pPr>
      <w:r>
        <w:rPr>
          <w:rStyle w:val="FootnoteReference"/>
        </w:rPr>
        <w:footnoteRef/>
      </w:r>
      <w:r>
        <w:t xml:space="preserve"> </w:t>
      </w:r>
      <w:r w:rsidRPr="009B2CE3">
        <w:rPr>
          <w:i/>
        </w:rPr>
        <w:t>See</w:t>
      </w:r>
      <w:r>
        <w:t xml:space="preserve"> E-mail from Amir Elmasri to Mika Savir, Attorney, Telecommunications Consumers Division, FCC Enforcement Bureau (Dec. 19, 2011, 12:55 EDT) (on file in EB-TCD-12-00000418).</w:t>
      </w:r>
    </w:p>
  </w:footnote>
  <w:footnote w:id="11">
    <w:p w:rsidR="00FE7566" w:rsidRDefault="00FE7566">
      <w:pPr>
        <w:pStyle w:val="FootnoteText"/>
      </w:pPr>
      <w:r>
        <w:rPr>
          <w:rStyle w:val="FootnoteReference"/>
        </w:rPr>
        <w:footnoteRef/>
      </w:r>
      <w:r w:rsidR="00B023C4">
        <w:t xml:space="preserve"> </w:t>
      </w:r>
      <w:r w:rsidR="00B023C4" w:rsidRPr="00AA65C7">
        <w:rPr>
          <w:i/>
        </w:rPr>
        <w:t>See</w:t>
      </w:r>
      <w:r w:rsidR="00B023C4">
        <w:t xml:space="preserve"> E-mail from Mika Savir, Attorney, Telecommunications Consumers Division, FCC Enforcement Bureau, to Amir Elmasri (Dec. 19, 2011, 13:32 EDT) (on file in EB-TCD-12-00000418).</w:t>
      </w:r>
    </w:p>
  </w:footnote>
  <w:footnote w:id="12">
    <w:p w:rsidR="002444D7" w:rsidRDefault="002444D7">
      <w:pPr>
        <w:pStyle w:val="FootnoteText"/>
      </w:pPr>
      <w:r>
        <w:rPr>
          <w:rStyle w:val="FootnoteReference"/>
        </w:rPr>
        <w:footnoteRef/>
      </w:r>
      <w:r>
        <w:t xml:space="preserve"> </w:t>
      </w:r>
      <w:r w:rsidRPr="00333164">
        <w:rPr>
          <w:i/>
        </w:rPr>
        <w:t>See</w:t>
      </w:r>
      <w:r w:rsidR="00F82619">
        <w:t xml:space="preserve"> </w:t>
      </w:r>
      <w:r w:rsidR="005A2A73">
        <w:t>E</w:t>
      </w:r>
      <w:r>
        <w:t>-mail from Amir Elmasri, VP, Net One International to Kimberly Wild, Deputy Division Chief, Telecommunications Consumers Division, FCC Enforcement Bureau (Dec. 22, 2011</w:t>
      </w:r>
      <w:r w:rsidR="00FF1DB0">
        <w:t xml:space="preserve">, </w:t>
      </w:r>
      <w:r w:rsidR="005A2A73">
        <w:t>18</w:t>
      </w:r>
      <w:r w:rsidR="00FF1DB0">
        <w:t>:21</w:t>
      </w:r>
      <w:r w:rsidR="005A2A73">
        <w:t xml:space="preserve"> E</w:t>
      </w:r>
      <w:r w:rsidR="00D47559">
        <w:t>D</w:t>
      </w:r>
      <w:r w:rsidR="005A2A73">
        <w:t>T</w:t>
      </w:r>
      <w:r>
        <w:t>)</w:t>
      </w:r>
      <w:r w:rsidR="009B2CE3">
        <w:t xml:space="preserve"> (on file in EB-TCD-12-00000418)</w:t>
      </w:r>
      <w:r>
        <w:t>.</w:t>
      </w:r>
      <w:r w:rsidR="00B8486B">
        <w:t xml:space="preserve">   </w:t>
      </w:r>
      <w:r w:rsidR="0053215C">
        <w:t xml:space="preserve">  </w:t>
      </w:r>
    </w:p>
  </w:footnote>
  <w:footnote w:id="13">
    <w:p w:rsidR="002444D7" w:rsidRDefault="002444D7">
      <w:pPr>
        <w:pStyle w:val="FootnoteText"/>
      </w:pPr>
      <w:r>
        <w:rPr>
          <w:rStyle w:val="FootnoteReference"/>
        </w:rPr>
        <w:footnoteRef/>
      </w:r>
      <w:r>
        <w:t xml:space="preserve"> </w:t>
      </w:r>
      <w:r w:rsidRPr="00AA65C7">
        <w:rPr>
          <w:i/>
        </w:rPr>
        <w:t>See</w:t>
      </w:r>
      <w:r w:rsidR="00F82619">
        <w:t xml:space="preserve"> </w:t>
      </w:r>
      <w:r w:rsidR="00D47559">
        <w:t>E</w:t>
      </w:r>
      <w:r>
        <w:t>-mail from Mika Savir, Attorney, Telecommunications Consumers Division, FCC Enforcement Bureau, to Amir Elmasri</w:t>
      </w:r>
      <w:r w:rsidR="001406EF" w:rsidRPr="001406EF">
        <w:t xml:space="preserve"> </w:t>
      </w:r>
      <w:r w:rsidR="001406EF">
        <w:t>VP, Net One International</w:t>
      </w:r>
      <w:r>
        <w:t xml:space="preserve"> (Jan. 9, 2012</w:t>
      </w:r>
      <w:r w:rsidR="00FF1DB0">
        <w:t xml:space="preserve">, </w:t>
      </w:r>
      <w:r w:rsidR="00D47559">
        <w:t>14:07 EDT</w:t>
      </w:r>
      <w:r>
        <w:t>)</w:t>
      </w:r>
      <w:r w:rsidR="00FF1DB0" w:rsidRPr="00FF1DB0">
        <w:t xml:space="preserve"> </w:t>
      </w:r>
      <w:r w:rsidR="00FF1DB0">
        <w:t>(on file in EB-TCD-12-00000418)</w:t>
      </w:r>
      <w:r>
        <w:t>.</w:t>
      </w:r>
    </w:p>
  </w:footnote>
  <w:footnote w:id="14">
    <w:p w:rsidR="002444D7" w:rsidRDefault="002444D7">
      <w:pPr>
        <w:pStyle w:val="FootnoteText"/>
      </w:pPr>
      <w:r>
        <w:rPr>
          <w:rStyle w:val="FootnoteReference"/>
        </w:rPr>
        <w:footnoteRef/>
      </w:r>
      <w:r>
        <w:t xml:space="preserve"> </w:t>
      </w:r>
      <w:r w:rsidRPr="00333164">
        <w:rPr>
          <w:i/>
        </w:rPr>
        <w:t>See</w:t>
      </w:r>
      <w:r w:rsidR="00F82619">
        <w:t xml:space="preserve"> </w:t>
      </w:r>
      <w:r w:rsidR="00F21FAB">
        <w:t>E</w:t>
      </w:r>
      <w:r>
        <w:t>-mail from Amir Elmasri, VP, Net One International to Mika Savir, Attorney, Telecommunications Consumers Division, FCC Enforcement Bureau (Jan. 20, 2012</w:t>
      </w:r>
      <w:r w:rsidR="001406EF">
        <w:t xml:space="preserve">, </w:t>
      </w:r>
      <w:r w:rsidR="00F21FAB">
        <w:t>19</w:t>
      </w:r>
      <w:r w:rsidR="001406EF">
        <w:t xml:space="preserve">:01 </w:t>
      </w:r>
      <w:r w:rsidR="00F21FAB">
        <w:t>EDT</w:t>
      </w:r>
      <w:r w:rsidR="001406EF">
        <w:t>)</w:t>
      </w:r>
      <w:r w:rsidR="001406EF" w:rsidRPr="001406EF">
        <w:t xml:space="preserve"> </w:t>
      </w:r>
      <w:r w:rsidR="001406EF">
        <w:t>(on file in EB-TCD-12-00000418)</w:t>
      </w:r>
      <w:r>
        <w:t xml:space="preserve">.  </w:t>
      </w:r>
      <w:r w:rsidR="001406EF">
        <w:t xml:space="preserve">Staff advised Net One that the Company was “required to provide full and complete responses to all [LOI] questions” and that the “LOI requested complaints or inquiries, written or otherwise, since August 1, 2010.  This means all complaints and inquiries submitted since that date, not just a sample.”  </w:t>
      </w:r>
      <w:r w:rsidR="001406EF" w:rsidRPr="00AA65C7">
        <w:rPr>
          <w:i/>
        </w:rPr>
        <w:t>See</w:t>
      </w:r>
      <w:r w:rsidR="001406EF">
        <w:t xml:space="preserve"> </w:t>
      </w:r>
      <w:r w:rsidR="00F21FAB">
        <w:t>E</w:t>
      </w:r>
      <w:r w:rsidR="001406EF">
        <w:t xml:space="preserve">-mail from Mika Savir, Attorney, Telecommunications Consumers Division, FCC Enforcement Bureau, to Amir Elmasri VP, Net One International (Jan. 26, 2012, 10:01 </w:t>
      </w:r>
      <w:r w:rsidR="00F21FAB">
        <w:t>EDT</w:t>
      </w:r>
      <w:r w:rsidR="001406EF">
        <w:t xml:space="preserve">) (on file in EB-TCD-12-00000418).  </w:t>
      </w:r>
      <w:r>
        <w:t xml:space="preserve">Net One provided two additional customer complaints.  </w:t>
      </w:r>
      <w:r w:rsidRPr="00333164">
        <w:rPr>
          <w:i/>
        </w:rPr>
        <w:t>See</w:t>
      </w:r>
      <w:r>
        <w:t xml:space="preserve"> </w:t>
      </w:r>
      <w:r w:rsidR="0001342D">
        <w:t>E</w:t>
      </w:r>
      <w:r>
        <w:t>-mail from Amir Elmasri, VP, Net One International to Mika Savir, Attorney, Telecommunications Consumers Division, FCC Enforcement Bureau (Feb. 29, 2012</w:t>
      </w:r>
      <w:r w:rsidR="0009572F">
        <w:t xml:space="preserve">, </w:t>
      </w:r>
      <w:r w:rsidR="00F21FAB">
        <w:t>19</w:t>
      </w:r>
      <w:r w:rsidR="0009572F">
        <w:t xml:space="preserve">:05 </w:t>
      </w:r>
      <w:r w:rsidR="00F21FAB">
        <w:t>EDT</w:t>
      </w:r>
      <w:r>
        <w:t>)</w:t>
      </w:r>
      <w:r w:rsidR="001406EF" w:rsidRPr="001406EF">
        <w:t xml:space="preserve"> </w:t>
      </w:r>
      <w:r w:rsidR="001406EF">
        <w:t>(on file in EB-TCD-12-00000418)</w:t>
      </w:r>
      <w:r>
        <w:t xml:space="preserve">.  </w:t>
      </w:r>
    </w:p>
  </w:footnote>
  <w:footnote w:id="15">
    <w:p w:rsidR="002444D7" w:rsidRDefault="002444D7">
      <w:pPr>
        <w:pStyle w:val="FootnoteText"/>
      </w:pPr>
      <w:r>
        <w:rPr>
          <w:rStyle w:val="FootnoteReference"/>
        </w:rPr>
        <w:footnoteRef/>
      </w:r>
      <w:r>
        <w:t xml:space="preserve"> </w:t>
      </w:r>
      <w:r w:rsidRPr="00785F04">
        <w:rPr>
          <w:i/>
        </w:rPr>
        <w:t>See</w:t>
      </w:r>
      <w:r>
        <w:t xml:space="preserve"> Letter from Thomas Gainor to Marlene Dortch, Secretary, FCC (Jan. 20, 2012) (on file in EB-TCD-12-00000418) (NAL Response).</w:t>
      </w:r>
    </w:p>
  </w:footnote>
  <w:footnote w:id="16">
    <w:p w:rsidR="00D45423" w:rsidRDefault="00D45423">
      <w:pPr>
        <w:pStyle w:val="FootnoteText"/>
      </w:pPr>
      <w:r>
        <w:rPr>
          <w:rStyle w:val="FootnoteReference"/>
        </w:rPr>
        <w:footnoteRef/>
      </w:r>
      <w:r>
        <w:t xml:space="preserve"> NAL Response at 2.</w:t>
      </w:r>
    </w:p>
  </w:footnote>
  <w:footnote w:id="17">
    <w:p w:rsidR="008B1481" w:rsidRDefault="008B1481" w:rsidP="008B1481">
      <w:pPr>
        <w:pStyle w:val="FootnoteText"/>
      </w:pPr>
      <w:r>
        <w:rPr>
          <w:rStyle w:val="FootnoteReference"/>
        </w:rPr>
        <w:footnoteRef/>
      </w:r>
      <w:r>
        <w:t xml:space="preserve"> </w:t>
      </w:r>
      <w:r w:rsidRPr="00AA65C7">
        <w:rPr>
          <w:i/>
        </w:rPr>
        <w:t>See</w:t>
      </w:r>
      <w:r>
        <w:t xml:space="preserve"> E-mail from Mika Savir, Attorney, Telecommunications Consumers Division, FCC Enforcement Bureau, to Amir Elmasri VP, Net One International (Apr. 10, 2012, 11:22 EST) (on file in EB-TCD-12-00000418).  </w:t>
      </w:r>
    </w:p>
  </w:footnote>
  <w:footnote w:id="18">
    <w:p w:rsidR="008B1481" w:rsidRDefault="008B1481" w:rsidP="008B1481">
      <w:pPr>
        <w:pStyle w:val="FootnoteText"/>
      </w:pPr>
      <w:r>
        <w:rPr>
          <w:rStyle w:val="FootnoteReference"/>
        </w:rPr>
        <w:footnoteRef/>
      </w:r>
      <w:r>
        <w:t xml:space="preserve"> Net One provided summaries of two customer complaints in September, 2012.  </w:t>
      </w:r>
      <w:r w:rsidRPr="00333164">
        <w:rPr>
          <w:i/>
        </w:rPr>
        <w:t>See</w:t>
      </w:r>
      <w:r>
        <w:t xml:space="preserve"> E-mail from Amir Elmasri, VP, Net One International to Mika Savir, Attorney, Telecommunications Consumers Division, FCC Enforcement Bureau (Sept. 21, 2012, 11:42 EST)</w:t>
      </w:r>
      <w:r w:rsidRPr="007663EC">
        <w:t xml:space="preserve"> </w:t>
      </w:r>
      <w:r>
        <w:t>(on file in EB-TCD-12-00000418).</w:t>
      </w:r>
    </w:p>
  </w:footnote>
  <w:footnote w:id="19">
    <w:p w:rsidR="000A36C5" w:rsidRDefault="000A36C5">
      <w:pPr>
        <w:pStyle w:val="FootnoteText"/>
      </w:pPr>
      <w:r>
        <w:rPr>
          <w:rStyle w:val="FootnoteReference"/>
        </w:rPr>
        <w:footnoteRef/>
      </w:r>
      <w:r>
        <w:t xml:space="preserve"> NAL Response at 2.</w:t>
      </w:r>
    </w:p>
  </w:footnote>
  <w:footnote w:id="20">
    <w:p w:rsidR="00246374" w:rsidRDefault="00246374">
      <w:pPr>
        <w:pStyle w:val="FootnoteText"/>
      </w:pPr>
      <w:r>
        <w:rPr>
          <w:rStyle w:val="FootnoteReference"/>
        </w:rPr>
        <w:footnoteRef/>
      </w:r>
      <w:r>
        <w:t xml:space="preserve"> </w:t>
      </w:r>
      <w:r w:rsidRPr="00246374">
        <w:rPr>
          <w:i/>
        </w:rPr>
        <w:t>Id.</w:t>
      </w:r>
    </w:p>
  </w:footnote>
  <w:footnote w:id="21">
    <w:p w:rsidR="00CC40ED" w:rsidRDefault="00CC40ED">
      <w:pPr>
        <w:pStyle w:val="FootnoteText"/>
      </w:pPr>
      <w:r>
        <w:rPr>
          <w:rStyle w:val="FootnoteReference"/>
        </w:rPr>
        <w:footnoteRef/>
      </w:r>
      <w:r w:rsidR="00246374">
        <w:t xml:space="preserve"> </w:t>
      </w:r>
      <w:r w:rsidR="00246374" w:rsidRPr="00246374">
        <w:rPr>
          <w:i/>
        </w:rPr>
        <w:t>Id.</w:t>
      </w:r>
    </w:p>
  </w:footnote>
  <w:footnote w:id="22">
    <w:p w:rsidR="00563796" w:rsidRDefault="00563796">
      <w:pPr>
        <w:pStyle w:val="FootnoteText"/>
      </w:pPr>
      <w:r>
        <w:rPr>
          <w:rStyle w:val="FootnoteReference"/>
        </w:rPr>
        <w:footnoteRef/>
      </w:r>
      <w:r>
        <w:t xml:space="preserve"> </w:t>
      </w:r>
      <w:r w:rsidRPr="00563796">
        <w:rPr>
          <w:i/>
        </w:rPr>
        <w:t>Id.</w:t>
      </w:r>
    </w:p>
  </w:footnote>
  <w:footnote w:id="23">
    <w:p w:rsidR="00D45423" w:rsidRDefault="00D45423" w:rsidP="00D45423">
      <w:pPr>
        <w:pStyle w:val="FootnoteText"/>
      </w:pPr>
      <w:r>
        <w:rPr>
          <w:rStyle w:val="FootnoteReference"/>
        </w:rPr>
        <w:footnoteRef/>
      </w:r>
      <w:r w:rsidR="00701ABA">
        <w:t xml:space="preserve"> </w:t>
      </w:r>
      <w:r w:rsidR="00701ABA" w:rsidRPr="00701ABA">
        <w:rPr>
          <w:i/>
        </w:rPr>
        <w:t>Id</w:t>
      </w:r>
      <w:r w:rsidR="00701ABA">
        <w:t>. at 1</w:t>
      </w:r>
      <w:r>
        <w:t>.</w:t>
      </w:r>
    </w:p>
  </w:footnote>
  <w:footnote w:id="24">
    <w:p w:rsidR="002444D7" w:rsidRDefault="002444D7">
      <w:pPr>
        <w:pStyle w:val="FootnoteText"/>
      </w:pPr>
      <w:r>
        <w:rPr>
          <w:rStyle w:val="FootnoteReference"/>
        </w:rPr>
        <w:footnoteRef/>
      </w:r>
      <w:r>
        <w:t xml:space="preserve"> </w:t>
      </w:r>
      <w:r w:rsidRPr="00367A5E">
        <w:rPr>
          <w:i/>
        </w:rPr>
        <w:t>Id.</w:t>
      </w:r>
      <w:r>
        <w:t xml:space="preserve"> at 2.</w:t>
      </w:r>
    </w:p>
  </w:footnote>
  <w:footnote w:id="25">
    <w:p w:rsidR="00643E4B" w:rsidRPr="001E26E8" w:rsidRDefault="00643E4B" w:rsidP="00643E4B">
      <w:pPr>
        <w:pStyle w:val="FootnoteText"/>
      </w:pPr>
      <w:r w:rsidRPr="001E26E8">
        <w:rPr>
          <w:rStyle w:val="FootnoteReference"/>
          <w:color w:val="000000"/>
        </w:rPr>
        <w:footnoteRef/>
      </w:r>
      <w:r w:rsidRPr="001E26E8">
        <w:rPr>
          <w:color w:val="000000"/>
        </w:rPr>
        <w:t xml:space="preserve"> </w:t>
      </w:r>
      <w:hyperlink r:id="rId1" w:tgtFrame="_top" w:history="1">
        <w:r w:rsidRPr="001E26E8">
          <w:rPr>
            <w:rStyle w:val="Hyperlink"/>
            <w:color w:val="000000"/>
            <w:u w:val="none"/>
          </w:rPr>
          <w:t>47 U.S.C. §</w:t>
        </w:r>
        <w:r>
          <w:rPr>
            <w:rStyle w:val="Hyperlink"/>
            <w:color w:val="000000"/>
            <w:u w:val="none"/>
          </w:rPr>
          <w:t xml:space="preserve"> </w:t>
        </w:r>
        <w:r w:rsidRPr="001E26E8">
          <w:rPr>
            <w:rStyle w:val="Hyperlink"/>
            <w:color w:val="000000"/>
            <w:u w:val="none"/>
          </w:rPr>
          <w:t>503(b)(1)(B)</w:t>
        </w:r>
      </w:hyperlink>
      <w:r>
        <w:rPr>
          <w:color w:val="000000"/>
        </w:rPr>
        <w:t xml:space="preserve">; </w:t>
      </w:r>
      <w:r w:rsidRPr="00510037">
        <w:rPr>
          <w:i/>
          <w:color w:val="000000"/>
        </w:rPr>
        <w:t>s</w:t>
      </w:r>
      <w:r w:rsidRPr="001E26E8">
        <w:rPr>
          <w:i/>
          <w:color w:val="000000"/>
        </w:rPr>
        <w:t>ee also</w:t>
      </w:r>
      <w:r w:rsidRPr="001E26E8">
        <w:rPr>
          <w:color w:val="000000"/>
        </w:rPr>
        <w:t xml:space="preserve"> </w:t>
      </w:r>
      <w:hyperlink r:id="rId2" w:tgtFrame="_top" w:history="1">
        <w:r w:rsidRPr="001E26E8">
          <w:rPr>
            <w:rStyle w:val="Hyperlink"/>
            <w:color w:val="000000"/>
            <w:u w:val="none"/>
          </w:rPr>
          <w:t>47 C.F.R. § 1.80(a)(2)</w:t>
        </w:r>
      </w:hyperlink>
      <w:r w:rsidRPr="001E26E8">
        <w:rPr>
          <w:color w:val="000000"/>
        </w:rPr>
        <w:t>.</w:t>
      </w:r>
    </w:p>
  </w:footnote>
  <w:footnote w:id="26">
    <w:p w:rsidR="002444D7" w:rsidRPr="00F719BC" w:rsidRDefault="002444D7" w:rsidP="00107BCF">
      <w:pPr>
        <w:pStyle w:val="FootnoteText"/>
      </w:pPr>
      <w:r w:rsidRPr="002E0D8A">
        <w:rPr>
          <w:rStyle w:val="FootnoteReference"/>
          <w:color w:val="000000"/>
        </w:rPr>
        <w:footnoteRef/>
      </w:r>
      <w:r w:rsidRPr="002E0D8A">
        <w:rPr>
          <w:color w:val="000000"/>
        </w:rPr>
        <w:t xml:space="preserve">  </w:t>
      </w:r>
      <w:hyperlink r:id="rId3" w:tgtFrame="_top" w:history="1">
        <w:r w:rsidR="003F2FF2" w:rsidRPr="002E0D8A">
          <w:rPr>
            <w:rStyle w:val="Hyperlink"/>
            <w:snapToGrid w:val="0"/>
            <w:color w:val="000000"/>
            <w:u w:val="none"/>
          </w:rPr>
          <w:t>47 U.S.C. § 503(b)(2)(B)</w:t>
        </w:r>
      </w:hyperlink>
      <w:r w:rsidR="003F2FF2" w:rsidRPr="002E0D8A">
        <w:rPr>
          <w:snapToGrid w:val="0"/>
          <w:color w:val="000000"/>
        </w:rPr>
        <w:t xml:space="preserve">; </w:t>
      </w:r>
      <w:r w:rsidR="003F2FF2" w:rsidRPr="002E0D8A">
        <w:rPr>
          <w:i/>
          <w:snapToGrid w:val="0"/>
          <w:color w:val="000000"/>
        </w:rPr>
        <w:t>see also</w:t>
      </w:r>
      <w:r w:rsidR="003F2FF2" w:rsidRPr="002E0D8A">
        <w:rPr>
          <w:snapToGrid w:val="0"/>
          <w:color w:val="000000"/>
        </w:rPr>
        <w:t xml:space="preserve"> </w:t>
      </w:r>
      <w:hyperlink r:id="rId4" w:tgtFrame="_top" w:history="1">
        <w:r w:rsidR="003F2FF2" w:rsidRPr="002E0D8A">
          <w:rPr>
            <w:rStyle w:val="Hyperlink"/>
            <w:snapToGrid w:val="0"/>
            <w:color w:val="000000"/>
            <w:u w:val="none"/>
          </w:rPr>
          <w:t>47 C.F.R. § 1.80(b)(2)</w:t>
        </w:r>
      </w:hyperlink>
      <w:r w:rsidR="003F2FF2" w:rsidRPr="002E0D8A">
        <w:rPr>
          <w:snapToGrid w:val="0"/>
          <w:color w:val="000000"/>
        </w:rPr>
        <w:t xml:space="preserve">.  </w:t>
      </w:r>
      <w:r w:rsidR="003F2FF2" w:rsidRPr="002E0D8A">
        <w:rPr>
          <w:snapToGrid w:val="0"/>
          <w:color w:val="000000" w:themeColor="text1"/>
        </w:rPr>
        <w:t>The</w:t>
      </w:r>
      <w:r w:rsidR="003F2FF2">
        <w:rPr>
          <w:snapToGrid w:val="0"/>
          <w:color w:val="000000" w:themeColor="text1"/>
        </w:rPr>
        <w:t xml:space="preserv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003F2FF2">
        <w:rPr>
          <w:i/>
          <w:snapToGrid w:val="0"/>
          <w:color w:val="000000" w:themeColor="text1"/>
        </w:rPr>
        <w:t>See</w:t>
      </w:r>
      <w:r w:rsidR="003F2FF2">
        <w:rPr>
          <w:snapToGrid w:val="0"/>
          <w:color w:val="000000" w:themeColor="text1"/>
        </w:rPr>
        <w:t xml:space="preserve"> 28 U.S.C. § 2461 note (4).  The Commission most recently adjusted its penalties to account for inflation in 2013.  </w:t>
      </w:r>
      <w:r w:rsidR="003F2FF2">
        <w:rPr>
          <w:i/>
          <w:snapToGrid w:val="0"/>
          <w:color w:val="000000" w:themeColor="text1"/>
        </w:rPr>
        <w:t>See Amendment of Section 1.80(b) of the Commission’s Rules, Adjustment of Civil Monetary Penalties to Reflect Inflation</w:t>
      </w:r>
      <w:r w:rsidR="003F2FF2">
        <w:rPr>
          <w:snapToGrid w:val="0"/>
          <w:color w:val="000000" w:themeColor="text1"/>
        </w:rPr>
        <w:t xml:space="preserve">, 28 FCC Rcd 10785 (Enf. Bur. 2013); </w:t>
      </w:r>
      <w:r w:rsidR="003F2FF2">
        <w:rPr>
          <w:i/>
          <w:snapToGrid w:val="0"/>
          <w:color w:val="000000" w:themeColor="text1"/>
        </w:rPr>
        <w:t>see also</w:t>
      </w:r>
      <w:r w:rsidR="003F2FF2">
        <w:rPr>
          <w:snapToGrid w:val="0"/>
          <w:color w:val="000000" w:themeColor="text1"/>
        </w:rPr>
        <w:t xml:space="preserve"> </w:t>
      </w:r>
      <w:r w:rsidR="003F2FF2">
        <w:rPr>
          <w:i/>
          <w:snapToGrid w:val="0"/>
          <w:color w:val="000000" w:themeColor="text1"/>
        </w:rPr>
        <w:t>Inflation Adjustment of Monetary Penalties</w:t>
      </w:r>
      <w:r w:rsidR="003F2FF2">
        <w:rPr>
          <w:snapToGrid w:val="0"/>
          <w:color w:val="000000" w:themeColor="text1"/>
        </w:rPr>
        <w:t>, 78 Fed. Reg. 49,370-01 (Aug. 14, 2013) (setting Sept. 13, 2013, as the effective date for the increases).  Because the DCIA specifies that any inflationary adjustment “shall apply only to violations that occur after the date the increase takes effect,” however, we apply the forfeiture penalties in effect at the time the apparent violation took place.  28 U.S.C. § 2461 note (6</w:t>
      </w:r>
      <w:r w:rsidR="002E0D8A">
        <w:rPr>
          <w:snapToGrid w:val="0"/>
          <w:color w:val="000000" w:themeColor="text1"/>
        </w:rPr>
        <w:t>).</w:t>
      </w:r>
    </w:p>
  </w:footnote>
  <w:footnote w:id="27">
    <w:p w:rsidR="002444D7" w:rsidRDefault="002444D7" w:rsidP="00107BCF">
      <w:pPr>
        <w:pStyle w:val="FootnoteText"/>
      </w:pPr>
      <w:r>
        <w:rPr>
          <w:rStyle w:val="FootnoteReference"/>
        </w:rPr>
        <w:footnoteRef/>
      </w:r>
      <w:r>
        <w:t xml:space="preserve"> </w:t>
      </w:r>
      <w:r w:rsidRPr="00D67F63">
        <w:rPr>
          <w:i/>
        </w:rPr>
        <w:t>See</w:t>
      </w:r>
      <w:r>
        <w:t xml:space="preserve"> 47 U.S.C. § 503(b)(2)(E).</w:t>
      </w:r>
    </w:p>
  </w:footnote>
  <w:footnote w:id="28">
    <w:p w:rsidR="009B6F63" w:rsidRDefault="009B6F63" w:rsidP="009B6F63">
      <w:pPr>
        <w:pStyle w:val="FootnoteText"/>
      </w:pPr>
      <w:r>
        <w:rPr>
          <w:rStyle w:val="FootnoteReference"/>
        </w:rPr>
        <w:footnoteRef/>
      </w:r>
      <w:r w:rsidR="00962132">
        <w:t xml:space="preserve"> 47 C.F.R. § 1.80(b)(8</w:t>
      </w:r>
      <w:r>
        <w:t xml:space="preserve">) note.  </w:t>
      </w:r>
    </w:p>
  </w:footnote>
  <w:footnote w:id="29">
    <w:p w:rsidR="009B6F63" w:rsidRDefault="009B6F63">
      <w:pPr>
        <w:pStyle w:val="FootnoteText"/>
      </w:pPr>
      <w:r>
        <w:rPr>
          <w:rStyle w:val="FootnoteReference"/>
        </w:rPr>
        <w:footnoteRef/>
      </w:r>
      <w:r>
        <w:t xml:space="preserve"> </w:t>
      </w:r>
      <w:r w:rsidRPr="009B6F63">
        <w:rPr>
          <w:i/>
        </w:rPr>
        <w:t>Id.</w:t>
      </w:r>
    </w:p>
  </w:footnote>
  <w:footnote w:id="30">
    <w:p w:rsidR="003257A4" w:rsidRDefault="003257A4">
      <w:pPr>
        <w:pStyle w:val="FootnoteText"/>
      </w:pPr>
      <w:r>
        <w:rPr>
          <w:rStyle w:val="FootnoteReference"/>
        </w:rPr>
        <w:footnoteRef/>
      </w:r>
      <w:r>
        <w:t xml:space="preserve"> </w:t>
      </w:r>
      <w:r>
        <w:rPr>
          <w:i/>
        </w:rPr>
        <w:t>Net One NAL</w:t>
      </w:r>
      <w:r>
        <w:t xml:space="preserve">, 26 FCC Rcd at </w:t>
      </w:r>
      <w:r w:rsidR="00E66541">
        <w:t>16495</w:t>
      </w:r>
      <w:r>
        <w:t>, para. 8.</w:t>
      </w:r>
    </w:p>
  </w:footnote>
  <w:footnote w:id="31">
    <w:p w:rsidR="002444D7" w:rsidRDefault="002444D7" w:rsidP="0032601D">
      <w:pPr>
        <w:pStyle w:val="FootnoteText"/>
      </w:pPr>
      <w:r>
        <w:rPr>
          <w:rStyle w:val="FootnoteReference"/>
        </w:rPr>
        <w:footnoteRef/>
      </w:r>
      <w:r>
        <w:t xml:space="preserve"> NAL Response at 2.</w:t>
      </w:r>
    </w:p>
  </w:footnote>
  <w:footnote w:id="32">
    <w:p w:rsidR="00EC29CE" w:rsidRPr="00EC29CE" w:rsidRDefault="00EC29CE">
      <w:pPr>
        <w:pStyle w:val="FootnoteText"/>
      </w:pPr>
      <w:r>
        <w:rPr>
          <w:rStyle w:val="FootnoteReference"/>
        </w:rPr>
        <w:footnoteRef/>
      </w:r>
      <w:r>
        <w:t xml:space="preserve"> </w:t>
      </w:r>
      <w:r>
        <w:rPr>
          <w:i/>
        </w:rPr>
        <w:t>Net One NAL</w:t>
      </w:r>
      <w:r>
        <w:t>, 26 FCC Rcd at 16497, para. 15.</w:t>
      </w:r>
    </w:p>
  </w:footnote>
  <w:footnote w:id="33">
    <w:p w:rsidR="002444D7" w:rsidRDefault="002444D7" w:rsidP="00CB3D24">
      <w:pPr>
        <w:pStyle w:val="FootnoteText"/>
      </w:pPr>
      <w:r>
        <w:rPr>
          <w:rStyle w:val="FootnoteReference"/>
        </w:rPr>
        <w:footnoteRef/>
      </w:r>
      <w:r>
        <w:t xml:space="preserve"> 47 C.F.R. § 1.80.</w:t>
      </w:r>
    </w:p>
  </w:footnote>
  <w:footnote w:id="34">
    <w:p w:rsidR="002444D7" w:rsidRDefault="002444D7" w:rsidP="00CB3D24">
      <w:pPr>
        <w:pStyle w:val="FootnoteText"/>
      </w:pPr>
      <w:r>
        <w:rPr>
          <w:rStyle w:val="FootnoteReference"/>
        </w:rPr>
        <w:footnoteRef/>
      </w:r>
      <w:r>
        <w:t xml:space="preserve"> 47 U.S.C. § 504(a).</w:t>
      </w:r>
    </w:p>
  </w:footnote>
  <w:footnote w:id="35">
    <w:p w:rsidR="002444D7" w:rsidRDefault="002444D7" w:rsidP="00CB3D24">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36">
    <w:p w:rsidR="002444D7" w:rsidRDefault="002444D7" w:rsidP="00CB3D24">
      <w:pPr>
        <w:pStyle w:val="FootnoteTex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C2" w:rsidRDefault="00827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C4" w:rsidRDefault="00C46CC4" w:rsidP="00C46CC4">
    <w:pPr>
      <w:pStyle w:val="Header"/>
      <w:pBdr>
        <w:bottom w:val="single" w:sz="12" w:space="1" w:color="auto"/>
      </w:pBdr>
      <w:rPr>
        <w:b w:val="0"/>
      </w:rPr>
    </w:pPr>
    <w:r>
      <w:tab/>
      <w:t>Federal Comm</w:t>
    </w:r>
    <w:r w:rsidR="001467D5">
      <w:t>unications Commission</w:t>
    </w:r>
    <w:r w:rsidR="001467D5">
      <w:tab/>
      <w:t>DA 14-38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D7" w:rsidRDefault="002444D7">
    <w:pPr>
      <w:pStyle w:val="Header"/>
      <w:pBdr>
        <w:bottom w:val="single" w:sz="12" w:space="1" w:color="auto"/>
      </w:pBdr>
      <w:rPr>
        <w:b w:val="0"/>
      </w:rPr>
    </w:pPr>
    <w:r>
      <w:tab/>
      <w:t>Federal Communications Commission</w:t>
    </w:r>
    <w:r>
      <w:tab/>
      <w:t>DA 1</w:t>
    </w:r>
    <w:r w:rsidR="001467D5">
      <w:t>4-38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28E1E95"/>
    <w:multiLevelType w:val="singleLevel"/>
    <w:tmpl w:val="1DB28C6C"/>
    <w:lvl w:ilvl="0">
      <w:start w:val="1"/>
      <w:numFmt w:val="decimal"/>
      <w:pStyle w:val="par1"/>
      <w:lvlText w:val="%1."/>
      <w:lvlJc w:val="left"/>
      <w:pPr>
        <w:tabs>
          <w:tab w:val="num" w:pos="1080"/>
        </w:tabs>
        <w:ind w:left="0" w:firstLine="720"/>
      </w:pPr>
    </w:lvl>
  </w:abstractNum>
  <w:abstractNum w:abstractNumId="8">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num w:numId="1">
    <w:abstractNumId w:val="1"/>
  </w:num>
  <w:num w:numId="2">
    <w:abstractNumId w:val="6"/>
  </w:num>
  <w:num w:numId="3">
    <w:abstractNumId w:val="3"/>
  </w:num>
  <w:num w:numId="4">
    <w:abstractNumId w:val="7"/>
  </w:num>
  <w:num w:numId="5">
    <w:abstractNumId w:val="8"/>
  </w:num>
  <w:num w:numId="6">
    <w:abstractNumId w:val="4"/>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F0"/>
    <w:rsid w:val="00000605"/>
    <w:rsid w:val="00000F04"/>
    <w:rsid w:val="00000F83"/>
    <w:rsid w:val="000012E2"/>
    <w:rsid w:val="00002063"/>
    <w:rsid w:val="000022C3"/>
    <w:rsid w:val="00002835"/>
    <w:rsid w:val="00002C7F"/>
    <w:rsid w:val="000035C8"/>
    <w:rsid w:val="00004224"/>
    <w:rsid w:val="0000423D"/>
    <w:rsid w:val="000060FD"/>
    <w:rsid w:val="00006F58"/>
    <w:rsid w:val="000071EE"/>
    <w:rsid w:val="00010508"/>
    <w:rsid w:val="000131A6"/>
    <w:rsid w:val="0001342D"/>
    <w:rsid w:val="000134C7"/>
    <w:rsid w:val="00013D6F"/>
    <w:rsid w:val="000153F5"/>
    <w:rsid w:val="00017408"/>
    <w:rsid w:val="00017EF4"/>
    <w:rsid w:val="00020943"/>
    <w:rsid w:val="0002159C"/>
    <w:rsid w:val="00021C13"/>
    <w:rsid w:val="00021FB7"/>
    <w:rsid w:val="000226C1"/>
    <w:rsid w:val="000237D3"/>
    <w:rsid w:val="00023B0E"/>
    <w:rsid w:val="00024081"/>
    <w:rsid w:val="0002439E"/>
    <w:rsid w:val="00024A42"/>
    <w:rsid w:val="00025AFB"/>
    <w:rsid w:val="00026444"/>
    <w:rsid w:val="000264C2"/>
    <w:rsid w:val="00026993"/>
    <w:rsid w:val="000273A7"/>
    <w:rsid w:val="0003063B"/>
    <w:rsid w:val="00030650"/>
    <w:rsid w:val="000310F7"/>
    <w:rsid w:val="0003139B"/>
    <w:rsid w:val="00034BDD"/>
    <w:rsid w:val="000355E6"/>
    <w:rsid w:val="00036039"/>
    <w:rsid w:val="00036047"/>
    <w:rsid w:val="00036468"/>
    <w:rsid w:val="00036FE0"/>
    <w:rsid w:val="00037F90"/>
    <w:rsid w:val="00040258"/>
    <w:rsid w:val="00040DE3"/>
    <w:rsid w:val="00044945"/>
    <w:rsid w:val="00044A59"/>
    <w:rsid w:val="0004614F"/>
    <w:rsid w:val="000468C9"/>
    <w:rsid w:val="00047C72"/>
    <w:rsid w:val="00047D4A"/>
    <w:rsid w:val="00050189"/>
    <w:rsid w:val="00050C70"/>
    <w:rsid w:val="00051D4F"/>
    <w:rsid w:val="00051DC2"/>
    <w:rsid w:val="00052394"/>
    <w:rsid w:val="00052AA0"/>
    <w:rsid w:val="00052AC0"/>
    <w:rsid w:val="00052B53"/>
    <w:rsid w:val="00052F05"/>
    <w:rsid w:val="00053557"/>
    <w:rsid w:val="000549EA"/>
    <w:rsid w:val="00055BDB"/>
    <w:rsid w:val="00056523"/>
    <w:rsid w:val="000566FE"/>
    <w:rsid w:val="00056DA7"/>
    <w:rsid w:val="00056F93"/>
    <w:rsid w:val="00057E7F"/>
    <w:rsid w:val="00057EA0"/>
    <w:rsid w:val="00060678"/>
    <w:rsid w:val="00061400"/>
    <w:rsid w:val="0006258C"/>
    <w:rsid w:val="000646DF"/>
    <w:rsid w:val="000648C3"/>
    <w:rsid w:val="00064E7C"/>
    <w:rsid w:val="00064FB9"/>
    <w:rsid w:val="00066BF9"/>
    <w:rsid w:val="000674D3"/>
    <w:rsid w:val="00070BA1"/>
    <w:rsid w:val="00071FA9"/>
    <w:rsid w:val="000721F1"/>
    <w:rsid w:val="000732EA"/>
    <w:rsid w:val="0007617C"/>
    <w:rsid w:val="0007708E"/>
    <w:rsid w:val="000771CF"/>
    <w:rsid w:val="000821D8"/>
    <w:rsid w:val="0008243B"/>
    <w:rsid w:val="00082F0D"/>
    <w:rsid w:val="00084275"/>
    <w:rsid w:val="00084615"/>
    <w:rsid w:val="00084943"/>
    <w:rsid w:val="00085122"/>
    <w:rsid w:val="00086A7E"/>
    <w:rsid w:val="000875BF"/>
    <w:rsid w:val="00087DB2"/>
    <w:rsid w:val="00090710"/>
    <w:rsid w:val="00091FB3"/>
    <w:rsid w:val="00093E93"/>
    <w:rsid w:val="000940C6"/>
    <w:rsid w:val="000946F0"/>
    <w:rsid w:val="00095078"/>
    <w:rsid w:val="0009572F"/>
    <w:rsid w:val="00096C35"/>
    <w:rsid w:val="00096D8C"/>
    <w:rsid w:val="000A0A13"/>
    <w:rsid w:val="000A3579"/>
    <w:rsid w:val="000A36C5"/>
    <w:rsid w:val="000A3784"/>
    <w:rsid w:val="000A490E"/>
    <w:rsid w:val="000A5D15"/>
    <w:rsid w:val="000A69C2"/>
    <w:rsid w:val="000A737B"/>
    <w:rsid w:val="000A7C84"/>
    <w:rsid w:val="000B2CCB"/>
    <w:rsid w:val="000B3272"/>
    <w:rsid w:val="000B3910"/>
    <w:rsid w:val="000B4D80"/>
    <w:rsid w:val="000B531C"/>
    <w:rsid w:val="000B6C32"/>
    <w:rsid w:val="000B72B1"/>
    <w:rsid w:val="000B7633"/>
    <w:rsid w:val="000C0B65"/>
    <w:rsid w:val="000C0F99"/>
    <w:rsid w:val="000C124B"/>
    <w:rsid w:val="000C14AE"/>
    <w:rsid w:val="000C1889"/>
    <w:rsid w:val="000C195E"/>
    <w:rsid w:val="000C2CE7"/>
    <w:rsid w:val="000C3E4B"/>
    <w:rsid w:val="000C5AF2"/>
    <w:rsid w:val="000C5F52"/>
    <w:rsid w:val="000C6BB1"/>
    <w:rsid w:val="000C6C6E"/>
    <w:rsid w:val="000D16EE"/>
    <w:rsid w:val="000D2D46"/>
    <w:rsid w:val="000D361A"/>
    <w:rsid w:val="000D4107"/>
    <w:rsid w:val="000D438B"/>
    <w:rsid w:val="000D4B02"/>
    <w:rsid w:val="000D5D8C"/>
    <w:rsid w:val="000E01D3"/>
    <w:rsid w:val="000E1566"/>
    <w:rsid w:val="000E1FF9"/>
    <w:rsid w:val="000E22FB"/>
    <w:rsid w:val="000E3D42"/>
    <w:rsid w:val="000E4107"/>
    <w:rsid w:val="000E6F83"/>
    <w:rsid w:val="000E7270"/>
    <w:rsid w:val="000E7FC2"/>
    <w:rsid w:val="000F3523"/>
    <w:rsid w:val="000F47F4"/>
    <w:rsid w:val="000F4DF5"/>
    <w:rsid w:val="000F5673"/>
    <w:rsid w:val="000F60B5"/>
    <w:rsid w:val="000F639D"/>
    <w:rsid w:val="000F6A7B"/>
    <w:rsid w:val="001008E8"/>
    <w:rsid w:val="00100D73"/>
    <w:rsid w:val="001036F6"/>
    <w:rsid w:val="00103AAB"/>
    <w:rsid w:val="00104F3A"/>
    <w:rsid w:val="00105607"/>
    <w:rsid w:val="00106086"/>
    <w:rsid w:val="001061A2"/>
    <w:rsid w:val="00106A32"/>
    <w:rsid w:val="00106F35"/>
    <w:rsid w:val="00107379"/>
    <w:rsid w:val="00107BCF"/>
    <w:rsid w:val="001110B2"/>
    <w:rsid w:val="001113F4"/>
    <w:rsid w:val="00111EAB"/>
    <w:rsid w:val="00112989"/>
    <w:rsid w:val="00113441"/>
    <w:rsid w:val="00114375"/>
    <w:rsid w:val="00114405"/>
    <w:rsid w:val="00114763"/>
    <w:rsid w:val="00114C84"/>
    <w:rsid w:val="001156C3"/>
    <w:rsid w:val="001166DB"/>
    <w:rsid w:val="001171BE"/>
    <w:rsid w:val="00121486"/>
    <w:rsid w:val="0012278C"/>
    <w:rsid w:val="00122BD5"/>
    <w:rsid w:val="001246AE"/>
    <w:rsid w:val="001247F9"/>
    <w:rsid w:val="00124DF6"/>
    <w:rsid w:val="0012575B"/>
    <w:rsid w:val="0012581A"/>
    <w:rsid w:val="0012603B"/>
    <w:rsid w:val="001264D3"/>
    <w:rsid w:val="00126C6D"/>
    <w:rsid w:val="00126DBD"/>
    <w:rsid w:val="0012719E"/>
    <w:rsid w:val="001274BE"/>
    <w:rsid w:val="00127825"/>
    <w:rsid w:val="00130898"/>
    <w:rsid w:val="0013111D"/>
    <w:rsid w:val="001323A7"/>
    <w:rsid w:val="00132613"/>
    <w:rsid w:val="00134A68"/>
    <w:rsid w:val="00136235"/>
    <w:rsid w:val="00136DDF"/>
    <w:rsid w:val="0013721D"/>
    <w:rsid w:val="0013752B"/>
    <w:rsid w:val="0013774B"/>
    <w:rsid w:val="00137EF9"/>
    <w:rsid w:val="001405D3"/>
    <w:rsid w:val="001406EF"/>
    <w:rsid w:val="00140A01"/>
    <w:rsid w:val="00142CE1"/>
    <w:rsid w:val="00143109"/>
    <w:rsid w:val="00143D77"/>
    <w:rsid w:val="0014445F"/>
    <w:rsid w:val="001445B5"/>
    <w:rsid w:val="001445F4"/>
    <w:rsid w:val="0014555E"/>
    <w:rsid w:val="001467D5"/>
    <w:rsid w:val="00146E47"/>
    <w:rsid w:val="00147E1A"/>
    <w:rsid w:val="00150612"/>
    <w:rsid w:val="00152B3F"/>
    <w:rsid w:val="001547C0"/>
    <w:rsid w:val="0015519E"/>
    <w:rsid w:val="001555CB"/>
    <w:rsid w:val="001572C5"/>
    <w:rsid w:val="00164B5F"/>
    <w:rsid w:val="0016537C"/>
    <w:rsid w:val="00165B58"/>
    <w:rsid w:val="00166606"/>
    <w:rsid w:val="00167321"/>
    <w:rsid w:val="00167665"/>
    <w:rsid w:val="00170257"/>
    <w:rsid w:val="00170C56"/>
    <w:rsid w:val="00172807"/>
    <w:rsid w:val="00173F33"/>
    <w:rsid w:val="00174144"/>
    <w:rsid w:val="0017426B"/>
    <w:rsid w:val="001744CD"/>
    <w:rsid w:val="00175A2B"/>
    <w:rsid w:val="00176870"/>
    <w:rsid w:val="00176C51"/>
    <w:rsid w:val="00177067"/>
    <w:rsid w:val="001823DD"/>
    <w:rsid w:val="00182C3F"/>
    <w:rsid w:val="00184C6C"/>
    <w:rsid w:val="00186597"/>
    <w:rsid w:val="001876E0"/>
    <w:rsid w:val="00190F1B"/>
    <w:rsid w:val="00191BED"/>
    <w:rsid w:val="00191C87"/>
    <w:rsid w:val="00191EAF"/>
    <w:rsid w:val="00192B30"/>
    <w:rsid w:val="001942E9"/>
    <w:rsid w:val="00194B83"/>
    <w:rsid w:val="00195E7D"/>
    <w:rsid w:val="00196153"/>
    <w:rsid w:val="001A056C"/>
    <w:rsid w:val="001A0D9F"/>
    <w:rsid w:val="001A0E76"/>
    <w:rsid w:val="001A1274"/>
    <w:rsid w:val="001A37AF"/>
    <w:rsid w:val="001A3F88"/>
    <w:rsid w:val="001A43D0"/>
    <w:rsid w:val="001A4749"/>
    <w:rsid w:val="001A543B"/>
    <w:rsid w:val="001A6BA1"/>
    <w:rsid w:val="001A7010"/>
    <w:rsid w:val="001B0F72"/>
    <w:rsid w:val="001B1C94"/>
    <w:rsid w:val="001B2BDE"/>
    <w:rsid w:val="001B3EFF"/>
    <w:rsid w:val="001B4F63"/>
    <w:rsid w:val="001B7240"/>
    <w:rsid w:val="001B7915"/>
    <w:rsid w:val="001C019C"/>
    <w:rsid w:val="001C07BC"/>
    <w:rsid w:val="001C0887"/>
    <w:rsid w:val="001C0A1E"/>
    <w:rsid w:val="001C269B"/>
    <w:rsid w:val="001C3CAE"/>
    <w:rsid w:val="001C4725"/>
    <w:rsid w:val="001C578A"/>
    <w:rsid w:val="001C58B6"/>
    <w:rsid w:val="001C6A63"/>
    <w:rsid w:val="001C7886"/>
    <w:rsid w:val="001D0120"/>
    <w:rsid w:val="001D2575"/>
    <w:rsid w:val="001D5AE9"/>
    <w:rsid w:val="001D5B02"/>
    <w:rsid w:val="001D5E00"/>
    <w:rsid w:val="001D5ECD"/>
    <w:rsid w:val="001D6BCF"/>
    <w:rsid w:val="001D7820"/>
    <w:rsid w:val="001D7CCE"/>
    <w:rsid w:val="001E01CA"/>
    <w:rsid w:val="001E09EC"/>
    <w:rsid w:val="001E1723"/>
    <w:rsid w:val="001E2129"/>
    <w:rsid w:val="001E37E4"/>
    <w:rsid w:val="001E3B68"/>
    <w:rsid w:val="001E58C7"/>
    <w:rsid w:val="001E5EBF"/>
    <w:rsid w:val="001E5FEE"/>
    <w:rsid w:val="001E62E0"/>
    <w:rsid w:val="001E6628"/>
    <w:rsid w:val="001E68F2"/>
    <w:rsid w:val="001F0EFC"/>
    <w:rsid w:val="001F1AA4"/>
    <w:rsid w:val="001F4344"/>
    <w:rsid w:val="001F501D"/>
    <w:rsid w:val="001F58A1"/>
    <w:rsid w:val="001F58FB"/>
    <w:rsid w:val="001F58FC"/>
    <w:rsid w:val="001F59C2"/>
    <w:rsid w:val="001F62A6"/>
    <w:rsid w:val="001F6DE6"/>
    <w:rsid w:val="001F7956"/>
    <w:rsid w:val="002004BA"/>
    <w:rsid w:val="002011EF"/>
    <w:rsid w:val="002015F5"/>
    <w:rsid w:val="002023DD"/>
    <w:rsid w:val="00203B27"/>
    <w:rsid w:val="002047B0"/>
    <w:rsid w:val="00207CDF"/>
    <w:rsid w:val="00210905"/>
    <w:rsid w:val="00210B2D"/>
    <w:rsid w:val="00211940"/>
    <w:rsid w:val="00212829"/>
    <w:rsid w:val="00212CEF"/>
    <w:rsid w:val="002153E6"/>
    <w:rsid w:val="00215430"/>
    <w:rsid w:val="00216EC1"/>
    <w:rsid w:val="00220C45"/>
    <w:rsid w:val="002212D2"/>
    <w:rsid w:val="00223697"/>
    <w:rsid w:val="00225579"/>
    <w:rsid w:val="00226A24"/>
    <w:rsid w:val="00227469"/>
    <w:rsid w:val="00231C78"/>
    <w:rsid w:val="00232BE1"/>
    <w:rsid w:val="00233A95"/>
    <w:rsid w:val="00236422"/>
    <w:rsid w:val="00236B21"/>
    <w:rsid w:val="00236D64"/>
    <w:rsid w:val="00237117"/>
    <w:rsid w:val="0023740E"/>
    <w:rsid w:val="00237E23"/>
    <w:rsid w:val="00240496"/>
    <w:rsid w:val="00240AE4"/>
    <w:rsid w:val="00241230"/>
    <w:rsid w:val="002426E1"/>
    <w:rsid w:val="00242A19"/>
    <w:rsid w:val="002436CF"/>
    <w:rsid w:val="0024402A"/>
    <w:rsid w:val="002444D7"/>
    <w:rsid w:val="002449E9"/>
    <w:rsid w:val="00246374"/>
    <w:rsid w:val="0025048C"/>
    <w:rsid w:val="00250507"/>
    <w:rsid w:val="0025374F"/>
    <w:rsid w:val="00254774"/>
    <w:rsid w:val="00254840"/>
    <w:rsid w:val="00254DE2"/>
    <w:rsid w:val="0025645A"/>
    <w:rsid w:val="00257560"/>
    <w:rsid w:val="00257F6E"/>
    <w:rsid w:val="00260165"/>
    <w:rsid w:val="00260B32"/>
    <w:rsid w:val="00261A00"/>
    <w:rsid w:val="00264187"/>
    <w:rsid w:val="00270410"/>
    <w:rsid w:val="002705BE"/>
    <w:rsid w:val="00271A97"/>
    <w:rsid w:val="00272DB3"/>
    <w:rsid w:val="0027356C"/>
    <w:rsid w:val="00273647"/>
    <w:rsid w:val="00273A69"/>
    <w:rsid w:val="002809FD"/>
    <w:rsid w:val="00280B71"/>
    <w:rsid w:val="00281B57"/>
    <w:rsid w:val="002836BD"/>
    <w:rsid w:val="00283AA9"/>
    <w:rsid w:val="00285017"/>
    <w:rsid w:val="002865C1"/>
    <w:rsid w:val="0028796F"/>
    <w:rsid w:val="00291EE9"/>
    <w:rsid w:val="00292BB9"/>
    <w:rsid w:val="00293B6F"/>
    <w:rsid w:val="00293E9B"/>
    <w:rsid w:val="00294224"/>
    <w:rsid w:val="002949AE"/>
    <w:rsid w:val="00295307"/>
    <w:rsid w:val="00295BFF"/>
    <w:rsid w:val="00295E8D"/>
    <w:rsid w:val="00296D7B"/>
    <w:rsid w:val="002977FB"/>
    <w:rsid w:val="002A04B8"/>
    <w:rsid w:val="002A105A"/>
    <w:rsid w:val="002A2529"/>
    <w:rsid w:val="002A2BB1"/>
    <w:rsid w:val="002A2D2E"/>
    <w:rsid w:val="002A31D5"/>
    <w:rsid w:val="002A3218"/>
    <w:rsid w:val="002A3498"/>
    <w:rsid w:val="002A4128"/>
    <w:rsid w:val="002A531D"/>
    <w:rsid w:val="002A5A80"/>
    <w:rsid w:val="002A5D37"/>
    <w:rsid w:val="002A5D72"/>
    <w:rsid w:val="002A759E"/>
    <w:rsid w:val="002A7C24"/>
    <w:rsid w:val="002A7E7A"/>
    <w:rsid w:val="002A7FF9"/>
    <w:rsid w:val="002B0576"/>
    <w:rsid w:val="002B067D"/>
    <w:rsid w:val="002B1824"/>
    <w:rsid w:val="002B1C8E"/>
    <w:rsid w:val="002B2EDB"/>
    <w:rsid w:val="002B5075"/>
    <w:rsid w:val="002B5D36"/>
    <w:rsid w:val="002B7417"/>
    <w:rsid w:val="002B7AEA"/>
    <w:rsid w:val="002C041B"/>
    <w:rsid w:val="002C2BE6"/>
    <w:rsid w:val="002C354B"/>
    <w:rsid w:val="002C485F"/>
    <w:rsid w:val="002C6BF0"/>
    <w:rsid w:val="002C71AC"/>
    <w:rsid w:val="002C7288"/>
    <w:rsid w:val="002D06DE"/>
    <w:rsid w:val="002D2CB5"/>
    <w:rsid w:val="002D42C1"/>
    <w:rsid w:val="002D6285"/>
    <w:rsid w:val="002D67D2"/>
    <w:rsid w:val="002E037E"/>
    <w:rsid w:val="002E0BC1"/>
    <w:rsid w:val="002E0C37"/>
    <w:rsid w:val="002E0D8A"/>
    <w:rsid w:val="002E0D9F"/>
    <w:rsid w:val="002E0DDE"/>
    <w:rsid w:val="002E0E02"/>
    <w:rsid w:val="002E106C"/>
    <w:rsid w:val="002E3A78"/>
    <w:rsid w:val="002E47E9"/>
    <w:rsid w:val="002E4D8C"/>
    <w:rsid w:val="002E7928"/>
    <w:rsid w:val="002E7AEC"/>
    <w:rsid w:val="002F0440"/>
    <w:rsid w:val="002F0A80"/>
    <w:rsid w:val="002F0CDF"/>
    <w:rsid w:val="002F1BD0"/>
    <w:rsid w:val="002F264D"/>
    <w:rsid w:val="002F2E0F"/>
    <w:rsid w:val="002F5CCE"/>
    <w:rsid w:val="002F5CFF"/>
    <w:rsid w:val="002F6281"/>
    <w:rsid w:val="002F6D73"/>
    <w:rsid w:val="002F726E"/>
    <w:rsid w:val="00300196"/>
    <w:rsid w:val="00300B0A"/>
    <w:rsid w:val="00300E91"/>
    <w:rsid w:val="0030168A"/>
    <w:rsid w:val="00304930"/>
    <w:rsid w:val="003058A8"/>
    <w:rsid w:val="003102A8"/>
    <w:rsid w:val="00310919"/>
    <w:rsid w:val="003125E9"/>
    <w:rsid w:val="00313339"/>
    <w:rsid w:val="00313992"/>
    <w:rsid w:val="00313DA4"/>
    <w:rsid w:val="00314024"/>
    <w:rsid w:val="00314EB2"/>
    <w:rsid w:val="0031586F"/>
    <w:rsid w:val="0032031F"/>
    <w:rsid w:val="00320D3C"/>
    <w:rsid w:val="00321707"/>
    <w:rsid w:val="0032220D"/>
    <w:rsid w:val="00323561"/>
    <w:rsid w:val="00323C83"/>
    <w:rsid w:val="0032529F"/>
    <w:rsid w:val="003257A4"/>
    <w:rsid w:val="00325C8B"/>
    <w:rsid w:val="0032601D"/>
    <w:rsid w:val="003271D3"/>
    <w:rsid w:val="00330A6C"/>
    <w:rsid w:val="00331A60"/>
    <w:rsid w:val="00333164"/>
    <w:rsid w:val="00333413"/>
    <w:rsid w:val="00333F88"/>
    <w:rsid w:val="00334C7A"/>
    <w:rsid w:val="00334D42"/>
    <w:rsid w:val="0033560C"/>
    <w:rsid w:val="00336C17"/>
    <w:rsid w:val="00337171"/>
    <w:rsid w:val="00337E3B"/>
    <w:rsid w:val="00337F60"/>
    <w:rsid w:val="0034189B"/>
    <w:rsid w:val="00343749"/>
    <w:rsid w:val="00346A44"/>
    <w:rsid w:val="00351321"/>
    <w:rsid w:val="00355967"/>
    <w:rsid w:val="0035597D"/>
    <w:rsid w:val="00357FEF"/>
    <w:rsid w:val="00360000"/>
    <w:rsid w:val="00362C03"/>
    <w:rsid w:val="00363401"/>
    <w:rsid w:val="003636C1"/>
    <w:rsid w:val="00364100"/>
    <w:rsid w:val="00364812"/>
    <w:rsid w:val="003652B0"/>
    <w:rsid w:val="003657F4"/>
    <w:rsid w:val="00365AED"/>
    <w:rsid w:val="003660A9"/>
    <w:rsid w:val="00366AAD"/>
    <w:rsid w:val="00366F7E"/>
    <w:rsid w:val="00367A5E"/>
    <w:rsid w:val="00367F8E"/>
    <w:rsid w:val="003701D4"/>
    <w:rsid w:val="003705D6"/>
    <w:rsid w:val="003705E0"/>
    <w:rsid w:val="00370647"/>
    <w:rsid w:val="0037076A"/>
    <w:rsid w:val="00371FCB"/>
    <w:rsid w:val="00372468"/>
    <w:rsid w:val="003724F0"/>
    <w:rsid w:val="00373A88"/>
    <w:rsid w:val="003749B6"/>
    <w:rsid w:val="00375433"/>
    <w:rsid w:val="00375706"/>
    <w:rsid w:val="00375EAB"/>
    <w:rsid w:val="00376516"/>
    <w:rsid w:val="00377163"/>
    <w:rsid w:val="003809F9"/>
    <w:rsid w:val="00380A97"/>
    <w:rsid w:val="00380C81"/>
    <w:rsid w:val="00383126"/>
    <w:rsid w:val="0038415A"/>
    <w:rsid w:val="00386235"/>
    <w:rsid w:val="00387317"/>
    <w:rsid w:val="00390FA2"/>
    <w:rsid w:val="00392EB2"/>
    <w:rsid w:val="0039365F"/>
    <w:rsid w:val="00395779"/>
    <w:rsid w:val="00395DB2"/>
    <w:rsid w:val="00396144"/>
    <w:rsid w:val="0039678E"/>
    <w:rsid w:val="003970FE"/>
    <w:rsid w:val="00397B56"/>
    <w:rsid w:val="00397C04"/>
    <w:rsid w:val="003A057C"/>
    <w:rsid w:val="003A0FF5"/>
    <w:rsid w:val="003A105C"/>
    <w:rsid w:val="003A1402"/>
    <w:rsid w:val="003A27C4"/>
    <w:rsid w:val="003A48EE"/>
    <w:rsid w:val="003A7767"/>
    <w:rsid w:val="003B0550"/>
    <w:rsid w:val="003B1863"/>
    <w:rsid w:val="003B1BD1"/>
    <w:rsid w:val="003B2689"/>
    <w:rsid w:val="003B3507"/>
    <w:rsid w:val="003B3DDE"/>
    <w:rsid w:val="003B3F22"/>
    <w:rsid w:val="003B4160"/>
    <w:rsid w:val="003B612E"/>
    <w:rsid w:val="003B630E"/>
    <w:rsid w:val="003B694F"/>
    <w:rsid w:val="003C0288"/>
    <w:rsid w:val="003C06E9"/>
    <w:rsid w:val="003C06F2"/>
    <w:rsid w:val="003C116C"/>
    <w:rsid w:val="003C1FE0"/>
    <w:rsid w:val="003C34BF"/>
    <w:rsid w:val="003C6F09"/>
    <w:rsid w:val="003C7E07"/>
    <w:rsid w:val="003D0721"/>
    <w:rsid w:val="003D19F1"/>
    <w:rsid w:val="003D32DE"/>
    <w:rsid w:val="003D35B0"/>
    <w:rsid w:val="003D386A"/>
    <w:rsid w:val="003D652F"/>
    <w:rsid w:val="003D7182"/>
    <w:rsid w:val="003E0519"/>
    <w:rsid w:val="003E075B"/>
    <w:rsid w:val="003E1411"/>
    <w:rsid w:val="003E17BA"/>
    <w:rsid w:val="003E1E1C"/>
    <w:rsid w:val="003E1FF7"/>
    <w:rsid w:val="003E365E"/>
    <w:rsid w:val="003E5305"/>
    <w:rsid w:val="003E694B"/>
    <w:rsid w:val="003E6DBE"/>
    <w:rsid w:val="003F02AE"/>
    <w:rsid w:val="003F060A"/>
    <w:rsid w:val="003F171C"/>
    <w:rsid w:val="003F1E1E"/>
    <w:rsid w:val="003F1E2A"/>
    <w:rsid w:val="003F2FF2"/>
    <w:rsid w:val="003F3F35"/>
    <w:rsid w:val="003F48DA"/>
    <w:rsid w:val="003F4DD5"/>
    <w:rsid w:val="003F5855"/>
    <w:rsid w:val="003F5B37"/>
    <w:rsid w:val="003F6077"/>
    <w:rsid w:val="003F6146"/>
    <w:rsid w:val="004009AF"/>
    <w:rsid w:val="004020E6"/>
    <w:rsid w:val="00402876"/>
    <w:rsid w:val="00402B1A"/>
    <w:rsid w:val="004032DC"/>
    <w:rsid w:val="0040372E"/>
    <w:rsid w:val="00404632"/>
    <w:rsid w:val="004046A4"/>
    <w:rsid w:val="004106D0"/>
    <w:rsid w:val="00410890"/>
    <w:rsid w:val="00412F1C"/>
    <w:rsid w:val="00412FC5"/>
    <w:rsid w:val="0041390F"/>
    <w:rsid w:val="00413910"/>
    <w:rsid w:val="0041530E"/>
    <w:rsid w:val="004155EE"/>
    <w:rsid w:val="00415801"/>
    <w:rsid w:val="004158DF"/>
    <w:rsid w:val="004162E7"/>
    <w:rsid w:val="00416648"/>
    <w:rsid w:val="00420656"/>
    <w:rsid w:val="004214F7"/>
    <w:rsid w:val="00422276"/>
    <w:rsid w:val="004234B7"/>
    <w:rsid w:val="00424175"/>
    <w:rsid w:val="004242F1"/>
    <w:rsid w:val="004261A1"/>
    <w:rsid w:val="004272A2"/>
    <w:rsid w:val="0042750B"/>
    <w:rsid w:val="00432B93"/>
    <w:rsid w:val="0043321A"/>
    <w:rsid w:val="004332EB"/>
    <w:rsid w:val="004333DC"/>
    <w:rsid w:val="004336EC"/>
    <w:rsid w:val="00434E67"/>
    <w:rsid w:val="004354B3"/>
    <w:rsid w:val="00435E7C"/>
    <w:rsid w:val="0043651D"/>
    <w:rsid w:val="00436897"/>
    <w:rsid w:val="004368B7"/>
    <w:rsid w:val="00437AAA"/>
    <w:rsid w:val="00441335"/>
    <w:rsid w:val="00442669"/>
    <w:rsid w:val="00442807"/>
    <w:rsid w:val="00442CF4"/>
    <w:rsid w:val="00442DEA"/>
    <w:rsid w:val="00442FE2"/>
    <w:rsid w:val="00443051"/>
    <w:rsid w:val="00445A00"/>
    <w:rsid w:val="00446404"/>
    <w:rsid w:val="00446877"/>
    <w:rsid w:val="00447DA4"/>
    <w:rsid w:val="004501BA"/>
    <w:rsid w:val="00451A11"/>
    <w:rsid w:val="00451B0F"/>
    <w:rsid w:val="00452688"/>
    <w:rsid w:val="00453DE4"/>
    <w:rsid w:val="00454D7D"/>
    <w:rsid w:val="00457B42"/>
    <w:rsid w:val="004608D5"/>
    <w:rsid w:val="00460D8E"/>
    <w:rsid w:val="00461FCD"/>
    <w:rsid w:val="0046320E"/>
    <w:rsid w:val="00463811"/>
    <w:rsid w:val="004644E4"/>
    <w:rsid w:val="004657D4"/>
    <w:rsid w:val="00466644"/>
    <w:rsid w:val="0046695B"/>
    <w:rsid w:val="00467329"/>
    <w:rsid w:val="004673CC"/>
    <w:rsid w:val="00467B60"/>
    <w:rsid w:val="004700BB"/>
    <w:rsid w:val="00470CDD"/>
    <w:rsid w:val="004717DD"/>
    <w:rsid w:val="00471C32"/>
    <w:rsid w:val="00471D2A"/>
    <w:rsid w:val="004726A5"/>
    <w:rsid w:val="004729A2"/>
    <w:rsid w:val="004731DB"/>
    <w:rsid w:val="004734F1"/>
    <w:rsid w:val="0047424A"/>
    <w:rsid w:val="004751DA"/>
    <w:rsid w:val="00476BF8"/>
    <w:rsid w:val="00477DBA"/>
    <w:rsid w:val="00480F61"/>
    <w:rsid w:val="004833BA"/>
    <w:rsid w:val="00483651"/>
    <w:rsid w:val="00483E53"/>
    <w:rsid w:val="00484005"/>
    <w:rsid w:val="00484C82"/>
    <w:rsid w:val="004868F1"/>
    <w:rsid w:val="00487320"/>
    <w:rsid w:val="00487EAF"/>
    <w:rsid w:val="004902D8"/>
    <w:rsid w:val="004920D6"/>
    <w:rsid w:val="00492AD3"/>
    <w:rsid w:val="00492B3E"/>
    <w:rsid w:val="00493380"/>
    <w:rsid w:val="00494783"/>
    <w:rsid w:val="00494833"/>
    <w:rsid w:val="004959CC"/>
    <w:rsid w:val="004A00DD"/>
    <w:rsid w:val="004A1643"/>
    <w:rsid w:val="004A17B9"/>
    <w:rsid w:val="004A2B47"/>
    <w:rsid w:val="004A4730"/>
    <w:rsid w:val="004A50EB"/>
    <w:rsid w:val="004A5156"/>
    <w:rsid w:val="004B2E14"/>
    <w:rsid w:val="004B5C30"/>
    <w:rsid w:val="004B5F65"/>
    <w:rsid w:val="004B6EE9"/>
    <w:rsid w:val="004C011B"/>
    <w:rsid w:val="004C065D"/>
    <w:rsid w:val="004C12A4"/>
    <w:rsid w:val="004C14F8"/>
    <w:rsid w:val="004C1AF7"/>
    <w:rsid w:val="004C2EE3"/>
    <w:rsid w:val="004C3046"/>
    <w:rsid w:val="004C4A5A"/>
    <w:rsid w:val="004C5E95"/>
    <w:rsid w:val="004C7CB5"/>
    <w:rsid w:val="004C7F07"/>
    <w:rsid w:val="004D0C50"/>
    <w:rsid w:val="004D0D4D"/>
    <w:rsid w:val="004D1989"/>
    <w:rsid w:val="004D1AF4"/>
    <w:rsid w:val="004D3A6E"/>
    <w:rsid w:val="004D43DC"/>
    <w:rsid w:val="004D51AD"/>
    <w:rsid w:val="004D57A8"/>
    <w:rsid w:val="004E1B60"/>
    <w:rsid w:val="004E325B"/>
    <w:rsid w:val="004E3C89"/>
    <w:rsid w:val="004E4937"/>
    <w:rsid w:val="004E4979"/>
    <w:rsid w:val="004E4A22"/>
    <w:rsid w:val="004E4FDB"/>
    <w:rsid w:val="004E5845"/>
    <w:rsid w:val="004E6649"/>
    <w:rsid w:val="004E78A6"/>
    <w:rsid w:val="004F1DA9"/>
    <w:rsid w:val="004F23E8"/>
    <w:rsid w:val="004F32A0"/>
    <w:rsid w:val="004F3EB3"/>
    <w:rsid w:val="004F4259"/>
    <w:rsid w:val="004F429D"/>
    <w:rsid w:val="004F4617"/>
    <w:rsid w:val="004F5CAC"/>
    <w:rsid w:val="005019CF"/>
    <w:rsid w:val="00501CF0"/>
    <w:rsid w:val="00502A8B"/>
    <w:rsid w:val="005036F5"/>
    <w:rsid w:val="00504D3A"/>
    <w:rsid w:val="00506C7E"/>
    <w:rsid w:val="00506E6F"/>
    <w:rsid w:val="00506FE9"/>
    <w:rsid w:val="0050739E"/>
    <w:rsid w:val="0051035B"/>
    <w:rsid w:val="00511968"/>
    <w:rsid w:val="00512D6C"/>
    <w:rsid w:val="00513138"/>
    <w:rsid w:val="00513865"/>
    <w:rsid w:val="00513D17"/>
    <w:rsid w:val="00516472"/>
    <w:rsid w:val="00517300"/>
    <w:rsid w:val="0051776E"/>
    <w:rsid w:val="00517E62"/>
    <w:rsid w:val="00520730"/>
    <w:rsid w:val="005207AD"/>
    <w:rsid w:val="00521E3E"/>
    <w:rsid w:val="00523730"/>
    <w:rsid w:val="00523E6C"/>
    <w:rsid w:val="005262BB"/>
    <w:rsid w:val="005276E6"/>
    <w:rsid w:val="00527CBF"/>
    <w:rsid w:val="00531407"/>
    <w:rsid w:val="0053215C"/>
    <w:rsid w:val="005328AF"/>
    <w:rsid w:val="00533C51"/>
    <w:rsid w:val="005361E2"/>
    <w:rsid w:val="005367C3"/>
    <w:rsid w:val="00541D36"/>
    <w:rsid w:val="00542D98"/>
    <w:rsid w:val="00543A39"/>
    <w:rsid w:val="00544A28"/>
    <w:rsid w:val="00545740"/>
    <w:rsid w:val="0054793E"/>
    <w:rsid w:val="005506FC"/>
    <w:rsid w:val="005512F2"/>
    <w:rsid w:val="005514D1"/>
    <w:rsid w:val="005541B4"/>
    <w:rsid w:val="00555439"/>
    <w:rsid w:val="00555D67"/>
    <w:rsid w:val="0055614C"/>
    <w:rsid w:val="005562B3"/>
    <w:rsid w:val="005600DA"/>
    <w:rsid w:val="005608E0"/>
    <w:rsid w:val="00560C24"/>
    <w:rsid w:val="00561660"/>
    <w:rsid w:val="0056173F"/>
    <w:rsid w:val="00562838"/>
    <w:rsid w:val="00563796"/>
    <w:rsid w:val="005640DC"/>
    <w:rsid w:val="00565359"/>
    <w:rsid w:val="00570844"/>
    <w:rsid w:val="00570927"/>
    <w:rsid w:val="005709D4"/>
    <w:rsid w:val="005712CC"/>
    <w:rsid w:val="00571F09"/>
    <w:rsid w:val="005724DF"/>
    <w:rsid w:val="0057308F"/>
    <w:rsid w:val="00574E76"/>
    <w:rsid w:val="00575689"/>
    <w:rsid w:val="0057634F"/>
    <w:rsid w:val="00577AB0"/>
    <w:rsid w:val="00577E13"/>
    <w:rsid w:val="00583D02"/>
    <w:rsid w:val="005868A7"/>
    <w:rsid w:val="005873BE"/>
    <w:rsid w:val="005877F8"/>
    <w:rsid w:val="005903D5"/>
    <w:rsid w:val="005904FC"/>
    <w:rsid w:val="005905B4"/>
    <w:rsid w:val="0059192B"/>
    <w:rsid w:val="0059209A"/>
    <w:rsid w:val="00594434"/>
    <w:rsid w:val="005975A3"/>
    <w:rsid w:val="00597CEB"/>
    <w:rsid w:val="005A10B0"/>
    <w:rsid w:val="005A12CF"/>
    <w:rsid w:val="005A21A5"/>
    <w:rsid w:val="005A25F6"/>
    <w:rsid w:val="005A2A73"/>
    <w:rsid w:val="005A45CB"/>
    <w:rsid w:val="005A4710"/>
    <w:rsid w:val="005A4F44"/>
    <w:rsid w:val="005A656A"/>
    <w:rsid w:val="005A778E"/>
    <w:rsid w:val="005B00AE"/>
    <w:rsid w:val="005B0C91"/>
    <w:rsid w:val="005B3485"/>
    <w:rsid w:val="005B3512"/>
    <w:rsid w:val="005B40BE"/>
    <w:rsid w:val="005B46B0"/>
    <w:rsid w:val="005B4833"/>
    <w:rsid w:val="005B4D28"/>
    <w:rsid w:val="005B5BD3"/>
    <w:rsid w:val="005B6CD5"/>
    <w:rsid w:val="005B7A0B"/>
    <w:rsid w:val="005B7C91"/>
    <w:rsid w:val="005C0BAD"/>
    <w:rsid w:val="005C51D3"/>
    <w:rsid w:val="005C6D25"/>
    <w:rsid w:val="005C6F7C"/>
    <w:rsid w:val="005C7E2E"/>
    <w:rsid w:val="005D039D"/>
    <w:rsid w:val="005D2B15"/>
    <w:rsid w:val="005D2B5E"/>
    <w:rsid w:val="005D2D04"/>
    <w:rsid w:val="005D3070"/>
    <w:rsid w:val="005D49C8"/>
    <w:rsid w:val="005D4BD1"/>
    <w:rsid w:val="005D705D"/>
    <w:rsid w:val="005D7EDD"/>
    <w:rsid w:val="005E0C1E"/>
    <w:rsid w:val="005E128A"/>
    <w:rsid w:val="005E141C"/>
    <w:rsid w:val="005E1452"/>
    <w:rsid w:val="005E1E83"/>
    <w:rsid w:val="005E3AE4"/>
    <w:rsid w:val="005E3C31"/>
    <w:rsid w:val="005E54E6"/>
    <w:rsid w:val="005E5AE7"/>
    <w:rsid w:val="005E6778"/>
    <w:rsid w:val="005E6B9D"/>
    <w:rsid w:val="005E6D0D"/>
    <w:rsid w:val="005F2298"/>
    <w:rsid w:val="005F2DF9"/>
    <w:rsid w:val="005F65BD"/>
    <w:rsid w:val="005F72D0"/>
    <w:rsid w:val="005F78A3"/>
    <w:rsid w:val="00604578"/>
    <w:rsid w:val="00604713"/>
    <w:rsid w:val="00604B06"/>
    <w:rsid w:val="00605783"/>
    <w:rsid w:val="00605FDB"/>
    <w:rsid w:val="006071D6"/>
    <w:rsid w:val="00607BA5"/>
    <w:rsid w:val="00610FC9"/>
    <w:rsid w:val="0061153F"/>
    <w:rsid w:val="00611BF8"/>
    <w:rsid w:val="00611FA9"/>
    <w:rsid w:val="00612457"/>
    <w:rsid w:val="006125AE"/>
    <w:rsid w:val="006144A3"/>
    <w:rsid w:val="00614894"/>
    <w:rsid w:val="00614B4B"/>
    <w:rsid w:val="0061550E"/>
    <w:rsid w:val="0061611D"/>
    <w:rsid w:val="006166E1"/>
    <w:rsid w:val="00617758"/>
    <w:rsid w:val="0062072B"/>
    <w:rsid w:val="00620FB0"/>
    <w:rsid w:val="00621300"/>
    <w:rsid w:val="006222B9"/>
    <w:rsid w:val="006223C4"/>
    <w:rsid w:val="00622A50"/>
    <w:rsid w:val="006250B3"/>
    <w:rsid w:val="00626251"/>
    <w:rsid w:val="0062647C"/>
    <w:rsid w:val="00626692"/>
    <w:rsid w:val="00626D27"/>
    <w:rsid w:val="00626EB6"/>
    <w:rsid w:val="006276C1"/>
    <w:rsid w:val="00630C5E"/>
    <w:rsid w:val="006312EE"/>
    <w:rsid w:val="0063192D"/>
    <w:rsid w:val="00631CA5"/>
    <w:rsid w:val="0063237A"/>
    <w:rsid w:val="00633434"/>
    <w:rsid w:val="00634707"/>
    <w:rsid w:val="006347CD"/>
    <w:rsid w:val="0063541C"/>
    <w:rsid w:val="00635AC3"/>
    <w:rsid w:val="006365B8"/>
    <w:rsid w:val="00637538"/>
    <w:rsid w:val="00637C84"/>
    <w:rsid w:val="00643E4B"/>
    <w:rsid w:val="00644326"/>
    <w:rsid w:val="0064456E"/>
    <w:rsid w:val="00645532"/>
    <w:rsid w:val="0064727E"/>
    <w:rsid w:val="006476B0"/>
    <w:rsid w:val="0065084C"/>
    <w:rsid w:val="0065187E"/>
    <w:rsid w:val="0065267C"/>
    <w:rsid w:val="00652AFD"/>
    <w:rsid w:val="00652BD1"/>
    <w:rsid w:val="00652CD2"/>
    <w:rsid w:val="00654109"/>
    <w:rsid w:val="0065449A"/>
    <w:rsid w:val="006544C8"/>
    <w:rsid w:val="00655D03"/>
    <w:rsid w:val="006608AA"/>
    <w:rsid w:val="00661172"/>
    <w:rsid w:val="00663B71"/>
    <w:rsid w:val="00663CDA"/>
    <w:rsid w:val="00666777"/>
    <w:rsid w:val="0066726E"/>
    <w:rsid w:val="00667BC3"/>
    <w:rsid w:val="006710C4"/>
    <w:rsid w:val="00672F6C"/>
    <w:rsid w:val="00673FFE"/>
    <w:rsid w:val="00674952"/>
    <w:rsid w:val="00676642"/>
    <w:rsid w:val="0067763E"/>
    <w:rsid w:val="00680033"/>
    <w:rsid w:val="006816F4"/>
    <w:rsid w:val="006819DE"/>
    <w:rsid w:val="00681A01"/>
    <w:rsid w:val="00681D50"/>
    <w:rsid w:val="00681F9E"/>
    <w:rsid w:val="00683F84"/>
    <w:rsid w:val="0068516D"/>
    <w:rsid w:val="00686C5A"/>
    <w:rsid w:val="00686D44"/>
    <w:rsid w:val="00686E6B"/>
    <w:rsid w:val="00687918"/>
    <w:rsid w:val="00690F6E"/>
    <w:rsid w:val="00691311"/>
    <w:rsid w:val="00691656"/>
    <w:rsid w:val="006928D7"/>
    <w:rsid w:val="00692B34"/>
    <w:rsid w:val="006951B1"/>
    <w:rsid w:val="00695AC7"/>
    <w:rsid w:val="00696817"/>
    <w:rsid w:val="00696A0D"/>
    <w:rsid w:val="00696C68"/>
    <w:rsid w:val="006A0041"/>
    <w:rsid w:val="006A0799"/>
    <w:rsid w:val="006A0ACE"/>
    <w:rsid w:val="006A0BBB"/>
    <w:rsid w:val="006A127B"/>
    <w:rsid w:val="006A1431"/>
    <w:rsid w:val="006A1DC7"/>
    <w:rsid w:val="006A5EED"/>
    <w:rsid w:val="006A6A81"/>
    <w:rsid w:val="006B11B8"/>
    <w:rsid w:val="006B142B"/>
    <w:rsid w:val="006B1957"/>
    <w:rsid w:val="006B1E7F"/>
    <w:rsid w:val="006B1FA4"/>
    <w:rsid w:val="006B32AF"/>
    <w:rsid w:val="006B4B48"/>
    <w:rsid w:val="006B53D4"/>
    <w:rsid w:val="006B6C98"/>
    <w:rsid w:val="006C0E82"/>
    <w:rsid w:val="006C1B83"/>
    <w:rsid w:val="006C2013"/>
    <w:rsid w:val="006C2022"/>
    <w:rsid w:val="006C2888"/>
    <w:rsid w:val="006C3B87"/>
    <w:rsid w:val="006C40C7"/>
    <w:rsid w:val="006C5235"/>
    <w:rsid w:val="006C5329"/>
    <w:rsid w:val="006C5568"/>
    <w:rsid w:val="006C6AAB"/>
    <w:rsid w:val="006D0255"/>
    <w:rsid w:val="006D1166"/>
    <w:rsid w:val="006D2025"/>
    <w:rsid w:val="006D279B"/>
    <w:rsid w:val="006D427F"/>
    <w:rsid w:val="006D5DA1"/>
    <w:rsid w:val="006D5EFA"/>
    <w:rsid w:val="006D609C"/>
    <w:rsid w:val="006D6CFC"/>
    <w:rsid w:val="006D6F8C"/>
    <w:rsid w:val="006E062A"/>
    <w:rsid w:val="006E0B1F"/>
    <w:rsid w:val="006E1DB6"/>
    <w:rsid w:val="006E1E88"/>
    <w:rsid w:val="006E2BEF"/>
    <w:rsid w:val="006E633B"/>
    <w:rsid w:val="006E69E1"/>
    <w:rsid w:val="006E6B5B"/>
    <w:rsid w:val="006E6D0A"/>
    <w:rsid w:val="006E6DA5"/>
    <w:rsid w:val="006F0995"/>
    <w:rsid w:val="006F15A8"/>
    <w:rsid w:val="006F3DD7"/>
    <w:rsid w:val="006F4399"/>
    <w:rsid w:val="006F4C51"/>
    <w:rsid w:val="006F60BC"/>
    <w:rsid w:val="006F7393"/>
    <w:rsid w:val="006F7653"/>
    <w:rsid w:val="00701ABA"/>
    <w:rsid w:val="0070224F"/>
    <w:rsid w:val="00702781"/>
    <w:rsid w:val="00702ABA"/>
    <w:rsid w:val="0070370F"/>
    <w:rsid w:val="007037AB"/>
    <w:rsid w:val="007052D8"/>
    <w:rsid w:val="0070546F"/>
    <w:rsid w:val="00705B86"/>
    <w:rsid w:val="00705D19"/>
    <w:rsid w:val="00707B8E"/>
    <w:rsid w:val="007112FD"/>
    <w:rsid w:val="007115F7"/>
    <w:rsid w:val="00711BB7"/>
    <w:rsid w:val="007126E7"/>
    <w:rsid w:val="0071377A"/>
    <w:rsid w:val="00713839"/>
    <w:rsid w:val="0071476A"/>
    <w:rsid w:val="00715BA4"/>
    <w:rsid w:val="00715BB4"/>
    <w:rsid w:val="00716500"/>
    <w:rsid w:val="00717458"/>
    <w:rsid w:val="007229AB"/>
    <w:rsid w:val="00722ED0"/>
    <w:rsid w:val="00723A17"/>
    <w:rsid w:val="00724973"/>
    <w:rsid w:val="007262E8"/>
    <w:rsid w:val="00726983"/>
    <w:rsid w:val="00726DC2"/>
    <w:rsid w:val="00727987"/>
    <w:rsid w:val="0073154B"/>
    <w:rsid w:val="0073220E"/>
    <w:rsid w:val="00733B89"/>
    <w:rsid w:val="00734C1F"/>
    <w:rsid w:val="00735BCD"/>
    <w:rsid w:val="00736119"/>
    <w:rsid w:val="00736848"/>
    <w:rsid w:val="00737091"/>
    <w:rsid w:val="00737857"/>
    <w:rsid w:val="00737D7C"/>
    <w:rsid w:val="00740CAB"/>
    <w:rsid w:val="0074147A"/>
    <w:rsid w:val="007414EE"/>
    <w:rsid w:val="00741A9E"/>
    <w:rsid w:val="00741C5A"/>
    <w:rsid w:val="0074347C"/>
    <w:rsid w:val="007455E2"/>
    <w:rsid w:val="00746C03"/>
    <w:rsid w:val="00747901"/>
    <w:rsid w:val="00751AEE"/>
    <w:rsid w:val="00757306"/>
    <w:rsid w:val="00757FCE"/>
    <w:rsid w:val="007610EF"/>
    <w:rsid w:val="0076113E"/>
    <w:rsid w:val="00762FE7"/>
    <w:rsid w:val="00763029"/>
    <w:rsid w:val="007648AF"/>
    <w:rsid w:val="007654FB"/>
    <w:rsid w:val="00766218"/>
    <w:rsid w:val="00766315"/>
    <w:rsid w:val="007663EC"/>
    <w:rsid w:val="00766788"/>
    <w:rsid w:val="00766DD5"/>
    <w:rsid w:val="00770A19"/>
    <w:rsid w:val="007711BD"/>
    <w:rsid w:val="00771EB4"/>
    <w:rsid w:val="00772CC1"/>
    <w:rsid w:val="007741ED"/>
    <w:rsid w:val="00774341"/>
    <w:rsid w:val="007744A9"/>
    <w:rsid w:val="00776097"/>
    <w:rsid w:val="00776123"/>
    <w:rsid w:val="0077673F"/>
    <w:rsid w:val="007775F5"/>
    <w:rsid w:val="0078015E"/>
    <w:rsid w:val="007806EA"/>
    <w:rsid w:val="00781202"/>
    <w:rsid w:val="007823A6"/>
    <w:rsid w:val="007828AE"/>
    <w:rsid w:val="00782A0F"/>
    <w:rsid w:val="0078323A"/>
    <w:rsid w:val="00783723"/>
    <w:rsid w:val="00784521"/>
    <w:rsid w:val="00785689"/>
    <w:rsid w:val="00785CC2"/>
    <w:rsid w:val="00785F04"/>
    <w:rsid w:val="00786742"/>
    <w:rsid w:val="00787E64"/>
    <w:rsid w:val="00791394"/>
    <w:rsid w:val="0079248A"/>
    <w:rsid w:val="00794A74"/>
    <w:rsid w:val="007961E5"/>
    <w:rsid w:val="0079632D"/>
    <w:rsid w:val="00796764"/>
    <w:rsid w:val="00796ABE"/>
    <w:rsid w:val="0079754B"/>
    <w:rsid w:val="00797730"/>
    <w:rsid w:val="00797B01"/>
    <w:rsid w:val="00797BC9"/>
    <w:rsid w:val="007A0E3A"/>
    <w:rsid w:val="007A1E6D"/>
    <w:rsid w:val="007A3287"/>
    <w:rsid w:val="007A39BF"/>
    <w:rsid w:val="007A4DEA"/>
    <w:rsid w:val="007A67BF"/>
    <w:rsid w:val="007A6FB1"/>
    <w:rsid w:val="007A7825"/>
    <w:rsid w:val="007A7C4C"/>
    <w:rsid w:val="007B0B51"/>
    <w:rsid w:val="007B1309"/>
    <w:rsid w:val="007B2483"/>
    <w:rsid w:val="007B4009"/>
    <w:rsid w:val="007B44DA"/>
    <w:rsid w:val="007B5621"/>
    <w:rsid w:val="007B577E"/>
    <w:rsid w:val="007B5B40"/>
    <w:rsid w:val="007B76FB"/>
    <w:rsid w:val="007B78D7"/>
    <w:rsid w:val="007B7C0B"/>
    <w:rsid w:val="007B7EFA"/>
    <w:rsid w:val="007C0B77"/>
    <w:rsid w:val="007C2051"/>
    <w:rsid w:val="007C350D"/>
    <w:rsid w:val="007C3A42"/>
    <w:rsid w:val="007C4665"/>
    <w:rsid w:val="007C4C39"/>
    <w:rsid w:val="007C4CDC"/>
    <w:rsid w:val="007C526C"/>
    <w:rsid w:val="007D02F6"/>
    <w:rsid w:val="007D0BED"/>
    <w:rsid w:val="007D3383"/>
    <w:rsid w:val="007D52F7"/>
    <w:rsid w:val="007D6872"/>
    <w:rsid w:val="007D732C"/>
    <w:rsid w:val="007D7BC6"/>
    <w:rsid w:val="007E0080"/>
    <w:rsid w:val="007E1680"/>
    <w:rsid w:val="007E2491"/>
    <w:rsid w:val="007E30B2"/>
    <w:rsid w:val="007E4B4A"/>
    <w:rsid w:val="007E51AD"/>
    <w:rsid w:val="007E56C8"/>
    <w:rsid w:val="007E5B7A"/>
    <w:rsid w:val="007E71B1"/>
    <w:rsid w:val="007E7F6E"/>
    <w:rsid w:val="007F0B74"/>
    <w:rsid w:val="007F10E9"/>
    <w:rsid w:val="007F2022"/>
    <w:rsid w:val="007F2752"/>
    <w:rsid w:val="007F2F77"/>
    <w:rsid w:val="007F420A"/>
    <w:rsid w:val="007F4879"/>
    <w:rsid w:val="007F4F5F"/>
    <w:rsid w:val="007F7CD1"/>
    <w:rsid w:val="008011EB"/>
    <w:rsid w:val="00801508"/>
    <w:rsid w:val="008021B2"/>
    <w:rsid w:val="00802599"/>
    <w:rsid w:val="0080445C"/>
    <w:rsid w:val="00804834"/>
    <w:rsid w:val="00804B03"/>
    <w:rsid w:val="00804BB5"/>
    <w:rsid w:val="00804F9F"/>
    <w:rsid w:val="008050D6"/>
    <w:rsid w:val="00806AFA"/>
    <w:rsid w:val="0080727D"/>
    <w:rsid w:val="00807496"/>
    <w:rsid w:val="00807790"/>
    <w:rsid w:val="00807A3F"/>
    <w:rsid w:val="0081035E"/>
    <w:rsid w:val="00811207"/>
    <w:rsid w:val="0081256A"/>
    <w:rsid w:val="00813044"/>
    <w:rsid w:val="00814497"/>
    <w:rsid w:val="008151E9"/>
    <w:rsid w:val="00815847"/>
    <w:rsid w:val="00816CDB"/>
    <w:rsid w:val="00820E55"/>
    <w:rsid w:val="008216A6"/>
    <w:rsid w:val="00821991"/>
    <w:rsid w:val="00821D1A"/>
    <w:rsid w:val="00822CE0"/>
    <w:rsid w:val="00824586"/>
    <w:rsid w:val="00826F09"/>
    <w:rsid w:val="00827302"/>
    <w:rsid w:val="008276FE"/>
    <w:rsid w:val="00827CC2"/>
    <w:rsid w:val="008311FE"/>
    <w:rsid w:val="00831425"/>
    <w:rsid w:val="00832A15"/>
    <w:rsid w:val="00832EB2"/>
    <w:rsid w:val="00833A0E"/>
    <w:rsid w:val="00834981"/>
    <w:rsid w:val="00834AED"/>
    <w:rsid w:val="008367C2"/>
    <w:rsid w:val="00837439"/>
    <w:rsid w:val="00841502"/>
    <w:rsid w:val="00841AB1"/>
    <w:rsid w:val="008420D9"/>
    <w:rsid w:val="0084249D"/>
    <w:rsid w:val="00842C24"/>
    <w:rsid w:val="008434A3"/>
    <w:rsid w:val="00843E98"/>
    <w:rsid w:val="008453DE"/>
    <w:rsid w:val="00846B95"/>
    <w:rsid w:val="00846ED7"/>
    <w:rsid w:val="0085035F"/>
    <w:rsid w:val="008519EB"/>
    <w:rsid w:val="00852918"/>
    <w:rsid w:val="00852EB2"/>
    <w:rsid w:val="00853049"/>
    <w:rsid w:val="008536DF"/>
    <w:rsid w:val="00854140"/>
    <w:rsid w:val="00854D2D"/>
    <w:rsid w:val="00855FCD"/>
    <w:rsid w:val="00856A4A"/>
    <w:rsid w:val="00857D15"/>
    <w:rsid w:val="008600B5"/>
    <w:rsid w:val="00861345"/>
    <w:rsid w:val="00861A42"/>
    <w:rsid w:val="008629E9"/>
    <w:rsid w:val="00863DA6"/>
    <w:rsid w:val="0086505C"/>
    <w:rsid w:val="00865830"/>
    <w:rsid w:val="00865C91"/>
    <w:rsid w:val="00870020"/>
    <w:rsid w:val="00870434"/>
    <w:rsid w:val="00870485"/>
    <w:rsid w:val="00870841"/>
    <w:rsid w:val="00871D8B"/>
    <w:rsid w:val="0087224E"/>
    <w:rsid w:val="00872D1C"/>
    <w:rsid w:val="00873489"/>
    <w:rsid w:val="008741F8"/>
    <w:rsid w:val="00874A30"/>
    <w:rsid w:val="008771E2"/>
    <w:rsid w:val="00881478"/>
    <w:rsid w:val="0088253A"/>
    <w:rsid w:val="00882736"/>
    <w:rsid w:val="0088399C"/>
    <w:rsid w:val="00885711"/>
    <w:rsid w:val="0089559D"/>
    <w:rsid w:val="00896200"/>
    <w:rsid w:val="008963D0"/>
    <w:rsid w:val="0089672E"/>
    <w:rsid w:val="00896E77"/>
    <w:rsid w:val="008972DC"/>
    <w:rsid w:val="00897522"/>
    <w:rsid w:val="008A0ED6"/>
    <w:rsid w:val="008A0F51"/>
    <w:rsid w:val="008A1905"/>
    <w:rsid w:val="008A1A8A"/>
    <w:rsid w:val="008A27BE"/>
    <w:rsid w:val="008A42BB"/>
    <w:rsid w:val="008A4D0C"/>
    <w:rsid w:val="008A54A1"/>
    <w:rsid w:val="008A5A87"/>
    <w:rsid w:val="008A7686"/>
    <w:rsid w:val="008B0428"/>
    <w:rsid w:val="008B1481"/>
    <w:rsid w:val="008B1EAA"/>
    <w:rsid w:val="008B2F48"/>
    <w:rsid w:val="008B4F47"/>
    <w:rsid w:val="008B6DDB"/>
    <w:rsid w:val="008B7A3C"/>
    <w:rsid w:val="008C018C"/>
    <w:rsid w:val="008C059E"/>
    <w:rsid w:val="008C0678"/>
    <w:rsid w:val="008C0F6F"/>
    <w:rsid w:val="008C1106"/>
    <w:rsid w:val="008C19DB"/>
    <w:rsid w:val="008C267C"/>
    <w:rsid w:val="008C325C"/>
    <w:rsid w:val="008C35DE"/>
    <w:rsid w:val="008C3C48"/>
    <w:rsid w:val="008C43B7"/>
    <w:rsid w:val="008C531F"/>
    <w:rsid w:val="008C538F"/>
    <w:rsid w:val="008C5C41"/>
    <w:rsid w:val="008C5CAB"/>
    <w:rsid w:val="008D0B11"/>
    <w:rsid w:val="008D0D9C"/>
    <w:rsid w:val="008D1AE2"/>
    <w:rsid w:val="008D2027"/>
    <w:rsid w:val="008D36EA"/>
    <w:rsid w:val="008D45FB"/>
    <w:rsid w:val="008D4A72"/>
    <w:rsid w:val="008D5BCE"/>
    <w:rsid w:val="008D6FCB"/>
    <w:rsid w:val="008D7836"/>
    <w:rsid w:val="008D7F12"/>
    <w:rsid w:val="008E0D01"/>
    <w:rsid w:val="008E278B"/>
    <w:rsid w:val="008E2991"/>
    <w:rsid w:val="008E3E25"/>
    <w:rsid w:val="008E41DF"/>
    <w:rsid w:val="008E471F"/>
    <w:rsid w:val="008E4C9C"/>
    <w:rsid w:val="008E53A5"/>
    <w:rsid w:val="008E5601"/>
    <w:rsid w:val="008E6ED7"/>
    <w:rsid w:val="008E718B"/>
    <w:rsid w:val="008E75AF"/>
    <w:rsid w:val="008E7AC8"/>
    <w:rsid w:val="008F0D74"/>
    <w:rsid w:val="008F0EFC"/>
    <w:rsid w:val="008F2B6B"/>
    <w:rsid w:val="008F5FF6"/>
    <w:rsid w:val="008F6F23"/>
    <w:rsid w:val="00900703"/>
    <w:rsid w:val="009023BC"/>
    <w:rsid w:val="009026D0"/>
    <w:rsid w:val="00902A14"/>
    <w:rsid w:val="0090324D"/>
    <w:rsid w:val="0090341F"/>
    <w:rsid w:val="00903D34"/>
    <w:rsid w:val="00903E38"/>
    <w:rsid w:val="009072CC"/>
    <w:rsid w:val="00907318"/>
    <w:rsid w:val="009078C7"/>
    <w:rsid w:val="00910322"/>
    <w:rsid w:val="00911847"/>
    <w:rsid w:val="00912064"/>
    <w:rsid w:val="009121E0"/>
    <w:rsid w:val="00912ABF"/>
    <w:rsid w:val="00913E88"/>
    <w:rsid w:val="009146DE"/>
    <w:rsid w:val="009173AF"/>
    <w:rsid w:val="00920245"/>
    <w:rsid w:val="009202A3"/>
    <w:rsid w:val="009209E3"/>
    <w:rsid w:val="00920E96"/>
    <w:rsid w:val="00921312"/>
    <w:rsid w:val="00921803"/>
    <w:rsid w:val="009254E1"/>
    <w:rsid w:val="00925BE7"/>
    <w:rsid w:val="00926083"/>
    <w:rsid w:val="009260DC"/>
    <w:rsid w:val="00926503"/>
    <w:rsid w:val="009267CD"/>
    <w:rsid w:val="0092698B"/>
    <w:rsid w:val="00930B0E"/>
    <w:rsid w:val="00934DAD"/>
    <w:rsid w:val="00935504"/>
    <w:rsid w:val="00935783"/>
    <w:rsid w:val="00936175"/>
    <w:rsid w:val="0094049C"/>
    <w:rsid w:val="00943822"/>
    <w:rsid w:val="00945B81"/>
    <w:rsid w:val="00945D2F"/>
    <w:rsid w:val="0094624A"/>
    <w:rsid w:val="00946AA0"/>
    <w:rsid w:val="009472C1"/>
    <w:rsid w:val="00952336"/>
    <w:rsid w:val="00952B1B"/>
    <w:rsid w:val="00953478"/>
    <w:rsid w:val="00953B5A"/>
    <w:rsid w:val="00955504"/>
    <w:rsid w:val="00956C3E"/>
    <w:rsid w:val="009576C1"/>
    <w:rsid w:val="00957B93"/>
    <w:rsid w:val="00957CD6"/>
    <w:rsid w:val="00957E57"/>
    <w:rsid w:val="00961316"/>
    <w:rsid w:val="00961FA7"/>
    <w:rsid w:val="00962132"/>
    <w:rsid w:val="009629E9"/>
    <w:rsid w:val="00962E74"/>
    <w:rsid w:val="00963237"/>
    <w:rsid w:val="00963260"/>
    <w:rsid w:val="00963BC0"/>
    <w:rsid w:val="009652C9"/>
    <w:rsid w:val="00966B14"/>
    <w:rsid w:val="009673C1"/>
    <w:rsid w:val="00967A69"/>
    <w:rsid w:val="0097198B"/>
    <w:rsid w:val="00971B0F"/>
    <w:rsid w:val="0097245C"/>
    <w:rsid w:val="00975956"/>
    <w:rsid w:val="009766E1"/>
    <w:rsid w:val="00976A25"/>
    <w:rsid w:val="00977473"/>
    <w:rsid w:val="009776F6"/>
    <w:rsid w:val="00977795"/>
    <w:rsid w:val="00980A37"/>
    <w:rsid w:val="00980E6D"/>
    <w:rsid w:val="00981DEE"/>
    <w:rsid w:val="0098350E"/>
    <w:rsid w:val="00984C73"/>
    <w:rsid w:val="00986A92"/>
    <w:rsid w:val="00986C08"/>
    <w:rsid w:val="00987AA1"/>
    <w:rsid w:val="009911F0"/>
    <w:rsid w:val="00991617"/>
    <w:rsid w:val="009916B2"/>
    <w:rsid w:val="009939C1"/>
    <w:rsid w:val="00993D00"/>
    <w:rsid w:val="00996D42"/>
    <w:rsid w:val="00997BA5"/>
    <w:rsid w:val="009A00DF"/>
    <w:rsid w:val="009A144F"/>
    <w:rsid w:val="009A14BB"/>
    <w:rsid w:val="009A2157"/>
    <w:rsid w:val="009A239F"/>
    <w:rsid w:val="009A37AD"/>
    <w:rsid w:val="009A4AA3"/>
    <w:rsid w:val="009A51FA"/>
    <w:rsid w:val="009A5E57"/>
    <w:rsid w:val="009A5F2B"/>
    <w:rsid w:val="009A5F71"/>
    <w:rsid w:val="009B0D30"/>
    <w:rsid w:val="009B0DE8"/>
    <w:rsid w:val="009B0EAC"/>
    <w:rsid w:val="009B22B4"/>
    <w:rsid w:val="009B2CE3"/>
    <w:rsid w:val="009B4257"/>
    <w:rsid w:val="009B48CD"/>
    <w:rsid w:val="009B4BCE"/>
    <w:rsid w:val="009B64B0"/>
    <w:rsid w:val="009B65C7"/>
    <w:rsid w:val="009B6ADE"/>
    <w:rsid w:val="009B6DFC"/>
    <w:rsid w:val="009B6F63"/>
    <w:rsid w:val="009B716E"/>
    <w:rsid w:val="009B782A"/>
    <w:rsid w:val="009B7ADD"/>
    <w:rsid w:val="009C0043"/>
    <w:rsid w:val="009C2CD2"/>
    <w:rsid w:val="009C37AF"/>
    <w:rsid w:val="009C3ED0"/>
    <w:rsid w:val="009C56AB"/>
    <w:rsid w:val="009C717B"/>
    <w:rsid w:val="009C72B2"/>
    <w:rsid w:val="009C752F"/>
    <w:rsid w:val="009C77CB"/>
    <w:rsid w:val="009D0BE5"/>
    <w:rsid w:val="009D4503"/>
    <w:rsid w:val="009D4A5C"/>
    <w:rsid w:val="009D4E3C"/>
    <w:rsid w:val="009D572F"/>
    <w:rsid w:val="009D597F"/>
    <w:rsid w:val="009D642A"/>
    <w:rsid w:val="009D7034"/>
    <w:rsid w:val="009D70A2"/>
    <w:rsid w:val="009E01B8"/>
    <w:rsid w:val="009E0C3F"/>
    <w:rsid w:val="009E3322"/>
    <w:rsid w:val="009E3629"/>
    <w:rsid w:val="009E3F46"/>
    <w:rsid w:val="009E406A"/>
    <w:rsid w:val="009E4643"/>
    <w:rsid w:val="009E4767"/>
    <w:rsid w:val="009E4EDF"/>
    <w:rsid w:val="009E5DBA"/>
    <w:rsid w:val="009E78D9"/>
    <w:rsid w:val="009F0C3B"/>
    <w:rsid w:val="009F24F3"/>
    <w:rsid w:val="009F46C7"/>
    <w:rsid w:val="009F560F"/>
    <w:rsid w:val="009F5C7A"/>
    <w:rsid w:val="009F5EDF"/>
    <w:rsid w:val="009F7260"/>
    <w:rsid w:val="009F7408"/>
    <w:rsid w:val="009F7639"/>
    <w:rsid w:val="00A00291"/>
    <w:rsid w:val="00A00ABC"/>
    <w:rsid w:val="00A00DC4"/>
    <w:rsid w:val="00A01037"/>
    <w:rsid w:val="00A03447"/>
    <w:rsid w:val="00A03448"/>
    <w:rsid w:val="00A03BA4"/>
    <w:rsid w:val="00A045E7"/>
    <w:rsid w:val="00A047EF"/>
    <w:rsid w:val="00A04BFF"/>
    <w:rsid w:val="00A066B9"/>
    <w:rsid w:val="00A066EE"/>
    <w:rsid w:val="00A06D26"/>
    <w:rsid w:val="00A10519"/>
    <w:rsid w:val="00A10DDD"/>
    <w:rsid w:val="00A10E68"/>
    <w:rsid w:val="00A1109B"/>
    <w:rsid w:val="00A11E00"/>
    <w:rsid w:val="00A1422A"/>
    <w:rsid w:val="00A15269"/>
    <w:rsid w:val="00A15F60"/>
    <w:rsid w:val="00A165D2"/>
    <w:rsid w:val="00A16EFA"/>
    <w:rsid w:val="00A173CE"/>
    <w:rsid w:val="00A2000B"/>
    <w:rsid w:val="00A207E3"/>
    <w:rsid w:val="00A2174F"/>
    <w:rsid w:val="00A22D09"/>
    <w:rsid w:val="00A24A3E"/>
    <w:rsid w:val="00A25C6E"/>
    <w:rsid w:val="00A26001"/>
    <w:rsid w:val="00A26750"/>
    <w:rsid w:val="00A30A8E"/>
    <w:rsid w:val="00A30C5A"/>
    <w:rsid w:val="00A31F9E"/>
    <w:rsid w:val="00A341EE"/>
    <w:rsid w:val="00A34812"/>
    <w:rsid w:val="00A376E6"/>
    <w:rsid w:val="00A379EA"/>
    <w:rsid w:val="00A41C7D"/>
    <w:rsid w:val="00A42A27"/>
    <w:rsid w:val="00A42B14"/>
    <w:rsid w:val="00A446BC"/>
    <w:rsid w:val="00A45058"/>
    <w:rsid w:val="00A45F4F"/>
    <w:rsid w:val="00A474D8"/>
    <w:rsid w:val="00A47C7B"/>
    <w:rsid w:val="00A47D2F"/>
    <w:rsid w:val="00A50AC4"/>
    <w:rsid w:val="00A510D1"/>
    <w:rsid w:val="00A5401B"/>
    <w:rsid w:val="00A54193"/>
    <w:rsid w:val="00A54ACB"/>
    <w:rsid w:val="00A570A1"/>
    <w:rsid w:val="00A57920"/>
    <w:rsid w:val="00A600A9"/>
    <w:rsid w:val="00A60721"/>
    <w:rsid w:val="00A62763"/>
    <w:rsid w:val="00A646AE"/>
    <w:rsid w:val="00A6494E"/>
    <w:rsid w:val="00A65349"/>
    <w:rsid w:val="00A655FF"/>
    <w:rsid w:val="00A66328"/>
    <w:rsid w:val="00A66387"/>
    <w:rsid w:val="00A66CD3"/>
    <w:rsid w:val="00A670C7"/>
    <w:rsid w:val="00A674DC"/>
    <w:rsid w:val="00A67E3D"/>
    <w:rsid w:val="00A71A9C"/>
    <w:rsid w:val="00A72F1F"/>
    <w:rsid w:val="00A73F38"/>
    <w:rsid w:val="00A7469B"/>
    <w:rsid w:val="00A76B85"/>
    <w:rsid w:val="00A77146"/>
    <w:rsid w:val="00A77A05"/>
    <w:rsid w:val="00A80D6B"/>
    <w:rsid w:val="00A81315"/>
    <w:rsid w:val="00A81DEF"/>
    <w:rsid w:val="00A82236"/>
    <w:rsid w:val="00A8264C"/>
    <w:rsid w:val="00A8361A"/>
    <w:rsid w:val="00A848AC"/>
    <w:rsid w:val="00A851FC"/>
    <w:rsid w:val="00A86C1D"/>
    <w:rsid w:val="00A91BDF"/>
    <w:rsid w:val="00A93D69"/>
    <w:rsid w:val="00A97045"/>
    <w:rsid w:val="00AA18DA"/>
    <w:rsid w:val="00AA2943"/>
    <w:rsid w:val="00AA2987"/>
    <w:rsid w:val="00AA326B"/>
    <w:rsid w:val="00AA398A"/>
    <w:rsid w:val="00AA433F"/>
    <w:rsid w:val="00AA4758"/>
    <w:rsid w:val="00AA55B7"/>
    <w:rsid w:val="00AA5B9E"/>
    <w:rsid w:val="00AA64AC"/>
    <w:rsid w:val="00AA65C7"/>
    <w:rsid w:val="00AB1278"/>
    <w:rsid w:val="00AB1C3E"/>
    <w:rsid w:val="00AB2407"/>
    <w:rsid w:val="00AB38DD"/>
    <w:rsid w:val="00AB3D53"/>
    <w:rsid w:val="00AB53DF"/>
    <w:rsid w:val="00AB6822"/>
    <w:rsid w:val="00AB6A35"/>
    <w:rsid w:val="00AB7CEC"/>
    <w:rsid w:val="00AC0937"/>
    <w:rsid w:val="00AC09DF"/>
    <w:rsid w:val="00AC1509"/>
    <w:rsid w:val="00AC162C"/>
    <w:rsid w:val="00AC18FF"/>
    <w:rsid w:val="00AC57BF"/>
    <w:rsid w:val="00AC58AF"/>
    <w:rsid w:val="00AC6F7D"/>
    <w:rsid w:val="00AD05B9"/>
    <w:rsid w:val="00AD1226"/>
    <w:rsid w:val="00AD1ACB"/>
    <w:rsid w:val="00AD2634"/>
    <w:rsid w:val="00AD2CFB"/>
    <w:rsid w:val="00AD44EF"/>
    <w:rsid w:val="00AD5D3B"/>
    <w:rsid w:val="00AE09FA"/>
    <w:rsid w:val="00AE1472"/>
    <w:rsid w:val="00AE148C"/>
    <w:rsid w:val="00AE1B43"/>
    <w:rsid w:val="00AE22D1"/>
    <w:rsid w:val="00AE2773"/>
    <w:rsid w:val="00AE28B2"/>
    <w:rsid w:val="00AE45AB"/>
    <w:rsid w:val="00AE50A7"/>
    <w:rsid w:val="00AE5640"/>
    <w:rsid w:val="00AE5DDC"/>
    <w:rsid w:val="00AE5EC7"/>
    <w:rsid w:val="00AE7EDF"/>
    <w:rsid w:val="00AF0CCA"/>
    <w:rsid w:val="00AF12C4"/>
    <w:rsid w:val="00AF2F64"/>
    <w:rsid w:val="00AF3F42"/>
    <w:rsid w:val="00AF4B11"/>
    <w:rsid w:val="00AF57EB"/>
    <w:rsid w:val="00AF62DE"/>
    <w:rsid w:val="00AF6A03"/>
    <w:rsid w:val="00AF6ECD"/>
    <w:rsid w:val="00AF7EF8"/>
    <w:rsid w:val="00B01D21"/>
    <w:rsid w:val="00B023C4"/>
    <w:rsid w:val="00B0244F"/>
    <w:rsid w:val="00B03179"/>
    <w:rsid w:val="00B06F27"/>
    <w:rsid w:val="00B07D74"/>
    <w:rsid w:val="00B07E5C"/>
    <w:rsid w:val="00B107E9"/>
    <w:rsid w:val="00B117CE"/>
    <w:rsid w:val="00B12E98"/>
    <w:rsid w:val="00B13BE0"/>
    <w:rsid w:val="00B2052D"/>
    <w:rsid w:val="00B20808"/>
    <w:rsid w:val="00B20876"/>
    <w:rsid w:val="00B21105"/>
    <w:rsid w:val="00B21645"/>
    <w:rsid w:val="00B21F69"/>
    <w:rsid w:val="00B237D9"/>
    <w:rsid w:val="00B239F2"/>
    <w:rsid w:val="00B23E22"/>
    <w:rsid w:val="00B2444C"/>
    <w:rsid w:val="00B24F89"/>
    <w:rsid w:val="00B25861"/>
    <w:rsid w:val="00B25A1C"/>
    <w:rsid w:val="00B25A6F"/>
    <w:rsid w:val="00B25F73"/>
    <w:rsid w:val="00B27501"/>
    <w:rsid w:val="00B309BD"/>
    <w:rsid w:val="00B30B2E"/>
    <w:rsid w:val="00B30E7A"/>
    <w:rsid w:val="00B317D5"/>
    <w:rsid w:val="00B34CA2"/>
    <w:rsid w:val="00B37017"/>
    <w:rsid w:val="00B3717A"/>
    <w:rsid w:val="00B42BE6"/>
    <w:rsid w:val="00B436A6"/>
    <w:rsid w:val="00B43E72"/>
    <w:rsid w:val="00B46098"/>
    <w:rsid w:val="00B46536"/>
    <w:rsid w:val="00B467C3"/>
    <w:rsid w:val="00B46A04"/>
    <w:rsid w:val="00B46B84"/>
    <w:rsid w:val="00B503D8"/>
    <w:rsid w:val="00B506FE"/>
    <w:rsid w:val="00B51235"/>
    <w:rsid w:val="00B514B8"/>
    <w:rsid w:val="00B51E25"/>
    <w:rsid w:val="00B53B38"/>
    <w:rsid w:val="00B55665"/>
    <w:rsid w:val="00B579E0"/>
    <w:rsid w:val="00B6003A"/>
    <w:rsid w:val="00B6103D"/>
    <w:rsid w:val="00B61BE0"/>
    <w:rsid w:val="00B6237B"/>
    <w:rsid w:val="00B626FE"/>
    <w:rsid w:val="00B62A70"/>
    <w:rsid w:val="00B667C2"/>
    <w:rsid w:val="00B66F2B"/>
    <w:rsid w:val="00B67043"/>
    <w:rsid w:val="00B67F1A"/>
    <w:rsid w:val="00B713BF"/>
    <w:rsid w:val="00B71429"/>
    <w:rsid w:val="00B7173B"/>
    <w:rsid w:val="00B72717"/>
    <w:rsid w:val="00B72A25"/>
    <w:rsid w:val="00B73543"/>
    <w:rsid w:val="00B776D4"/>
    <w:rsid w:val="00B77E17"/>
    <w:rsid w:val="00B811F7"/>
    <w:rsid w:val="00B81FCE"/>
    <w:rsid w:val="00B82812"/>
    <w:rsid w:val="00B83FF4"/>
    <w:rsid w:val="00B8486B"/>
    <w:rsid w:val="00B84BDF"/>
    <w:rsid w:val="00B84F90"/>
    <w:rsid w:val="00B904BA"/>
    <w:rsid w:val="00B91EE7"/>
    <w:rsid w:val="00B92EBE"/>
    <w:rsid w:val="00B93E82"/>
    <w:rsid w:val="00B94172"/>
    <w:rsid w:val="00B943BC"/>
    <w:rsid w:val="00B9558D"/>
    <w:rsid w:val="00B96FA0"/>
    <w:rsid w:val="00BA04F1"/>
    <w:rsid w:val="00BA0D4B"/>
    <w:rsid w:val="00BA0DF3"/>
    <w:rsid w:val="00BA10AB"/>
    <w:rsid w:val="00BA146C"/>
    <w:rsid w:val="00BA1BA0"/>
    <w:rsid w:val="00BA5306"/>
    <w:rsid w:val="00BA58A3"/>
    <w:rsid w:val="00BA5DC6"/>
    <w:rsid w:val="00BA6196"/>
    <w:rsid w:val="00BB07CE"/>
    <w:rsid w:val="00BB0F3A"/>
    <w:rsid w:val="00BB112E"/>
    <w:rsid w:val="00BB1739"/>
    <w:rsid w:val="00BB20C4"/>
    <w:rsid w:val="00BB2130"/>
    <w:rsid w:val="00BB2977"/>
    <w:rsid w:val="00BB3E0A"/>
    <w:rsid w:val="00BB3FB2"/>
    <w:rsid w:val="00BB422A"/>
    <w:rsid w:val="00BB46D2"/>
    <w:rsid w:val="00BB498F"/>
    <w:rsid w:val="00BB4F27"/>
    <w:rsid w:val="00BB5326"/>
    <w:rsid w:val="00BB5BC7"/>
    <w:rsid w:val="00BB6735"/>
    <w:rsid w:val="00BB6E92"/>
    <w:rsid w:val="00BB6EC2"/>
    <w:rsid w:val="00BC059A"/>
    <w:rsid w:val="00BC1B3A"/>
    <w:rsid w:val="00BC1B51"/>
    <w:rsid w:val="00BC1F3C"/>
    <w:rsid w:val="00BC2C15"/>
    <w:rsid w:val="00BC3114"/>
    <w:rsid w:val="00BC3AC7"/>
    <w:rsid w:val="00BC4791"/>
    <w:rsid w:val="00BC4C25"/>
    <w:rsid w:val="00BC575E"/>
    <w:rsid w:val="00BC5C40"/>
    <w:rsid w:val="00BC6D8C"/>
    <w:rsid w:val="00BD00D8"/>
    <w:rsid w:val="00BD211F"/>
    <w:rsid w:val="00BD3817"/>
    <w:rsid w:val="00BD3C76"/>
    <w:rsid w:val="00BD4B67"/>
    <w:rsid w:val="00BD4E5E"/>
    <w:rsid w:val="00BD612B"/>
    <w:rsid w:val="00BD6291"/>
    <w:rsid w:val="00BD7D60"/>
    <w:rsid w:val="00BE08AE"/>
    <w:rsid w:val="00BE10DF"/>
    <w:rsid w:val="00BE1157"/>
    <w:rsid w:val="00BE2679"/>
    <w:rsid w:val="00BE2B36"/>
    <w:rsid w:val="00BE4936"/>
    <w:rsid w:val="00BE4B7A"/>
    <w:rsid w:val="00BE6C9C"/>
    <w:rsid w:val="00BE6F3A"/>
    <w:rsid w:val="00BE7918"/>
    <w:rsid w:val="00BF0574"/>
    <w:rsid w:val="00BF396E"/>
    <w:rsid w:val="00BF4B01"/>
    <w:rsid w:val="00BF4B22"/>
    <w:rsid w:val="00BF554B"/>
    <w:rsid w:val="00BF7B90"/>
    <w:rsid w:val="00BF7D6C"/>
    <w:rsid w:val="00C000F2"/>
    <w:rsid w:val="00C00FA1"/>
    <w:rsid w:val="00C01282"/>
    <w:rsid w:val="00C01B1A"/>
    <w:rsid w:val="00C02DDA"/>
    <w:rsid w:val="00C0354F"/>
    <w:rsid w:val="00C056AF"/>
    <w:rsid w:val="00C10293"/>
    <w:rsid w:val="00C1101E"/>
    <w:rsid w:val="00C130C5"/>
    <w:rsid w:val="00C13ABD"/>
    <w:rsid w:val="00C13ED5"/>
    <w:rsid w:val="00C1414C"/>
    <w:rsid w:val="00C151E0"/>
    <w:rsid w:val="00C152E1"/>
    <w:rsid w:val="00C15794"/>
    <w:rsid w:val="00C16C44"/>
    <w:rsid w:val="00C1719C"/>
    <w:rsid w:val="00C20E65"/>
    <w:rsid w:val="00C2235D"/>
    <w:rsid w:val="00C23403"/>
    <w:rsid w:val="00C24EAC"/>
    <w:rsid w:val="00C2509F"/>
    <w:rsid w:val="00C25BF7"/>
    <w:rsid w:val="00C25E9E"/>
    <w:rsid w:val="00C26663"/>
    <w:rsid w:val="00C30346"/>
    <w:rsid w:val="00C304DE"/>
    <w:rsid w:val="00C3098F"/>
    <w:rsid w:val="00C310F5"/>
    <w:rsid w:val="00C327A3"/>
    <w:rsid w:val="00C32904"/>
    <w:rsid w:val="00C33372"/>
    <w:rsid w:val="00C33832"/>
    <w:rsid w:val="00C34006"/>
    <w:rsid w:val="00C34E04"/>
    <w:rsid w:val="00C355D6"/>
    <w:rsid w:val="00C36184"/>
    <w:rsid w:val="00C36B55"/>
    <w:rsid w:val="00C36BBA"/>
    <w:rsid w:val="00C36C40"/>
    <w:rsid w:val="00C379DD"/>
    <w:rsid w:val="00C400B5"/>
    <w:rsid w:val="00C41FF7"/>
    <w:rsid w:val="00C42309"/>
    <w:rsid w:val="00C42670"/>
    <w:rsid w:val="00C426B1"/>
    <w:rsid w:val="00C4291E"/>
    <w:rsid w:val="00C43F54"/>
    <w:rsid w:val="00C447F8"/>
    <w:rsid w:val="00C44858"/>
    <w:rsid w:val="00C4578C"/>
    <w:rsid w:val="00C458FE"/>
    <w:rsid w:val="00C46CC4"/>
    <w:rsid w:val="00C47CBB"/>
    <w:rsid w:val="00C508A9"/>
    <w:rsid w:val="00C511B6"/>
    <w:rsid w:val="00C521F1"/>
    <w:rsid w:val="00C52A81"/>
    <w:rsid w:val="00C540CE"/>
    <w:rsid w:val="00C5474C"/>
    <w:rsid w:val="00C54B4E"/>
    <w:rsid w:val="00C55773"/>
    <w:rsid w:val="00C56383"/>
    <w:rsid w:val="00C565E2"/>
    <w:rsid w:val="00C576F9"/>
    <w:rsid w:val="00C577AC"/>
    <w:rsid w:val="00C579EA"/>
    <w:rsid w:val="00C618B0"/>
    <w:rsid w:val="00C61CC1"/>
    <w:rsid w:val="00C61D19"/>
    <w:rsid w:val="00C62C09"/>
    <w:rsid w:val="00C63EB0"/>
    <w:rsid w:val="00C64974"/>
    <w:rsid w:val="00C67FA3"/>
    <w:rsid w:val="00C70BC5"/>
    <w:rsid w:val="00C71C7F"/>
    <w:rsid w:val="00C74628"/>
    <w:rsid w:val="00C75C38"/>
    <w:rsid w:val="00C76169"/>
    <w:rsid w:val="00C770DA"/>
    <w:rsid w:val="00C77AC3"/>
    <w:rsid w:val="00C77BBD"/>
    <w:rsid w:val="00C8062F"/>
    <w:rsid w:val="00C80E0E"/>
    <w:rsid w:val="00C8149E"/>
    <w:rsid w:val="00C8186A"/>
    <w:rsid w:val="00C829CC"/>
    <w:rsid w:val="00C833DD"/>
    <w:rsid w:val="00C83F9C"/>
    <w:rsid w:val="00C8426F"/>
    <w:rsid w:val="00C85869"/>
    <w:rsid w:val="00C85D0E"/>
    <w:rsid w:val="00C877CF"/>
    <w:rsid w:val="00C90D6A"/>
    <w:rsid w:val="00C9163E"/>
    <w:rsid w:val="00C92692"/>
    <w:rsid w:val="00C94980"/>
    <w:rsid w:val="00CA12A6"/>
    <w:rsid w:val="00CA1C25"/>
    <w:rsid w:val="00CA366F"/>
    <w:rsid w:val="00CA37B0"/>
    <w:rsid w:val="00CA44F2"/>
    <w:rsid w:val="00CA5F47"/>
    <w:rsid w:val="00CA6405"/>
    <w:rsid w:val="00CA67F1"/>
    <w:rsid w:val="00CB23B7"/>
    <w:rsid w:val="00CB2FCC"/>
    <w:rsid w:val="00CB3C75"/>
    <w:rsid w:val="00CB3D24"/>
    <w:rsid w:val="00CB59A1"/>
    <w:rsid w:val="00CB67CC"/>
    <w:rsid w:val="00CB7685"/>
    <w:rsid w:val="00CB7AA3"/>
    <w:rsid w:val="00CC40ED"/>
    <w:rsid w:val="00CC4117"/>
    <w:rsid w:val="00CC4162"/>
    <w:rsid w:val="00CC4DBA"/>
    <w:rsid w:val="00CC5C28"/>
    <w:rsid w:val="00CC6C47"/>
    <w:rsid w:val="00CC72B6"/>
    <w:rsid w:val="00CC77DA"/>
    <w:rsid w:val="00CD0E60"/>
    <w:rsid w:val="00CD0F54"/>
    <w:rsid w:val="00CD1D0D"/>
    <w:rsid w:val="00CD4069"/>
    <w:rsid w:val="00CD5017"/>
    <w:rsid w:val="00CD503F"/>
    <w:rsid w:val="00CD6202"/>
    <w:rsid w:val="00CE0344"/>
    <w:rsid w:val="00CE2A48"/>
    <w:rsid w:val="00CE4994"/>
    <w:rsid w:val="00CE5490"/>
    <w:rsid w:val="00CE5AAA"/>
    <w:rsid w:val="00CE7449"/>
    <w:rsid w:val="00CF052B"/>
    <w:rsid w:val="00CF2363"/>
    <w:rsid w:val="00CF2890"/>
    <w:rsid w:val="00CF2AD4"/>
    <w:rsid w:val="00CF5224"/>
    <w:rsid w:val="00CF6041"/>
    <w:rsid w:val="00CF6C84"/>
    <w:rsid w:val="00CF7C53"/>
    <w:rsid w:val="00CF7D57"/>
    <w:rsid w:val="00D01BEA"/>
    <w:rsid w:val="00D0218D"/>
    <w:rsid w:val="00D0309B"/>
    <w:rsid w:val="00D064EF"/>
    <w:rsid w:val="00D102E6"/>
    <w:rsid w:val="00D13C89"/>
    <w:rsid w:val="00D13D89"/>
    <w:rsid w:val="00D14376"/>
    <w:rsid w:val="00D143CE"/>
    <w:rsid w:val="00D14883"/>
    <w:rsid w:val="00D16A9B"/>
    <w:rsid w:val="00D175F0"/>
    <w:rsid w:val="00D20098"/>
    <w:rsid w:val="00D20876"/>
    <w:rsid w:val="00D20A85"/>
    <w:rsid w:val="00D22131"/>
    <w:rsid w:val="00D23B95"/>
    <w:rsid w:val="00D23E21"/>
    <w:rsid w:val="00D25DBE"/>
    <w:rsid w:val="00D271B1"/>
    <w:rsid w:val="00D27515"/>
    <w:rsid w:val="00D30D87"/>
    <w:rsid w:val="00D315B8"/>
    <w:rsid w:val="00D31EA7"/>
    <w:rsid w:val="00D33689"/>
    <w:rsid w:val="00D34851"/>
    <w:rsid w:val="00D35DC9"/>
    <w:rsid w:val="00D35FB1"/>
    <w:rsid w:val="00D373BC"/>
    <w:rsid w:val="00D40E02"/>
    <w:rsid w:val="00D43504"/>
    <w:rsid w:val="00D43D7E"/>
    <w:rsid w:val="00D45423"/>
    <w:rsid w:val="00D458D8"/>
    <w:rsid w:val="00D4590A"/>
    <w:rsid w:val="00D459FB"/>
    <w:rsid w:val="00D45FD4"/>
    <w:rsid w:val="00D461AC"/>
    <w:rsid w:val="00D47559"/>
    <w:rsid w:val="00D507E9"/>
    <w:rsid w:val="00D50924"/>
    <w:rsid w:val="00D520D2"/>
    <w:rsid w:val="00D52843"/>
    <w:rsid w:val="00D54A94"/>
    <w:rsid w:val="00D54D91"/>
    <w:rsid w:val="00D555EA"/>
    <w:rsid w:val="00D55BF3"/>
    <w:rsid w:val="00D560B7"/>
    <w:rsid w:val="00D56484"/>
    <w:rsid w:val="00D57BAA"/>
    <w:rsid w:val="00D60AF4"/>
    <w:rsid w:val="00D60DD1"/>
    <w:rsid w:val="00D61366"/>
    <w:rsid w:val="00D61E23"/>
    <w:rsid w:val="00D64F01"/>
    <w:rsid w:val="00D65009"/>
    <w:rsid w:val="00D65A48"/>
    <w:rsid w:val="00D65FB4"/>
    <w:rsid w:val="00D668C8"/>
    <w:rsid w:val="00D66B4A"/>
    <w:rsid w:val="00D710D9"/>
    <w:rsid w:val="00D7147E"/>
    <w:rsid w:val="00D73929"/>
    <w:rsid w:val="00D73B5B"/>
    <w:rsid w:val="00D73D1A"/>
    <w:rsid w:val="00D73D3E"/>
    <w:rsid w:val="00D74B55"/>
    <w:rsid w:val="00D75276"/>
    <w:rsid w:val="00D77D9A"/>
    <w:rsid w:val="00D8034F"/>
    <w:rsid w:val="00D8221F"/>
    <w:rsid w:val="00D82BD4"/>
    <w:rsid w:val="00D83EFA"/>
    <w:rsid w:val="00D8404C"/>
    <w:rsid w:val="00D8575D"/>
    <w:rsid w:val="00D8591F"/>
    <w:rsid w:val="00D8652F"/>
    <w:rsid w:val="00D86CD7"/>
    <w:rsid w:val="00D86F37"/>
    <w:rsid w:val="00D870F4"/>
    <w:rsid w:val="00D87472"/>
    <w:rsid w:val="00D87DD4"/>
    <w:rsid w:val="00D90280"/>
    <w:rsid w:val="00D90A3D"/>
    <w:rsid w:val="00D95D66"/>
    <w:rsid w:val="00D977DF"/>
    <w:rsid w:val="00DA06C5"/>
    <w:rsid w:val="00DA0B6C"/>
    <w:rsid w:val="00DA2529"/>
    <w:rsid w:val="00DA37DF"/>
    <w:rsid w:val="00DA4B43"/>
    <w:rsid w:val="00DB0FA7"/>
    <w:rsid w:val="00DB130A"/>
    <w:rsid w:val="00DB2C13"/>
    <w:rsid w:val="00DC073E"/>
    <w:rsid w:val="00DC0989"/>
    <w:rsid w:val="00DC10A1"/>
    <w:rsid w:val="00DC1B03"/>
    <w:rsid w:val="00DC2A62"/>
    <w:rsid w:val="00DC36B5"/>
    <w:rsid w:val="00DC4A0E"/>
    <w:rsid w:val="00DC655F"/>
    <w:rsid w:val="00DC679A"/>
    <w:rsid w:val="00DD0DB5"/>
    <w:rsid w:val="00DD50FF"/>
    <w:rsid w:val="00DD59D1"/>
    <w:rsid w:val="00DD5B32"/>
    <w:rsid w:val="00DD6C8F"/>
    <w:rsid w:val="00DD7EBD"/>
    <w:rsid w:val="00DE0022"/>
    <w:rsid w:val="00DE0049"/>
    <w:rsid w:val="00DE2CB8"/>
    <w:rsid w:val="00DE3644"/>
    <w:rsid w:val="00DE5013"/>
    <w:rsid w:val="00DE62A8"/>
    <w:rsid w:val="00DE6DE3"/>
    <w:rsid w:val="00DE7489"/>
    <w:rsid w:val="00DE7E18"/>
    <w:rsid w:val="00DF14B8"/>
    <w:rsid w:val="00DF1CCB"/>
    <w:rsid w:val="00DF2EC9"/>
    <w:rsid w:val="00DF40CB"/>
    <w:rsid w:val="00DF447B"/>
    <w:rsid w:val="00DF62B6"/>
    <w:rsid w:val="00E00AB3"/>
    <w:rsid w:val="00E01416"/>
    <w:rsid w:val="00E02145"/>
    <w:rsid w:val="00E02A4E"/>
    <w:rsid w:val="00E0307F"/>
    <w:rsid w:val="00E03DB2"/>
    <w:rsid w:val="00E04431"/>
    <w:rsid w:val="00E04478"/>
    <w:rsid w:val="00E04958"/>
    <w:rsid w:val="00E050DE"/>
    <w:rsid w:val="00E05538"/>
    <w:rsid w:val="00E06311"/>
    <w:rsid w:val="00E069D2"/>
    <w:rsid w:val="00E07225"/>
    <w:rsid w:val="00E11320"/>
    <w:rsid w:val="00E123C2"/>
    <w:rsid w:val="00E12DF7"/>
    <w:rsid w:val="00E13542"/>
    <w:rsid w:val="00E13CFA"/>
    <w:rsid w:val="00E142EA"/>
    <w:rsid w:val="00E14466"/>
    <w:rsid w:val="00E14E9C"/>
    <w:rsid w:val="00E16A2F"/>
    <w:rsid w:val="00E1729D"/>
    <w:rsid w:val="00E17C11"/>
    <w:rsid w:val="00E20360"/>
    <w:rsid w:val="00E21505"/>
    <w:rsid w:val="00E228D5"/>
    <w:rsid w:val="00E22CC7"/>
    <w:rsid w:val="00E237FD"/>
    <w:rsid w:val="00E23DCC"/>
    <w:rsid w:val="00E27F3B"/>
    <w:rsid w:val="00E31211"/>
    <w:rsid w:val="00E321D8"/>
    <w:rsid w:val="00E32C6C"/>
    <w:rsid w:val="00E34021"/>
    <w:rsid w:val="00E35F51"/>
    <w:rsid w:val="00E35FB4"/>
    <w:rsid w:val="00E36C1B"/>
    <w:rsid w:val="00E3743D"/>
    <w:rsid w:val="00E40343"/>
    <w:rsid w:val="00E404A6"/>
    <w:rsid w:val="00E42C7F"/>
    <w:rsid w:val="00E43E8E"/>
    <w:rsid w:val="00E456CB"/>
    <w:rsid w:val="00E4645D"/>
    <w:rsid w:val="00E46714"/>
    <w:rsid w:val="00E467B5"/>
    <w:rsid w:val="00E4756D"/>
    <w:rsid w:val="00E47C31"/>
    <w:rsid w:val="00E50904"/>
    <w:rsid w:val="00E53842"/>
    <w:rsid w:val="00E53C9D"/>
    <w:rsid w:val="00E53F47"/>
    <w:rsid w:val="00E54034"/>
    <w:rsid w:val="00E5409F"/>
    <w:rsid w:val="00E542F8"/>
    <w:rsid w:val="00E576D0"/>
    <w:rsid w:val="00E57AC9"/>
    <w:rsid w:val="00E60A79"/>
    <w:rsid w:val="00E62446"/>
    <w:rsid w:val="00E63192"/>
    <w:rsid w:val="00E63261"/>
    <w:rsid w:val="00E63546"/>
    <w:rsid w:val="00E63830"/>
    <w:rsid w:val="00E6426E"/>
    <w:rsid w:val="00E6427E"/>
    <w:rsid w:val="00E65D57"/>
    <w:rsid w:val="00E6607D"/>
    <w:rsid w:val="00E66541"/>
    <w:rsid w:val="00E66F14"/>
    <w:rsid w:val="00E70C24"/>
    <w:rsid w:val="00E70D6C"/>
    <w:rsid w:val="00E71733"/>
    <w:rsid w:val="00E721C6"/>
    <w:rsid w:val="00E73760"/>
    <w:rsid w:val="00E737A3"/>
    <w:rsid w:val="00E75619"/>
    <w:rsid w:val="00E763D0"/>
    <w:rsid w:val="00E76F6D"/>
    <w:rsid w:val="00E81016"/>
    <w:rsid w:val="00E82EEF"/>
    <w:rsid w:val="00E86608"/>
    <w:rsid w:val="00E86FCF"/>
    <w:rsid w:val="00E9056A"/>
    <w:rsid w:val="00E90F3E"/>
    <w:rsid w:val="00E91AFE"/>
    <w:rsid w:val="00E92D81"/>
    <w:rsid w:val="00E932BD"/>
    <w:rsid w:val="00E9335B"/>
    <w:rsid w:val="00E948E8"/>
    <w:rsid w:val="00E95B20"/>
    <w:rsid w:val="00E97027"/>
    <w:rsid w:val="00E974A8"/>
    <w:rsid w:val="00EA0DCA"/>
    <w:rsid w:val="00EA24F0"/>
    <w:rsid w:val="00EA2767"/>
    <w:rsid w:val="00EA2B24"/>
    <w:rsid w:val="00EA3ADB"/>
    <w:rsid w:val="00EA5081"/>
    <w:rsid w:val="00EA52C5"/>
    <w:rsid w:val="00EA56A3"/>
    <w:rsid w:val="00EA5759"/>
    <w:rsid w:val="00EA5FDB"/>
    <w:rsid w:val="00EA62C3"/>
    <w:rsid w:val="00EA691F"/>
    <w:rsid w:val="00EA6AD7"/>
    <w:rsid w:val="00EA7506"/>
    <w:rsid w:val="00EB1377"/>
    <w:rsid w:val="00EB16E1"/>
    <w:rsid w:val="00EB3228"/>
    <w:rsid w:val="00EB325E"/>
    <w:rsid w:val="00EB3D6D"/>
    <w:rsid w:val="00EB4157"/>
    <w:rsid w:val="00EB5EE2"/>
    <w:rsid w:val="00EB63A5"/>
    <w:rsid w:val="00EB712E"/>
    <w:rsid w:val="00EB78E9"/>
    <w:rsid w:val="00EC0953"/>
    <w:rsid w:val="00EC1393"/>
    <w:rsid w:val="00EC29CE"/>
    <w:rsid w:val="00EC2BB2"/>
    <w:rsid w:val="00EC4989"/>
    <w:rsid w:val="00EC4AF4"/>
    <w:rsid w:val="00EC567E"/>
    <w:rsid w:val="00EC5AB7"/>
    <w:rsid w:val="00EC713F"/>
    <w:rsid w:val="00EC7EAF"/>
    <w:rsid w:val="00ED008D"/>
    <w:rsid w:val="00ED05FF"/>
    <w:rsid w:val="00ED1138"/>
    <w:rsid w:val="00ED1495"/>
    <w:rsid w:val="00ED1F3F"/>
    <w:rsid w:val="00ED27E4"/>
    <w:rsid w:val="00ED4225"/>
    <w:rsid w:val="00ED6654"/>
    <w:rsid w:val="00ED67A9"/>
    <w:rsid w:val="00EE0564"/>
    <w:rsid w:val="00EE2071"/>
    <w:rsid w:val="00EE2E0B"/>
    <w:rsid w:val="00EE46B4"/>
    <w:rsid w:val="00EE4AD0"/>
    <w:rsid w:val="00EE6488"/>
    <w:rsid w:val="00EE6C0B"/>
    <w:rsid w:val="00EF052A"/>
    <w:rsid w:val="00EF0B8B"/>
    <w:rsid w:val="00EF21DB"/>
    <w:rsid w:val="00EF4E6E"/>
    <w:rsid w:val="00EF559E"/>
    <w:rsid w:val="00EF5936"/>
    <w:rsid w:val="00EF600E"/>
    <w:rsid w:val="00EF633F"/>
    <w:rsid w:val="00F00742"/>
    <w:rsid w:val="00F00FC4"/>
    <w:rsid w:val="00F01597"/>
    <w:rsid w:val="00F01FE3"/>
    <w:rsid w:val="00F021FA"/>
    <w:rsid w:val="00F0367B"/>
    <w:rsid w:val="00F037C7"/>
    <w:rsid w:val="00F04C08"/>
    <w:rsid w:val="00F07011"/>
    <w:rsid w:val="00F07528"/>
    <w:rsid w:val="00F0758C"/>
    <w:rsid w:val="00F0770A"/>
    <w:rsid w:val="00F07EA2"/>
    <w:rsid w:val="00F109C0"/>
    <w:rsid w:val="00F12613"/>
    <w:rsid w:val="00F126C7"/>
    <w:rsid w:val="00F1396F"/>
    <w:rsid w:val="00F140CE"/>
    <w:rsid w:val="00F14B09"/>
    <w:rsid w:val="00F14B13"/>
    <w:rsid w:val="00F14CE4"/>
    <w:rsid w:val="00F15F5B"/>
    <w:rsid w:val="00F166B2"/>
    <w:rsid w:val="00F16795"/>
    <w:rsid w:val="00F17AF1"/>
    <w:rsid w:val="00F20CBC"/>
    <w:rsid w:val="00F216CA"/>
    <w:rsid w:val="00F2185B"/>
    <w:rsid w:val="00F21FAB"/>
    <w:rsid w:val="00F22897"/>
    <w:rsid w:val="00F23AF3"/>
    <w:rsid w:val="00F2406F"/>
    <w:rsid w:val="00F260BF"/>
    <w:rsid w:val="00F26682"/>
    <w:rsid w:val="00F26A21"/>
    <w:rsid w:val="00F30181"/>
    <w:rsid w:val="00F3251A"/>
    <w:rsid w:val="00F331E1"/>
    <w:rsid w:val="00F33974"/>
    <w:rsid w:val="00F343F6"/>
    <w:rsid w:val="00F34627"/>
    <w:rsid w:val="00F35408"/>
    <w:rsid w:val="00F36245"/>
    <w:rsid w:val="00F44508"/>
    <w:rsid w:val="00F44D10"/>
    <w:rsid w:val="00F44D6E"/>
    <w:rsid w:val="00F457F2"/>
    <w:rsid w:val="00F505E9"/>
    <w:rsid w:val="00F5076F"/>
    <w:rsid w:val="00F50801"/>
    <w:rsid w:val="00F512B4"/>
    <w:rsid w:val="00F51480"/>
    <w:rsid w:val="00F51952"/>
    <w:rsid w:val="00F531E0"/>
    <w:rsid w:val="00F536D1"/>
    <w:rsid w:val="00F53942"/>
    <w:rsid w:val="00F5484D"/>
    <w:rsid w:val="00F551A2"/>
    <w:rsid w:val="00F56156"/>
    <w:rsid w:val="00F60417"/>
    <w:rsid w:val="00F62E97"/>
    <w:rsid w:val="00F64209"/>
    <w:rsid w:val="00F64348"/>
    <w:rsid w:val="00F64A54"/>
    <w:rsid w:val="00F66A34"/>
    <w:rsid w:val="00F66A6F"/>
    <w:rsid w:val="00F67A30"/>
    <w:rsid w:val="00F71250"/>
    <w:rsid w:val="00F725BB"/>
    <w:rsid w:val="00F7692B"/>
    <w:rsid w:val="00F82619"/>
    <w:rsid w:val="00F82D37"/>
    <w:rsid w:val="00F82DA1"/>
    <w:rsid w:val="00F86F5C"/>
    <w:rsid w:val="00F91699"/>
    <w:rsid w:val="00F92001"/>
    <w:rsid w:val="00F925B1"/>
    <w:rsid w:val="00F92FAB"/>
    <w:rsid w:val="00F93BF5"/>
    <w:rsid w:val="00F93E74"/>
    <w:rsid w:val="00F95817"/>
    <w:rsid w:val="00F95D0F"/>
    <w:rsid w:val="00F967A0"/>
    <w:rsid w:val="00F96BF0"/>
    <w:rsid w:val="00F96BF9"/>
    <w:rsid w:val="00F9746A"/>
    <w:rsid w:val="00F97DE5"/>
    <w:rsid w:val="00FA0D20"/>
    <w:rsid w:val="00FA2D59"/>
    <w:rsid w:val="00FA3910"/>
    <w:rsid w:val="00FA4B0B"/>
    <w:rsid w:val="00FA502F"/>
    <w:rsid w:val="00FA573E"/>
    <w:rsid w:val="00FA61F4"/>
    <w:rsid w:val="00FA70A0"/>
    <w:rsid w:val="00FA7B1B"/>
    <w:rsid w:val="00FB0B6F"/>
    <w:rsid w:val="00FB2D18"/>
    <w:rsid w:val="00FB3B82"/>
    <w:rsid w:val="00FB4595"/>
    <w:rsid w:val="00FB4749"/>
    <w:rsid w:val="00FB47FA"/>
    <w:rsid w:val="00FB51C2"/>
    <w:rsid w:val="00FB5310"/>
    <w:rsid w:val="00FB63D6"/>
    <w:rsid w:val="00FB7432"/>
    <w:rsid w:val="00FC06D9"/>
    <w:rsid w:val="00FC1076"/>
    <w:rsid w:val="00FC36FD"/>
    <w:rsid w:val="00FC4141"/>
    <w:rsid w:val="00FC4D58"/>
    <w:rsid w:val="00FC5345"/>
    <w:rsid w:val="00FD060E"/>
    <w:rsid w:val="00FD15D9"/>
    <w:rsid w:val="00FD2163"/>
    <w:rsid w:val="00FD3BB4"/>
    <w:rsid w:val="00FD6BF0"/>
    <w:rsid w:val="00FE0874"/>
    <w:rsid w:val="00FE0C3C"/>
    <w:rsid w:val="00FE12D8"/>
    <w:rsid w:val="00FE137D"/>
    <w:rsid w:val="00FE1980"/>
    <w:rsid w:val="00FE1A83"/>
    <w:rsid w:val="00FE2244"/>
    <w:rsid w:val="00FE4799"/>
    <w:rsid w:val="00FE597A"/>
    <w:rsid w:val="00FE6FAB"/>
    <w:rsid w:val="00FE7079"/>
    <w:rsid w:val="00FE73B2"/>
    <w:rsid w:val="00FE7566"/>
    <w:rsid w:val="00FE78C0"/>
    <w:rsid w:val="00FE7BF9"/>
    <w:rsid w:val="00FE7D47"/>
    <w:rsid w:val="00FF1DB0"/>
    <w:rsid w:val="00FF39E7"/>
    <w:rsid w:val="00FF4683"/>
    <w:rsid w:val="00FF4A81"/>
    <w:rsid w:val="00FF5887"/>
    <w:rsid w:val="00FF5D3B"/>
    <w:rsid w:val="00FF69CE"/>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1C"/>
    <w:pPr>
      <w:widowControl w:val="0"/>
    </w:pPr>
    <w:rPr>
      <w:snapToGrid w:val="0"/>
      <w:kern w:val="28"/>
      <w:sz w:val="22"/>
    </w:rPr>
  </w:style>
  <w:style w:type="paragraph" w:styleId="Heading1">
    <w:name w:val="heading 1"/>
    <w:basedOn w:val="Normal"/>
    <w:next w:val="ParaNum"/>
    <w:qFormat/>
    <w:rsid w:val="00872D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2D1C"/>
    <w:pPr>
      <w:keepNext/>
      <w:numPr>
        <w:ilvl w:val="1"/>
        <w:numId w:val="3"/>
      </w:numPr>
      <w:spacing w:after="120"/>
      <w:outlineLvl w:val="1"/>
    </w:pPr>
    <w:rPr>
      <w:b/>
    </w:rPr>
  </w:style>
  <w:style w:type="paragraph" w:styleId="Heading3">
    <w:name w:val="heading 3"/>
    <w:basedOn w:val="Normal"/>
    <w:next w:val="ParaNum"/>
    <w:qFormat/>
    <w:rsid w:val="00872D1C"/>
    <w:pPr>
      <w:keepNext/>
      <w:numPr>
        <w:ilvl w:val="2"/>
        <w:numId w:val="3"/>
      </w:numPr>
      <w:tabs>
        <w:tab w:val="left" w:pos="2160"/>
      </w:tabs>
      <w:spacing w:after="120"/>
      <w:outlineLvl w:val="2"/>
    </w:pPr>
    <w:rPr>
      <w:b/>
    </w:rPr>
  </w:style>
  <w:style w:type="paragraph" w:styleId="Heading4">
    <w:name w:val="heading 4"/>
    <w:basedOn w:val="Normal"/>
    <w:next w:val="ParaNum"/>
    <w:qFormat/>
    <w:rsid w:val="00872D1C"/>
    <w:pPr>
      <w:keepNext/>
      <w:numPr>
        <w:ilvl w:val="3"/>
        <w:numId w:val="3"/>
      </w:numPr>
      <w:tabs>
        <w:tab w:val="left" w:pos="2880"/>
      </w:tabs>
      <w:spacing w:after="120"/>
      <w:outlineLvl w:val="3"/>
    </w:pPr>
    <w:rPr>
      <w:b/>
    </w:rPr>
  </w:style>
  <w:style w:type="paragraph" w:styleId="Heading5">
    <w:name w:val="heading 5"/>
    <w:basedOn w:val="Normal"/>
    <w:next w:val="ParaNum"/>
    <w:qFormat/>
    <w:rsid w:val="00872D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2D1C"/>
    <w:pPr>
      <w:numPr>
        <w:ilvl w:val="5"/>
        <w:numId w:val="3"/>
      </w:numPr>
      <w:tabs>
        <w:tab w:val="left" w:pos="4320"/>
      </w:tabs>
      <w:spacing w:after="120"/>
      <w:outlineLvl w:val="5"/>
    </w:pPr>
    <w:rPr>
      <w:b/>
    </w:rPr>
  </w:style>
  <w:style w:type="paragraph" w:styleId="Heading7">
    <w:name w:val="heading 7"/>
    <w:basedOn w:val="Normal"/>
    <w:next w:val="ParaNum"/>
    <w:qFormat/>
    <w:rsid w:val="00872D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2D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2D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872D1C"/>
    <w:pPr>
      <w:numPr>
        <w:numId w:val="2"/>
      </w:numPr>
      <w:tabs>
        <w:tab w:val="clear" w:pos="1080"/>
        <w:tab w:val="num" w:pos="1440"/>
      </w:tabs>
      <w:spacing w:after="120"/>
    </w:pPr>
  </w:style>
  <w:style w:type="paragraph" w:styleId="EndnoteText">
    <w:name w:val="endnote text"/>
    <w:basedOn w:val="Normal"/>
    <w:semiHidden/>
    <w:rsid w:val="00872D1C"/>
    <w:rPr>
      <w:sz w:val="20"/>
    </w:rPr>
  </w:style>
  <w:style w:type="character" w:styleId="EndnoteReference">
    <w:name w:val="endnote reference"/>
    <w:basedOn w:val="DefaultParagraphFont"/>
    <w:semiHidden/>
    <w:rsid w:val="00872D1C"/>
    <w:rPr>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1 Char Char Char Char Char,ALTS FOOTNOTE Char Char Char Char Char Char,fn"/>
    <w:link w:val="FootnoteTextChar1"/>
    <w:rsid w:val="00872D1C"/>
    <w:pPr>
      <w:spacing w:after="120"/>
    </w:pPr>
  </w:style>
  <w:style w:type="character" w:styleId="FootnoteReference">
    <w:name w:val="footnote reference"/>
    <w:aliases w:val="Style 12,(NECG) Footnote Reference,Appel note de bas de p,Style 124,Style 4,Style 13,o,fr,Style 3"/>
    <w:basedOn w:val="DefaultParagraphFont"/>
    <w:rsid w:val="00872D1C"/>
    <w:rPr>
      <w:rFonts w:ascii="Times New Roman" w:hAnsi="Times New Roman"/>
      <w:dstrike w:val="0"/>
      <w:color w:val="auto"/>
      <w:sz w:val="22"/>
      <w:vertAlign w:val="superscript"/>
    </w:rPr>
  </w:style>
  <w:style w:type="paragraph" w:styleId="TOC1">
    <w:name w:val="toc 1"/>
    <w:basedOn w:val="Normal"/>
    <w:next w:val="Normal"/>
    <w:semiHidden/>
    <w:rsid w:val="00872D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2D1C"/>
    <w:pPr>
      <w:tabs>
        <w:tab w:val="left" w:pos="720"/>
        <w:tab w:val="right" w:leader="dot" w:pos="9360"/>
      </w:tabs>
      <w:suppressAutoHyphens/>
      <w:ind w:left="720" w:right="720" w:hanging="360"/>
    </w:pPr>
    <w:rPr>
      <w:noProof/>
    </w:rPr>
  </w:style>
  <w:style w:type="paragraph" w:styleId="TOC3">
    <w:name w:val="toc 3"/>
    <w:basedOn w:val="Normal"/>
    <w:next w:val="Normal"/>
    <w:semiHidden/>
    <w:rsid w:val="00872D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2D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2D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2D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2D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2D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2D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2D1C"/>
    <w:pPr>
      <w:tabs>
        <w:tab w:val="right" w:pos="9360"/>
      </w:tabs>
      <w:suppressAutoHyphens/>
    </w:pPr>
  </w:style>
  <w:style w:type="character" w:customStyle="1" w:styleId="EquationCaption">
    <w:name w:val="_Equation Caption"/>
    <w:rsid w:val="00872D1C"/>
  </w:style>
  <w:style w:type="paragraph" w:styleId="Header">
    <w:name w:val="header"/>
    <w:basedOn w:val="Normal"/>
    <w:autoRedefine/>
    <w:rsid w:val="00872D1C"/>
    <w:pPr>
      <w:tabs>
        <w:tab w:val="center" w:pos="4680"/>
        <w:tab w:val="right" w:pos="9360"/>
      </w:tabs>
    </w:pPr>
    <w:rPr>
      <w:b/>
    </w:rPr>
  </w:style>
  <w:style w:type="paragraph" w:styleId="Footer">
    <w:name w:val="footer"/>
    <w:basedOn w:val="Normal"/>
    <w:rsid w:val="00872D1C"/>
    <w:pPr>
      <w:tabs>
        <w:tab w:val="center" w:pos="4320"/>
        <w:tab w:val="right" w:pos="8640"/>
      </w:tabs>
    </w:pPr>
  </w:style>
  <w:style w:type="character" w:styleId="PageNumber">
    <w:name w:val="page number"/>
    <w:basedOn w:val="DefaultParagraphFont"/>
    <w:rsid w:val="00872D1C"/>
  </w:style>
  <w:style w:type="paragraph" w:styleId="BlockText">
    <w:name w:val="Block Text"/>
    <w:basedOn w:val="Normal"/>
    <w:rsid w:val="00872D1C"/>
    <w:pPr>
      <w:spacing w:after="240"/>
      <w:ind w:left="1440" w:right="1440"/>
    </w:pPr>
  </w:style>
  <w:style w:type="paragraph" w:customStyle="1" w:styleId="Paratitle">
    <w:name w:val="Para title"/>
    <w:basedOn w:val="Normal"/>
    <w:rsid w:val="00872D1C"/>
    <w:pPr>
      <w:tabs>
        <w:tab w:val="center" w:pos="9270"/>
      </w:tabs>
      <w:spacing w:after="240"/>
    </w:pPr>
    <w:rPr>
      <w:spacing w:val="-2"/>
    </w:rPr>
  </w:style>
  <w:style w:type="paragraph" w:customStyle="1" w:styleId="Bullet">
    <w:name w:val="Bullet"/>
    <w:basedOn w:val="Normal"/>
    <w:rsid w:val="00872D1C"/>
    <w:pPr>
      <w:numPr>
        <w:numId w:val="1"/>
      </w:numPr>
      <w:tabs>
        <w:tab w:val="clear" w:pos="360"/>
        <w:tab w:val="left" w:pos="2160"/>
      </w:tabs>
      <w:spacing w:after="220"/>
      <w:ind w:left="2160" w:hanging="720"/>
    </w:pPr>
  </w:style>
  <w:style w:type="paragraph" w:customStyle="1" w:styleId="TableFormat">
    <w:name w:val="TableFormat"/>
    <w:basedOn w:val="Bullet"/>
    <w:rsid w:val="00872D1C"/>
    <w:pPr>
      <w:numPr>
        <w:numId w:val="0"/>
      </w:numPr>
      <w:tabs>
        <w:tab w:val="clear" w:pos="2160"/>
        <w:tab w:val="left" w:pos="5040"/>
      </w:tabs>
      <w:ind w:left="5040" w:hanging="3600"/>
    </w:pPr>
  </w:style>
  <w:style w:type="paragraph" w:customStyle="1" w:styleId="TOCTitle">
    <w:name w:val="TOC Title"/>
    <w:basedOn w:val="Normal"/>
    <w:rsid w:val="00872D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2D1C"/>
    <w:pPr>
      <w:jc w:val="center"/>
    </w:pPr>
    <w:rPr>
      <w:rFonts w:ascii="Times New Roman Bold" w:hAnsi="Times New Roman Bold"/>
      <w:b/>
      <w:bCs/>
      <w:caps/>
      <w:szCs w:val="22"/>
    </w:rPr>
  </w:style>
  <w:style w:type="character" w:styleId="Hyperlink">
    <w:name w:val="Hyperlink"/>
    <w:basedOn w:val="DefaultParagraphFont"/>
    <w:rsid w:val="00872D1C"/>
    <w:rPr>
      <w:color w:val="0000FF"/>
      <w:u w:val="single"/>
    </w:rPr>
  </w:style>
  <w:style w:type="paragraph" w:customStyle="1" w:styleId="ParaNumChar">
    <w:name w:val="ParaNum Char"/>
    <w:basedOn w:val="Normal"/>
    <w:rsid w:val="00501CF0"/>
    <w:pPr>
      <w:tabs>
        <w:tab w:val="left" w:pos="1440"/>
        <w:tab w:val="num" w:pos="9270"/>
      </w:tabs>
      <w:spacing w:after="220"/>
      <w:ind w:left="8190" w:firstLine="720"/>
      <w:jc w:val="both"/>
    </w:pPr>
    <w:rPr>
      <w:snapToGrid/>
      <w:kern w:val="0"/>
    </w:rPr>
  </w:style>
  <w:style w:type="character" w:customStyle="1" w:styleId="documentbody1">
    <w:name w:val="documentbody1"/>
    <w:rsid w:val="00501CF0"/>
    <w:rPr>
      <w:rFonts w:ascii="Verdana" w:hAnsi="Verdana" w:hint="default"/>
      <w:sz w:val="19"/>
      <w:szCs w:val="19"/>
    </w:rPr>
  </w:style>
  <w:style w:type="character" w:customStyle="1" w:styleId="bestsection1">
    <w:name w:val="bestsection1"/>
    <w:rsid w:val="00501CF0"/>
    <w:rPr>
      <w:color w:val="FF0000"/>
    </w:rPr>
  </w:style>
  <w:style w:type="paragraph" w:styleId="NormalWeb">
    <w:name w:val="Normal (Web)"/>
    <w:basedOn w:val="Normal"/>
    <w:rsid w:val="00501CF0"/>
    <w:pPr>
      <w:widowControl/>
      <w:spacing w:before="100" w:beforeAutospacing="1" w:after="100" w:afterAutospacing="1"/>
    </w:pPr>
    <w:rPr>
      <w:rFonts w:ascii="Verdana" w:hAnsi="Verdana"/>
      <w:snapToGrid/>
      <w:kern w:val="0"/>
      <w:sz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 Char Char Char Char Char,fn Char"/>
    <w:link w:val="FootnoteText"/>
    <w:locked/>
    <w:rsid w:val="00501CF0"/>
  </w:style>
  <w:style w:type="paragraph" w:styleId="BalloonText">
    <w:name w:val="Balloon Text"/>
    <w:basedOn w:val="Normal"/>
    <w:semiHidden/>
    <w:rsid w:val="00CC4162"/>
    <w:rPr>
      <w:rFonts w:ascii="Tahoma" w:hAnsi="Tahoma" w:cs="Tahoma"/>
      <w:sz w:val="16"/>
      <w:szCs w:val="16"/>
    </w:rPr>
  </w:style>
  <w:style w:type="table" w:styleId="TableGrid">
    <w:name w:val="Table Grid"/>
    <w:basedOn w:val="TableNormal"/>
    <w:rsid w:val="00FA7B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1">
    <w:name w:val="par1"/>
    <w:basedOn w:val="Normal"/>
    <w:rsid w:val="009A00DF"/>
    <w:pPr>
      <w:widowControl/>
      <w:numPr>
        <w:numId w:val="4"/>
      </w:numPr>
    </w:pPr>
    <w:rPr>
      <w:snapToGrid/>
      <w:kern w:val="0"/>
    </w:rPr>
  </w:style>
  <w:style w:type="character" w:styleId="CommentReference">
    <w:name w:val="annotation reference"/>
    <w:semiHidden/>
    <w:rsid w:val="00FE0C3C"/>
    <w:rPr>
      <w:sz w:val="16"/>
      <w:szCs w:val="16"/>
    </w:rPr>
  </w:style>
  <w:style w:type="paragraph" w:styleId="CommentText">
    <w:name w:val="annotation text"/>
    <w:basedOn w:val="Normal"/>
    <w:semiHidden/>
    <w:rsid w:val="00FE0C3C"/>
    <w:rPr>
      <w:sz w:val="20"/>
    </w:rPr>
  </w:style>
  <w:style w:type="paragraph" w:styleId="CommentSubject">
    <w:name w:val="annotation subject"/>
    <w:basedOn w:val="CommentText"/>
    <w:next w:val="CommentText"/>
    <w:semiHidden/>
    <w:rsid w:val="00FE0C3C"/>
    <w:rPr>
      <w:b/>
      <w:bCs/>
    </w:rPr>
  </w:style>
  <w:style w:type="character" w:customStyle="1" w:styleId="ALTSFOOTNOTECharChar">
    <w:name w:val="ALTS FOOTNOTE Char Char"/>
    <w:aliases w:val="fn Char Char,rrfootnote Char1 Char,rrfootnote Char Char Char Char Char,rrfootnote Char,fn Char Char1,ALTS FOOTNOTE Char1,fn Char1,Footnote Text Char2 Char,Footnote Text Char1 Char Char1 Char"/>
    <w:locked/>
    <w:rsid w:val="00E17C11"/>
    <w:rPr>
      <w:lang w:val="en-US" w:eastAsia="en-US" w:bidi="ar-SA"/>
    </w:rPr>
  </w:style>
  <w:style w:type="paragraph" w:customStyle="1" w:styleId="Paranum0">
    <w:name w:val="Paranum"/>
    <w:rsid w:val="00D86CD7"/>
    <w:pPr>
      <w:numPr>
        <w:numId w:val="5"/>
      </w:numPr>
      <w:tabs>
        <w:tab w:val="left" w:pos="1440"/>
      </w:tabs>
      <w:spacing w:after="240"/>
      <w:jc w:val="both"/>
    </w:pPr>
    <w:rPr>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D86CD7"/>
    <w:rPr>
      <w:sz w:val="24"/>
      <w:szCs w:val="24"/>
      <w:lang w:val="en-US" w:eastAsia="en-US" w:bidi="ar-SA"/>
    </w:rPr>
  </w:style>
  <w:style w:type="paragraph" w:styleId="ListParagraph">
    <w:name w:val="List Paragraph"/>
    <w:basedOn w:val="Normal"/>
    <w:uiPriority w:val="34"/>
    <w:qFormat/>
    <w:rsid w:val="0065187E"/>
    <w:pPr>
      <w:ind w:left="720"/>
    </w:pPr>
  </w:style>
  <w:style w:type="character" w:customStyle="1" w:styleId="ParaNumChar1">
    <w:name w:val="ParaNum Char1"/>
    <w:link w:val="ParaNum"/>
    <w:locked/>
    <w:rsid w:val="00EC7EA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1C"/>
    <w:pPr>
      <w:widowControl w:val="0"/>
    </w:pPr>
    <w:rPr>
      <w:snapToGrid w:val="0"/>
      <w:kern w:val="28"/>
      <w:sz w:val="22"/>
    </w:rPr>
  </w:style>
  <w:style w:type="paragraph" w:styleId="Heading1">
    <w:name w:val="heading 1"/>
    <w:basedOn w:val="Normal"/>
    <w:next w:val="ParaNum"/>
    <w:qFormat/>
    <w:rsid w:val="00872D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2D1C"/>
    <w:pPr>
      <w:keepNext/>
      <w:numPr>
        <w:ilvl w:val="1"/>
        <w:numId w:val="3"/>
      </w:numPr>
      <w:spacing w:after="120"/>
      <w:outlineLvl w:val="1"/>
    </w:pPr>
    <w:rPr>
      <w:b/>
    </w:rPr>
  </w:style>
  <w:style w:type="paragraph" w:styleId="Heading3">
    <w:name w:val="heading 3"/>
    <w:basedOn w:val="Normal"/>
    <w:next w:val="ParaNum"/>
    <w:qFormat/>
    <w:rsid w:val="00872D1C"/>
    <w:pPr>
      <w:keepNext/>
      <w:numPr>
        <w:ilvl w:val="2"/>
        <w:numId w:val="3"/>
      </w:numPr>
      <w:tabs>
        <w:tab w:val="left" w:pos="2160"/>
      </w:tabs>
      <w:spacing w:after="120"/>
      <w:outlineLvl w:val="2"/>
    </w:pPr>
    <w:rPr>
      <w:b/>
    </w:rPr>
  </w:style>
  <w:style w:type="paragraph" w:styleId="Heading4">
    <w:name w:val="heading 4"/>
    <w:basedOn w:val="Normal"/>
    <w:next w:val="ParaNum"/>
    <w:qFormat/>
    <w:rsid w:val="00872D1C"/>
    <w:pPr>
      <w:keepNext/>
      <w:numPr>
        <w:ilvl w:val="3"/>
        <w:numId w:val="3"/>
      </w:numPr>
      <w:tabs>
        <w:tab w:val="left" w:pos="2880"/>
      </w:tabs>
      <w:spacing w:after="120"/>
      <w:outlineLvl w:val="3"/>
    </w:pPr>
    <w:rPr>
      <w:b/>
    </w:rPr>
  </w:style>
  <w:style w:type="paragraph" w:styleId="Heading5">
    <w:name w:val="heading 5"/>
    <w:basedOn w:val="Normal"/>
    <w:next w:val="ParaNum"/>
    <w:qFormat/>
    <w:rsid w:val="00872D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2D1C"/>
    <w:pPr>
      <w:numPr>
        <w:ilvl w:val="5"/>
        <w:numId w:val="3"/>
      </w:numPr>
      <w:tabs>
        <w:tab w:val="left" w:pos="4320"/>
      </w:tabs>
      <w:spacing w:after="120"/>
      <w:outlineLvl w:val="5"/>
    </w:pPr>
    <w:rPr>
      <w:b/>
    </w:rPr>
  </w:style>
  <w:style w:type="paragraph" w:styleId="Heading7">
    <w:name w:val="heading 7"/>
    <w:basedOn w:val="Normal"/>
    <w:next w:val="ParaNum"/>
    <w:qFormat/>
    <w:rsid w:val="00872D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2D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2D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872D1C"/>
    <w:pPr>
      <w:numPr>
        <w:numId w:val="2"/>
      </w:numPr>
      <w:tabs>
        <w:tab w:val="clear" w:pos="1080"/>
        <w:tab w:val="num" w:pos="1440"/>
      </w:tabs>
      <w:spacing w:after="120"/>
    </w:pPr>
  </w:style>
  <w:style w:type="paragraph" w:styleId="EndnoteText">
    <w:name w:val="endnote text"/>
    <w:basedOn w:val="Normal"/>
    <w:semiHidden/>
    <w:rsid w:val="00872D1C"/>
    <w:rPr>
      <w:sz w:val="20"/>
    </w:rPr>
  </w:style>
  <w:style w:type="character" w:styleId="EndnoteReference">
    <w:name w:val="endnote reference"/>
    <w:basedOn w:val="DefaultParagraphFont"/>
    <w:semiHidden/>
    <w:rsid w:val="00872D1C"/>
    <w:rPr>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1 Char Char Char Char Char,ALTS FOOTNOTE Char Char Char Char Char Char,fn"/>
    <w:link w:val="FootnoteTextChar1"/>
    <w:rsid w:val="00872D1C"/>
    <w:pPr>
      <w:spacing w:after="120"/>
    </w:pPr>
  </w:style>
  <w:style w:type="character" w:styleId="FootnoteReference">
    <w:name w:val="footnote reference"/>
    <w:aliases w:val="Style 12,(NECG) Footnote Reference,Appel note de bas de p,Style 124,Style 4,Style 13,o,fr,Style 3"/>
    <w:basedOn w:val="DefaultParagraphFont"/>
    <w:rsid w:val="00872D1C"/>
    <w:rPr>
      <w:rFonts w:ascii="Times New Roman" w:hAnsi="Times New Roman"/>
      <w:dstrike w:val="0"/>
      <w:color w:val="auto"/>
      <w:sz w:val="22"/>
      <w:vertAlign w:val="superscript"/>
    </w:rPr>
  </w:style>
  <w:style w:type="paragraph" w:styleId="TOC1">
    <w:name w:val="toc 1"/>
    <w:basedOn w:val="Normal"/>
    <w:next w:val="Normal"/>
    <w:semiHidden/>
    <w:rsid w:val="00872D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2D1C"/>
    <w:pPr>
      <w:tabs>
        <w:tab w:val="left" w:pos="720"/>
        <w:tab w:val="right" w:leader="dot" w:pos="9360"/>
      </w:tabs>
      <w:suppressAutoHyphens/>
      <w:ind w:left="720" w:right="720" w:hanging="360"/>
    </w:pPr>
    <w:rPr>
      <w:noProof/>
    </w:rPr>
  </w:style>
  <w:style w:type="paragraph" w:styleId="TOC3">
    <w:name w:val="toc 3"/>
    <w:basedOn w:val="Normal"/>
    <w:next w:val="Normal"/>
    <w:semiHidden/>
    <w:rsid w:val="00872D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2D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2D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2D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2D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2D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2D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2D1C"/>
    <w:pPr>
      <w:tabs>
        <w:tab w:val="right" w:pos="9360"/>
      </w:tabs>
      <w:suppressAutoHyphens/>
    </w:pPr>
  </w:style>
  <w:style w:type="character" w:customStyle="1" w:styleId="EquationCaption">
    <w:name w:val="_Equation Caption"/>
    <w:rsid w:val="00872D1C"/>
  </w:style>
  <w:style w:type="paragraph" w:styleId="Header">
    <w:name w:val="header"/>
    <w:basedOn w:val="Normal"/>
    <w:autoRedefine/>
    <w:rsid w:val="00872D1C"/>
    <w:pPr>
      <w:tabs>
        <w:tab w:val="center" w:pos="4680"/>
        <w:tab w:val="right" w:pos="9360"/>
      </w:tabs>
    </w:pPr>
    <w:rPr>
      <w:b/>
    </w:rPr>
  </w:style>
  <w:style w:type="paragraph" w:styleId="Footer">
    <w:name w:val="footer"/>
    <w:basedOn w:val="Normal"/>
    <w:rsid w:val="00872D1C"/>
    <w:pPr>
      <w:tabs>
        <w:tab w:val="center" w:pos="4320"/>
        <w:tab w:val="right" w:pos="8640"/>
      </w:tabs>
    </w:pPr>
  </w:style>
  <w:style w:type="character" w:styleId="PageNumber">
    <w:name w:val="page number"/>
    <w:basedOn w:val="DefaultParagraphFont"/>
    <w:rsid w:val="00872D1C"/>
  </w:style>
  <w:style w:type="paragraph" w:styleId="BlockText">
    <w:name w:val="Block Text"/>
    <w:basedOn w:val="Normal"/>
    <w:rsid w:val="00872D1C"/>
    <w:pPr>
      <w:spacing w:after="240"/>
      <w:ind w:left="1440" w:right="1440"/>
    </w:pPr>
  </w:style>
  <w:style w:type="paragraph" w:customStyle="1" w:styleId="Paratitle">
    <w:name w:val="Para title"/>
    <w:basedOn w:val="Normal"/>
    <w:rsid w:val="00872D1C"/>
    <w:pPr>
      <w:tabs>
        <w:tab w:val="center" w:pos="9270"/>
      </w:tabs>
      <w:spacing w:after="240"/>
    </w:pPr>
    <w:rPr>
      <w:spacing w:val="-2"/>
    </w:rPr>
  </w:style>
  <w:style w:type="paragraph" w:customStyle="1" w:styleId="Bullet">
    <w:name w:val="Bullet"/>
    <w:basedOn w:val="Normal"/>
    <w:rsid w:val="00872D1C"/>
    <w:pPr>
      <w:numPr>
        <w:numId w:val="1"/>
      </w:numPr>
      <w:tabs>
        <w:tab w:val="clear" w:pos="360"/>
        <w:tab w:val="left" w:pos="2160"/>
      </w:tabs>
      <w:spacing w:after="220"/>
      <w:ind w:left="2160" w:hanging="720"/>
    </w:pPr>
  </w:style>
  <w:style w:type="paragraph" w:customStyle="1" w:styleId="TableFormat">
    <w:name w:val="TableFormat"/>
    <w:basedOn w:val="Bullet"/>
    <w:rsid w:val="00872D1C"/>
    <w:pPr>
      <w:numPr>
        <w:numId w:val="0"/>
      </w:numPr>
      <w:tabs>
        <w:tab w:val="clear" w:pos="2160"/>
        <w:tab w:val="left" w:pos="5040"/>
      </w:tabs>
      <w:ind w:left="5040" w:hanging="3600"/>
    </w:pPr>
  </w:style>
  <w:style w:type="paragraph" w:customStyle="1" w:styleId="TOCTitle">
    <w:name w:val="TOC Title"/>
    <w:basedOn w:val="Normal"/>
    <w:rsid w:val="00872D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2D1C"/>
    <w:pPr>
      <w:jc w:val="center"/>
    </w:pPr>
    <w:rPr>
      <w:rFonts w:ascii="Times New Roman Bold" w:hAnsi="Times New Roman Bold"/>
      <w:b/>
      <w:bCs/>
      <w:caps/>
      <w:szCs w:val="22"/>
    </w:rPr>
  </w:style>
  <w:style w:type="character" w:styleId="Hyperlink">
    <w:name w:val="Hyperlink"/>
    <w:basedOn w:val="DefaultParagraphFont"/>
    <w:rsid w:val="00872D1C"/>
    <w:rPr>
      <w:color w:val="0000FF"/>
      <w:u w:val="single"/>
    </w:rPr>
  </w:style>
  <w:style w:type="paragraph" w:customStyle="1" w:styleId="ParaNumChar">
    <w:name w:val="ParaNum Char"/>
    <w:basedOn w:val="Normal"/>
    <w:rsid w:val="00501CF0"/>
    <w:pPr>
      <w:tabs>
        <w:tab w:val="left" w:pos="1440"/>
        <w:tab w:val="num" w:pos="9270"/>
      </w:tabs>
      <w:spacing w:after="220"/>
      <w:ind w:left="8190" w:firstLine="720"/>
      <w:jc w:val="both"/>
    </w:pPr>
    <w:rPr>
      <w:snapToGrid/>
      <w:kern w:val="0"/>
    </w:rPr>
  </w:style>
  <w:style w:type="character" w:customStyle="1" w:styleId="documentbody1">
    <w:name w:val="documentbody1"/>
    <w:rsid w:val="00501CF0"/>
    <w:rPr>
      <w:rFonts w:ascii="Verdana" w:hAnsi="Verdana" w:hint="default"/>
      <w:sz w:val="19"/>
      <w:szCs w:val="19"/>
    </w:rPr>
  </w:style>
  <w:style w:type="character" w:customStyle="1" w:styleId="bestsection1">
    <w:name w:val="bestsection1"/>
    <w:rsid w:val="00501CF0"/>
    <w:rPr>
      <w:color w:val="FF0000"/>
    </w:rPr>
  </w:style>
  <w:style w:type="paragraph" w:styleId="NormalWeb">
    <w:name w:val="Normal (Web)"/>
    <w:basedOn w:val="Normal"/>
    <w:rsid w:val="00501CF0"/>
    <w:pPr>
      <w:widowControl/>
      <w:spacing w:before="100" w:beforeAutospacing="1" w:after="100" w:afterAutospacing="1"/>
    </w:pPr>
    <w:rPr>
      <w:rFonts w:ascii="Verdana" w:hAnsi="Verdana"/>
      <w:snapToGrid/>
      <w:kern w:val="0"/>
      <w:sz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 Char Char Char Char Char,fn Char"/>
    <w:link w:val="FootnoteText"/>
    <w:locked/>
    <w:rsid w:val="00501CF0"/>
  </w:style>
  <w:style w:type="paragraph" w:styleId="BalloonText">
    <w:name w:val="Balloon Text"/>
    <w:basedOn w:val="Normal"/>
    <w:semiHidden/>
    <w:rsid w:val="00CC4162"/>
    <w:rPr>
      <w:rFonts w:ascii="Tahoma" w:hAnsi="Tahoma" w:cs="Tahoma"/>
      <w:sz w:val="16"/>
      <w:szCs w:val="16"/>
    </w:rPr>
  </w:style>
  <w:style w:type="table" w:styleId="TableGrid">
    <w:name w:val="Table Grid"/>
    <w:basedOn w:val="TableNormal"/>
    <w:rsid w:val="00FA7B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1">
    <w:name w:val="par1"/>
    <w:basedOn w:val="Normal"/>
    <w:rsid w:val="009A00DF"/>
    <w:pPr>
      <w:widowControl/>
      <w:numPr>
        <w:numId w:val="4"/>
      </w:numPr>
    </w:pPr>
    <w:rPr>
      <w:snapToGrid/>
      <w:kern w:val="0"/>
    </w:rPr>
  </w:style>
  <w:style w:type="character" w:styleId="CommentReference">
    <w:name w:val="annotation reference"/>
    <w:semiHidden/>
    <w:rsid w:val="00FE0C3C"/>
    <w:rPr>
      <w:sz w:val="16"/>
      <w:szCs w:val="16"/>
    </w:rPr>
  </w:style>
  <w:style w:type="paragraph" w:styleId="CommentText">
    <w:name w:val="annotation text"/>
    <w:basedOn w:val="Normal"/>
    <w:semiHidden/>
    <w:rsid w:val="00FE0C3C"/>
    <w:rPr>
      <w:sz w:val="20"/>
    </w:rPr>
  </w:style>
  <w:style w:type="paragraph" w:styleId="CommentSubject">
    <w:name w:val="annotation subject"/>
    <w:basedOn w:val="CommentText"/>
    <w:next w:val="CommentText"/>
    <w:semiHidden/>
    <w:rsid w:val="00FE0C3C"/>
    <w:rPr>
      <w:b/>
      <w:bCs/>
    </w:rPr>
  </w:style>
  <w:style w:type="character" w:customStyle="1" w:styleId="ALTSFOOTNOTECharChar">
    <w:name w:val="ALTS FOOTNOTE Char Char"/>
    <w:aliases w:val="fn Char Char,rrfootnote Char1 Char,rrfootnote Char Char Char Char Char,rrfootnote Char,fn Char Char1,ALTS FOOTNOTE Char1,fn Char1,Footnote Text Char2 Char,Footnote Text Char1 Char Char1 Char"/>
    <w:locked/>
    <w:rsid w:val="00E17C11"/>
    <w:rPr>
      <w:lang w:val="en-US" w:eastAsia="en-US" w:bidi="ar-SA"/>
    </w:rPr>
  </w:style>
  <w:style w:type="paragraph" w:customStyle="1" w:styleId="Paranum0">
    <w:name w:val="Paranum"/>
    <w:rsid w:val="00D86CD7"/>
    <w:pPr>
      <w:numPr>
        <w:numId w:val="5"/>
      </w:numPr>
      <w:tabs>
        <w:tab w:val="left" w:pos="1440"/>
      </w:tabs>
      <w:spacing w:after="240"/>
      <w:jc w:val="both"/>
    </w:pPr>
    <w:rPr>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D86CD7"/>
    <w:rPr>
      <w:sz w:val="24"/>
      <w:szCs w:val="24"/>
      <w:lang w:val="en-US" w:eastAsia="en-US" w:bidi="ar-SA"/>
    </w:rPr>
  </w:style>
  <w:style w:type="paragraph" w:styleId="ListParagraph">
    <w:name w:val="List Paragraph"/>
    <w:basedOn w:val="Normal"/>
    <w:uiPriority w:val="34"/>
    <w:qFormat/>
    <w:rsid w:val="0065187E"/>
    <w:pPr>
      <w:ind w:left="720"/>
    </w:pPr>
  </w:style>
  <w:style w:type="character" w:customStyle="1" w:styleId="ParaNumChar1">
    <w:name w:val="ParaNum Char1"/>
    <w:link w:val="ParaNum"/>
    <w:locked/>
    <w:rsid w:val="00EC7E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758379">
      <w:bodyDiv w:val="1"/>
      <w:marLeft w:val="0"/>
      <w:marRight w:val="0"/>
      <w:marTop w:val="0"/>
      <w:marBottom w:val="0"/>
      <w:divBdr>
        <w:top w:val="none" w:sz="0" w:space="0" w:color="auto"/>
        <w:left w:val="none" w:sz="0" w:space="0" w:color="auto"/>
        <w:bottom w:val="none" w:sz="0" w:space="0" w:color="auto"/>
        <w:right w:val="none" w:sz="0" w:space="0" w:color="auto"/>
      </w:divBdr>
    </w:div>
    <w:div w:id="204447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 Id="rId2"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 Id="rId1"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 Id="rId4"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a.Savir\Desktop\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1898</Words>
  <Characters>9834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11794</CharactersWithSpaces>
  <SharedDoc>false</SharedDoc>
  <HyperlinkBase> </HyperlinkBase>
  <HLinks>
    <vt:vector size="12" baseType="variant">
      <vt:variant>
        <vt:i4>7208987</vt:i4>
      </vt:variant>
      <vt:variant>
        <vt:i4>3</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0</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2014-01-15T16:34:00Z</cp:lastPrinted>
  <dcterms:created xsi:type="dcterms:W3CDTF">2014-01-15T19:01:00Z</dcterms:created>
  <dcterms:modified xsi:type="dcterms:W3CDTF">2014-01-15T19:01:00Z</dcterms:modified>
  <cp:category> </cp:category>
  <cp:contentStatus> </cp:contentStatus>
</cp:coreProperties>
</file>