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EF" w:rsidRPr="004F3806" w:rsidRDefault="002F15EF" w:rsidP="004F3806">
      <w:pPr>
        <w:jc w:val="right"/>
        <w:rPr>
          <w:b/>
          <w:sz w:val="24"/>
          <w:szCs w:val="24"/>
        </w:rPr>
      </w:pPr>
      <w:bookmarkStart w:id="0" w:name="_GoBack"/>
      <w:bookmarkEnd w:id="0"/>
      <w:r w:rsidRPr="004F3806">
        <w:rPr>
          <w:b/>
          <w:sz w:val="24"/>
          <w:szCs w:val="24"/>
        </w:rPr>
        <w:t>DA 14-396</w:t>
      </w:r>
    </w:p>
    <w:p w:rsidR="002F15EF" w:rsidRDefault="002F15EF" w:rsidP="002F15EF">
      <w:pPr>
        <w:spacing w:after="120"/>
        <w:jc w:val="right"/>
      </w:pPr>
    </w:p>
    <w:p w:rsidR="00584892" w:rsidRPr="002F15EF" w:rsidRDefault="00584892" w:rsidP="002F15EF">
      <w:pPr>
        <w:jc w:val="center"/>
        <w:rPr>
          <w:b/>
          <w:sz w:val="36"/>
          <w:szCs w:val="36"/>
        </w:rPr>
      </w:pPr>
      <w:r w:rsidRPr="002F15EF">
        <w:rPr>
          <w:b/>
          <w:sz w:val="36"/>
          <w:szCs w:val="36"/>
        </w:rPr>
        <w:t>Small Entity Compliance Guide</w:t>
      </w:r>
    </w:p>
    <w:p w:rsidR="00584892" w:rsidRPr="00135FD5" w:rsidRDefault="00584892">
      <w:pPr>
        <w:spacing w:after="120"/>
        <w:jc w:val="center"/>
        <w:rPr>
          <w:sz w:val="36"/>
          <w:szCs w:val="36"/>
        </w:rPr>
      </w:pPr>
    </w:p>
    <w:p w:rsidR="00584892" w:rsidRPr="002F15EF" w:rsidRDefault="00E94E18">
      <w:pPr>
        <w:spacing w:after="120"/>
        <w:jc w:val="center"/>
        <w:rPr>
          <w:b/>
          <w:sz w:val="28"/>
          <w:szCs w:val="28"/>
        </w:rPr>
      </w:pPr>
      <w:r w:rsidRPr="002F15EF">
        <w:rPr>
          <w:b/>
          <w:sz w:val="28"/>
          <w:szCs w:val="28"/>
        </w:rPr>
        <w:t xml:space="preserve">Amendment of the Commission’s Rules </w:t>
      </w:r>
      <w:r w:rsidR="00F26CCE" w:rsidRPr="002F15EF">
        <w:rPr>
          <w:b/>
          <w:sz w:val="28"/>
          <w:szCs w:val="28"/>
        </w:rPr>
        <w:t>Concerning Commercial Radio Operators</w:t>
      </w:r>
    </w:p>
    <w:p w:rsidR="00584892" w:rsidRPr="000D6AAA" w:rsidRDefault="00584892">
      <w:pPr>
        <w:rPr>
          <w:b/>
          <w:szCs w:val="22"/>
        </w:rPr>
      </w:pPr>
    </w:p>
    <w:p w:rsidR="00584892" w:rsidRPr="004B1666" w:rsidRDefault="00584892">
      <w:pPr>
        <w:spacing w:after="120"/>
        <w:jc w:val="center"/>
        <w:rPr>
          <w:b/>
          <w:szCs w:val="22"/>
        </w:rPr>
      </w:pPr>
      <w:r w:rsidRPr="002F15EF">
        <w:rPr>
          <w:bCs/>
          <w:sz w:val="24"/>
          <w:szCs w:val="24"/>
        </w:rPr>
        <w:t>FCC 1</w:t>
      </w:r>
      <w:r w:rsidR="00F26CCE" w:rsidRPr="002F15EF">
        <w:rPr>
          <w:bCs/>
          <w:sz w:val="24"/>
          <w:szCs w:val="24"/>
        </w:rPr>
        <w:t>3</w:t>
      </w:r>
      <w:r w:rsidRPr="002F15EF">
        <w:rPr>
          <w:bCs/>
          <w:sz w:val="24"/>
          <w:szCs w:val="24"/>
        </w:rPr>
        <w:t>-</w:t>
      </w:r>
      <w:r w:rsidR="00601C87" w:rsidRPr="002F15EF">
        <w:rPr>
          <w:bCs/>
          <w:sz w:val="24"/>
          <w:szCs w:val="24"/>
        </w:rPr>
        <w:t>4</w:t>
      </w:r>
    </w:p>
    <w:p w:rsidR="00584892" w:rsidRPr="00A43833" w:rsidRDefault="00584892">
      <w:pPr>
        <w:jc w:val="center"/>
        <w:rPr>
          <w:spacing w:val="-2"/>
          <w:szCs w:val="22"/>
        </w:rPr>
      </w:pPr>
      <w:r w:rsidRPr="00A43833">
        <w:rPr>
          <w:spacing w:val="-2"/>
          <w:szCs w:val="22"/>
        </w:rPr>
        <w:t>WT Docket No. 1</w:t>
      </w:r>
      <w:r w:rsidR="00F26CCE" w:rsidRPr="00A43833">
        <w:rPr>
          <w:spacing w:val="-2"/>
          <w:szCs w:val="22"/>
        </w:rPr>
        <w:t>0</w:t>
      </w:r>
      <w:r w:rsidRPr="00A43833">
        <w:rPr>
          <w:spacing w:val="-2"/>
          <w:szCs w:val="22"/>
        </w:rPr>
        <w:t>-</w:t>
      </w:r>
      <w:r w:rsidR="00F26CCE" w:rsidRPr="00A43833">
        <w:rPr>
          <w:spacing w:val="-2"/>
          <w:szCs w:val="22"/>
        </w:rPr>
        <w:t>177</w:t>
      </w:r>
    </w:p>
    <w:p w:rsidR="00584892" w:rsidRPr="00F74B2B" w:rsidRDefault="00584892">
      <w:pPr>
        <w:jc w:val="center"/>
        <w:rPr>
          <w:b/>
          <w:szCs w:val="22"/>
        </w:rPr>
      </w:pPr>
    </w:p>
    <w:p w:rsidR="00A43833" w:rsidRDefault="00A43833" w:rsidP="00A43833">
      <w:pPr>
        <w:tabs>
          <w:tab w:val="left" w:pos="360"/>
        </w:tabs>
        <w:ind w:left="1080" w:right="720"/>
        <w:jc w:val="both"/>
        <w:rPr>
          <w:b/>
          <w:szCs w:val="22"/>
        </w:rPr>
      </w:pPr>
      <w:r>
        <w:rPr>
          <w:b/>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rsidR="00A43833" w:rsidRDefault="00A43833" w:rsidP="00A43833">
      <w:pPr>
        <w:tabs>
          <w:tab w:val="left" w:pos="360"/>
        </w:tabs>
        <w:ind w:left="1080" w:right="720"/>
        <w:jc w:val="both"/>
        <w:rPr>
          <w:b/>
          <w:szCs w:val="22"/>
        </w:rPr>
      </w:pPr>
    </w:p>
    <w:p w:rsidR="00A43833" w:rsidRDefault="00A43833" w:rsidP="00A43833">
      <w:pPr>
        <w:tabs>
          <w:tab w:val="left" w:pos="360"/>
        </w:tabs>
        <w:ind w:left="1080" w:right="720"/>
        <w:jc w:val="both"/>
        <w:rPr>
          <w:b/>
          <w:szCs w:val="22"/>
        </w:rPr>
      </w:pPr>
      <w:r>
        <w:rPr>
          <w:b/>
          <w:szCs w:val="22"/>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Consumer Center:</w:t>
      </w:r>
    </w:p>
    <w:p w:rsidR="00A43833" w:rsidRDefault="00A43833" w:rsidP="00A43833">
      <w:pPr>
        <w:rPr>
          <w:b/>
          <w:szCs w:val="22"/>
        </w:rPr>
      </w:pPr>
    </w:p>
    <w:p w:rsidR="00A43833" w:rsidRDefault="00A43833" w:rsidP="00A43833">
      <w:pPr>
        <w:jc w:val="center"/>
        <w:rPr>
          <w:b/>
          <w:color w:val="000000"/>
          <w:szCs w:val="22"/>
        </w:rPr>
      </w:pPr>
      <w:r>
        <w:rPr>
          <w:b/>
          <w:color w:val="000000"/>
          <w:szCs w:val="22"/>
        </w:rPr>
        <w:t>1-888-CALL-FCC (1-888-225-5322) </w:t>
      </w:r>
      <w:r>
        <w:rPr>
          <w:b/>
          <w:color w:val="000000"/>
          <w:szCs w:val="22"/>
        </w:rPr>
        <w:br/>
        <w:t>TTY: 1-888-TELL-FCC (1-888-835-5322)</w:t>
      </w:r>
      <w:r>
        <w:rPr>
          <w:b/>
          <w:color w:val="000000"/>
          <w:szCs w:val="22"/>
        </w:rPr>
        <w:br/>
        <w:t>Fax: 1-866-418-0232</w:t>
      </w:r>
    </w:p>
    <w:p w:rsidR="00A43833" w:rsidRPr="004B1666" w:rsidRDefault="00B7788D">
      <w:pPr>
        <w:jc w:val="center"/>
        <w:rPr>
          <w:b/>
          <w:color w:val="000000"/>
          <w:szCs w:val="22"/>
        </w:rPr>
      </w:pPr>
      <w:hyperlink r:id="rId8" w:history="1">
        <w:r w:rsidR="00A43833">
          <w:rPr>
            <w:rStyle w:val="Hyperlink"/>
            <w:b/>
            <w:szCs w:val="22"/>
          </w:rPr>
          <w:t>fccinfo@fcc.gov</w:t>
        </w:r>
      </w:hyperlink>
    </w:p>
    <w:p w:rsidR="00584892" w:rsidRPr="004B1666" w:rsidRDefault="00584892">
      <w:pPr>
        <w:jc w:val="center"/>
        <w:rPr>
          <w:b/>
          <w:noProof/>
          <w:szCs w:val="22"/>
        </w:rPr>
      </w:pPr>
    </w:p>
    <w:p w:rsidR="00584892" w:rsidRPr="004B1666" w:rsidRDefault="00584892">
      <w:pPr>
        <w:jc w:val="center"/>
        <w:rPr>
          <w:b/>
          <w:noProof/>
          <w:szCs w:val="22"/>
        </w:rPr>
      </w:pPr>
    </w:p>
    <w:p w:rsidR="00584892" w:rsidRPr="00F333F0" w:rsidRDefault="00584892">
      <w:pPr>
        <w:jc w:val="center"/>
        <w:rPr>
          <w:b/>
          <w:noProof/>
        </w:rPr>
      </w:pPr>
      <w:r w:rsidRPr="004B1666">
        <w:rPr>
          <w:b/>
          <w:noProof/>
          <w:szCs w:val="22"/>
        </w:rPr>
        <w:br w:type="page"/>
      </w:r>
    </w:p>
    <w:p w:rsidR="00584892" w:rsidRDefault="00584892">
      <w:pPr>
        <w:pStyle w:val="TOCTitle"/>
      </w:pPr>
      <w:bookmarkStart w:id="1" w:name="TOChere"/>
      <w:r>
        <w:lastRenderedPageBreak/>
        <w:t>Table of Contents</w:t>
      </w:r>
    </w:p>
    <w:bookmarkEnd w:id="1"/>
    <w:p w:rsidR="008E2C3A" w:rsidRDefault="008E2C3A">
      <w:pPr>
        <w:pStyle w:val="TOC1"/>
        <w:rPr>
          <w:rFonts w:asciiTheme="minorHAnsi" w:eastAsiaTheme="minorEastAsia" w:hAnsiTheme="minorHAnsi" w:cstheme="minorBidi"/>
          <w:b w:val="0"/>
          <w:caps w:val="0"/>
          <w:snapToGrid/>
          <w:kern w:val="0"/>
          <w:szCs w:val="22"/>
        </w:rPr>
      </w:pPr>
      <w:r>
        <w:rPr>
          <w:b w:val="0"/>
          <w:szCs w:val="22"/>
        </w:rPr>
        <w:fldChar w:fldCharType="begin"/>
      </w:r>
      <w:r>
        <w:rPr>
          <w:b w:val="0"/>
          <w:szCs w:val="22"/>
        </w:rPr>
        <w:instrText xml:space="preserve"> TOC \o "1-4" \h \z \u </w:instrText>
      </w:r>
      <w:r>
        <w:rPr>
          <w:b w:val="0"/>
          <w:szCs w:val="22"/>
        </w:rPr>
        <w:fldChar w:fldCharType="separate"/>
      </w:r>
      <w:hyperlink w:anchor="_Toc348433962" w:history="1">
        <w:r w:rsidRPr="00030A5E">
          <w:rPr>
            <w:rStyle w:val="Hyperlink"/>
          </w:rPr>
          <w:t>I.</w:t>
        </w:r>
        <w:r>
          <w:rPr>
            <w:rFonts w:asciiTheme="minorHAnsi" w:eastAsiaTheme="minorEastAsia" w:hAnsiTheme="minorHAnsi" w:cstheme="minorBidi"/>
            <w:b w:val="0"/>
            <w:caps w:val="0"/>
            <w:snapToGrid/>
            <w:kern w:val="0"/>
            <w:szCs w:val="22"/>
          </w:rPr>
          <w:tab/>
        </w:r>
        <w:r w:rsidRPr="00030A5E">
          <w:rPr>
            <w:rStyle w:val="Hyperlink"/>
          </w:rPr>
          <w:t>Objectives of the Proceeding</w:t>
        </w:r>
        <w:r>
          <w:rPr>
            <w:webHidden/>
          </w:rPr>
          <w:tab/>
        </w:r>
        <w:r>
          <w:rPr>
            <w:webHidden/>
          </w:rPr>
          <w:fldChar w:fldCharType="begin"/>
        </w:r>
        <w:r>
          <w:rPr>
            <w:webHidden/>
          </w:rPr>
          <w:instrText xml:space="preserve"> PAGEREF _Toc348433962 \h </w:instrText>
        </w:r>
        <w:r>
          <w:rPr>
            <w:webHidden/>
          </w:rPr>
        </w:r>
        <w:r>
          <w:rPr>
            <w:webHidden/>
          </w:rPr>
          <w:fldChar w:fldCharType="separate"/>
        </w:r>
        <w:r w:rsidR="004F3806">
          <w:rPr>
            <w:webHidden/>
          </w:rPr>
          <w:t>3</w:t>
        </w:r>
        <w:r>
          <w:rPr>
            <w:webHidden/>
          </w:rPr>
          <w:fldChar w:fldCharType="end"/>
        </w:r>
      </w:hyperlink>
    </w:p>
    <w:p w:rsidR="008E2C3A" w:rsidRDefault="00B7788D">
      <w:pPr>
        <w:pStyle w:val="TOC1"/>
        <w:rPr>
          <w:rFonts w:asciiTheme="minorHAnsi" w:eastAsiaTheme="minorEastAsia" w:hAnsiTheme="minorHAnsi" w:cstheme="minorBidi"/>
          <w:b w:val="0"/>
          <w:caps w:val="0"/>
          <w:snapToGrid/>
          <w:kern w:val="0"/>
          <w:szCs w:val="22"/>
        </w:rPr>
      </w:pPr>
      <w:hyperlink w:anchor="_Toc348433963" w:history="1">
        <w:r w:rsidR="008E2C3A" w:rsidRPr="00030A5E">
          <w:rPr>
            <w:rStyle w:val="Hyperlink"/>
          </w:rPr>
          <w:t>II.</w:t>
        </w:r>
        <w:r w:rsidR="008E2C3A">
          <w:rPr>
            <w:rFonts w:asciiTheme="minorHAnsi" w:eastAsiaTheme="minorEastAsia" w:hAnsiTheme="minorHAnsi" w:cstheme="minorBidi"/>
            <w:b w:val="0"/>
            <w:caps w:val="0"/>
            <w:snapToGrid/>
            <w:kern w:val="0"/>
            <w:szCs w:val="22"/>
          </w:rPr>
          <w:tab/>
        </w:r>
        <w:r w:rsidR="008E2C3A" w:rsidRPr="00030A5E">
          <w:rPr>
            <w:rStyle w:val="Hyperlink"/>
          </w:rPr>
          <w:t>Regulations and Policies That the Commission ADOPTED OR Modified, including compliance requirements</w:t>
        </w:r>
        <w:r w:rsidR="008E2C3A">
          <w:rPr>
            <w:webHidden/>
          </w:rPr>
          <w:tab/>
        </w:r>
        <w:r w:rsidR="008E2C3A">
          <w:rPr>
            <w:webHidden/>
          </w:rPr>
          <w:fldChar w:fldCharType="begin"/>
        </w:r>
        <w:r w:rsidR="008E2C3A">
          <w:rPr>
            <w:webHidden/>
          </w:rPr>
          <w:instrText xml:space="preserve"> PAGEREF _Toc348433963 \h </w:instrText>
        </w:r>
        <w:r w:rsidR="008E2C3A">
          <w:rPr>
            <w:webHidden/>
          </w:rPr>
        </w:r>
        <w:r w:rsidR="008E2C3A">
          <w:rPr>
            <w:webHidden/>
          </w:rPr>
          <w:fldChar w:fldCharType="separate"/>
        </w:r>
        <w:r w:rsidR="004F3806">
          <w:rPr>
            <w:webHidden/>
          </w:rPr>
          <w:t>3</w:t>
        </w:r>
        <w:r w:rsidR="008E2C3A">
          <w:rPr>
            <w:webHidden/>
          </w:rPr>
          <w:fldChar w:fldCharType="end"/>
        </w:r>
      </w:hyperlink>
    </w:p>
    <w:p w:rsidR="008E2C3A" w:rsidRDefault="00B7788D">
      <w:pPr>
        <w:pStyle w:val="TOC2"/>
        <w:rPr>
          <w:rFonts w:asciiTheme="minorHAnsi" w:eastAsiaTheme="minorEastAsia" w:hAnsiTheme="minorHAnsi" w:cstheme="minorBidi"/>
          <w:b w:val="0"/>
          <w:snapToGrid/>
          <w:kern w:val="0"/>
          <w:szCs w:val="22"/>
        </w:rPr>
      </w:pPr>
      <w:hyperlink w:anchor="_Toc348433964" w:history="1">
        <w:r w:rsidR="008E2C3A" w:rsidRPr="00030A5E">
          <w:rPr>
            <w:rStyle w:val="Hyperlink"/>
            <w:bCs/>
          </w:rPr>
          <w:t>A.</w:t>
        </w:r>
        <w:r w:rsidR="008E2C3A">
          <w:rPr>
            <w:rFonts w:asciiTheme="minorHAnsi" w:eastAsiaTheme="minorEastAsia" w:hAnsiTheme="minorHAnsi" w:cstheme="minorBidi"/>
            <w:b w:val="0"/>
            <w:snapToGrid/>
            <w:kern w:val="0"/>
            <w:szCs w:val="22"/>
          </w:rPr>
          <w:tab/>
        </w:r>
        <w:r w:rsidR="008E2C3A" w:rsidRPr="00030A5E">
          <w:rPr>
            <w:rStyle w:val="Hyperlink"/>
            <w:bCs/>
          </w:rPr>
          <w:t>Commercial Operator Licensing Issues</w:t>
        </w:r>
        <w:r w:rsidR="008E2C3A">
          <w:rPr>
            <w:webHidden/>
          </w:rPr>
          <w:tab/>
        </w:r>
        <w:r w:rsidR="008E2C3A">
          <w:rPr>
            <w:webHidden/>
          </w:rPr>
          <w:fldChar w:fldCharType="begin"/>
        </w:r>
        <w:r w:rsidR="008E2C3A">
          <w:rPr>
            <w:webHidden/>
          </w:rPr>
          <w:instrText xml:space="preserve"> PAGEREF _Toc348433964 \h </w:instrText>
        </w:r>
        <w:r w:rsidR="008E2C3A">
          <w:rPr>
            <w:webHidden/>
          </w:rPr>
        </w:r>
        <w:r w:rsidR="008E2C3A">
          <w:rPr>
            <w:webHidden/>
          </w:rPr>
          <w:fldChar w:fldCharType="separate"/>
        </w:r>
        <w:r w:rsidR="004F3806">
          <w:rPr>
            <w:webHidden/>
          </w:rPr>
          <w:t>3</w:t>
        </w:r>
        <w:r w:rsidR="008E2C3A">
          <w:rPr>
            <w:webHidden/>
          </w:rPr>
          <w:fldChar w:fldCharType="end"/>
        </w:r>
      </w:hyperlink>
    </w:p>
    <w:p w:rsidR="008E2C3A" w:rsidRDefault="00B7788D">
      <w:pPr>
        <w:pStyle w:val="TOC3"/>
        <w:rPr>
          <w:rFonts w:asciiTheme="minorHAnsi" w:eastAsiaTheme="minorEastAsia" w:hAnsiTheme="minorHAnsi" w:cstheme="minorBidi"/>
          <w:b w:val="0"/>
          <w:snapToGrid/>
          <w:kern w:val="0"/>
          <w:szCs w:val="22"/>
        </w:rPr>
      </w:pPr>
      <w:hyperlink w:anchor="_Toc348433965" w:history="1">
        <w:r w:rsidR="008E2C3A" w:rsidRPr="00030A5E">
          <w:rPr>
            <w:rStyle w:val="Hyperlink"/>
          </w:rPr>
          <w:t>1.</w:t>
        </w:r>
        <w:r w:rsidR="008E2C3A">
          <w:rPr>
            <w:rFonts w:asciiTheme="minorHAnsi" w:eastAsiaTheme="minorEastAsia" w:hAnsiTheme="minorHAnsi" w:cstheme="minorBidi"/>
            <w:b w:val="0"/>
            <w:snapToGrid/>
            <w:kern w:val="0"/>
            <w:szCs w:val="22"/>
          </w:rPr>
          <w:tab/>
        </w:r>
        <w:r w:rsidR="008E2C3A" w:rsidRPr="00030A5E">
          <w:rPr>
            <w:rStyle w:val="Hyperlink"/>
          </w:rPr>
          <w:t>Radiotelegraph Operator’s Certificates</w:t>
        </w:r>
        <w:r w:rsidR="008E2C3A">
          <w:rPr>
            <w:webHidden/>
          </w:rPr>
          <w:tab/>
        </w:r>
        <w:r w:rsidR="008E2C3A">
          <w:rPr>
            <w:webHidden/>
          </w:rPr>
          <w:fldChar w:fldCharType="begin"/>
        </w:r>
        <w:r w:rsidR="008E2C3A">
          <w:rPr>
            <w:webHidden/>
          </w:rPr>
          <w:instrText xml:space="preserve"> PAGEREF _Toc348433965 \h </w:instrText>
        </w:r>
        <w:r w:rsidR="008E2C3A">
          <w:rPr>
            <w:webHidden/>
          </w:rPr>
        </w:r>
        <w:r w:rsidR="008E2C3A">
          <w:rPr>
            <w:webHidden/>
          </w:rPr>
          <w:fldChar w:fldCharType="separate"/>
        </w:r>
        <w:r w:rsidR="004F3806">
          <w:rPr>
            <w:webHidden/>
          </w:rPr>
          <w:t>3</w:t>
        </w:r>
        <w:r w:rsidR="008E2C3A">
          <w:rPr>
            <w:webHidden/>
          </w:rPr>
          <w:fldChar w:fldCharType="end"/>
        </w:r>
      </w:hyperlink>
    </w:p>
    <w:p w:rsidR="008E2C3A" w:rsidRDefault="00B7788D">
      <w:pPr>
        <w:pStyle w:val="TOC3"/>
        <w:rPr>
          <w:rFonts w:asciiTheme="minorHAnsi" w:eastAsiaTheme="minorEastAsia" w:hAnsiTheme="minorHAnsi" w:cstheme="minorBidi"/>
          <w:b w:val="0"/>
          <w:snapToGrid/>
          <w:kern w:val="0"/>
          <w:szCs w:val="22"/>
        </w:rPr>
      </w:pPr>
      <w:hyperlink w:anchor="_Toc348433966" w:history="1">
        <w:r w:rsidR="008E2C3A" w:rsidRPr="00030A5E">
          <w:rPr>
            <w:rStyle w:val="Hyperlink"/>
          </w:rPr>
          <w:t>2.</w:t>
        </w:r>
        <w:r w:rsidR="008E2C3A">
          <w:rPr>
            <w:rFonts w:asciiTheme="minorHAnsi" w:eastAsiaTheme="minorEastAsia" w:hAnsiTheme="minorHAnsi" w:cstheme="minorBidi"/>
            <w:b w:val="0"/>
            <w:snapToGrid/>
            <w:kern w:val="0"/>
            <w:szCs w:val="22"/>
          </w:rPr>
          <w:tab/>
        </w:r>
        <w:r w:rsidR="008E2C3A" w:rsidRPr="00030A5E">
          <w:rPr>
            <w:rStyle w:val="Hyperlink"/>
          </w:rPr>
          <w:t>Other Licensing Issues</w:t>
        </w:r>
        <w:r w:rsidR="008E2C3A">
          <w:rPr>
            <w:webHidden/>
          </w:rPr>
          <w:tab/>
        </w:r>
        <w:r w:rsidR="008E2C3A">
          <w:rPr>
            <w:webHidden/>
          </w:rPr>
          <w:fldChar w:fldCharType="begin"/>
        </w:r>
        <w:r w:rsidR="008E2C3A">
          <w:rPr>
            <w:webHidden/>
          </w:rPr>
          <w:instrText xml:space="preserve"> PAGEREF _Toc348433966 \h </w:instrText>
        </w:r>
        <w:r w:rsidR="008E2C3A">
          <w:rPr>
            <w:webHidden/>
          </w:rPr>
        </w:r>
        <w:r w:rsidR="008E2C3A">
          <w:rPr>
            <w:webHidden/>
          </w:rPr>
          <w:fldChar w:fldCharType="separate"/>
        </w:r>
        <w:r w:rsidR="004F3806">
          <w:rPr>
            <w:webHidden/>
          </w:rPr>
          <w:t>4</w:t>
        </w:r>
        <w:r w:rsidR="008E2C3A">
          <w:rPr>
            <w:webHidden/>
          </w:rPr>
          <w:fldChar w:fldCharType="end"/>
        </w:r>
      </w:hyperlink>
    </w:p>
    <w:p w:rsidR="008E2C3A" w:rsidRDefault="00B7788D">
      <w:pPr>
        <w:pStyle w:val="TOC2"/>
        <w:rPr>
          <w:rFonts w:asciiTheme="minorHAnsi" w:eastAsiaTheme="minorEastAsia" w:hAnsiTheme="minorHAnsi" w:cstheme="minorBidi"/>
          <w:b w:val="0"/>
          <w:snapToGrid/>
          <w:kern w:val="0"/>
          <w:szCs w:val="22"/>
        </w:rPr>
      </w:pPr>
      <w:hyperlink w:anchor="_Toc348433967" w:history="1">
        <w:r w:rsidR="008E2C3A" w:rsidRPr="00030A5E">
          <w:rPr>
            <w:rStyle w:val="Hyperlink"/>
          </w:rPr>
          <w:t>B.</w:t>
        </w:r>
        <w:r w:rsidR="008E2C3A">
          <w:rPr>
            <w:rFonts w:asciiTheme="minorHAnsi" w:eastAsiaTheme="minorEastAsia" w:hAnsiTheme="minorHAnsi" w:cstheme="minorBidi"/>
            <w:b w:val="0"/>
            <w:snapToGrid/>
            <w:kern w:val="0"/>
            <w:szCs w:val="22"/>
          </w:rPr>
          <w:tab/>
        </w:r>
        <w:r w:rsidR="008E2C3A" w:rsidRPr="00030A5E">
          <w:rPr>
            <w:rStyle w:val="Hyperlink"/>
          </w:rPr>
          <w:t>COLEM Issues</w:t>
        </w:r>
        <w:r w:rsidR="008E2C3A">
          <w:rPr>
            <w:webHidden/>
          </w:rPr>
          <w:tab/>
        </w:r>
        <w:r w:rsidR="008E2C3A">
          <w:rPr>
            <w:webHidden/>
          </w:rPr>
          <w:fldChar w:fldCharType="begin"/>
        </w:r>
        <w:r w:rsidR="008E2C3A">
          <w:rPr>
            <w:webHidden/>
          </w:rPr>
          <w:instrText xml:space="preserve"> PAGEREF _Toc348433967 \h </w:instrText>
        </w:r>
        <w:r w:rsidR="008E2C3A">
          <w:rPr>
            <w:webHidden/>
          </w:rPr>
        </w:r>
        <w:r w:rsidR="008E2C3A">
          <w:rPr>
            <w:webHidden/>
          </w:rPr>
          <w:fldChar w:fldCharType="separate"/>
        </w:r>
        <w:r w:rsidR="004F3806">
          <w:rPr>
            <w:webHidden/>
          </w:rPr>
          <w:t>4</w:t>
        </w:r>
        <w:r w:rsidR="008E2C3A">
          <w:rPr>
            <w:webHidden/>
          </w:rPr>
          <w:fldChar w:fldCharType="end"/>
        </w:r>
      </w:hyperlink>
    </w:p>
    <w:p w:rsidR="008E2C3A" w:rsidRDefault="00B7788D">
      <w:pPr>
        <w:pStyle w:val="TOC3"/>
        <w:rPr>
          <w:rFonts w:asciiTheme="minorHAnsi" w:eastAsiaTheme="minorEastAsia" w:hAnsiTheme="minorHAnsi" w:cstheme="minorBidi"/>
          <w:b w:val="0"/>
          <w:snapToGrid/>
          <w:kern w:val="0"/>
          <w:szCs w:val="22"/>
        </w:rPr>
      </w:pPr>
      <w:hyperlink w:anchor="_Toc348433968" w:history="1">
        <w:r w:rsidR="008E2C3A" w:rsidRPr="00030A5E">
          <w:rPr>
            <w:rStyle w:val="Hyperlink"/>
          </w:rPr>
          <w:t>1.</w:t>
        </w:r>
        <w:r w:rsidR="008E2C3A">
          <w:rPr>
            <w:rFonts w:asciiTheme="minorHAnsi" w:eastAsiaTheme="minorEastAsia" w:hAnsiTheme="minorHAnsi" w:cstheme="minorBidi"/>
            <w:b w:val="0"/>
            <w:snapToGrid/>
            <w:kern w:val="0"/>
            <w:szCs w:val="22"/>
          </w:rPr>
          <w:tab/>
        </w:r>
        <w:r w:rsidR="008E2C3A" w:rsidRPr="00030A5E">
          <w:rPr>
            <w:rStyle w:val="Hyperlink"/>
          </w:rPr>
          <w:t>Maintenance of Question Pools</w:t>
        </w:r>
        <w:r w:rsidR="008E2C3A">
          <w:rPr>
            <w:webHidden/>
          </w:rPr>
          <w:tab/>
        </w:r>
        <w:r w:rsidR="00331B77">
          <w:rPr>
            <w:webHidden/>
          </w:rPr>
          <w:t>4</w:t>
        </w:r>
      </w:hyperlink>
    </w:p>
    <w:p w:rsidR="008E2C3A" w:rsidRDefault="00B7788D">
      <w:pPr>
        <w:pStyle w:val="TOC3"/>
        <w:rPr>
          <w:rFonts w:asciiTheme="minorHAnsi" w:eastAsiaTheme="minorEastAsia" w:hAnsiTheme="minorHAnsi" w:cstheme="minorBidi"/>
          <w:b w:val="0"/>
          <w:snapToGrid/>
          <w:kern w:val="0"/>
          <w:szCs w:val="22"/>
        </w:rPr>
      </w:pPr>
      <w:hyperlink w:anchor="_Toc348433969" w:history="1">
        <w:r w:rsidR="008E2C3A" w:rsidRPr="00030A5E">
          <w:rPr>
            <w:rStyle w:val="Hyperlink"/>
          </w:rPr>
          <w:t>2.</w:t>
        </w:r>
        <w:r w:rsidR="008E2C3A">
          <w:rPr>
            <w:rFonts w:asciiTheme="minorHAnsi" w:eastAsiaTheme="minorEastAsia" w:hAnsiTheme="minorHAnsi" w:cstheme="minorBidi"/>
            <w:b w:val="0"/>
            <w:snapToGrid/>
            <w:kern w:val="0"/>
            <w:szCs w:val="22"/>
          </w:rPr>
          <w:tab/>
        </w:r>
        <w:r w:rsidR="008E2C3A" w:rsidRPr="00030A5E">
          <w:rPr>
            <w:rStyle w:val="Hyperlink"/>
          </w:rPr>
          <w:t>Other COLEM Issues</w:t>
        </w:r>
        <w:r w:rsidR="008E2C3A">
          <w:rPr>
            <w:webHidden/>
          </w:rPr>
          <w:tab/>
        </w:r>
        <w:r w:rsidR="00331B77">
          <w:rPr>
            <w:webHidden/>
          </w:rPr>
          <w:t>4</w:t>
        </w:r>
      </w:hyperlink>
    </w:p>
    <w:p w:rsidR="008E2C3A" w:rsidRDefault="00B7788D">
      <w:pPr>
        <w:pStyle w:val="TOC2"/>
        <w:rPr>
          <w:rFonts w:asciiTheme="minorHAnsi" w:eastAsiaTheme="minorEastAsia" w:hAnsiTheme="minorHAnsi" w:cstheme="minorBidi"/>
          <w:b w:val="0"/>
          <w:snapToGrid/>
          <w:kern w:val="0"/>
          <w:szCs w:val="22"/>
        </w:rPr>
      </w:pPr>
      <w:hyperlink w:anchor="_Toc348433970" w:history="1">
        <w:r w:rsidR="008E2C3A" w:rsidRPr="00030A5E">
          <w:rPr>
            <w:rStyle w:val="Hyperlink"/>
          </w:rPr>
          <w:t>C.</w:t>
        </w:r>
        <w:r w:rsidR="008E2C3A">
          <w:rPr>
            <w:rFonts w:asciiTheme="minorHAnsi" w:eastAsiaTheme="minorEastAsia" w:hAnsiTheme="minorHAnsi" w:cstheme="minorBidi"/>
            <w:b w:val="0"/>
            <w:snapToGrid/>
            <w:kern w:val="0"/>
            <w:szCs w:val="22"/>
          </w:rPr>
          <w:tab/>
        </w:r>
        <w:r w:rsidR="008E2C3A" w:rsidRPr="00030A5E">
          <w:rPr>
            <w:rStyle w:val="Hyperlink"/>
          </w:rPr>
          <w:t>Equipment Testing and Logging Requirements</w:t>
        </w:r>
        <w:r w:rsidR="008E2C3A">
          <w:rPr>
            <w:webHidden/>
          </w:rPr>
          <w:tab/>
        </w:r>
        <w:r w:rsidR="008E2C3A">
          <w:rPr>
            <w:webHidden/>
          </w:rPr>
          <w:fldChar w:fldCharType="begin"/>
        </w:r>
        <w:r w:rsidR="008E2C3A">
          <w:rPr>
            <w:webHidden/>
          </w:rPr>
          <w:instrText xml:space="preserve"> PAGEREF _Toc348433970 \h </w:instrText>
        </w:r>
        <w:r w:rsidR="008E2C3A">
          <w:rPr>
            <w:webHidden/>
          </w:rPr>
        </w:r>
        <w:r w:rsidR="008E2C3A">
          <w:rPr>
            <w:webHidden/>
          </w:rPr>
          <w:fldChar w:fldCharType="separate"/>
        </w:r>
        <w:r w:rsidR="004F3806">
          <w:rPr>
            <w:webHidden/>
          </w:rPr>
          <w:t>5</w:t>
        </w:r>
        <w:r w:rsidR="008E2C3A">
          <w:rPr>
            <w:webHidden/>
          </w:rPr>
          <w:fldChar w:fldCharType="end"/>
        </w:r>
      </w:hyperlink>
    </w:p>
    <w:p w:rsidR="008E2C3A" w:rsidRDefault="00B7788D">
      <w:pPr>
        <w:pStyle w:val="TOC1"/>
        <w:rPr>
          <w:rFonts w:asciiTheme="minorHAnsi" w:eastAsiaTheme="minorEastAsia" w:hAnsiTheme="minorHAnsi" w:cstheme="minorBidi"/>
          <w:b w:val="0"/>
          <w:caps w:val="0"/>
          <w:snapToGrid/>
          <w:kern w:val="0"/>
          <w:szCs w:val="22"/>
        </w:rPr>
      </w:pPr>
      <w:hyperlink w:anchor="_Toc348433972" w:history="1">
        <w:r w:rsidR="008E2C3A" w:rsidRPr="00030A5E">
          <w:rPr>
            <w:rStyle w:val="Hyperlink"/>
          </w:rPr>
          <w:t>III.</w:t>
        </w:r>
        <w:r w:rsidR="008E2C3A">
          <w:rPr>
            <w:rFonts w:asciiTheme="minorHAnsi" w:eastAsiaTheme="minorEastAsia" w:hAnsiTheme="minorHAnsi" w:cstheme="minorBidi"/>
            <w:b w:val="0"/>
            <w:caps w:val="0"/>
            <w:snapToGrid/>
            <w:kern w:val="0"/>
            <w:szCs w:val="22"/>
          </w:rPr>
          <w:tab/>
        </w:r>
        <w:r w:rsidR="008E2C3A" w:rsidRPr="00030A5E">
          <w:rPr>
            <w:rStyle w:val="Hyperlink"/>
          </w:rPr>
          <w:t>Recordkeeping and Other Compliance Requirements</w:t>
        </w:r>
        <w:r w:rsidR="008E2C3A">
          <w:rPr>
            <w:webHidden/>
          </w:rPr>
          <w:tab/>
        </w:r>
        <w:r w:rsidR="00331B77">
          <w:rPr>
            <w:webHidden/>
          </w:rPr>
          <w:t>5</w:t>
        </w:r>
      </w:hyperlink>
    </w:p>
    <w:p w:rsidR="008E2C3A" w:rsidRDefault="00B7788D">
      <w:pPr>
        <w:pStyle w:val="TOC1"/>
        <w:rPr>
          <w:rFonts w:asciiTheme="minorHAnsi" w:eastAsiaTheme="minorEastAsia" w:hAnsiTheme="minorHAnsi" w:cstheme="minorBidi"/>
          <w:b w:val="0"/>
          <w:caps w:val="0"/>
          <w:snapToGrid/>
          <w:kern w:val="0"/>
          <w:szCs w:val="22"/>
        </w:rPr>
      </w:pPr>
      <w:hyperlink w:anchor="_Toc348433973" w:history="1">
        <w:r w:rsidR="008E2C3A" w:rsidRPr="00030A5E">
          <w:rPr>
            <w:rStyle w:val="Hyperlink"/>
          </w:rPr>
          <w:t>IV.</w:t>
        </w:r>
        <w:r w:rsidR="008E2C3A">
          <w:rPr>
            <w:rFonts w:asciiTheme="minorHAnsi" w:eastAsiaTheme="minorEastAsia" w:hAnsiTheme="minorHAnsi" w:cstheme="minorBidi"/>
            <w:b w:val="0"/>
            <w:caps w:val="0"/>
            <w:snapToGrid/>
            <w:kern w:val="0"/>
            <w:szCs w:val="22"/>
          </w:rPr>
          <w:tab/>
        </w:r>
        <w:r w:rsidR="008E2C3A" w:rsidRPr="00030A5E">
          <w:rPr>
            <w:rStyle w:val="Hyperlink"/>
          </w:rPr>
          <w:t>Weblink</w:t>
        </w:r>
        <w:r w:rsidR="008E2C3A">
          <w:rPr>
            <w:webHidden/>
          </w:rPr>
          <w:tab/>
        </w:r>
        <w:r w:rsidR="00331B77">
          <w:rPr>
            <w:webHidden/>
          </w:rPr>
          <w:t>5</w:t>
        </w:r>
      </w:hyperlink>
    </w:p>
    <w:p w:rsidR="00584892" w:rsidRPr="004B1666" w:rsidRDefault="008E2C3A">
      <w:pPr>
        <w:rPr>
          <w:b/>
          <w:noProof/>
          <w:szCs w:val="22"/>
        </w:rPr>
      </w:pPr>
      <w:r>
        <w:rPr>
          <w:b/>
          <w:noProof/>
          <w:szCs w:val="22"/>
        </w:rPr>
        <w:fldChar w:fldCharType="end"/>
      </w:r>
    </w:p>
    <w:p w:rsidR="00584892" w:rsidRPr="004B1666" w:rsidRDefault="00584892">
      <w:pPr>
        <w:rPr>
          <w:szCs w:val="22"/>
        </w:rPr>
      </w:pPr>
    </w:p>
    <w:p w:rsidR="00584892" w:rsidRPr="004B1666" w:rsidRDefault="00584892">
      <w:pPr>
        <w:rPr>
          <w:szCs w:val="22"/>
        </w:rPr>
      </w:pPr>
    </w:p>
    <w:p w:rsidR="00584892" w:rsidRPr="004B1666" w:rsidRDefault="00584892">
      <w:pPr>
        <w:jc w:val="both"/>
        <w:rPr>
          <w:szCs w:val="22"/>
        </w:rPr>
      </w:pPr>
      <w:r w:rsidRPr="004B1666">
        <w:rPr>
          <w:szCs w:val="22"/>
        </w:rPr>
        <w:br w:type="page"/>
      </w:r>
    </w:p>
    <w:p w:rsidR="00584892" w:rsidRPr="004B1666" w:rsidRDefault="00584892" w:rsidP="001C40D7">
      <w:pPr>
        <w:pStyle w:val="Heading1"/>
        <w:spacing w:after="220"/>
        <w:jc w:val="both"/>
        <w:rPr>
          <w:rFonts w:ascii="Times New Roman" w:hAnsi="Times New Roman"/>
          <w:szCs w:val="22"/>
        </w:rPr>
      </w:pPr>
      <w:bookmarkStart w:id="2" w:name="_Toc103419948"/>
      <w:bookmarkStart w:id="3" w:name="_Toc103420572"/>
      <w:bookmarkStart w:id="4" w:name="_Toc103420714"/>
      <w:bookmarkStart w:id="5" w:name="_Toc103420758"/>
      <w:bookmarkStart w:id="6" w:name="_Toc103420818"/>
      <w:bookmarkStart w:id="7" w:name="_Toc103420865"/>
      <w:bookmarkStart w:id="8" w:name="_Toc103420953"/>
      <w:bookmarkStart w:id="9" w:name="_Toc103421292"/>
      <w:bookmarkStart w:id="10" w:name="_Toc103421410"/>
      <w:bookmarkStart w:id="11" w:name="_Toc103421504"/>
      <w:bookmarkStart w:id="12" w:name="_Toc103488261"/>
      <w:bookmarkStart w:id="13" w:name="_Toc125945573"/>
      <w:bookmarkStart w:id="14" w:name="_Toc153861058"/>
      <w:bookmarkStart w:id="15" w:name="_Toc176072634"/>
      <w:bookmarkStart w:id="16" w:name="_Toc176072760"/>
      <w:bookmarkStart w:id="17" w:name="_Toc176072786"/>
      <w:bookmarkStart w:id="18" w:name="_Toc176072810"/>
      <w:bookmarkStart w:id="19" w:name="_Toc179100553"/>
      <w:bookmarkStart w:id="20" w:name="_Toc179100918"/>
      <w:bookmarkStart w:id="21" w:name="_Toc216065688"/>
      <w:bookmarkStart w:id="22" w:name="_Toc326229719"/>
      <w:bookmarkStart w:id="23" w:name="_Toc326658329"/>
      <w:bookmarkStart w:id="24" w:name="_Toc326746785"/>
      <w:bookmarkStart w:id="25" w:name="_Toc326826051"/>
      <w:bookmarkStart w:id="26" w:name="_Toc348433962"/>
      <w:r w:rsidRPr="004B1666">
        <w:rPr>
          <w:rFonts w:ascii="Times New Roman" w:hAnsi="Times New Roman"/>
          <w:szCs w:val="22"/>
        </w:rPr>
        <w:lastRenderedPageBreak/>
        <w:t>Objectives of the Proceeding</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BA75E6" w:rsidRPr="001C40D7" w:rsidRDefault="00584892" w:rsidP="001C40D7">
      <w:pPr>
        <w:pStyle w:val="ParaNum"/>
        <w:numPr>
          <w:ilvl w:val="0"/>
          <w:numId w:val="0"/>
        </w:numPr>
        <w:tabs>
          <w:tab w:val="num" w:pos="1260"/>
        </w:tabs>
        <w:spacing w:after="220"/>
        <w:ind w:firstLine="720"/>
        <w:jc w:val="both"/>
        <w:rPr>
          <w:szCs w:val="22"/>
        </w:rPr>
      </w:pPr>
      <w:r w:rsidRPr="00790C36">
        <w:rPr>
          <w:szCs w:val="22"/>
        </w:rPr>
        <w:t xml:space="preserve">In </w:t>
      </w:r>
      <w:r w:rsidR="00D62F03">
        <w:rPr>
          <w:szCs w:val="22"/>
        </w:rPr>
        <w:t>a</w:t>
      </w:r>
      <w:r w:rsidRPr="00790C36">
        <w:rPr>
          <w:szCs w:val="22"/>
        </w:rPr>
        <w:t xml:space="preserve"> </w:t>
      </w:r>
      <w:r>
        <w:rPr>
          <w:i/>
          <w:szCs w:val="22"/>
        </w:rPr>
        <w:t>Report and Order</w:t>
      </w:r>
      <w:r w:rsidRPr="00790C36">
        <w:rPr>
          <w:i/>
          <w:szCs w:val="22"/>
        </w:rPr>
        <w:t xml:space="preserve"> </w:t>
      </w:r>
      <w:r>
        <w:rPr>
          <w:szCs w:val="22"/>
        </w:rPr>
        <w:t>in WT Docket No</w:t>
      </w:r>
      <w:r w:rsidRPr="00790C36">
        <w:rPr>
          <w:szCs w:val="22"/>
        </w:rPr>
        <w:t xml:space="preserve">. </w:t>
      </w:r>
      <w:r w:rsidR="000A51ED">
        <w:rPr>
          <w:szCs w:val="22"/>
        </w:rPr>
        <w:t>1</w:t>
      </w:r>
      <w:r w:rsidR="0089649F">
        <w:rPr>
          <w:szCs w:val="22"/>
        </w:rPr>
        <w:t>0</w:t>
      </w:r>
      <w:r w:rsidRPr="00790C36">
        <w:rPr>
          <w:szCs w:val="22"/>
        </w:rPr>
        <w:t>-</w:t>
      </w:r>
      <w:r w:rsidR="0089649F">
        <w:rPr>
          <w:szCs w:val="22"/>
        </w:rPr>
        <w:t>177</w:t>
      </w:r>
      <w:r w:rsidR="00D62F03">
        <w:rPr>
          <w:szCs w:val="22"/>
        </w:rPr>
        <w:t xml:space="preserve"> (FCC 13-4)</w:t>
      </w:r>
      <w:r w:rsidR="0089649F">
        <w:rPr>
          <w:szCs w:val="22"/>
        </w:rPr>
        <w:t>,</w:t>
      </w:r>
      <w:r w:rsidRPr="00790C36">
        <w:rPr>
          <w:szCs w:val="22"/>
        </w:rPr>
        <w:t xml:space="preserve"> </w:t>
      </w:r>
      <w:r>
        <w:rPr>
          <w:szCs w:val="22"/>
        </w:rPr>
        <w:t>the Commission</w:t>
      </w:r>
      <w:r w:rsidRPr="00790C36">
        <w:rPr>
          <w:szCs w:val="22"/>
        </w:rPr>
        <w:t xml:space="preserve"> </w:t>
      </w:r>
      <w:r w:rsidR="0089649F">
        <w:t>amended the</w:t>
      </w:r>
      <w:r w:rsidR="000602E4">
        <w:t xml:space="preserve"> </w:t>
      </w:r>
      <w:r w:rsidR="00C977AE">
        <w:t xml:space="preserve">Part 13 </w:t>
      </w:r>
      <w:r w:rsidR="0089649F">
        <w:t xml:space="preserve">rules </w:t>
      </w:r>
      <w:r w:rsidR="00C977AE">
        <w:t>governing</w:t>
      </w:r>
      <w:r w:rsidR="00C977AE" w:rsidDel="000602E4">
        <w:t xml:space="preserve"> </w:t>
      </w:r>
      <w:r w:rsidR="0089649F">
        <w:t xml:space="preserve">commercial radio operator licenses for maritime and aviation radio stations.  </w:t>
      </w:r>
      <w:r w:rsidR="00C977AE">
        <w:t xml:space="preserve">These </w:t>
      </w:r>
      <w:r w:rsidR="00D62F03" w:rsidRPr="00D62F03">
        <w:t xml:space="preserve">rules </w:t>
      </w:r>
      <w:r w:rsidR="00D62F03">
        <w:t xml:space="preserve">generally </w:t>
      </w:r>
      <w:r w:rsidR="00D62F03" w:rsidRPr="00D62F03">
        <w:t xml:space="preserve">require that a person who operates, maintains, or conducts the mandatory inspection of certain maritime and aviation radio stations hold an appropriate commercial radio operator license.  </w:t>
      </w:r>
      <w:r w:rsidR="00D62F03">
        <w:t xml:space="preserve">In the </w:t>
      </w:r>
      <w:r w:rsidR="00D62F03">
        <w:rPr>
          <w:i/>
        </w:rPr>
        <w:t>Report and Order</w:t>
      </w:r>
      <w:r w:rsidR="00D62F03">
        <w:t xml:space="preserve">, </w:t>
      </w:r>
      <w:r w:rsidR="00D62F03">
        <w:rPr>
          <w:szCs w:val="22"/>
        </w:rPr>
        <w:t>t</w:t>
      </w:r>
      <w:r w:rsidR="00F80240">
        <w:rPr>
          <w:szCs w:val="22"/>
        </w:rPr>
        <w:t xml:space="preserve">he </w:t>
      </w:r>
      <w:r w:rsidR="00EC27C2">
        <w:rPr>
          <w:szCs w:val="22"/>
        </w:rPr>
        <w:t xml:space="preserve">Commission </w:t>
      </w:r>
      <w:r w:rsidR="00C977AE">
        <w:rPr>
          <w:szCs w:val="22"/>
        </w:rPr>
        <w:t xml:space="preserve">updated and clarified these rules by </w:t>
      </w:r>
      <w:r w:rsidR="003318E0" w:rsidRPr="00657312">
        <w:rPr>
          <w:szCs w:val="22"/>
        </w:rPr>
        <w:t>consolidat</w:t>
      </w:r>
      <w:r w:rsidR="00C977AE">
        <w:rPr>
          <w:szCs w:val="22"/>
        </w:rPr>
        <w:t>ing</w:t>
      </w:r>
      <w:r w:rsidR="00F93C3F">
        <w:rPr>
          <w:szCs w:val="22"/>
        </w:rPr>
        <w:t xml:space="preserve"> </w:t>
      </w:r>
      <w:r w:rsidR="003318E0" w:rsidRPr="00657312">
        <w:rPr>
          <w:szCs w:val="22"/>
        </w:rPr>
        <w:t>the classes of radiotelegraph operator’s certificates</w:t>
      </w:r>
      <w:r w:rsidR="00612B06">
        <w:rPr>
          <w:szCs w:val="22"/>
        </w:rPr>
        <w:t xml:space="preserve"> </w:t>
      </w:r>
      <w:r w:rsidR="00F93C3F">
        <w:rPr>
          <w:szCs w:val="22"/>
        </w:rPr>
        <w:t xml:space="preserve">to reflect advancements in radio telegraph technology and </w:t>
      </w:r>
      <w:r w:rsidR="00F44336">
        <w:rPr>
          <w:szCs w:val="22"/>
        </w:rPr>
        <w:t xml:space="preserve">eliminating </w:t>
      </w:r>
      <w:r w:rsidR="00F93C3F">
        <w:rPr>
          <w:szCs w:val="22"/>
        </w:rPr>
        <w:t>provisions that refer to outdated services, equipment, and technology.  The Commission</w:t>
      </w:r>
      <w:r w:rsidR="00F93C3F" w:rsidDel="00612B06">
        <w:rPr>
          <w:szCs w:val="22"/>
        </w:rPr>
        <w:t xml:space="preserve"> </w:t>
      </w:r>
      <w:r w:rsidR="003318E0">
        <w:rPr>
          <w:szCs w:val="22"/>
        </w:rPr>
        <w:t xml:space="preserve">also eliminated </w:t>
      </w:r>
      <w:r w:rsidR="003318E0" w:rsidRPr="00140EDA">
        <w:rPr>
          <w:szCs w:val="22"/>
        </w:rPr>
        <w:t>redundant and outdated restrictive endorsements;</w:t>
      </w:r>
      <w:r w:rsidR="003318E0">
        <w:rPr>
          <w:szCs w:val="22"/>
        </w:rPr>
        <w:t xml:space="preserve"> modified</w:t>
      </w:r>
      <w:r w:rsidR="003318E0" w:rsidRPr="00140EDA">
        <w:rPr>
          <w:szCs w:val="22"/>
        </w:rPr>
        <w:t xml:space="preserve"> certain procedural and recordkeeping requirements applicable to </w:t>
      </w:r>
      <w:r w:rsidR="005D3DBB">
        <w:t>commercial operator license examination managers (COLEMs)</w:t>
      </w:r>
      <w:r w:rsidR="003318E0">
        <w:rPr>
          <w:szCs w:val="22"/>
        </w:rPr>
        <w:t xml:space="preserve">; clarified </w:t>
      </w:r>
      <w:r w:rsidR="003318E0" w:rsidRPr="00140EDA">
        <w:rPr>
          <w:szCs w:val="22"/>
        </w:rPr>
        <w:t>the rules that pert</w:t>
      </w:r>
      <w:r w:rsidR="003318E0">
        <w:rPr>
          <w:szCs w:val="22"/>
        </w:rPr>
        <w:t>ain to log-keeping requirements</w:t>
      </w:r>
      <w:r w:rsidR="008B69CA">
        <w:rPr>
          <w:szCs w:val="22"/>
        </w:rPr>
        <w:t>;</w:t>
      </w:r>
      <w:r w:rsidR="003318E0">
        <w:rPr>
          <w:szCs w:val="22"/>
        </w:rPr>
        <w:t xml:space="preserve"> </w:t>
      </w:r>
      <w:r w:rsidR="008B69CA">
        <w:rPr>
          <w:szCs w:val="22"/>
        </w:rPr>
        <w:t xml:space="preserve">and </w:t>
      </w:r>
      <w:r w:rsidR="003318E0">
        <w:rPr>
          <w:szCs w:val="22"/>
        </w:rPr>
        <w:t>m</w:t>
      </w:r>
      <w:r w:rsidR="003318E0" w:rsidRPr="00F42A20">
        <w:rPr>
          <w:szCs w:val="22"/>
        </w:rPr>
        <w:t>a</w:t>
      </w:r>
      <w:r w:rsidR="003318E0">
        <w:rPr>
          <w:szCs w:val="22"/>
        </w:rPr>
        <w:t>d</w:t>
      </w:r>
      <w:r w:rsidR="003318E0" w:rsidRPr="00F42A20">
        <w:rPr>
          <w:szCs w:val="22"/>
        </w:rPr>
        <w:t xml:space="preserve">e </w:t>
      </w:r>
      <w:r w:rsidR="00CB5115">
        <w:rPr>
          <w:szCs w:val="22"/>
        </w:rPr>
        <w:t xml:space="preserve">administrative </w:t>
      </w:r>
      <w:r w:rsidR="003318E0" w:rsidRPr="00F42A20">
        <w:rPr>
          <w:szCs w:val="22"/>
        </w:rPr>
        <w:t>changes t</w:t>
      </w:r>
      <w:r w:rsidR="003318E0">
        <w:rPr>
          <w:szCs w:val="22"/>
        </w:rPr>
        <w:t>o rules contained in Parts 0, 1, 80, and 87 that relate to commercial radio operators</w:t>
      </w:r>
      <w:r w:rsidR="003318E0" w:rsidRPr="00DD0873">
        <w:rPr>
          <w:szCs w:val="22"/>
        </w:rPr>
        <w:t>.</w:t>
      </w:r>
    </w:p>
    <w:p w:rsidR="00584892" w:rsidRPr="004B1666" w:rsidRDefault="00584892" w:rsidP="001C40D7">
      <w:pPr>
        <w:pStyle w:val="Heading1"/>
        <w:spacing w:after="220"/>
        <w:jc w:val="both"/>
        <w:rPr>
          <w:rFonts w:ascii="Times New Roman" w:hAnsi="Times New Roman"/>
          <w:szCs w:val="22"/>
        </w:rPr>
      </w:pPr>
      <w:bookmarkStart w:id="27" w:name="_Toc103419949"/>
      <w:bookmarkStart w:id="28" w:name="_Toc103420573"/>
      <w:bookmarkStart w:id="29" w:name="_Toc103420715"/>
      <w:bookmarkStart w:id="30" w:name="_Toc103420759"/>
      <w:bookmarkStart w:id="31" w:name="_Toc103420819"/>
      <w:bookmarkStart w:id="32" w:name="_Toc103420866"/>
      <w:bookmarkStart w:id="33" w:name="_Toc103420954"/>
      <w:bookmarkStart w:id="34" w:name="_Toc103421293"/>
      <w:bookmarkStart w:id="35" w:name="_Toc103421411"/>
      <w:bookmarkStart w:id="36" w:name="_Toc103421505"/>
      <w:bookmarkStart w:id="37" w:name="_Toc103488262"/>
      <w:bookmarkStart w:id="38" w:name="_Toc125945574"/>
      <w:bookmarkStart w:id="39" w:name="_Toc153861059"/>
      <w:bookmarkStart w:id="40" w:name="_Toc176072635"/>
      <w:bookmarkStart w:id="41" w:name="_Toc176072761"/>
      <w:bookmarkStart w:id="42" w:name="_Toc176072787"/>
      <w:bookmarkStart w:id="43" w:name="_Toc176072811"/>
      <w:bookmarkStart w:id="44" w:name="_Toc179100554"/>
      <w:bookmarkStart w:id="45" w:name="_Toc179100919"/>
      <w:bookmarkStart w:id="46" w:name="_Toc216065689"/>
      <w:bookmarkStart w:id="47" w:name="_Toc326229720"/>
      <w:bookmarkStart w:id="48" w:name="_Toc326658330"/>
      <w:bookmarkStart w:id="49" w:name="_Toc326746786"/>
      <w:bookmarkStart w:id="50" w:name="_Toc326826052"/>
      <w:bookmarkStart w:id="51" w:name="_Toc348433963"/>
      <w:r w:rsidRPr="004B1666">
        <w:rPr>
          <w:rFonts w:ascii="Times New Roman" w:hAnsi="Times New Roman"/>
          <w:szCs w:val="22"/>
        </w:rPr>
        <w:t>Regulations and Policies That the Commission ADOPTED OR Modified</w:t>
      </w:r>
      <w:bookmarkEnd w:id="27"/>
      <w:bookmarkEnd w:id="28"/>
      <w:bookmarkEnd w:id="29"/>
      <w:bookmarkEnd w:id="30"/>
      <w:bookmarkEnd w:id="31"/>
      <w:bookmarkEnd w:id="32"/>
      <w:bookmarkEnd w:id="33"/>
      <w:bookmarkEnd w:id="34"/>
      <w:bookmarkEnd w:id="35"/>
      <w:bookmarkEnd w:id="36"/>
      <w:bookmarkEnd w:id="37"/>
      <w:bookmarkEnd w:id="38"/>
      <w:r w:rsidRPr="004B1666">
        <w:rPr>
          <w:rFonts w:ascii="Times New Roman" w:hAnsi="Times New Roman"/>
          <w:szCs w:val="22"/>
        </w:rPr>
        <w:t>, including compliance requirements</w:t>
      </w:r>
      <w:bookmarkEnd w:id="39"/>
      <w:bookmarkEnd w:id="40"/>
      <w:bookmarkEnd w:id="41"/>
      <w:bookmarkEnd w:id="42"/>
      <w:bookmarkEnd w:id="43"/>
      <w:bookmarkEnd w:id="44"/>
      <w:bookmarkEnd w:id="45"/>
      <w:bookmarkEnd w:id="46"/>
      <w:bookmarkEnd w:id="47"/>
      <w:bookmarkEnd w:id="48"/>
      <w:bookmarkEnd w:id="49"/>
      <w:bookmarkEnd w:id="50"/>
      <w:bookmarkEnd w:id="51"/>
      <w:r w:rsidRPr="004B1666">
        <w:rPr>
          <w:rFonts w:ascii="Times New Roman" w:hAnsi="Times New Roman"/>
          <w:szCs w:val="22"/>
        </w:rPr>
        <w:t xml:space="preserve"> </w:t>
      </w:r>
    </w:p>
    <w:p w:rsidR="00584892" w:rsidRPr="00D27BE0" w:rsidRDefault="00584892" w:rsidP="001C40D7">
      <w:pPr>
        <w:spacing w:after="220"/>
        <w:ind w:firstLine="720"/>
        <w:jc w:val="both"/>
        <w:rPr>
          <w:szCs w:val="22"/>
        </w:rPr>
      </w:pPr>
      <w:r w:rsidRPr="00D27BE0">
        <w:rPr>
          <w:szCs w:val="22"/>
        </w:rPr>
        <w:t xml:space="preserve">In the </w:t>
      </w:r>
      <w:r w:rsidRPr="00D27BE0">
        <w:rPr>
          <w:i/>
          <w:szCs w:val="22"/>
        </w:rPr>
        <w:t>Report and Order</w:t>
      </w:r>
      <w:r w:rsidRPr="00D27BE0">
        <w:rPr>
          <w:szCs w:val="22"/>
        </w:rPr>
        <w:t xml:space="preserve"> the Commi</w:t>
      </w:r>
      <w:r>
        <w:rPr>
          <w:szCs w:val="22"/>
        </w:rPr>
        <w:t>ssion took the following action</w:t>
      </w:r>
      <w:r w:rsidR="00C5136C">
        <w:rPr>
          <w:szCs w:val="22"/>
        </w:rPr>
        <w:t>s</w:t>
      </w:r>
      <w:r w:rsidRPr="00D27BE0">
        <w:rPr>
          <w:szCs w:val="22"/>
        </w:rPr>
        <w:t>:</w:t>
      </w:r>
    </w:p>
    <w:p w:rsidR="00733C7A" w:rsidRDefault="00AF7727" w:rsidP="001C40D7">
      <w:pPr>
        <w:pStyle w:val="ParaNum"/>
        <w:numPr>
          <w:ilvl w:val="0"/>
          <w:numId w:val="3"/>
        </w:numPr>
        <w:spacing w:after="220"/>
        <w:ind w:left="1440" w:hanging="720"/>
      </w:pPr>
      <w:r>
        <w:t>C</w:t>
      </w:r>
      <w:r w:rsidR="00733C7A">
        <w:t>onsolidated the three classes of r</w:t>
      </w:r>
      <w:r w:rsidR="00733C7A" w:rsidRPr="004477D8">
        <w:t xml:space="preserve">adiotelegraph </w:t>
      </w:r>
      <w:r w:rsidR="00733C7A">
        <w:t>operator’s c</w:t>
      </w:r>
      <w:r w:rsidR="00733C7A" w:rsidRPr="004477D8">
        <w:t>ertificates</w:t>
      </w:r>
      <w:r w:rsidR="00733C7A">
        <w:t>;</w:t>
      </w:r>
    </w:p>
    <w:p w:rsidR="00733C7A" w:rsidRDefault="00AF7727" w:rsidP="001C40D7">
      <w:pPr>
        <w:pStyle w:val="ParaNum"/>
        <w:numPr>
          <w:ilvl w:val="0"/>
          <w:numId w:val="3"/>
        </w:numPr>
        <w:spacing w:after="220"/>
        <w:ind w:left="1440" w:hanging="720"/>
      </w:pPr>
      <w:r>
        <w:t>E</w:t>
      </w:r>
      <w:r w:rsidR="00733C7A" w:rsidRPr="004477D8">
        <w:t>liminat</w:t>
      </w:r>
      <w:r w:rsidR="00733C7A">
        <w:t>ed</w:t>
      </w:r>
      <w:r w:rsidR="00733C7A" w:rsidRPr="004477D8">
        <w:t xml:space="preserve"> </w:t>
      </w:r>
      <w:r w:rsidR="00733C7A">
        <w:t>redundant and outdated</w:t>
      </w:r>
      <w:r w:rsidR="00733C7A" w:rsidRPr="004477D8">
        <w:t xml:space="preserve"> restrictive endorsements</w:t>
      </w:r>
      <w:r w:rsidR="00733C7A">
        <w:t>;</w:t>
      </w:r>
    </w:p>
    <w:p w:rsidR="00733C7A" w:rsidRDefault="00AF7727" w:rsidP="001C40D7">
      <w:pPr>
        <w:pStyle w:val="ParaNum"/>
        <w:numPr>
          <w:ilvl w:val="0"/>
          <w:numId w:val="3"/>
        </w:numPr>
        <w:spacing w:after="220"/>
        <w:ind w:left="1440" w:hanging="720"/>
      </w:pPr>
      <w:r>
        <w:t>M</w:t>
      </w:r>
      <w:r w:rsidR="00733C7A" w:rsidRPr="004477D8">
        <w:t>odifi</w:t>
      </w:r>
      <w:r w:rsidR="00733C7A">
        <w:t>ed</w:t>
      </w:r>
      <w:r w:rsidR="00733C7A" w:rsidRPr="004477D8">
        <w:t xml:space="preserve"> certain </w:t>
      </w:r>
      <w:r w:rsidR="00733C7A">
        <w:t>procedural</w:t>
      </w:r>
      <w:r w:rsidR="00733C7A" w:rsidRPr="004477D8">
        <w:t xml:space="preserve"> and recordkeeping requirements</w:t>
      </w:r>
      <w:r w:rsidR="00733C7A">
        <w:t xml:space="preserve"> applicable to COLEMs;  </w:t>
      </w:r>
    </w:p>
    <w:p w:rsidR="00733C7A" w:rsidRDefault="00AF7727" w:rsidP="001C40D7">
      <w:pPr>
        <w:pStyle w:val="ParaNum"/>
        <w:numPr>
          <w:ilvl w:val="0"/>
          <w:numId w:val="3"/>
        </w:numPr>
        <w:spacing w:after="220"/>
        <w:ind w:left="1440" w:hanging="720"/>
      </w:pPr>
      <w:r>
        <w:t>C</w:t>
      </w:r>
      <w:r w:rsidR="00733C7A">
        <w:t>larified the rules that pertain to log-keeping requirements;</w:t>
      </w:r>
      <w:r w:rsidR="008C5271">
        <w:t xml:space="preserve"> </w:t>
      </w:r>
    </w:p>
    <w:p w:rsidR="00584892" w:rsidRPr="00AF7727" w:rsidRDefault="00AF7727" w:rsidP="001C40D7">
      <w:pPr>
        <w:pStyle w:val="ParaNum"/>
        <w:widowControl/>
        <w:numPr>
          <w:ilvl w:val="0"/>
          <w:numId w:val="3"/>
        </w:numPr>
        <w:spacing w:after="220"/>
        <w:ind w:left="1440" w:hanging="720"/>
        <w:jc w:val="both"/>
        <w:rPr>
          <w:szCs w:val="22"/>
        </w:rPr>
      </w:pPr>
      <w:r>
        <w:t>D</w:t>
      </w:r>
      <w:r w:rsidR="00733C7A" w:rsidRPr="004477D8">
        <w:t>ec</w:t>
      </w:r>
      <w:r w:rsidR="00733C7A">
        <w:t>lined</w:t>
      </w:r>
      <w:r w:rsidR="00733C7A" w:rsidRPr="004477D8">
        <w:t xml:space="preserve"> to </w:t>
      </w:r>
      <w:r w:rsidR="00733C7A">
        <w:t>change the current process for maint</w:t>
      </w:r>
      <w:r w:rsidR="00733C7A" w:rsidRPr="004477D8">
        <w:t>a</w:t>
      </w:r>
      <w:r w:rsidR="00733C7A">
        <w:t>i</w:t>
      </w:r>
      <w:r w:rsidR="00733C7A" w:rsidRPr="004477D8">
        <w:t>n</w:t>
      </w:r>
      <w:r w:rsidR="00733C7A">
        <w:t>ing</w:t>
      </w:r>
      <w:r w:rsidR="00733C7A" w:rsidRPr="004477D8">
        <w:t xml:space="preserve"> question pools</w:t>
      </w:r>
      <w:r w:rsidR="00733C7A">
        <w:t>, and the rules that pertain to equipment testing intervals</w:t>
      </w:r>
      <w:r w:rsidR="00733C7A" w:rsidRPr="004477D8">
        <w:t>.</w:t>
      </w:r>
      <w:r w:rsidR="009F4B83">
        <w:t xml:space="preserve"> </w:t>
      </w:r>
    </w:p>
    <w:p w:rsidR="007C741B" w:rsidRPr="00161A9E" w:rsidRDefault="007C741B" w:rsidP="001C40D7">
      <w:pPr>
        <w:pStyle w:val="Heading2"/>
        <w:tabs>
          <w:tab w:val="num" w:pos="1080"/>
          <w:tab w:val="left" w:pos="1440"/>
        </w:tabs>
        <w:spacing w:after="220"/>
        <w:ind w:left="0" w:firstLine="720"/>
        <w:jc w:val="both"/>
        <w:rPr>
          <w:bCs/>
        </w:rPr>
      </w:pPr>
      <w:bookmarkStart w:id="52" w:name="_Toc348433964"/>
      <w:r w:rsidRPr="00161A9E">
        <w:rPr>
          <w:bCs/>
        </w:rPr>
        <w:t>Commercial Operator Licensing Issues</w:t>
      </w:r>
      <w:bookmarkEnd w:id="52"/>
    </w:p>
    <w:p w:rsidR="007C741B" w:rsidRDefault="007C741B" w:rsidP="001C40D7">
      <w:pPr>
        <w:pStyle w:val="Heading3"/>
        <w:tabs>
          <w:tab w:val="clear" w:pos="2160"/>
          <w:tab w:val="num" w:pos="1800"/>
        </w:tabs>
        <w:spacing w:after="220"/>
        <w:ind w:left="1440" w:firstLine="0"/>
        <w:jc w:val="both"/>
      </w:pPr>
      <w:bookmarkStart w:id="53" w:name="_Toc348433965"/>
      <w:r>
        <w:t>Radiotelegraph Operator’s Certificates</w:t>
      </w:r>
      <w:bookmarkEnd w:id="53"/>
    </w:p>
    <w:p w:rsidR="007B12FB" w:rsidRDefault="007C741B" w:rsidP="001C40D7">
      <w:pPr>
        <w:pStyle w:val="ParaNum"/>
        <w:numPr>
          <w:ilvl w:val="0"/>
          <w:numId w:val="0"/>
        </w:numPr>
        <w:spacing w:after="220"/>
        <w:ind w:firstLine="720"/>
        <w:jc w:val="both"/>
      </w:pPr>
      <w:r>
        <w:t>The Commission consolidated First Class Radiotelegraph Operator’s Certificates and Second Class Radiotelegraph Operator’s Certificates into a new license class, the Radiotelegraph Operator License.</w:t>
      </w:r>
      <w:r w:rsidR="00505FAA">
        <w:t xml:space="preserve"> </w:t>
      </w:r>
      <w:r w:rsidR="00FC2615">
        <w:t xml:space="preserve"> Radiotelegraph Operator License applicants will be required to pass w</w:t>
      </w:r>
      <w:r w:rsidR="00FC2615">
        <w:rPr>
          <w:szCs w:val="22"/>
        </w:rPr>
        <w:t xml:space="preserve">ritten Elements 1 and 6, and Telegraphy Elements 1 and 2. </w:t>
      </w:r>
      <w:r w:rsidR="00505FAA">
        <w:rPr>
          <w:szCs w:val="22"/>
        </w:rPr>
        <w:t xml:space="preserve"> </w:t>
      </w:r>
      <w:r w:rsidR="00FC2615">
        <w:rPr>
          <w:szCs w:val="22"/>
        </w:rPr>
        <w:t>The Commission concluded that</w:t>
      </w:r>
      <w:r w:rsidR="00505FAA">
        <w:rPr>
          <w:szCs w:val="22"/>
        </w:rPr>
        <w:t xml:space="preserve"> it </w:t>
      </w:r>
      <w:r w:rsidR="00505FAA" w:rsidRPr="00505FAA">
        <w:rPr>
          <w:szCs w:val="22"/>
        </w:rPr>
        <w:t xml:space="preserve">need not require applicants to pass both written Elements 5 and 6, because the material tested by written Element 6 builds upon knowledge needed to pass written Element 5. </w:t>
      </w:r>
      <w:r w:rsidR="007B12FB">
        <w:rPr>
          <w:szCs w:val="22"/>
        </w:rPr>
        <w:t xml:space="preserve"> </w:t>
      </w:r>
      <w:r w:rsidR="00B02510">
        <w:rPr>
          <w:szCs w:val="22"/>
        </w:rPr>
        <w:t xml:space="preserve">Upon the effective date of the rules adopted in this </w:t>
      </w:r>
      <w:r w:rsidR="00B02510" w:rsidRPr="00B02510">
        <w:rPr>
          <w:i/>
          <w:szCs w:val="22"/>
        </w:rPr>
        <w:t>Report and Order</w:t>
      </w:r>
      <w:r w:rsidR="00B02510">
        <w:rPr>
          <w:szCs w:val="22"/>
        </w:rPr>
        <w:t xml:space="preserve">, the Commission </w:t>
      </w:r>
      <w:r w:rsidR="00B02510">
        <w:t>will cease accepting applications for new First and Second Class Radiotelegraph Operator’s Certificates, and existing First and Second Class Radiotelegraph Operator’s Certificates will be renewed as Radiotelegraph Operator Licenses.</w:t>
      </w:r>
      <w:r w:rsidR="009422B4">
        <w:t xml:space="preserve"> </w:t>
      </w:r>
    </w:p>
    <w:p w:rsidR="007B12FB" w:rsidRDefault="009422B4" w:rsidP="001C40D7">
      <w:pPr>
        <w:pStyle w:val="ParaNum"/>
        <w:numPr>
          <w:ilvl w:val="0"/>
          <w:numId w:val="0"/>
        </w:numPr>
        <w:spacing w:after="220"/>
        <w:ind w:firstLine="720"/>
        <w:jc w:val="both"/>
      </w:pPr>
      <w:r>
        <w:t>Also, the Commission will cease accepting applications for new Third Class Radiotel</w:t>
      </w:r>
      <w:r w:rsidR="002D75E5">
        <w:t xml:space="preserve">egraph Operator’s Certificates.  </w:t>
      </w:r>
      <w:r>
        <w:t>Existing Third Class Radiotelegraph Operator’s Certificates will be renewed as Marine Radio Operator Permits.</w:t>
      </w:r>
      <w:r w:rsidR="002D75E5">
        <w:t xml:space="preserve">  </w:t>
      </w:r>
      <w:r w:rsidR="007B12FB" w:rsidRPr="007B12FB">
        <w:t xml:space="preserve">Holders of Third Class Radiotelegraph Operator’s Certificates that are renewed as Marine Radio Operator Permits will retain element credit for having passed Telegraphy Elements 1 and 2, so they (but not other Marine Radio Operator Permit holders) will be able to upgrade to a Radiotelegraph Operator License by passing written Element 6, just as Third Class Radiotelegraph Operator’s Certificate holders currently must pass written Element 6 to upgrade to a Second Class Radiotelegraph Operator’s Certificate.      </w:t>
      </w:r>
    </w:p>
    <w:p w:rsidR="00222F1E" w:rsidRDefault="005D3DBB" w:rsidP="001C40D7">
      <w:pPr>
        <w:pStyle w:val="ParaNum"/>
        <w:numPr>
          <w:ilvl w:val="0"/>
          <w:numId w:val="0"/>
        </w:numPr>
        <w:spacing w:after="220"/>
        <w:ind w:firstLine="720"/>
        <w:jc w:val="both"/>
      </w:pPr>
      <w:r>
        <w:t>A</w:t>
      </w:r>
      <w:r w:rsidR="008C705C">
        <w:t xml:space="preserve">fter the rule changes adopted in this </w:t>
      </w:r>
      <w:r w:rsidR="008C705C" w:rsidRPr="008C705C">
        <w:rPr>
          <w:i/>
        </w:rPr>
        <w:t>Report and Order</w:t>
      </w:r>
      <w:r w:rsidR="008C705C">
        <w:t xml:space="preserve"> take effect, Radiotelegraph Operator Licenses (both new licenses and those issued upon the renewal of a First or Second Class Radiotelegraph Operator’s Certificate) will be issued without an expiration date.</w:t>
      </w:r>
      <w:r w:rsidR="006B341A">
        <w:t xml:space="preserve"> </w:t>
      </w:r>
      <w:r w:rsidR="007B0BB5">
        <w:t xml:space="preserve"> </w:t>
      </w:r>
      <w:r>
        <w:t xml:space="preserve">(Other commercial operator licenses already are valid for the lifetime of the holder.)  </w:t>
      </w:r>
      <w:r w:rsidR="007B0BB5">
        <w:t xml:space="preserve">The Commission will discontinue the current practice of putting licensees’ photographs on radiotelegraph operator certificates, </w:t>
      </w:r>
      <w:r w:rsidR="007B0BB5">
        <w:rPr>
          <w:i/>
        </w:rPr>
        <w:t xml:space="preserve">see </w:t>
      </w:r>
      <w:r w:rsidR="007B0BB5">
        <w:t xml:space="preserve">FCC Form 605 Schedule E Instructions at 1, because a photograph’s usefulness in identifying the bearer would diminish over his or her lifetime.  </w:t>
      </w:r>
      <w:r w:rsidR="00222F1E">
        <w:t>Current Third Class Radiotelegraph Operator’s Certificates that are renewed as Marine Radio Operator Permits also will be issued without an expiration date, like other Marine Radio Operator Permits.</w:t>
      </w:r>
    </w:p>
    <w:p w:rsidR="008047B1" w:rsidRDefault="008047B1" w:rsidP="001C40D7">
      <w:pPr>
        <w:pStyle w:val="ParaNum"/>
        <w:numPr>
          <w:ilvl w:val="0"/>
          <w:numId w:val="0"/>
        </w:numPr>
        <w:spacing w:after="220"/>
        <w:ind w:firstLine="720"/>
        <w:jc w:val="both"/>
      </w:pPr>
      <w:r>
        <w:t>The Commission</w:t>
      </w:r>
      <w:r w:rsidR="0008131F">
        <w:t xml:space="preserve"> </w:t>
      </w:r>
      <w:r>
        <w:t>eliminated the prohibition on simultaneously holding a radiotelegraph operator’s certificate and another unexpired radiotelegraph operator’s certificate, a Marine Radio Operator Permit, or a Restricted Radiotelephone Operator Permit.</w:t>
      </w:r>
    </w:p>
    <w:p w:rsidR="004A068C" w:rsidRDefault="004A068C" w:rsidP="001C40D7">
      <w:pPr>
        <w:pStyle w:val="Heading3"/>
        <w:numPr>
          <w:ilvl w:val="0"/>
          <w:numId w:val="0"/>
        </w:numPr>
        <w:tabs>
          <w:tab w:val="clear" w:pos="2160"/>
          <w:tab w:val="num" w:pos="1800"/>
        </w:tabs>
        <w:spacing w:after="220"/>
        <w:ind w:left="1440"/>
        <w:jc w:val="both"/>
      </w:pPr>
      <w:bookmarkStart w:id="54" w:name="_Toc348433966"/>
      <w:r>
        <w:t>2.</w:t>
      </w:r>
      <w:r>
        <w:tab/>
        <w:t>Other Licensing Issues</w:t>
      </w:r>
      <w:bookmarkEnd w:id="54"/>
    </w:p>
    <w:p w:rsidR="00442757" w:rsidRPr="00DC4F37" w:rsidRDefault="007148EA" w:rsidP="001C40D7">
      <w:pPr>
        <w:pStyle w:val="ParaNum"/>
        <w:numPr>
          <w:ilvl w:val="0"/>
          <w:numId w:val="0"/>
        </w:numPr>
        <w:spacing w:after="220"/>
        <w:ind w:firstLine="720"/>
        <w:jc w:val="both"/>
        <w:rPr>
          <w:szCs w:val="22"/>
        </w:rPr>
      </w:pPr>
      <w:r>
        <w:t xml:space="preserve">The Commission amended Section 13.7 of the Commission’s Rules </w:t>
      </w:r>
      <w:r w:rsidR="00252166">
        <w:t>and</w:t>
      </w:r>
      <w:r>
        <w:t xml:space="preserve"> eliminate</w:t>
      </w:r>
      <w:r w:rsidR="00252166">
        <w:t>d</w:t>
      </w:r>
      <w:r>
        <w:t xml:space="preserve"> certain obsolete license endorsements</w:t>
      </w:r>
      <w:r w:rsidR="00FB6EB5">
        <w:t xml:space="preserve">.  It also </w:t>
      </w:r>
      <w:r w:rsidR="00FB6EB5">
        <w:rPr>
          <w:szCs w:val="22"/>
        </w:rPr>
        <w:t>a</w:t>
      </w:r>
      <w:r w:rsidR="00955AE6" w:rsidRPr="00DC4F37">
        <w:rPr>
          <w:szCs w:val="22"/>
        </w:rPr>
        <w:t>mended Section 13.10 of the Commission’s Rules, which already requires licensees to specify a valid mailing address, to provide that the Commission can suspend a commercial radio operator license if Commission correspondence is returned as undeliverable because the applicant failed to provide a correct address.</w:t>
      </w:r>
    </w:p>
    <w:p w:rsidR="00442757" w:rsidRDefault="00442757" w:rsidP="001C40D7">
      <w:pPr>
        <w:pStyle w:val="Heading2"/>
        <w:tabs>
          <w:tab w:val="clear" w:pos="1440"/>
          <w:tab w:val="num" w:pos="1080"/>
        </w:tabs>
        <w:spacing w:after="220"/>
        <w:ind w:left="720" w:firstLine="0"/>
        <w:jc w:val="both"/>
      </w:pPr>
      <w:bookmarkStart w:id="55" w:name="_Toc348433967"/>
      <w:r>
        <w:t>COLEM Issues</w:t>
      </w:r>
      <w:bookmarkEnd w:id="55"/>
    </w:p>
    <w:p w:rsidR="00442757" w:rsidRDefault="00442757" w:rsidP="001C40D7">
      <w:pPr>
        <w:pStyle w:val="ParaNum"/>
        <w:numPr>
          <w:ilvl w:val="0"/>
          <w:numId w:val="0"/>
        </w:numPr>
        <w:spacing w:after="220"/>
        <w:ind w:firstLine="720"/>
        <w:jc w:val="both"/>
      </w:pPr>
      <w:r w:rsidRPr="00442757">
        <w:rPr>
          <w:szCs w:val="22"/>
        </w:rPr>
        <w:t>In 1993, the Commission delegated the preparation and administration of commercial operator license examinations to COLEMs</w:t>
      </w:r>
      <w:r>
        <w:rPr>
          <w:szCs w:val="22"/>
        </w:rPr>
        <w:t xml:space="preserve">. </w:t>
      </w:r>
      <w:r w:rsidR="00C46FA1">
        <w:rPr>
          <w:color w:val="000000"/>
          <w:szCs w:val="19"/>
        </w:rPr>
        <w:t>The COLEM</w:t>
      </w:r>
      <w:bookmarkStart w:id="56" w:name="SR;43804"/>
      <w:bookmarkEnd w:id="56"/>
      <w:r w:rsidR="00C46FA1">
        <w:rPr>
          <w:color w:val="000000"/>
          <w:szCs w:val="19"/>
        </w:rPr>
        <w:t xml:space="preserve"> organization must sign an agreement with the Commission to coordinate the examinations, agree not to discriminate in the coordination of the examinations, and maintain examination and financial records and make them available to the Commission. (</w:t>
      </w:r>
      <w:r w:rsidR="00C46FA1">
        <w:rPr>
          <w:i/>
        </w:rPr>
        <w:t>See</w:t>
      </w:r>
      <w:r w:rsidR="00C46FA1">
        <w:t xml:space="preserve"> 47 C.F.R. §§ 13.213, 13.217).</w:t>
      </w:r>
    </w:p>
    <w:p w:rsidR="005C7EA7" w:rsidRDefault="005C7EA7" w:rsidP="001C40D7">
      <w:pPr>
        <w:pStyle w:val="Heading3"/>
        <w:tabs>
          <w:tab w:val="clear" w:pos="2160"/>
          <w:tab w:val="num" w:pos="1800"/>
        </w:tabs>
        <w:spacing w:after="220"/>
        <w:ind w:left="1440" w:firstLine="0"/>
        <w:jc w:val="both"/>
      </w:pPr>
      <w:bookmarkStart w:id="57" w:name="_Toc348433968"/>
      <w:r>
        <w:t>Maintenance of Question Pools</w:t>
      </w:r>
      <w:bookmarkEnd w:id="57"/>
    </w:p>
    <w:p w:rsidR="005C7EA7" w:rsidRDefault="005C7EA7" w:rsidP="001C40D7">
      <w:pPr>
        <w:pStyle w:val="ParaNum"/>
        <w:numPr>
          <w:ilvl w:val="0"/>
          <w:numId w:val="0"/>
        </w:numPr>
        <w:spacing w:after="220"/>
        <w:ind w:firstLine="720"/>
        <w:jc w:val="both"/>
      </w:pPr>
      <w:r>
        <w:t xml:space="preserve">The Wireless Telecommunications Bureau </w:t>
      </w:r>
      <w:r w:rsidR="00C92F09">
        <w:t xml:space="preserve">(WTB) </w:t>
      </w:r>
      <w:r>
        <w:t xml:space="preserve">currently reviews and approves updates proposed by private entities or individuals, but no longer generates question pools itself. </w:t>
      </w:r>
      <w:r w:rsidR="00FB6EB5">
        <w:t xml:space="preserve"> </w:t>
      </w:r>
      <w:r>
        <w:t xml:space="preserve">The Commission </w:t>
      </w:r>
      <w:r w:rsidR="00A736E3">
        <w:t xml:space="preserve">proposed in this proceeding to make COLEMs responsible for maintaining the question pools, but </w:t>
      </w:r>
      <w:r>
        <w:t xml:space="preserve">concluded </w:t>
      </w:r>
      <w:r w:rsidR="00A736E3">
        <w:t xml:space="preserve">in this </w:t>
      </w:r>
      <w:r w:rsidR="00A736E3">
        <w:rPr>
          <w:i/>
        </w:rPr>
        <w:t xml:space="preserve">Report and Order </w:t>
      </w:r>
      <w:r>
        <w:t>that the possible benefits to examinees (in terms of accurate, timely question pools) of delegating responsibility for maintaining the question pools for commercial radio operator license examinations would not be commensurate with the administrative and financial burdens that it would impose on COLEMs.</w:t>
      </w:r>
      <w:r w:rsidR="00A736E3">
        <w:t xml:space="preserve">  The Commission therefore will retain the current process for maintaining the question pools.</w:t>
      </w:r>
    </w:p>
    <w:p w:rsidR="009A633E" w:rsidRDefault="009A633E" w:rsidP="001C40D7">
      <w:pPr>
        <w:pStyle w:val="Heading3"/>
        <w:numPr>
          <w:ilvl w:val="0"/>
          <w:numId w:val="0"/>
        </w:numPr>
        <w:tabs>
          <w:tab w:val="clear" w:pos="2160"/>
          <w:tab w:val="num" w:pos="1800"/>
        </w:tabs>
        <w:spacing w:after="220"/>
        <w:ind w:left="1440"/>
        <w:jc w:val="both"/>
      </w:pPr>
      <w:bookmarkStart w:id="58" w:name="_Toc348433969"/>
      <w:r>
        <w:t>2.</w:t>
      </w:r>
      <w:r>
        <w:tab/>
        <w:t>Other COLEM Issues</w:t>
      </w:r>
      <w:bookmarkEnd w:id="58"/>
    </w:p>
    <w:p w:rsidR="009A633E" w:rsidRDefault="009A633E" w:rsidP="001C40D7">
      <w:pPr>
        <w:pStyle w:val="ParaNum"/>
        <w:numPr>
          <w:ilvl w:val="0"/>
          <w:numId w:val="0"/>
        </w:numPr>
        <w:spacing w:after="220"/>
        <w:ind w:firstLine="720"/>
      </w:pPr>
      <w:r>
        <w:t>The Commission revised certain procedural requirements applicable to COLEMs:</w:t>
      </w:r>
    </w:p>
    <w:p w:rsidR="009A633E" w:rsidRDefault="009A633E" w:rsidP="001C40D7">
      <w:pPr>
        <w:pStyle w:val="ParaNum"/>
        <w:numPr>
          <w:ilvl w:val="0"/>
          <w:numId w:val="35"/>
        </w:numPr>
        <w:spacing w:after="220"/>
        <w:ind w:hanging="720"/>
        <w:jc w:val="both"/>
      </w:pPr>
      <w:r>
        <w:t xml:space="preserve">Shortened the time in which COLEMs are required by Section 13.211(e) </w:t>
      </w:r>
      <w:r w:rsidR="00167EAA">
        <w:t>to notify examinees of their examination results (and issue a proof-of-passing certificate to successful examinees) from ten days to three business days.</w:t>
      </w:r>
    </w:p>
    <w:p w:rsidR="00167EAA" w:rsidRDefault="00AE1C63" w:rsidP="001C40D7">
      <w:pPr>
        <w:pStyle w:val="ParaNum"/>
        <w:numPr>
          <w:ilvl w:val="0"/>
          <w:numId w:val="35"/>
        </w:numPr>
        <w:spacing w:after="220"/>
        <w:ind w:hanging="720"/>
      </w:pPr>
      <w:r>
        <w:t xml:space="preserve">Amended Section 13.13 to require COLEMs filing applications on behalf of applicants to submit the information electronically.  </w:t>
      </w:r>
    </w:p>
    <w:p w:rsidR="001735DB" w:rsidRPr="001735DB" w:rsidRDefault="006B54D9" w:rsidP="001C40D7">
      <w:pPr>
        <w:pStyle w:val="ParaNum"/>
        <w:numPr>
          <w:ilvl w:val="0"/>
          <w:numId w:val="35"/>
        </w:numPr>
        <w:spacing w:after="220"/>
        <w:ind w:hanging="720"/>
        <w:jc w:val="both"/>
      </w:pPr>
      <w:r>
        <w:rPr>
          <w:szCs w:val="22"/>
        </w:rPr>
        <w:t xml:space="preserve">Section 13.217 requires COLEMs to retain “records of expenses and revenues, frequency of examinations administered, and examination pass rates.”  </w:t>
      </w:r>
      <w:r w:rsidR="001735DB">
        <w:rPr>
          <w:szCs w:val="22"/>
        </w:rPr>
        <w:t>The FCC</w:t>
      </w:r>
      <w:r>
        <w:rPr>
          <w:szCs w:val="22"/>
        </w:rPr>
        <w:t xml:space="preserve"> conclude</w:t>
      </w:r>
      <w:r w:rsidR="001735DB">
        <w:rPr>
          <w:szCs w:val="22"/>
        </w:rPr>
        <w:t>d</w:t>
      </w:r>
      <w:r>
        <w:rPr>
          <w:szCs w:val="22"/>
        </w:rPr>
        <w:t xml:space="preserve"> that COLEMs no longer need to submit this information to the </w:t>
      </w:r>
      <w:r w:rsidR="001735DB">
        <w:rPr>
          <w:szCs w:val="22"/>
        </w:rPr>
        <w:t>WTB</w:t>
      </w:r>
      <w:r>
        <w:rPr>
          <w:szCs w:val="22"/>
        </w:rPr>
        <w:t xml:space="preserve"> on a regular basis; instead, it must be submitted only upon Commission request.  </w:t>
      </w:r>
      <w:r w:rsidR="00A736E3">
        <w:rPr>
          <w:szCs w:val="22"/>
        </w:rPr>
        <w:t>The Commissio</w:t>
      </w:r>
      <w:r w:rsidR="00157484">
        <w:rPr>
          <w:szCs w:val="22"/>
        </w:rPr>
        <w:t>n</w:t>
      </w:r>
      <w:r w:rsidR="00A736E3">
        <w:rPr>
          <w:szCs w:val="22"/>
        </w:rPr>
        <w:t xml:space="preserve"> also amended </w:t>
      </w:r>
      <w:r>
        <w:rPr>
          <w:szCs w:val="22"/>
        </w:rPr>
        <w:t xml:space="preserve">the rule to require </w:t>
      </w:r>
      <w:r w:rsidR="001735DB">
        <w:rPr>
          <w:szCs w:val="22"/>
        </w:rPr>
        <w:t>COLEMs</w:t>
      </w:r>
      <w:r>
        <w:rPr>
          <w:szCs w:val="22"/>
        </w:rPr>
        <w:t xml:space="preserve"> to retain the information for three years instead of the current one-year retention period.  </w:t>
      </w:r>
    </w:p>
    <w:p w:rsidR="006B54D9" w:rsidRDefault="001735DB" w:rsidP="001C40D7">
      <w:pPr>
        <w:pStyle w:val="ParaNum"/>
        <w:numPr>
          <w:ilvl w:val="0"/>
          <w:numId w:val="35"/>
        </w:numPr>
        <w:spacing w:after="220"/>
        <w:ind w:hanging="720"/>
        <w:jc w:val="both"/>
      </w:pPr>
      <w:r>
        <w:rPr>
          <w:szCs w:val="22"/>
        </w:rPr>
        <w:t xml:space="preserve">COLEMs </w:t>
      </w:r>
      <w:r w:rsidR="006B54D9">
        <w:rPr>
          <w:szCs w:val="22"/>
        </w:rPr>
        <w:t>no longer</w:t>
      </w:r>
      <w:r w:rsidR="006B54D9" w:rsidRPr="00553F57">
        <w:t xml:space="preserve"> require</w:t>
      </w:r>
      <w:r>
        <w:t>d</w:t>
      </w:r>
      <w:r w:rsidR="006B54D9" w:rsidRPr="00553F57">
        <w:t xml:space="preserve"> to</w:t>
      </w:r>
      <w:r w:rsidR="00DF64AE">
        <w:t xml:space="preserve"> </w:t>
      </w:r>
      <w:r w:rsidR="006B54D9">
        <w:t xml:space="preserve">obtain Commission approval to change their fees for administering examinations.  Going forward, COLEMs need only notify the </w:t>
      </w:r>
      <w:r>
        <w:t>WTB</w:t>
      </w:r>
      <w:r w:rsidR="006B54D9">
        <w:t xml:space="preserve"> of changes in their fee structure.</w:t>
      </w:r>
    </w:p>
    <w:p w:rsidR="009D7437" w:rsidRDefault="009D7437" w:rsidP="001C40D7">
      <w:pPr>
        <w:pStyle w:val="Heading2"/>
        <w:shd w:val="clear" w:color="auto" w:fill="FFFFFF"/>
        <w:tabs>
          <w:tab w:val="clear" w:pos="1440"/>
          <w:tab w:val="num" w:pos="1080"/>
        </w:tabs>
        <w:spacing w:after="220"/>
        <w:ind w:left="720" w:firstLine="0"/>
        <w:jc w:val="both"/>
      </w:pPr>
      <w:bookmarkStart w:id="59" w:name="_Toc348433970"/>
      <w:r>
        <w:t>Equipment Testing and Logging Requirements</w:t>
      </w:r>
      <w:bookmarkEnd w:id="59"/>
    </w:p>
    <w:p w:rsidR="00505FAA" w:rsidRPr="001C40D7" w:rsidRDefault="005E5604" w:rsidP="001C40D7">
      <w:pPr>
        <w:pStyle w:val="ParaNum"/>
        <w:numPr>
          <w:ilvl w:val="0"/>
          <w:numId w:val="0"/>
        </w:numPr>
        <w:spacing w:after="220"/>
        <w:ind w:firstLine="720"/>
        <w:jc w:val="both"/>
      </w:pPr>
      <w:r>
        <w:t xml:space="preserve">The Commission restructured </w:t>
      </w:r>
      <w:r w:rsidR="00A736E3">
        <w:t>Section 80.409</w:t>
      </w:r>
      <w:r>
        <w:t xml:space="preserve"> so that the logging requirements are grouped more logically by subject matter and the applicability of the logging requirements to different classes of vessels is clearer.</w:t>
      </w:r>
      <w:r w:rsidR="00D21632">
        <w:t xml:space="preserve">  The Commission also added a cross-reference to subpart W of Part 80, so that log-keepers on GMDSS vessels are aware that they must be familiar with those subpart W GMDSS rules to ensure full compliance with the logging requirements. </w:t>
      </w:r>
      <w:bookmarkStart w:id="60" w:name="SR;1633"/>
      <w:bookmarkStart w:id="61" w:name="SR;1634"/>
      <w:bookmarkStart w:id="62" w:name="SR;1636"/>
      <w:bookmarkStart w:id="63" w:name="SR;1637"/>
      <w:bookmarkStart w:id="64" w:name="SR;1645"/>
      <w:bookmarkStart w:id="65" w:name="SR;1646"/>
      <w:bookmarkStart w:id="66" w:name="SR;1648"/>
      <w:bookmarkStart w:id="67" w:name="SR;1649"/>
      <w:bookmarkEnd w:id="60"/>
      <w:bookmarkEnd w:id="61"/>
      <w:bookmarkEnd w:id="62"/>
      <w:bookmarkEnd w:id="63"/>
      <w:bookmarkEnd w:id="64"/>
      <w:bookmarkEnd w:id="65"/>
      <w:bookmarkEnd w:id="66"/>
      <w:bookmarkEnd w:id="67"/>
    </w:p>
    <w:p w:rsidR="00584892" w:rsidRPr="004B1666" w:rsidRDefault="00584892" w:rsidP="001C40D7">
      <w:pPr>
        <w:pStyle w:val="Heading1"/>
        <w:spacing w:after="220"/>
        <w:jc w:val="both"/>
        <w:rPr>
          <w:rFonts w:ascii="Times New Roman" w:hAnsi="Times New Roman"/>
          <w:szCs w:val="22"/>
        </w:rPr>
      </w:pPr>
      <w:bookmarkStart w:id="68" w:name="_Toc103419990"/>
      <w:bookmarkStart w:id="69" w:name="_Toc103420614"/>
      <w:bookmarkStart w:id="70" w:name="_Toc103420756"/>
      <w:bookmarkStart w:id="71" w:name="_Toc103420800"/>
      <w:bookmarkStart w:id="72" w:name="_Toc103420860"/>
      <w:bookmarkStart w:id="73" w:name="_Toc103420907"/>
      <w:bookmarkStart w:id="74" w:name="_Toc103420995"/>
      <w:bookmarkStart w:id="75" w:name="_Toc103421334"/>
      <w:bookmarkStart w:id="76" w:name="_Toc103421422"/>
      <w:bookmarkStart w:id="77" w:name="_Toc103421546"/>
      <w:bookmarkStart w:id="78" w:name="_Toc103488303"/>
      <w:bookmarkStart w:id="79" w:name="_Toc125945586"/>
      <w:bookmarkStart w:id="80" w:name="_Toc176072636"/>
      <w:bookmarkStart w:id="81" w:name="_Toc176072762"/>
      <w:bookmarkStart w:id="82" w:name="_Toc176072788"/>
      <w:bookmarkStart w:id="83" w:name="_Toc176072812"/>
      <w:bookmarkStart w:id="84" w:name="_Toc179100598"/>
      <w:bookmarkStart w:id="85" w:name="_Toc179100963"/>
      <w:bookmarkStart w:id="86" w:name="_Toc216065693"/>
      <w:bookmarkStart w:id="87" w:name="_Toc326229723"/>
      <w:bookmarkStart w:id="88" w:name="_Toc326658333"/>
      <w:bookmarkStart w:id="89" w:name="_Toc326746789"/>
      <w:bookmarkStart w:id="90" w:name="_Toc326826055"/>
      <w:bookmarkStart w:id="91" w:name="_Toc348433972"/>
      <w:r w:rsidRPr="004B1666">
        <w:rPr>
          <w:rFonts w:ascii="Times New Roman" w:hAnsi="Times New Roman"/>
          <w:szCs w:val="22"/>
        </w:rPr>
        <w:t>Recordkeeping and Other Compliance Requirements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0845C0" w:rsidRPr="00583F87" w:rsidRDefault="00DE331C" w:rsidP="001C40D7">
      <w:pPr>
        <w:pStyle w:val="ParaNum"/>
        <w:numPr>
          <w:ilvl w:val="0"/>
          <w:numId w:val="0"/>
        </w:numPr>
        <w:spacing w:after="220"/>
        <w:ind w:firstLine="720"/>
        <w:jc w:val="both"/>
        <w:rPr>
          <w:szCs w:val="22"/>
        </w:rPr>
      </w:pPr>
      <w:r w:rsidRPr="00DE331C">
        <w:rPr>
          <w:szCs w:val="22"/>
        </w:rPr>
        <w:t>COLEMs would be required to retain certain records for three years, instead of the exi</w:t>
      </w:r>
      <w:r w:rsidR="00C92F09">
        <w:rPr>
          <w:szCs w:val="22"/>
        </w:rPr>
        <w:t>sting one-year retention period,</w:t>
      </w:r>
      <w:r w:rsidRPr="00DE331C">
        <w:rPr>
          <w:szCs w:val="22"/>
        </w:rPr>
        <w:t xml:space="preserve"> but would submit that information to the Commission only upon request, instead submitting it on a regular schedule as occurs presently.  This would effectively eliminate the existing economic burden related to the reporting requirement, and it would not create any additional measurable economic burden in connection with the extended recordkeeping requirement.  COLEMs would also be required to provide examination results to examinees within three business days, and to use electronic filing when submitting applications on behalf of examinees.  Because almost all COLEMs already meet both of these requirements, this also would create no additional economic burden on COLEMs.</w:t>
      </w:r>
      <w:r>
        <w:rPr>
          <w:szCs w:val="22"/>
        </w:rPr>
        <w:t xml:space="preserve"> </w:t>
      </w:r>
      <w:r w:rsidR="00157484">
        <w:rPr>
          <w:szCs w:val="22"/>
        </w:rPr>
        <w:t xml:space="preserve"> </w:t>
      </w:r>
      <w:r w:rsidR="000845C0">
        <w:t>T</w:t>
      </w:r>
      <w:r w:rsidR="000845C0">
        <w:rPr>
          <w:color w:val="000000"/>
          <w:szCs w:val="19"/>
        </w:rPr>
        <w:t>hese requirements will not impose a substantial burden on businesses with fewer than 25 employees.</w:t>
      </w:r>
      <w:r w:rsidR="00BC00A0">
        <w:rPr>
          <w:color w:val="000000"/>
          <w:szCs w:val="19"/>
        </w:rPr>
        <w:t xml:space="preserve"> </w:t>
      </w:r>
      <w:r w:rsidR="00157484">
        <w:rPr>
          <w:color w:val="000000"/>
          <w:szCs w:val="19"/>
        </w:rPr>
        <w:t xml:space="preserve"> </w:t>
      </w:r>
      <w:r w:rsidR="00BC00A0">
        <w:rPr>
          <w:color w:val="000000"/>
          <w:szCs w:val="19"/>
        </w:rPr>
        <w:t xml:space="preserve">The Commission </w:t>
      </w:r>
      <w:r w:rsidR="00BC00A0">
        <w:rPr>
          <w:spacing w:val="-2"/>
          <w:szCs w:val="22"/>
        </w:rPr>
        <w:t xml:space="preserve">believes that the changes adopted in this </w:t>
      </w:r>
      <w:r w:rsidR="00BC00A0">
        <w:rPr>
          <w:i/>
          <w:spacing w:val="-2"/>
          <w:szCs w:val="22"/>
        </w:rPr>
        <w:t>Report and Order</w:t>
      </w:r>
      <w:r w:rsidR="00BC00A0">
        <w:rPr>
          <w:spacing w:val="-2"/>
          <w:szCs w:val="22"/>
        </w:rPr>
        <w:t xml:space="preserve"> will promote flexibility and more efficient use of the spectrum, without creating administrative burdens on COLEMs.</w:t>
      </w:r>
      <w:r w:rsidR="00BC00A0">
        <w:rPr>
          <w:szCs w:val="22"/>
        </w:rPr>
        <w:t xml:space="preserve">  Many of the adopted changes constitute clarification of existing requirements or elimination of reporting requirements and other rules that are outdated.  </w:t>
      </w:r>
    </w:p>
    <w:p w:rsidR="00584892" w:rsidRPr="001C40D7" w:rsidRDefault="00584892" w:rsidP="001C40D7">
      <w:pPr>
        <w:spacing w:after="220"/>
        <w:ind w:firstLine="720"/>
        <w:jc w:val="both"/>
        <w:rPr>
          <w:i/>
          <w:szCs w:val="22"/>
        </w:rPr>
      </w:pPr>
      <w:r w:rsidRPr="007036A7">
        <w:rPr>
          <w:szCs w:val="22"/>
        </w:rPr>
        <w:t>For details of other compliance requirements refer to the</w:t>
      </w:r>
      <w:r>
        <w:rPr>
          <w:szCs w:val="22"/>
        </w:rPr>
        <w:t xml:space="preserve"> </w:t>
      </w:r>
      <w:r w:rsidRPr="007036A7">
        <w:rPr>
          <w:i/>
          <w:szCs w:val="22"/>
        </w:rPr>
        <w:t>Report and Order.</w:t>
      </w:r>
    </w:p>
    <w:p w:rsidR="00584892" w:rsidRPr="004B1666" w:rsidRDefault="00584892" w:rsidP="001C40D7">
      <w:pPr>
        <w:pStyle w:val="Heading1"/>
        <w:spacing w:after="220"/>
        <w:jc w:val="both"/>
        <w:rPr>
          <w:rFonts w:ascii="Times New Roman" w:hAnsi="Times New Roman"/>
          <w:szCs w:val="22"/>
        </w:rPr>
      </w:pPr>
      <w:bookmarkStart w:id="92" w:name="_Toc176072637"/>
      <w:bookmarkStart w:id="93" w:name="_Toc176072763"/>
      <w:bookmarkStart w:id="94" w:name="_Toc176072789"/>
      <w:bookmarkStart w:id="95" w:name="_Toc176072813"/>
      <w:bookmarkStart w:id="96" w:name="_Toc179100599"/>
      <w:bookmarkStart w:id="97" w:name="_Toc179100964"/>
      <w:bookmarkStart w:id="98" w:name="_Toc216065694"/>
      <w:bookmarkStart w:id="99" w:name="_Toc326229724"/>
      <w:bookmarkStart w:id="100" w:name="_Toc326658334"/>
      <w:bookmarkStart w:id="101" w:name="_Toc326746790"/>
      <w:bookmarkStart w:id="102" w:name="_Toc326826056"/>
      <w:bookmarkStart w:id="103" w:name="_Toc348433973"/>
      <w:r w:rsidRPr="004B1666">
        <w:rPr>
          <w:rFonts w:ascii="Times New Roman" w:hAnsi="Times New Roman"/>
          <w:szCs w:val="22"/>
        </w:rPr>
        <w:t>Weblink</w:t>
      </w:r>
      <w:bookmarkEnd w:id="92"/>
      <w:bookmarkEnd w:id="93"/>
      <w:bookmarkEnd w:id="94"/>
      <w:bookmarkEnd w:id="95"/>
      <w:bookmarkEnd w:id="96"/>
      <w:bookmarkEnd w:id="97"/>
      <w:bookmarkEnd w:id="98"/>
      <w:bookmarkEnd w:id="99"/>
      <w:bookmarkEnd w:id="100"/>
      <w:bookmarkEnd w:id="101"/>
      <w:bookmarkEnd w:id="102"/>
      <w:bookmarkEnd w:id="103"/>
    </w:p>
    <w:p w:rsidR="00584892" w:rsidRPr="001C40D7" w:rsidRDefault="00584892" w:rsidP="001C40D7">
      <w:pPr>
        <w:pStyle w:val="ParaNum"/>
        <w:widowControl/>
        <w:numPr>
          <w:ilvl w:val="0"/>
          <w:numId w:val="0"/>
        </w:numPr>
        <w:spacing w:after="220"/>
        <w:ind w:firstLine="720"/>
        <w:jc w:val="both"/>
      </w:pPr>
      <w:r w:rsidRPr="007036A7">
        <w:rPr>
          <w:szCs w:val="22"/>
        </w:rPr>
        <w:t>The</w:t>
      </w:r>
      <w:r>
        <w:rPr>
          <w:i/>
          <w:szCs w:val="22"/>
        </w:rPr>
        <w:t xml:space="preserve"> </w:t>
      </w:r>
      <w:r w:rsidRPr="007036A7">
        <w:rPr>
          <w:i/>
          <w:szCs w:val="22"/>
        </w:rPr>
        <w:t>Report and Order</w:t>
      </w:r>
      <w:r w:rsidRPr="007036A7">
        <w:rPr>
          <w:szCs w:val="22"/>
        </w:rPr>
        <w:t xml:space="preserve">, FCC </w:t>
      </w:r>
      <w:r>
        <w:rPr>
          <w:szCs w:val="22"/>
        </w:rPr>
        <w:t>1</w:t>
      </w:r>
      <w:r w:rsidR="0082493B">
        <w:rPr>
          <w:szCs w:val="22"/>
        </w:rPr>
        <w:t>3</w:t>
      </w:r>
      <w:r w:rsidRPr="007036A7">
        <w:rPr>
          <w:szCs w:val="22"/>
        </w:rPr>
        <w:t>-</w:t>
      </w:r>
      <w:r w:rsidR="000A51ED">
        <w:rPr>
          <w:szCs w:val="22"/>
        </w:rPr>
        <w:t>4</w:t>
      </w:r>
      <w:r w:rsidRPr="007036A7">
        <w:rPr>
          <w:szCs w:val="22"/>
        </w:rPr>
        <w:t xml:space="preserve">, </w:t>
      </w:r>
      <w:r w:rsidR="00157484">
        <w:rPr>
          <w:szCs w:val="22"/>
        </w:rPr>
        <w:t xml:space="preserve">was </w:t>
      </w:r>
      <w:r w:rsidRPr="007036A7">
        <w:rPr>
          <w:szCs w:val="22"/>
        </w:rPr>
        <w:t xml:space="preserve">adopted </w:t>
      </w:r>
      <w:r w:rsidR="0082493B">
        <w:rPr>
          <w:szCs w:val="22"/>
        </w:rPr>
        <w:t>January</w:t>
      </w:r>
      <w:r>
        <w:rPr>
          <w:szCs w:val="22"/>
        </w:rPr>
        <w:t xml:space="preserve"> </w:t>
      </w:r>
      <w:r w:rsidR="0082493B">
        <w:rPr>
          <w:szCs w:val="22"/>
        </w:rPr>
        <w:t>8</w:t>
      </w:r>
      <w:r>
        <w:rPr>
          <w:szCs w:val="22"/>
        </w:rPr>
        <w:t>,</w:t>
      </w:r>
      <w:r w:rsidRPr="007036A7">
        <w:rPr>
          <w:szCs w:val="22"/>
        </w:rPr>
        <w:t xml:space="preserve"> 20</w:t>
      </w:r>
      <w:r>
        <w:rPr>
          <w:szCs w:val="22"/>
        </w:rPr>
        <w:t>1</w:t>
      </w:r>
      <w:r w:rsidR="0082493B">
        <w:rPr>
          <w:szCs w:val="22"/>
        </w:rPr>
        <w:t>3</w:t>
      </w:r>
      <w:r>
        <w:rPr>
          <w:szCs w:val="22"/>
        </w:rPr>
        <w:t xml:space="preserve"> </w:t>
      </w:r>
      <w:r w:rsidRPr="007036A7">
        <w:rPr>
          <w:szCs w:val="22"/>
        </w:rPr>
        <w:t xml:space="preserve">and released </w:t>
      </w:r>
      <w:r w:rsidR="0082493B">
        <w:rPr>
          <w:szCs w:val="22"/>
        </w:rPr>
        <w:t>January</w:t>
      </w:r>
      <w:r>
        <w:rPr>
          <w:szCs w:val="22"/>
        </w:rPr>
        <w:t xml:space="preserve"> </w:t>
      </w:r>
      <w:r w:rsidR="0082493B">
        <w:rPr>
          <w:szCs w:val="22"/>
        </w:rPr>
        <w:t>8</w:t>
      </w:r>
      <w:r>
        <w:rPr>
          <w:szCs w:val="22"/>
        </w:rPr>
        <w:t xml:space="preserve">, </w:t>
      </w:r>
      <w:r w:rsidRPr="007036A7">
        <w:rPr>
          <w:szCs w:val="22"/>
        </w:rPr>
        <w:t>20</w:t>
      </w:r>
      <w:r>
        <w:rPr>
          <w:szCs w:val="22"/>
        </w:rPr>
        <w:t>1</w:t>
      </w:r>
      <w:r w:rsidR="0082493B">
        <w:rPr>
          <w:szCs w:val="22"/>
        </w:rPr>
        <w:t>3</w:t>
      </w:r>
      <w:r w:rsidRPr="007036A7">
        <w:rPr>
          <w:szCs w:val="22"/>
        </w:rPr>
        <w:t xml:space="preserve">.  </w:t>
      </w:r>
      <w:r w:rsidR="00157484">
        <w:rPr>
          <w:szCs w:val="22"/>
        </w:rPr>
        <w:t xml:space="preserve">An </w:t>
      </w:r>
      <w:r w:rsidR="00157484">
        <w:rPr>
          <w:i/>
          <w:szCs w:val="22"/>
        </w:rPr>
        <w:t xml:space="preserve">Erratum </w:t>
      </w:r>
      <w:r w:rsidR="00157484">
        <w:rPr>
          <w:szCs w:val="22"/>
        </w:rPr>
        <w:t xml:space="preserve">was released on January 14, 2013.  </w:t>
      </w:r>
      <w:r w:rsidRPr="007036A7">
        <w:rPr>
          <w:szCs w:val="22"/>
        </w:rPr>
        <w:t xml:space="preserve">Final rules adopted in the </w:t>
      </w:r>
      <w:r w:rsidRPr="007036A7">
        <w:rPr>
          <w:i/>
          <w:szCs w:val="22"/>
        </w:rPr>
        <w:t>Report and Order</w:t>
      </w:r>
      <w:r w:rsidRPr="007036A7">
        <w:rPr>
          <w:szCs w:val="22"/>
        </w:rPr>
        <w:t xml:space="preserve"> </w:t>
      </w:r>
      <w:r>
        <w:rPr>
          <w:szCs w:val="22"/>
        </w:rPr>
        <w:t>are</w:t>
      </w:r>
      <w:r w:rsidRPr="007036A7">
        <w:rPr>
          <w:szCs w:val="22"/>
        </w:rPr>
        <w:t xml:space="preserve"> effective </w:t>
      </w:r>
      <w:r w:rsidRPr="00DF64AE">
        <w:rPr>
          <w:szCs w:val="22"/>
        </w:rPr>
        <w:t xml:space="preserve">on </w:t>
      </w:r>
      <w:r w:rsidR="00DF64AE" w:rsidRPr="00DF64AE">
        <w:rPr>
          <w:szCs w:val="22"/>
        </w:rPr>
        <w:t>May 20</w:t>
      </w:r>
      <w:r w:rsidR="00DA3DE2" w:rsidRPr="00DF64AE">
        <w:rPr>
          <w:szCs w:val="22"/>
        </w:rPr>
        <w:t>, 2013</w:t>
      </w:r>
      <w:r w:rsidR="002C0684" w:rsidRPr="00DF64AE">
        <w:rPr>
          <w:szCs w:val="22"/>
        </w:rPr>
        <w:t xml:space="preserve">, </w:t>
      </w:r>
      <w:r w:rsidR="002C0684" w:rsidRPr="00DF64AE">
        <w:t xml:space="preserve">except </w:t>
      </w:r>
      <w:r w:rsidR="002C0684">
        <w:t xml:space="preserve">for Sections 1.913(d)(1)(vi), 13.13(c), and 13.9(c), which contain modified information collection requirements that require approval by the Office of Management and Budget under the Paperwork Reduction Act.  </w:t>
      </w:r>
      <w:r w:rsidR="001C1A9F">
        <w:t>On April 18, 2013, t</w:t>
      </w:r>
      <w:r w:rsidR="002C0684">
        <w:t>he Federal Communications Commission publish</w:t>
      </w:r>
      <w:r w:rsidR="001C1A9F">
        <w:t>ed</w:t>
      </w:r>
      <w:r w:rsidR="002C0684">
        <w:t xml:space="preserve"> a document in the Federal Register announcing such approval and the relevant effective date</w:t>
      </w:r>
      <w:r w:rsidR="001C1A9F">
        <w:t xml:space="preserve"> (78 FR 23150 (April 18, 2013))</w:t>
      </w:r>
      <w:r w:rsidR="002C0684">
        <w:t>.</w:t>
      </w:r>
    </w:p>
    <w:p w:rsidR="001C40D7" w:rsidRDefault="00B7788D" w:rsidP="001C40D7">
      <w:pPr>
        <w:jc w:val="both"/>
        <w:rPr>
          <w:b/>
          <w:szCs w:val="22"/>
        </w:rPr>
      </w:pPr>
      <w:hyperlink r:id="rId9" w:history="1">
        <w:r w:rsidR="00C94D0A" w:rsidRPr="000C05B2">
          <w:rPr>
            <w:rStyle w:val="Hyperlink"/>
            <w:b/>
            <w:szCs w:val="22"/>
          </w:rPr>
          <w:t>http://hraunfoss.fcc.gov/edocs_public/attachmatch/FCC-13-4A1.doc</w:t>
        </w:r>
      </w:hyperlink>
    </w:p>
    <w:p w:rsidR="00584892" w:rsidRDefault="00B7788D" w:rsidP="001C40D7">
      <w:pPr>
        <w:jc w:val="both"/>
        <w:rPr>
          <w:b/>
          <w:szCs w:val="22"/>
        </w:rPr>
      </w:pPr>
      <w:hyperlink r:id="rId10" w:history="1">
        <w:r w:rsidR="00C94D0A" w:rsidRPr="000C05B2">
          <w:rPr>
            <w:rStyle w:val="Hyperlink"/>
            <w:b/>
            <w:szCs w:val="22"/>
          </w:rPr>
          <w:t>http://hraunfoss.fcc.gov/edocs_public/attachmatch/FCC-13-4A1.pdf</w:t>
        </w:r>
      </w:hyperlink>
    </w:p>
    <w:p w:rsidR="00584892" w:rsidRDefault="00B7788D" w:rsidP="001C40D7">
      <w:pPr>
        <w:jc w:val="both"/>
        <w:rPr>
          <w:b/>
          <w:szCs w:val="22"/>
        </w:rPr>
      </w:pPr>
      <w:hyperlink r:id="rId11" w:history="1">
        <w:r w:rsidR="0082493B" w:rsidRPr="000C05B2">
          <w:rPr>
            <w:rStyle w:val="Hyperlink"/>
            <w:b/>
            <w:szCs w:val="22"/>
          </w:rPr>
          <w:t>http://hraunfoss.fcc.gov/edocs_public/attachmatch/FCC-13-4A1.txt</w:t>
        </w:r>
      </w:hyperlink>
    </w:p>
    <w:sectPr w:rsidR="00584892">
      <w:headerReference w:type="even" r:id="rId12"/>
      <w:headerReference w:type="default" r:id="rId13"/>
      <w:footerReference w:type="even" r:id="rId14"/>
      <w:footerReference w:type="default" r:id="rId15"/>
      <w:headerReference w:type="first" r:id="rId16"/>
      <w:footerReference w:type="first" r:id="rId17"/>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FDF" w:rsidRDefault="00661FDF">
      <w:r>
        <w:separator/>
      </w:r>
    </w:p>
    <w:p w:rsidR="00661FDF" w:rsidRDefault="00661FDF"/>
    <w:p w:rsidR="00661FDF" w:rsidRDefault="00661FDF"/>
  </w:endnote>
  <w:endnote w:type="continuationSeparator" w:id="0">
    <w:p w:rsidR="00661FDF" w:rsidRDefault="00661FDF">
      <w:r>
        <w:continuationSeparator/>
      </w:r>
    </w:p>
    <w:p w:rsidR="00661FDF" w:rsidRDefault="00661FDF"/>
    <w:p w:rsidR="00661FDF" w:rsidRDefault="00661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92" w:rsidRDefault="005848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0C54">
      <w:rPr>
        <w:rStyle w:val="PageNumber"/>
        <w:noProof/>
      </w:rPr>
      <w:t>3</w:t>
    </w:r>
    <w:r>
      <w:rPr>
        <w:rStyle w:val="PageNumber"/>
      </w:rPr>
      <w:fldChar w:fldCharType="end"/>
    </w:r>
  </w:p>
  <w:p w:rsidR="00584892" w:rsidRDefault="00584892">
    <w:pPr>
      <w:pStyle w:val="Footer"/>
    </w:pPr>
  </w:p>
  <w:p w:rsidR="00584892" w:rsidRDefault="00584892"/>
  <w:p w:rsidR="00584892" w:rsidRDefault="005848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92" w:rsidRDefault="005848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788D">
      <w:rPr>
        <w:rStyle w:val="PageNumber"/>
        <w:noProof/>
      </w:rPr>
      <w:t>2</w:t>
    </w:r>
    <w:r>
      <w:rPr>
        <w:rStyle w:val="PageNumber"/>
      </w:rPr>
      <w:fldChar w:fldCharType="end"/>
    </w:r>
  </w:p>
  <w:p w:rsidR="00584892" w:rsidRDefault="00584892">
    <w:pPr>
      <w:pStyle w:val="Footer"/>
    </w:pPr>
  </w:p>
  <w:p w:rsidR="00584892" w:rsidRDefault="00584892"/>
  <w:p w:rsidR="00584892" w:rsidRDefault="0058489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54" w:rsidRDefault="00040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FDF" w:rsidRDefault="00661FDF">
      <w:r>
        <w:separator/>
      </w:r>
    </w:p>
    <w:p w:rsidR="00661FDF" w:rsidRDefault="00661FDF"/>
    <w:p w:rsidR="00661FDF" w:rsidRDefault="00661FDF"/>
  </w:footnote>
  <w:footnote w:type="continuationSeparator" w:id="0">
    <w:p w:rsidR="00661FDF" w:rsidRDefault="00661FDF">
      <w:r>
        <w:continuationSeparator/>
      </w:r>
    </w:p>
    <w:p w:rsidR="00661FDF" w:rsidRDefault="00661FDF"/>
    <w:p w:rsidR="00661FDF" w:rsidRDefault="00661F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92" w:rsidRDefault="00584892"/>
  <w:p w:rsidR="00584892" w:rsidRDefault="005848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54" w:rsidRDefault="00040C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92" w:rsidRDefault="00B7788D">
    <w:pPr>
      <w:pStyle w:val="Header"/>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57179595" r:id="rId2"/>
      </w:pict>
    </w:r>
    <w:r w:rsidR="00584892">
      <w:rPr>
        <w:rFonts w:ascii="CG Times (W1)" w:hAnsi="CG Times (W1)"/>
        <w:sz w:val="28"/>
      </w:rPr>
      <w:t>Federal Communications Commission</w:t>
    </w:r>
  </w:p>
  <w:p w:rsidR="00584892" w:rsidRDefault="00584892">
    <w:pPr>
      <w:jc w:val="center"/>
      <w:rPr>
        <w:rFonts w:ascii="CG Times (W1)" w:hAnsi="CG Times (W1)"/>
        <w:sz w:val="28"/>
      </w:rPr>
    </w:pPr>
    <w:r>
      <w:rPr>
        <w:rFonts w:ascii="CG Times (W1)" w:hAnsi="CG Times (W1)"/>
        <w:sz w:val="28"/>
      </w:rPr>
      <w:t>Washington, D.C. 20554</w:t>
    </w:r>
  </w:p>
  <w:p w:rsidR="002F15EF" w:rsidRDefault="002F15EF">
    <w:pPr>
      <w:jc w:val="center"/>
      <w:rPr>
        <w:rFonts w:ascii="CG Times (W1)" w:hAnsi="CG Times (W1)"/>
        <w:sz w:val="28"/>
      </w:rPr>
    </w:pPr>
  </w:p>
  <w:p w:rsidR="00584892" w:rsidRPr="00BA054F" w:rsidRDefault="002F15EF" w:rsidP="002F15EF">
    <w:pPr>
      <w:jc w:val="center"/>
      <w:rPr>
        <w:b/>
        <w:sz w:val="24"/>
      </w:rPr>
    </w:pPr>
    <w:r w:rsidRPr="002F15EF">
      <w:rPr>
        <w:color w:val="FFFFFF" w:themeColor="background1"/>
        <w:sz w:val="24"/>
        <w:szCs w:val="24"/>
      </w:rPr>
      <w:t xml:space="preserve">  </w:t>
    </w:r>
    <w:r>
      <w:rPr>
        <w:sz w:val="24"/>
        <w:szCs w:val="24"/>
      </w:rPr>
      <w:t>March 24,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588628"/>
    <w:lvl w:ilvl="0">
      <w:start w:val="1"/>
      <w:numFmt w:val="decimal"/>
      <w:lvlText w:val="%1."/>
      <w:lvlJc w:val="left"/>
      <w:pPr>
        <w:tabs>
          <w:tab w:val="num" w:pos="1800"/>
        </w:tabs>
        <w:ind w:left="1800" w:hanging="360"/>
      </w:pPr>
    </w:lvl>
  </w:abstractNum>
  <w:abstractNum w:abstractNumId="1">
    <w:nsid w:val="FFFFFF7D"/>
    <w:multiLevelType w:val="singleLevel"/>
    <w:tmpl w:val="4B6E4478"/>
    <w:lvl w:ilvl="0">
      <w:start w:val="1"/>
      <w:numFmt w:val="decimal"/>
      <w:lvlText w:val="%1."/>
      <w:lvlJc w:val="left"/>
      <w:pPr>
        <w:tabs>
          <w:tab w:val="num" w:pos="1440"/>
        </w:tabs>
        <w:ind w:left="1440" w:hanging="360"/>
      </w:pPr>
    </w:lvl>
  </w:abstractNum>
  <w:abstractNum w:abstractNumId="2">
    <w:nsid w:val="FFFFFF7E"/>
    <w:multiLevelType w:val="singleLevel"/>
    <w:tmpl w:val="87E6F3E2"/>
    <w:lvl w:ilvl="0">
      <w:start w:val="1"/>
      <w:numFmt w:val="decimal"/>
      <w:lvlText w:val="%1."/>
      <w:lvlJc w:val="left"/>
      <w:pPr>
        <w:tabs>
          <w:tab w:val="num" w:pos="1080"/>
        </w:tabs>
        <w:ind w:left="1080" w:hanging="360"/>
      </w:pPr>
    </w:lvl>
  </w:abstractNum>
  <w:abstractNum w:abstractNumId="3">
    <w:nsid w:val="FFFFFF7F"/>
    <w:multiLevelType w:val="singleLevel"/>
    <w:tmpl w:val="6FF23750"/>
    <w:lvl w:ilvl="0">
      <w:start w:val="1"/>
      <w:numFmt w:val="decimal"/>
      <w:lvlText w:val="%1."/>
      <w:lvlJc w:val="left"/>
      <w:pPr>
        <w:tabs>
          <w:tab w:val="num" w:pos="720"/>
        </w:tabs>
        <w:ind w:left="720" w:hanging="360"/>
      </w:pPr>
    </w:lvl>
  </w:abstractNum>
  <w:abstractNum w:abstractNumId="4">
    <w:nsid w:val="FFFFFF80"/>
    <w:multiLevelType w:val="singleLevel"/>
    <w:tmpl w:val="D5FCB3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8C4C7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BC04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2E316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350594E"/>
    <w:lvl w:ilvl="0">
      <w:start w:val="1"/>
      <w:numFmt w:val="decimal"/>
      <w:lvlText w:val="%1."/>
      <w:lvlJc w:val="left"/>
      <w:pPr>
        <w:tabs>
          <w:tab w:val="num" w:pos="360"/>
        </w:tabs>
        <w:ind w:left="360" w:hanging="360"/>
      </w:pPr>
    </w:lvl>
  </w:abstractNum>
  <w:abstractNum w:abstractNumId="9">
    <w:nsid w:val="FFFFFF89"/>
    <w:multiLevelType w:val="singleLevel"/>
    <w:tmpl w:val="1734790A"/>
    <w:lvl w:ilvl="0">
      <w:start w:val="1"/>
      <w:numFmt w:val="bullet"/>
      <w:lvlText w:val=""/>
      <w:lvlJc w:val="left"/>
      <w:pPr>
        <w:tabs>
          <w:tab w:val="num" w:pos="360"/>
        </w:tabs>
        <w:ind w:left="360" w:hanging="360"/>
      </w:pPr>
      <w:rPr>
        <w:rFonts w:ascii="Symbol" w:hAnsi="Symbol" w:hint="default"/>
      </w:rPr>
    </w:lvl>
  </w:abstractNum>
  <w:abstractNum w:abstractNumId="10">
    <w:nsid w:val="01362579"/>
    <w:multiLevelType w:val="hybridMultilevel"/>
    <w:tmpl w:val="609839DA"/>
    <w:lvl w:ilvl="0" w:tplc="04090001">
      <w:start w:val="1"/>
      <w:numFmt w:val="bullet"/>
      <w:lvlText w:val=""/>
      <w:lvlJc w:val="left"/>
      <w:pPr>
        <w:tabs>
          <w:tab w:val="num" w:pos="720"/>
        </w:tabs>
        <w:ind w:left="720" w:hanging="360"/>
      </w:pPr>
      <w:rPr>
        <w:rFonts w:ascii="Symbol" w:hAnsi="Symbol" w:hint="default"/>
      </w:rPr>
    </w:lvl>
    <w:lvl w:ilvl="1" w:tplc="45FC200A">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1">
      <w:start w:val="1"/>
      <w:numFmt w:val="bullet"/>
      <w:lvlText w:val=""/>
      <w:lvlJc w:val="left"/>
      <w:pPr>
        <w:tabs>
          <w:tab w:val="num" w:pos="4320"/>
        </w:tabs>
        <w:ind w:left="4320" w:hanging="360"/>
      </w:pPr>
      <w:rPr>
        <w:rFonts w:ascii="Symbol" w:hAnsi="Symbol"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1511F61"/>
    <w:multiLevelType w:val="hybridMultilevel"/>
    <w:tmpl w:val="029EB75A"/>
    <w:lvl w:ilvl="0" w:tplc="68701664">
      <w:start w:val="1"/>
      <w:numFmt w:val="bullet"/>
      <w:pStyle w:val="StyleParaNum11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25A783C"/>
    <w:multiLevelType w:val="singleLevel"/>
    <w:tmpl w:val="C296ACF2"/>
    <w:lvl w:ilvl="0">
      <w:start w:val="1"/>
      <w:numFmt w:val="decimal"/>
      <w:lvlText w:val="%1."/>
      <w:lvlJc w:val="left"/>
      <w:pPr>
        <w:tabs>
          <w:tab w:val="num" w:pos="1080"/>
        </w:tabs>
        <w:ind w:left="0" w:firstLine="720"/>
      </w:pPr>
      <w:rPr>
        <w:b w:val="0"/>
        <w:i w:val="0"/>
        <w:sz w:val="22"/>
      </w:rPr>
    </w:lvl>
  </w:abstractNum>
  <w:abstractNum w:abstractNumId="13">
    <w:nsid w:val="084B453C"/>
    <w:multiLevelType w:val="singleLevel"/>
    <w:tmpl w:val="40A8E97A"/>
    <w:lvl w:ilvl="0">
      <w:start w:val="1"/>
      <w:numFmt w:val="decimal"/>
      <w:lvlText w:val="%1."/>
      <w:lvlJc w:val="left"/>
      <w:pPr>
        <w:tabs>
          <w:tab w:val="num" w:pos="1080"/>
        </w:tabs>
        <w:ind w:left="0" w:firstLine="720"/>
      </w:pPr>
    </w:lvl>
  </w:abstractNum>
  <w:abstractNum w:abstractNumId="14">
    <w:nsid w:val="09147823"/>
    <w:multiLevelType w:val="hybridMultilevel"/>
    <w:tmpl w:val="89B45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24F07CC"/>
    <w:multiLevelType w:val="hybridMultilevel"/>
    <w:tmpl w:val="A2946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4F667BE"/>
    <w:multiLevelType w:val="hybridMultilevel"/>
    <w:tmpl w:val="67627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78D3FAE"/>
    <w:multiLevelType w:val="hybridMultilevel"/>
    <w:tmpl w:val="D2E89DC6"/>
    <w:lvl w:ilvl="0" w:tplc="EE0C018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9">
    <w:nsid w:val="248246F3"/>
    <w:multiLevelType w:val="singleLevel"/>
    <w:tmpl w:val="B1F45678"/>
    <w:lvl w:ilvl="0">
      <w:start w:val="1"/>
      <w:numFmt w:val="decimal"/>
      <w:lvlText w:val="%1."/>
      <w:lvlJc w:val="left"/>
      <w:pPr>
        <w:tabs>
          <w:tab w:val="num" w:pos="1080"/>
        </w:tabs>
        <w:ind w:left="0" w:firstLine="720"/>
      </w:pPr>
    </w:lvl>
  </w:abstractNum>
  <w:abstractNum w:abstractNumId="2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nsid w:val="2A2D42AD"/>
    <w:multiLevelType w:val="hybridMultilevel"/>
    <w:tmpl w:val="6C10122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D0F1B3D"/>
    <w:multiLevelType w:val="singleLevel"/>
    <w:tmpl w:val="4DCCE696"/>
    <w:lvl w:ilvl="0">
      <w:start w:val="1"/>
      <w:numFmt w:val="decimal"/>
      <w:lvlText w:val="%1."/>
      <w:lvlJc w:val="left"/>
      <w:pPr>
        <w:tabs>
          <w:tab w:val="num" w:pos="1440"/>
        </w:tabs>
        <w:ind w:left="36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C69627B"/>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0"/>
  </w:num>
  <w:num w:numId="2">
    <w:abstractNumId w:val="25"/>
  </w:num>
  <w:num w:numId="3">
    <w:abstractNumId w:val="10"/>
  </w:num>
  <w:num w:numId="4">
    <w:abstractNumId w:val="11"/>
  </w:num>
  <w:num w:numId="5">
    <w:abstractNumId w:val="20"/>
    <w:lvlOverride w:ilvl="0">
      <w:startOverride w:val="1"/>
    </w:lvlOverride>
    <w:lvlOverride w:ilvl="1">
      <w:startOverride w:val="7"/>
    </w:lvlOverride>
  </w:num>
  <w:num w:numId="6">
    <w:abstractNumId w:val="24"/>
  </w:num>
  <w:num w:numId="7">
    <w:abstractNumId w:val="21"/>
  </w:num>
  <w:num w:numId="8">
    <w:abstractNumId w:val="22"/>
  </w:num>
  <w:num w:numId="9">
    <w:abstractNumId w:val="17"/>
  </w:num>
  <w:num w:numId="10">
    <w:abstractNumId w:val="25"/>
  </w:num>
  <w:num w:numId="11">
    <w:abstractNumId w:val="25"/>
  </w:num>
  <w:num w:numId="12">
    <w:abstractNumId w:val="18"/>
  </w:num>
  <w:num w:numId="13">
    <w:abstractNumId w:val="23"/>
  </w:num>
  <w:num w:numId="14">
    <w:abstractNumId w:val="19"/>
  </w:num>
  <w:num w:numId="15">
    <w:abstractNumId w:val="13"/>
  </w:num>
  <w:num w:numId="16">
    <w:abstractNumId w:val="20"/>
  </w:num>
  <w:num w:numId="17">
    <w:abstractNumId w:val="20"/>
  </w:num>
  <w:num w:numId="18">
    <w:abstractNumId w:val="20"/>
  </w:num>
  <w:num w:numId="19">
    <w:abstractNumId w:val="20"/>
  </w:num>
  <w:num w:numId="20">
    <w:abstractNumId w:val="2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2"/>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8F"/>
    <w:rsid w:val="00003198"/>
    <w:rsid w:val="00040C54"/>
    <w:rsid w:val="000602E4"/>
    <w:rsid w:val="00065D01"/>
    <w:rsid w:val="00066B48"/>
    <w:rsid w:val="00067683"/>
    <w:rsid w:val="0008131F"/>
    <w:rsid w:val="000845C0"/>
    <w:rsid w:val="000A51ED"/>
    <w:rsid w:val="00101090"/>
    <w:rsid w:val="0015702A"/>
    <w:rsid w:val="00157484"/>
    <w:rsid w:val="00165D6B"/>
    <w:rsid w:val="00167EAA"/>
    <w:rsid w:val="001735DB"/>
    <w:rsid w:val="00184D2B"/>
    <w:rsid w:val="001A4D82"/>
    <w:rsid w:val="001A54AE"/>
    <w:rsid w:val="001C1A9F"/>
    <w:rsid w:val="001C40D7"/>
    <w:rsid w:val="001F67CA"/>
    <w:rsid w:val="00214E03"/>
    <w:rsid w:val="00222F1E"/>
    <w:rsid w:val="002254C6"/>
    <w:rsid w:val="00225C49"/>
    <w:rsid w:val="00235F96"/>
    <w:rsid w:val="00251ED5"/>
    <w:rsid w:val="00252166"/>
    <w:rsid w:val="00254025"/>
    <w:rsid w:val="002C0684"/>
    <w:rsid w:val="002D05AC"/>
    <w:rsid w:val="002D4965"/>
    <w:rsid w:val="002D75E5"/>
    <w:rsid w:val="002E3FD0"/>
    <w:rsid w:val="002F15EF"/>
    <w:rsid w:val="003318E0"/>
    <w:rsid w:val="00331B77"/>
    <w:rsid w:val="003C28A6"/>
    <w:rsid w:val="00442757"/>
    <w:rsid w:val="0046662B"/>
    <w:rsid w:val="00477220"/>
    <w:rsid w:val="004962AB"/>
    <w:rsid w:val="004A068C"/>
    <w:rsid w:val="004A6117"/>
    <w:rsid w:val="004F2F9F"/>
    <w:rsid w:val="004F3806"/>
    <w:rsid w:val="00500A43"/>
    <w:rsid w:val="00505FAA"/>
    <w:rsid w:val="00533590"/>
    <w:rsid w:val="00534E88"/>
    <w:rsid w:val="005478BB"/>
    <w:rsid w:val="00584892"/>
    <w:rsid w:val="005C7EA7"/>
    <w:rsid w:val="005D3DBB"/>
    <w:rsid w:val="005E5604"/>
    <w:rsid w:val="005F02BB"/>
    <w:rsid w:val="00601C87"/>
    <w:rsid w:val="00606442"/>
    <w:rsid w:val="00610873"/>
    <w:rsid w:val="00612B06"/>
    <w:rsid w:val="0063693F"/>
    <w:rsid w:val="00640727"/>
    <w:rsid w:val="00661FDF"/>
    <w:rsid w:val="006B341A"/>
    <w:rsid w:val="006B54D9"/>
    <w:rsid w:val="006E3F77"/>
    <w:rsid w:val="006F3F40"/>
    <w:rsid w:val="006F4759"/>
    <w:rsid w:val="007148EA"/>
    <w:rsid w:val="00720868"/>
    <w:rsid w:val="00733C7A"/>
    <w:rsid w:val="007354D5"/>
    <w:rsid w:val="007A73FD"/>
    <w:rsid w:val="007B0BB5"/>
    <w:rsid w:val="007B12FB"/>
    <w:rsid w:val="007B3B74"/>
    <w:rsid w:val="007C741B"/>
    <w:rsid w:val="007C7AB6"/>
    <w:rsid w:val="007D1187"/>
    <w:rsid w:val="008047B1"/>
    <w:rsid w:val="0082493B"/>
    <w:rsid w:val="008540D8"/>
    <w:rsid w:val="008756BA"/>
    <w:rsid w:val="0089649F"/>
    <w:rsid w:val="008B69CA"/>
    <w:rsid w:val="008C5271"/>
    <w:rsid w:val="008C705C"/>
    <w:rsid w:val="008E2C3A"/>
    <w:rsid w:val="009422B4"/>
    <w:rsid w:val="009437CA"/>
    <w:rsid w:val="00945C5A"/>
    <w:rsid w:val="00955531"/>
    <w:rsid w:val="00955AE6"/>
    <w:rsid w:val="00965229"/>
    <w:rsid w:val="00990E38"/>
    <w:rsid w:val="009A633E"/>
    <w:rsid w:val="009B0866"/>
    <w:rsid w:val="009B1AF0"/>
    <w:rsid w:val="009D7437"/>
    <w:rsid w:val="009E32B3"/>
    <w:rsid w:val="009F0AB8"/>
    <w:rsid w:val="009F4B83"/>
    <w:rsid w:val="00A07601"/>
    <w:rsid w:val="00A206A2"/>
    <w:rsid w:val="00A43833"/>
    <w:rsid w:val="00A73122"/>
    <w:rsid w:val="00A736E3"/>
    <w:rsid w:val="00AA0D10"/>
    <w:rsid w:val="00AA2527"/>
    <w:rsid w:val="00AA5CDE"/>
    <w:rsid w:val="00AB2854"/>
    <w:rsid w:val="00AB35C9"/>
    <w:rsid w:val="00AE1C63"/>
    <w:rsid w:val="00AE7C58"/>
    <w:rsid w:val="00AF7727"/>
    <w:rsid w:val="00B02510"/>
    <w:rsid w:val="00B10A54"/>
    <w:rsid w:val="00B709E2"/>
    <w:rsid w:val="00B7788D"/>
    <w:rsid w:val="00B935D5"/>
    <w:rsid w:val="00BA1C75"/>
    <w:rsid w:val="00BA75E6"/>
    <w:rsid w:val="00BC00A0"/>
    <w:rsid w:val="00BC5C6D"/>
    <w:rsid w:val="00BE69DC"/>
    <w:rsid w:val="00C116D6"/>
    <w:rsid w:val="00C46FA1"/>
    <w:rsid w:val="00C5136C"/>
    <w:rsid w:val="00C65AEB"/>
    <w:rsid w:val="00C92F09"/>
    <w:rsid w:val="00C94D0A"/>
    <w:rsid w:val="00C95CAE"/>
    <w:rsid w:val="00C977AE"/>
    <w:rsid w:val="00CB5115"/>
    <w:rsid w:val="00D03CFC"/>
    <w:rsid w:val="00D167C3"/>
    <w:rsid w:val="00D21632"/>
    <w:rsid w:val="00D4137C"/>
    <w:rsid w:val="00D46688"/>
    <w:rsid w:val="00D60569"/>
    <w:rsid w:val="00D62F03"/>
    <w:rsid w:val="00D82592"/>
    <w:rsid w:val="00D97A18"/>
    <w:rsid w:val="00DA3DE2"/>
    <w:rsid w:val="00DB6923"/>
    <w:rsid w:val="00DC4F37"/>
    <w:rsid w:val="00DD3106"/>
    <w:rsid w:val="00DE331C"/>
    <w:rsid w:val="00DF64AE"/>
    <w:rsid w:val="00E136B0"/>
    <w:rsid w:val="00E16A19"/>
    <w:rsid w:val="00E25B76"/>
    <w:rsid w:val="00E94E18"/>
    <w:rsid w:val="00EB74C9"/>
    <w:rsid w:val="00EC27C2"/>
    <w:rsid w:val="00EC4216"/>
    <w:rsid w:val="00EE5585"/>
    <w:rsid w:val="00EF034F"/>
    <w:rsid w:val="00F04D61"/>
    <w:rsid w:val="00F04E8F"/>
    <w:rsid w:val="00F265B9"/>
    <w:rsid w:val="00F26CCE"/>
    <w:rsid w:val="00F44336"/>
    <w:rsid w:val="00F80240"/>
    <w:rsid w:val="00F86CCA"/>
    <w:rsid w:val="00F93C3F"/>
    <w:rsid w:val="00FA36E9"/>
    <w:rsid w:val="00FB6EB5"/>
    <w:rsid w:val="00FC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1"/>
      </w:numPr>
      <w:spacing w:after="120"/>
      <w:outlineLvl w:val="1"/>
    </w:pPr>
    <w:rPr>
      <w:b/>
    </w:rPr>
  </w:style>
  <w:style w:type="paragraph" w:styleId="Heading3">
    <w:name w:val="heading 3"/>
    <w:aliases w:val="Heading 3 Char,3 Char,Titre 3 Char,1 Char,31 Char,Titre 31 Char,?? 3 Char,3,Titre 3,1,31,Titre 31,?? 3,Heading 3 Char Char"/>
    <w:basedOn w:val="Normal"/>
    <w:next w:val="ParaNum"/>
    <w:qFormat/>
    <w:pPr>
      <w:keepNext/>
      <w:numPr>
        <w:ilvl w:val="2"/>
        <w:numId w:val="1"/>
      </w:numPr>
      <w:tabs>
        <w:tab w:val="left" w:pos="2160"/>
      </w:tabs>
      <w:spacing w:after="120"/>
      <w:outlineLvl w:val="2"/>
    </w:pPr>
    <w:rPr>
      <w:b/>
    </w:rPr>
  </w:style>
  <w:style w:type="paragraph" w:styleId="Heading4">
    <w:name w:val="heading 4"/>
    <w:basedOn w:val="Normal"/>
    <w:next w:val="ParaNum"/>
    <w:qFormat/>
    <w:pPr>
      <w:keepNext/>
      <w:numPr>
        <w:ilvl w:val="3"/>
        <w:numId w:val="1"/>
      </w:numPr>
      <w:tabs>
        <w:tab w:val="left" w:pos="2880"/>
      </w:tabs>
      <w:spacing w:after="120"/>
      <w:outlineLvl w:val="3"/>
    </w:pPr>
    <w:rPr>
      <w:b/>
    </w:rPr>
  </w:style>
  <w:style w:type="paragraph" w:styleId="Heading5">
    <w:name w:val="heading 5"/>
    <w:basedOn w:val="Normal"/>
    <w:next w:val="ParaNum"/>
    <w:qFormat/>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qFormat/>
    <w:pPr>
      <w:numPr>
        <w:ilvl w:val="5"/>
        <w:numId w:val="1"/>
      </w:numPr>
      <w:tabs>
        <w:tab w:val="left" w:pos="4320"/>
      </w:tabs>
      <w:spacing w:after="120"/>
      <w:outlineLvl w:val="5"/>
    </w:pPr>
    <w:rPr>
      <w:b/>
    </w:rPr>
  </w:style>
  <w:style w:type="paragraph" w:styleId="Heading7">
    <w:name w:val="heading 7"/>
    <w:aliases w:val="Heading 7 Char"/>
    <w:basedOn w:val="Normal"/>
    <w:next w:val="ParaNum"/>
    <w:qFormat/>
    <w:pPr>
      <w:numPr>
        <w:ilvl w:val="6"/>
        <w:numId w:val="1"/>
      </w:numPr>
      <w:tabs>
        <w:tab w:val="left" w:pos="5040"/>
      </w:tabs>
      <w:spacing w:after="120"/>
      <w:ind w:left="5040" w:hanging="720"/>
      <w:outlineLvl w:val="6"/>
    </w:pPr>
    <w:rPr>
      <w:b/>
    </w:rPr>
  </w:style>
  <w:style w:type="paragraph" w:styleId="Heading8">
    <w:name w:val="heading 8"/>
    <w:basedOn w:val="Normal"/>
    <w:next w:val="ParaNum"/>
    <w:qFormat/>
    <w:pPr>
      <w:numPr>
        <w:ilvl w:val="7"/>
        <w:numId w:val="1"/>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TOC1">
    <w:name w:val="toc 1"/>
    <w:basedOn w:val="Normal"/>
    <w:next w:val="Normal"/>
    <w:uiPriority w:val="39"/>
    <w:pPr>
      <w:tabs>
        <w:tab w:val="left" w:pos="360"/>
        <w:tab w:val="right" w:leader="dot" w:pos="9360"/>
      </w:tabs>
      <w:suppressAutoHyphens/>
      <w:ind w:left="360" w:right="720" w:hanging="360"/>
    </w:pPr>
    <w:rPr>
      <w:b/>
      <w:caps/>
      <w:noProof/>
    </w:rPr>
  </w:style>
  <w:style w:type="character" w:styleId="PageNumber">
    <w:name w:val="page number"/>
    <w:basedOn w:val="DefaultParagraphFont"/>
  </w:style>
  <w:style w:type="paragraph" w:customStyle="1" w:styleId="ParaNum">
    <w:name w:val="ParaNum"/>
    <w:basedOn w:val="Normal"/>
    <w:link w:val="ParaNumChar"/>
    <w:pPr>
      <w:numPr>
        <w:numId w:val="2"/>
      </w:numPr>
      <w:tabs>
        <w:tab w:val="clear" w:pos="1080"/>
        <w:tab w:val="num" w:pos="1440"/>
      </w:tabs>
      <w:spacing w:after="120"/>
    </w:p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semiHidden/>
    <w:pPr>
      <w:spacing w:after="120"/>
    </w:pPr>
  </w:style>
  <w:style w:type="paragraph" w:styleId="TOC2">
    <w:name w:val="toc 2"/>
    <w:basedOn w:val="Normal"/>
    <w:next w:val="Normal"/>
    <w:uiPriority w:val="39"/>
    <w:pPr>
      <w:tabs>
        <w:tab w:val="left" w:pos="720"/>
        <w:tab w:val="right" w:leader="dot" w:pos="9360"/>
      </w:tabs>
      <w:suppressAutoHyphens/>
      <w:ind w:left="720" w:right="720" w:hanging="360"/>
    </w:pPr>
    <w:rPr>
      <w:b/>
      <w:noProof/>
    </w:rPr>
  </w:style>
  <w:style w:type="paragraph" w:styleId="TOC3">
    <w:name w:val="toc 3"/>
    <w:basedOn w:val="Normal"/>
    <w:next w:val="Normal"/>
    <w:uiPriority w:val="39"/>
    <w:pPr>
      <w:tabs>
        <w:tab w:val="left" w:pos="1080"/>
        <w:tab w:val="right" w:leader="dot" w:pos="9360"/>
      </w:tabs>
      <w:suppressAutoHyphens/>
      <w:ind w:left="1080" w:right="720" w:hanging="360"/>
    </w:pPr>
    <w:rPr>
      <w:b/>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character" w:customStyle="1" w:styleId="ParaNumChar">
    <w:name w:val="ParaNum Char"/>
    <w:basedOn w:val="DefaultParagraphFont"/>
    <w:link w:val="ParaNum"/>
    <w:rPr>
      <w:snapToGrid w:val="0"/>
      <w:kern w:val="28"/>
      <w:sz w:val="22"/>
      <w:lang w:val="en-US" w:eastAsia="en-US" w:bidi="ar-SA"/>
    </w:rPr>
  </w:style>
  <w:style w:type="character" w:customStyle="1" w:styleId="documentbody">
    <w:name w:val="documentbody"/>
    <w:basedOn w:val="DefaultParagraphFont"/>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DeltaViewDeletion">
    <w:name w:val="DeltaView Deletion"/>
    <w:rPr>
      <w:strike/>
      <w:color w:val="FF0000"/>
      <w:spacing w:val="0"/>
    </w:rPr>
  </w:style>
  <w:style w:type="character" w:styleId="FootnoteReference">
    <w:name w:val="footnote reference"/>
    <w:aliases w:val="Appel note de bas de p,Style 12,(NECG) Footnote Reference,Style 124,o,fr,Style 3,Style 13,Style 17,FR,Footnote Reference/,Style 6"/>
    <w:basedOn w:val="DefaultParagraphFont"/>
    <w:semiHidden/>
    <w:rPr>
      <w:rFonts w:ascii="Times New Roman" w:hAnsi="Times New Roman"/>
      <w:dstrike w:val="0"/>
      <w:color w:val="auto"/>
      <w:sz w:val="22"/>
      <w:vertAlign w:val="superscript"/>
    </w:rPr>
  </w:style>
  <w:style w:type="paragraph" w:customStyle="1" w:styleId="StyleTOC2Left0">
    <w:name w:val="Style TOC 2 + Left:  0&quot;"/>
    <w:basedOn w:val="TOC2"/>
    <w:autoRedefine/>
    <w:pPr>
      <w:tabs>
        <w:tab w:val="left" w:pos="810"/>
      </w:tabs>
      <w:ind w:left="0" w:firstLine="360"/>
    </w:pPr>
    <w:rPr>
      <w:bCs/>
    </w:rPr>
  </w:style>
  <w:style w:type="paragraph" w:customStyle="1" w:styleId="StyleTOC4Left063Hanging025">
    <w:name w:val="Style TOC 4 + Left:  0.63&quot; Hanging:  0.25&quot;"/>
    <w:basedOn w:val="TOC4"/>
    <w:rPr>
      <w:bCs/>
    </w:rPr>
  </w:style>
  <w:style w:type="character" w:styleId="FollowedHyperlink">
    <w:name w:val="FollowedHyperlink"/>
    <w:basedOn w:val="DefaultParagraphFont"/>
    <w:rPr>
      <w:color w:val="800080"/>
      <w:u w:val="single"/>
    </w:rPr>
  </w:style>
  <w:style w:type="paragraph" w:customStyle="1" w:styleId="ParaNumCharChar">
    <w:name w:val="ParaNum Char Char"/>
    <w:basedOn w:val="Normal"/>
    <w:link w:val="ParaNumCharCharChar1"/>
    <w:pPr>
      <w:tabs>
        <w:tab w:val="num" w:pos="1080"/>
        <w:tab w:val="left" w:pos="1440"/>
      </w:tabs>
      <w:spacing w:after="220"/>
      <w:ind w:firstLine="720"/>
      <w:jc w:val="both"/>
    </w:pPr>
  </w:style>
  <w:style w:type="character" w:customStyle="1" w:styleId="ParaNumCharCharChar1">
    <w:name w:val="ParaNum Char Char Char1"/>
    <w:basedOn w:val="DefaultParagraphFont"/>
    <w:link w:val="ParaNumCharChar"/>
    <w:rPr>
      <w:sz w:val="22"/>
      <w:lang w:val="en-US" w:eastAsia="en-US" w:bidi="ar-SA"/>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rPr>
      <w:rFonts w:ascii="Courier New" w:hAnsi="Courier New" w:cs="Courier New"/>
    </w:rPr>
  </w:style>
  <w:style w:type="paragraph" w:customStyle="1" w:styleId="StyleParaNum11pt">
    <w:name w:val="Style ParaNum + 11 pt"/>
    <w:basedOn w:val="ParaNum"/>
    <w:link w:val="StyleParaNum11ptChar"/>
    <w:autoRedefine/>
    <w:pPr>
      <w:widowControl/>
      <w:numPr>
        <w:numId w:val="4"/>
      </w:numPr>
      <w:tabs>
        <w:tab w:val="left" w:pos="1440"/>
      </w:tabs>
      <w:spacing w:after="240"/>
      <w:jc w:val="both"/>
    </w:pPr>
    <w:rPr>
      <w:snapToGrid/>
      <w:kern w:val="0"/>
      <w:szCs w:val="22"/>
    </w:rPr>
  </w:style>
  <w:style w:type="character" w:customStyle="1" w:styleId="ParaNumChar1">
    <w:name w:val="ParaNum Char1"/>
    <w:basedOn w:val="DefaultParagraphFont"/>
    <w:rPr>
      <w:sz w:val="22"/>
      <w:szCs w:val="22"/>
      <w:lang w:val="en-US" w:eastAsia="en-US" w:bidi="ar-SA"/>
    </w:rPr>
  </w:style>
  <w:style w:type="character" w:customStyle="1" w:styleId="StyleParaNum11ptChar">
    <w:name w:val="Style ParaNum + 11 pt Char"/>
    <w:basedOn w:val="ParaNumChar1"/>
    <w:link w:val="StyleParaNum11pt"/>
    <w:rPr>
      <w:sz w:val="22"/>
      <w:szCs w:val="22"/>
      <w:lang w:val="en-US" w:eastAsia="en-US" w:bidi="ar-SA"/>
    </w:rPr>
  </w:style>
  <w:style w:type="paragraph" w:customStyle="1" w:styleId="StyleHeading211pt">
    <w:name w:val="Style Heading 2 + 11 pt"/>
    <w:basedOn w:val="Heading2"/>
    <w:autoRedefine/>
    <w:pPr>
      <w:widowControl/>
      <w:numPr>
        <w:ilvl w:val="0"/>
        <w:numId w:val="0"/>
      </w:numPr>
      <w:spacing w:after="220"/>
      <w:jc w:val="both"/>
    </w:pPr>
    <w:rPr>
      <w:bCs/>
      <w:snapToGrid/>
      <w:kern w:val="0"/>
      <w:szCs w:val="24"/>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rPr>
      <w:lang w:val="en-US" w:eastAsia="en-US" w:bidi="ar-SA"/>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num" w:pos="720"/>
        <w:tab w:val="left" w:pos="2160"/>
      </w:tabs>
      <w:spacing w:after="220"/>
      <w:ind w:left="2160" w:hanging="720"/>
    </w:pPr>
  </w:style>
  <w:style w:type="paragraph" w:customStyle="1" w:styleId="TableFormat">
    <w:name w:val="TableFormat"/>
    <w:basedOn w:val="Bullet"/>
    <w:pPr>
      <w:tabs>
        <w:tab w:val="clear" w:pos="720"/>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paragraph" w:styleId="DocumentMap">
    <w:name w:val="Document Map"/>
    <w:basedOn w:val="Normal"/>
    <w:semiHidden/>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1"/>
      </w:numPr>
      <w:spacing w:after="120"/>
      <w:outlineLvl w:val="1"/>
    </w:pPr>
    <w:rPr>
      <w:b/>
    </w:rPr>
  </w:style>
  <w:style w:type="paragraph" w:styleId="Heading3">
    <w:name w:val="heading 3"/>
    <w:aliases w:val="Heading 3 Char,3 Char,Titre 3 Char,1 Char,31 Char,Titre 31 Char,?? 3 Char,3,Titre 3,1,31,Titre 31,?? 3,Heading 3 Char Char"/>
    <w:basedOn w:val="Normal"/>
    <w:next w:val="ParaNum"/>
    <w:qFormat/>
    <w:pPr>
      <w:keepNext/>
      <w:numPr>
        <w:ilvl w:val="2"/>
        <w:numId w:val="1"/>
      </w:numPr>
      <w:tabs>
        <w:tab w:val="left" w:pos="2160"/>
      </w:tabs>
      <w:spacing w:after="120"/>
      <w:outlineLvl w:val="2"/>
    </w:pPr>
    <w:rPr>
      <w:b/>
    </w:rPr>
  </w:style>
  <w:style w:type="paragraph" w:styleId="Heading4">
    <w:name w:val="heading 4"/>
    <w:basedOn w:val="Normal"/>
    <w:next w:val="ParaNum"/>
    <w:qFormat/>
    <w:pPr>
      <w:keepNext/>
      <w:numPr>
        <w:ilvl w:val="3"/>
        <w:numId w:val="1"/>
      </w:numPr>
      <w:tabs>
        <w:tab w:val="left" w:pos="2880"/>
      </w:tabs>
      <w:spacing w:after="120"/>
      <w:outlineLvl w:val="3"/>
    </w:pPr>
    <w:rPr>
      <w:b/>
    </w:rPr>
  </w:style>
  <w:style w:type="paragraph" w:styleId="Heading5">
    <w:name w:val="heading 5"/>
    <w:basedOn w:val="Normal"/>
    <w:next w:val="ParaNum"/>
    <w:qFormat/>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qFormat/>
    <w:pPr>
      <w:numPr>
        <w:ilvl w:val="5"/>
        <w:numId w:val="1"/>
      </w:numPr>
      <w:tabs>
        <w:tab w:val="left" w:pos="4320"/>
      </w:tabs>
      <w:spacing w:after="120"/>
      <w:outlineLvl w:val="5"/>
    </w:pPr>
    <w:rPr>
      <w:b/>
    </w:rPr>
  </w:style>
  <w:style w:type="paragraph" w:styleId="Heading7">
    <w:name w:val="heading 7"/>
    <w:aliases w:val="Heading 7 Char"/>
    <w:basedOn w:val="Normal"/>
    <w:next w:val="ParaNum"/>
    <w:qFormat/>
    <w:pPr>
      <w:numPr>
        <w:ilvl w:val="6"/>
        <w:numId w:val="1"/>
      </w:numPr>
      <w:tabs>
        <w:tab w:val="left" w:pos="5040"/>
      </w:tabs>
      <w:spacing w:after="120"/>
      <w:ind w:left="5040" w:hanging="720"/>
      <w:outlineLvl w:val="6"/>
    </w:pPr>
    <w:rPr>
      <w:b/>
    </w:rPr>
  </w:style>
  <w:style w:type="paragraph" w:styleId="Heading8">
    <w:name w:val="heading 8"/>
    <w:basedOn w:val="Normal"/>
    <w:next w:val="ParaNum"/>
    <w:qFormat/>
    <w:pPr>
      <w:numPr>
        <w:ilvl w:val="7"/>
        <w:numId w:val="1"/>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TOC1">
    <w:name w:val="toc 1"/>
    <w:basedOn w:val="Normal"/>
    <w:next w:val="Normal"/>
    <w:uiPriority w:val="39"/>
    <w:pPr>
      <w:tabs>
        <w:tab w:val="left" w:pos="360"/>
        <w:tab w:val="right" w:leader="dot" w:pos="9360"/>
      </w:tabs>
      <w:suppressAutoHyphens/>
      <w:ind w:left="360" w:right="720" w:hanging="360"/>
    </w:pPr>
    <w:rPr>
      <w:b/>
      <w:caps/>
      <w:noProof/>
    </w:rPr>
  </w:style>
  <w:style w:type="character" w:styleId="PageNumber">
    <w:name w:val="page number"/>
    <w:basedOn w:val="DefaultParagraphFont"/>
  </w:style>
  <w:style w:type="paragraph" w:customStyle="1" w:styleId="ParaNum">
    <w:name w:val="ParaNum"/>
    <w:basedOn w:val="Normal"/>
    <w:link w:val="ParaNumChar"/>
    <w:pPr>
      <w:numPr>
        <w:numId w:val="2"/>
      </w:numPr>
      <w:tabs>
        <w:tab w:val="clear" w:pos="1080"/>
        <w:tab w:val="num" w:pos="1440"/>
      </w:tabs>
      <w:spacing w:after="120"/>
    </w:p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semiHidden/>
    <w:pPr>
      <w:spacing w:after="120"/>
    </w:pPr>
  </w:style>
  <w:style w:type="paragraph" w:styleId="TOC2">
    <w:name w:val="toc 2"/>
    <w:basedOn w:val="Normal"/>
    <w:next w:val="Normal"/>
    <w:uiPriority w:val="39"/>
    <w:pPr>
      <w:tabs>
        <w:tab w:val="left" w:pos="720"/>
        <w:tab w:val="right" w:leader="dot" w:pos="9360"/>
      </w:tabs>
      <w:suppressAutoHyphens/>
      <w:ind w:left="720" w:right="720" w:hanging="360"/>
    </w:pPr>
    <w:rPr>
      <w:b/>
      <w:noProof/>
    </w:rPr>
  </w:style>
  <w:style w:type="paragraph" w:styleId="TOC3">
    <w:name w:val="toc 3"/>
    <w:basedOn w:val="Normal"/>
    <w:next w:val="Normal"/>
    <w:uiPriority w:val="39"/>
    <w:pPr>
      <w:tabs>
        <w:tab w:val="left" w:pos="1080"/>
        <w:tab w:val="right" w:leader="dot" w:pos="9360"/>
      </w:tabs>
      <w:suppressAutoHyphens/>
      <w:ind w:left="1080" w:right="720" w:hanging="360"/>
    </w:pPr>
    <w:rPr>
      <w:b/>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character" w:customStyle="1" w:styleId="ParaNumChar">
    <w:name w:val="ParaNum Char"/>
    <w:basedOn w:val="DefaultParagraphFont"/>
    <w:link w:val="ParaNum"/>
    <w:rPr>
      <w:snapToGrid w:val="0"/>
      <w:kern w:val="28"/>
      <w:sz w:val="22"/>
      <w:lang w:val="en-US" w:eastAsia="en-US" w:bidi="ar-SA"/>
    </w:rPr>
  </w:style>
  <w:style w:type="character" w:customStyle="1" w:styleId="documentbody">
    <w:name w:val="documentbody"/>
    <w:basedOn w:val="DefaultParagraphFont"/>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DeltaViewDeletion">
    <w:name w:val="DeltaView Deletion"/>
    <w:rPr>
      <w:strike/>
      <w:color w:val="FF0000"/>
      <w:spacing w:val="0"/>
    </w:rPr>
  </w:style>
  <w:style w:type="character" w:styleId="FootnoteReference">
    <w:name w:val="footnote reference"/>
    <w:aliases w:val="Appel note de bas de p,Style 12,(NECG) Footnote Reference,Style 124,o,fr,Style 3,Style 13,Style 17,FR,Footnote Reference/,Style 6"/>
    <w:basedOn w:val="DefaultParagraphFont"/>
    <w:semiHidden/>
    <w:rPr>
      <w:rFonts w:ascii="Times New Roman" w:hAnsi="Times New Roman"/>
      <w:dstrike w:val="0"/>
      <w:color w:val="auto"/>
      <w:sz w:val="22"/>
      <w:vertAlign w:val="superscript"/>
    </w:rPr>
  </w:style>
  <w:style w:type="paragraph" w:customStyle="1" w:styleId="StyleTOC2Left0">
    <w:name w:val="Style TOC 2 + Left:  0&quot;"/>
    <w:basedOn w:val="TOC2"/>
    <w:autoRedefine/>
    <w:pPr>
      <w:tabs>
        <w:tab w:val="left" w:pos="810"/>
      </w:tabs>
      <w:ind w:left="0" w:firstLine="360"/>
    </w:pPr>
    <w:rPr>
      <w:bCs/>
    </w:rPr>
  </w:style>
  <w:style w:type="paragraph" w:customStyle="1" w:styleId="StyleTOC4Left063Hanging025">
    <w:name w:val="Style TOC 4 + Left:  0.63&quot; Hanging:  0.25&quot;"/>
    <w:basedOn w:val="TOC4"/>
    <w:rPr>
      <w:bCs/>
    </w:rPr>
  </w:style>
  <w:style w:type="character" w:styleId="FollowedHyperlink">
    <w:name w:val="FollowedHyperlink"/>
    <w:basedOn w:val="DefaultParagraphFont"/>
    <w:rPr>
      <w:color w:val="800080"/>
      <w:u w:val="single"/>
    </w:rPr>
  </w:style>
  <w:style w:type="paragraph" w:customStyle="1" w:styleId="ParaNumCharChar">
    <w:name w:val="ParaNum Char Char"/>
    <w:basedOn w:val="Normal"/>
    <w:link w:val="ParaNumCharCharChar1"/>
    <w:pPr>
      <w:tabs>
        <w:tab w:val="num" w:pos="1080"/>
        <w:tab w:val="left" w:pos="1440"/>
      </w:tabs>
      <w:spacing w:after="220"/>
      <w:ind w:firstLine="720"/>
      <w:jc w:val="both"/>
    </w:pPr>
  </w:style>
  <w:style w:type="character" w:customStyle="1" w:styleId="ParaNumCharCharChar1">
    <w:name w:val="ParaNum Char Char Char1"/>
    <w:basedOn w:val="DefaultParagraphFont"/>
    <w:link w:val="ParaNumCharChar"/>
    <w:rPr>
      <w:sz w:val="22"/>
      <w:lang w:val="en-US" w:eastAsia="en-US" w:bidi="ar-SA"/>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rPr>
      <w:rFonts w:ascii="Courier New" w:hAnsi="Courier New" w:cs="Courier New"/>
    </w:rPr>
  </w:style>
  <w:style w:type="paragraph" w:customStyle="1" w:styleId="StyleParaNum11pt">
    <w:name w:val="Style ParaNum + 11 pt"/>
    <w:basedOn w:val="ParaNum"/>
    <w:link w:val="StyleParaNum11ptChar"/>
    <w:autoRedefine/>
    <w:pPr>
      <w:widowControl/>
      <w:numPr>
        <w:numId w:val="4"/>
      </w:numPr>
      <w:tabs>
        <w:tab w:val="left" w:pos="1440"/>
      </w:tabs>
      <w:spacing w:after="240"/>
      <w:jc w:val="both"/>
    </w:pPr>
    <w:rPr>
      <w:snapToGrid/>
      <w:kern w:val="0"/>
      <w:szCs w:val="22"/>
    </w:rPr>
  </w:style>
  <w:style w:type="character" w:customStyle="1" w:styleId="ParaNumChar1">
    <w:name w:val="ParaNum Char1"/>
    <w:basedOn w:val="DefaultParagraphFont"/>
    <w:rPr>
      <w:sz w:val="22"/>
      <w:szCs w:val="22"/>
      <w:lang w:val="en-US" w:eastAsia="en-US" w:bidi="ar-SA"/>
    </w:rPr>
  </w:style>
  <w:style w:type="character" w:customStyle="1" w:styleId="StyleParaNum11ptChar">
    <w:name w:val="Style ParaNum + 11 pt Char"/>
    <w:basedOn w:val="ParaNumChar1"/>
    <w:link w:val="StyleParaNum11pt"/>
    <w:rPr>
      <w:sz w:val="22"/>
      <w:szCs w:val="22"/>
      <w:lang w:val="en-US" w:eastAsia="en-US" w:bidi="ar-SA"/>
    </w:rPr>
  </w:style>
  <w:style w:type="paragraph" w:customStyle="1" w:styleId="StyleHeading211pt">
    <w:name w:val="Style Heading 2 + 11 pt"/>
    <w:basedOn w:val="Heading2"/>
    <w:autoRedefine/>
    <w:pPr>
      <w:widowControl/>
      <w:numPr>
        <w:ilvl w:val="0"/>
        <w:numId w:val="0"/>
      </w:numPr>
      <w:spacing w:after="220"/>
      <w:jc w:val="both"/>
    </w:pPr>
    <w:rPr>
      <w:bCs/>
      <w:snapToGrid/>
      <w:kern w:val="0"/>
      <w:szCs w:val="24"/>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rPr>
      <w:lang w:val="en-US" w:eastAsia="en-US" w:bidi="ar-SA"/>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num" w:pos="720"/>
        <w:tab w:val="left" w:pos="2160"/>
      </w:tabs>
      <w:spacing w:after="220"/>
      <w:ind w:left="2160" w:hanging="720"/>
    </w:pPr>
  </w:style>
  <w:style w:type="paragraph" w:customStyle="1" w:styleId="TableFormat">
    <w:name w:val="TableFormat"/>
    <w:basedOn w:val="Bullet"/>
    <w:pPr>
      <w:tabs>
        <w:tab w:val="clear" w:pos="720"/>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paragraph" w:styleId="DocumentMap">
    <w:name w:val="Document Map"/>
    <w:basedOn w:val="Normal"/>
    <w:semiHidden/>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info@fcc.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raunfoss.fcc.gov/edocs_public/attachmatch/FCC-13-4A1.tx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raunfoss.fcc.gov/edocs_public/attachmatch/FCC-13-4A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raunfoss.fcc.gov/edocs_public/attachmatch/FCC-13-4A1.doc"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1745</Words>
  <Characters>10541</Characters>
  <Application>Microsoft Office Word</Application>
  <DocSecurity>0</DocSecurity>
  <Lines>181</Lines>
  <Paragraphs>58</Paragraphs>
  <ScaleCrop>false</ScaleCrop>
  <HeadingPairs>
    <vt:vector size="2" baseType="variant">
      <vt:variant>
        <vt:lpstr>Title</vt:lpstr>
      </vt:variant>
      <vt:variant>
        <vt:i4>1</vt:i4>
      </vt:variant>
    </vt:vector>
  </HeadingPairs>
  <TitlesOfParts>
    <vt:vector size="1" baseType="lpstr">
      <vt:lpstr>Small Entity Compliance Guide</vt:lpstr>
    </vt:vector>
  </TitlesOfParts>
  <Manager/>
  <Company/>
  <LinksUpToDate>false</LinksUpToDate>
  <CharactersWithSpaces>12291</CharactersWithSpaces>
  <SharedDoc>false</SharedDoc>
  <HyperlinkBase> </HyperlinkBase>
  <HLinks>
    <vt:vector size="48" baseType="variant">
      <vt:variant>
        <vt:i4>7405570</vt:i4>
      </vt:variant>
      <vt:variant>
        <vt:i4>36</vt:i4>
      </vt:variant>
      <vt:variant>
        <vt:i4>0</vt:i4>
      </vt:variant>
      <vt:variant>
        <vt:i4>5</vt:i4>
      </vt:variant>
      <vt:variant>
        <vt:lpwstr>http://hraunfoss.fcc.gov/edocs_public/attachmatch/FCC-12-114A1.txt</vt:lpwstr>
      </vt:variant>
      <vt:variant>
        <vt:lpwstr/>
      </vt:variant>
      <vt:variant>
        <vt:i4>6750238</vt:i4>
      </vt:variant>
      <vt:variant>
        <vt:i4>33</vt:i4>
      </vt:variant>
      <vt:variant>
        <vt:i4>0</vt:i4>
      </vt:variant>
      <vt:variant>
        <vt:i4>5</vt:i4>
      </vt:variant>
      <vt:variant>
        <vt:lpwstr>http://hraunfoss.fcc.gov/edocs_public/attachmatch/FCC-12-114A1.pdf</vt:lpwstr>
      </vt:variant>
      <vt:variant>
        <vt:lpwstr/>
      </vt:variant>
      <vt:variant>
        <vt:i4>7733269</vt:i4>
      </vt:variant>
      <vt:variant>
        <vt:i4>30</vt:i4>
      </vt:variant>
      <vt:variant>
        <vt:i4>0</vt:i4>
      </vt:variant>
      <vt:variant>
        <vt:i4>5</vt:i4>
      </vt:variant>
      <vt:variant>
        <vt:lpwstr>http://hraunfoss.fcc.gov/edocs_public/attachmatch/FCC-12-114A1.doc</vt:lpwstr>
      </vt:variant>
      <vt:variant>
        <vt:lpwstr/>
      </vt:variant>
      <vt:variant>
        <vt:i4>1572926</vt:i4>
      </vt:variant>
      <vt:variant>
        <vt:i4>23</vt:i4>
      </vt:variant>
      <vt:variant>
        <vt:i4>0</vt:i4>
      </vt:variant>
      <vt:variant>
        <vt:i4>5</vt:i4>
      </vt:variant>
      <vt:variant>
        <vt:lpwstr/>
      </vt:variant>
      <vt:variant>
        <vt:lpwstr>_Toc337632980</vt:lpwstr>
      </vt:variant>
      <vt:variant>
        <vt:i4>1507390</vt:i4>
      </vt:variant>
      <vt:variant>
        <vt:i4>17</vt:i4>
      </vt:variant>
      <vt:variant>
        <vt:i4>0</vt:i4>
      </vt:variant>
      <vt:variant>
        <vt:i4>5</vt:i4>
      </vt:variant>
      <vt:variant>
        <vt:lpwstr/>
      </vt:variant>
      <vt:variant>
        <vt:lpwstr>_Toc337632979</vt:lpwstr>
      </vt:variant>
      <vt:variant>
        <vt:i4>1507390</vt:i4>
      </vt:variant>
      <vt:variant>
        <vt:i4>11</vt:i4>
      </vt:variant>
      <vt:variant>
        <vt:i4>0</vt:i4>
      </vt:variant>
      <vt:variant>
        <vt:i4>5</vt:i4>
      </vt:variant>
      <vt:variant>
        <vt:lpwstr/>
      </vt:variant>
      <vt:variant>
        <vt:lpwstr>_Toc337632978</vt:lpwstr>
      </vt:variant>
      <vt:variant>
        <vt:i4>1507390</vt:i4>
      </vt:variant>
      <vt:variant>
        <vt:i4>5</vt:i4>
      </vt:variant>
      <vt:variant>
        <vt:i4>0</vt:i4>
      </vt:variant>
      <vt:variant>
        <vt:i4>5</vt:i4>
      </vt:variant>
      <vt:variant>
        <vt:lpwstr/>
      </vt:variant>
      <vt:variant>
        <vt:lpwstr>_Toc337632977</vt:lpwstr>
      </vt:variant>
      <vt:variant>
        <vt:i4>7471172</vt:i4>
      </vt:variant>
      <vt:variant>
        <vt:i4>0</vt:i4>
      </vt:variant>
      <vt:variant>
        <vt:i4>0</vt:i4>
      </vt:variant>
      <vt:variant>
        <vt:i4>5</vt:i4>
      </vt:variant>
      <vt:variant>
        <vt:lpwstr>mailto:fccinfo@fcc.gov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2014-03-24T17:38:00Z</cp:lastPrinted>
  <dcterms:created xsi:type="dcterms:W3CDTF">2014-03-24T19:20:00Z</dcterms:created>
  <dcterms:modified xsi:type="dcterms:W3CDTF">2014-03-24T19:20:00Z</dcterms:modified>
  <cp:category> </cp:category>
  <cp:contentStatus> </cp:contentStatus>
</cp:coreProperties>
</file>