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1B" w:rsidRDefault="00EB311B">
      <w:bookmarkStart w:id="0" w:name="_GoBack"/>
      <w:bookmarkEnd w:id="0"/>
    </w:p>
    <w:p w:rsidR="00EB311B" w:rsidRDefault="00EB311B"/>
    <w:p w:rsidR="00EB311B" w:rsidRDefault="00EB311B">
      <w:pPr>
        <w:jc w:val="right"/>
        <w:rPr>
          <w:b/>
          <w:sz w:val="24"/>
          <w:szCs w:val="24"/>
        </w:rPr>
      </w:pPr>
      <w:r>
        <w:tab/>
      </w:r>
      <w:r>
        <w:tab/>
      </w:r>
      <w:r>
        <w:tab/>
      </w:r>
      <w:r>
        <w:tab/>
      </w:r>
      <w:r>
        <w:tab/>
      </w:r>
      <w:r>
        <w:tab/>
      </w:r>
      <w:r>
        <w:tab/>
      </w:r>
      <w:r>
        <w:tab/>
      </w:r>
      <w:r>
        <w:tab/>
      </w:r>
      <w:r>
        <w:tab/>
      </w:r>
      <w:r>
        <w:rPr>
          <w:b/>
          <w:sz w:val="24"/>
          <w:szCs w:val="24"/>
        </w:rPr>
        <w:t>DA 1</w:t>
      </w:r>
      <w:r w:rsidR="00356735">
        <w:rPr>
          <w:b/>
          <w:sz w:val="24"/>
          <w:szCs w:val="24"/>
        </w:rPr>
        <w:t>4</w:t>
      </w:r>
      <w:r>
        <w:rPr>
          <w:b/>
          <w:sz w:val="24"/>
          <w:szCs w:val="24"/>
        </w:rPr>
        <w:t>-</w:t>
      </w:r>
      <w:r w:rsidR="006E6385">
        <w:rPr>
          <w:b/>
          <w:sz w:val="24"/>
          <w:szCs w:val="24"/>
        </w:rPr>
        <w:t>398</w:t>
      </w:r>
    </w:p>
    <w:p w:rsidR="00EB311B" w:rsidRDefault="00EB311B">
      <w:pPr>
        <w:jc w:val="right"/>
        <w:rPr>
          <w:b/>
          <w:sz w:val="24"/>
          <w:szCs w:val="24"/>
        </w:rPr>
      </w:pPr>
    </w:p>
    <w:p w:rsidR="00EB311B" w:rsidRDefault="00EB311B">
      <w:pPr>
        <w:jc w:val="center"/>
        <w:rPr>
          <w:b/>
          <w:sz w:val="36"/>
          <w:szCs w:val="36"/>
        </w:rPr>
      </w:pPr>
      <w:r>
        <w:rPr>
          <w:b/>
          <w:sz w:val="36"/>
          <w:szCs w:val="36"/>
        </w:rPr>
        <w:t>Small Entity Compliance Guide</w:t>
      </w:r>
    </w:p>
    <w:p w:rsidR="00EB311B" w:rsidRDefault="00EB311B">
      <w:pPr>
        <w:jc w:val="center"/>
        <w:rPr>
          <w:b/>
          <w:sz w:val="36"/>
          <w:szCs w:val="36"/>
        </w:rPr>
      </w:pPr>
    </w:p>
    <w:p w:rsidR="00EB311B" w:rsidRDefault="00A03662">
      <w:pPr>
        <w:jc w:val="center"/>
        <w:rPr>
          <w:b/>
          <w:sz w:val="28"/>
          <w:szCs w:val="28"/>
        </w:rPr>
      </w:pPr>
      <w:r>
        <w:rPr>
          <w:b/>
          <w:sz w:val="28"/>
          <w:szCs w:val="28"/>
        </w:rPr>
        <w:t xml:space="preserve">Experimental Radio </w:t>
      </w:r>
      <w:r w:rsidR="00E943D8">
        <w:rPr>
          <w:b/>
          <w:sz w:val="28"/>
          <w:szCs w:val="28"/>
        </w:rPr>
        <w:t>Service</w:t>
      </w:r>
    </w:p>
    <w:p w:rsidR="00EB311B" w:rsidRDefault="00EB311B">
      <w:pPr>
        <w:jc w:val="center"/>
        <w:rPr>
          <w:b/>
          <w:sz w:val="22"/>
          <w:szCs w:val="22"/>
        </w:rPr>
      </w:pPr>
    </w:p>
    <w:p w:rsidR="00EB311B" w:rsidRDefault="00EB311B">
      <w:pPr>
        <w:jc w:val="center"/>
        <w:rPr>
          <w:bCs/>
          <w:sz w:val="24"/>
          <w:szCs w:val="24"/>
        </w:rPr>
      </w:pPr>
      <w:r>
        <w:rPr>
          <w:bCs/>
          <w:sz w:val="24"/>
          <w:szCs w:val="24"/>
        </w:rPr>
        <w:t>Report and Order</w:t>
      </w:r>
    </w:p>
    <w:p w:rsidR="00EB311B" w:rsidRDefault="00EB311B">
      <w:pPr>
        <w:jc w:val="center"/>
        <w:rPr>
          <w:bCs/>
          <w:sz w:val="24"/>
          <w:szCs w:val="24"/>
        </w:rPr>
      </w:pPr>
      <w:r>
        <w:rPr>
          <w:bCs/>
          <w:sz w:val="24"/>
          <w:szCs w:val="24"/>
        </w:rPr>
        <w:t>FCC 1</w:t>
      </w:r>
      <w:r w:rsidR="00A03662">
        <w:rPr>
          <w:bCs/>
          <w:sz w:val="24"/>
          <w:szCs w:val="24"/>
        </w:rPr>
        <w:t>3</w:t>
      </w:r>
      <w:r>
        <w:rPr>
          <w:bCs/>
          <w:sz w:val="24"/>
          <w:szCs w:val="24"/>
        </w:rPr>
        <w:t>-1</w:t>
      </w:r>
      <w:r w:rsidR="00A03662">
        <w:rPr>
          <w:bCs/>
          <w:sz w:val="24"/>
          <w:szCs w:val="24"/>
        </w:rPr>
        <w:t>5</w:t>
      </w:r>
    </w:p>
    <w:p w:rsidR="00EB311B" w:rsidRDefault="00A03662">
      <w:pPr>
        <w:jc w:val="center"/>
        <w:rPr>
          <w:spacing w:val="-2"/>
          <w:sz w:val="24"/>
          <w:szCs w:val="24"/>
        </w:rPr>
      </w:pPr>
      <w:r>
        <w:rPr>
          <w:spacing w:val="-2"/>
          <w:sz w:val="24"/>
          <w:szCs w:val="24"/>
        </w:rPr>
        <w:t>E</w:t>
      </w:r>
      <w:r w:rsidR="00EB311B">
        <w:rPr>
          <w:spacing w:val="-2"/>
          <w:sz w:val="24"/>
          <w:szCs w:val="24"/>
        </w:rPr>
        <w:t xml:space="preserve">T Docket No. </w:t>
      </w:r>
      <w:r>
        <w:rPr>
          <w:spacing w:val="-2"/>
          <w:sz w:val="24"/>
          <w:szCs w:val="24"/>
        </w:rPr>
        <w:t>10-236</w:t>
      </w:r>
      <w:r w:rsidR="00EB311B">
        <w:rPr>
          <w:spacing w:val="-2"/>
          <w:sz w:val="24"/>
          <w:szCs w:val="24"/>
        </w:rPr>
        <w:t xml:space="preserve">; </w:t>
      </w:r>
      <w:r>
        <w:rPr>
          <w:spacing w:val="-2"/>
          <w:sz w:val="24"/>
          <w:szCs w:val="24"/>
        </w:rPr>
        <w:t>ET Docket No. 06-155</w:t>
      </w:r>
    </w:p>
    <w:p w:rsidR="00EB311B" w:rsidRDefault="00EB311B">
      <w:pPr>
        <w:jc w:val="center"/>
        <w:rPr>
          <w:sz w:val="24"/>
          <w:szCs w:val="24"/>
        </w:rPr>
      </w:pPr>
      <w:r>
        <w:rPr>
          <w:spacing w:val="-2"/>
          <w:sz w:val="24"/>
          <w:szCs w:val="24"/>
        </w:rPr>
        <w:t xml:space="preserve">Released:   </w:t>
      </w:r>
      <w:r w:rsidR="00A03662">
        <w:rPr>
          <w:spacing w:val="-2"/>
          <w:sz w:val="24"/>
          <w:szCs w:val="24"/>
        </w:rPr>
        <w:t xml:space="preserve">January </w:t>
      </w:r>
      <w:r>
        <w:rPr>
          <w:spacing w:val="-2"/>
          <w:sz w:val="24"/>
          <w:szCs w:val="24"/>
        </w:rPr>
        <w:t>3</w:t>
      </w:r>
      <w:r w:rsidR="00A03662">
        <w:rPr>
          <w:spacing w:val="-2"/>
          <w:sz w:val="24"/>
          <w:szCs w:val="24"/>
        </w:rPr>
        <w:t>1</w:t>
      </w:r>
      <w:r>
        <w:rPr>
          <w:spacing w:val="-2"/>
          <w:sz w:val="24"/>
          <w:szCs w:val="24"/>
        </w:rPr>
        <w:t>, 201</w:t>
      </w:r>
      <w:r w:rsidR="00A03662">
        <w:rPr>
          <w:spacing w:val="-2"/>
          <w:sz w:val="24"/>
          <w:szCs w:val="24"/>
        </w:rPr>
        <w:t>3</w:t>
      </w:r>
    </w:p>
    <w:p w:rsidR="00EB311B" w:rsidRDefault="00EB311B">
      <w:pPr>
        <w:tabs>
          <w:tab w:val="left" w:pos="360"/>
        </w:tabs>
        <w:ind w:left="1080" w:right="720"/>
        <w:jc w:val="center"/>
        <w:rPr>
          <w:b/>
          <w:sz w:val="22"/>
          <w:szCs w:val="22"/>
        </w:rPr>
      </w:pPr>
    </w:p>
    <w:p w:rsidR="006E6385" w:rsidRDefault="006E6385" w:rsidP="006E6385">
      <w:pPr>
        <w:tabs>
          <w:tab w:val="left" w:pos="360"/>
        </w:tabs>
        <w:ind w:left="1080" w:right="720"/>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6E6385" w:rsidRDefault="006E6385" w:rsidP="006E6385">
      <w:pPr>
        <w:tabs>
          <w:tab w:val="left" w:pos="360"/>
        </w:tabs>
        <w:ind w:left="1080" w:right="720"/>
        <w:jc w:val="both"/>
        <w:rPr>
          <w:b/>
          <w:sz w:val="22"/>
          <w:szCs w:val="22"/>
        </w:rPr>
      </w:pPr>
    </w:p>
    <w:p w:rsidR="006E6385" w:rsidRDefault="006E6385" w:rsidP="006E6385">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6E6385" w:rsidRDefault="006E6385" w:rsidP="006E6385">
      <w:pPr>
        <w:rPr>
          <w:b/>
          <w:sz w:val="22"/>
          <w:szCs w:val="22"/>
        </w:rPr>
      </w:pPr>
    </w:p>
    <w:p w:rsidR="006E6385" w:rsidRDefault="006E6385" w:rsidP="006E6385">
      <w:pPr>
        <w:jc w:val="center"/>
        <w:rPr>
          <w:b/>
          <w:color w:val="000000"/>
          <w:sz w:val="22"/>
          <w:szCs w:val="22"/>
        </w:rPr>
      </w:pPr>
      <w:r>
        <w:rPr>
          <w:b/>
          <w:color w:val="000000"/>
          <w:sz w:val="22"/>
          <w:szCs w:val="22"/>
        </w:rPr>
        <w:t>1-888-CALL-FCC (1-888-225-5322) </w:t>
      </w:r>
      <w:r>
        <w:rPr>
          <w:b/>
          <w:color w:val="000000"/>
          <w:sz w:val="22"/>
          <w:szCs w:val="22"/>
        </w:rPr>
        <w:br/>
        <w:t>TTY: 1-888-TELL-FCC (1-888-835-5322)</w:t>
      </w:r>
      <w:r>
        <w:rPr>
          <w:b/>
          <w:color w:val="000000"/>
          <w:sz w:val="22"/>
          <w:szCs w:val="22"/>
        </w:rPr>
        <w:br/>
        <w:t>Fax: 1-866-418-0232</w:t>
      </w:r>
    </w:p>
    <w:p w:rsidR="00EB311B" w:rsidRPr="005E6135" w:rsidRDefault="00BE2388" w:rsidP="006E6385">
      <w:pPr>
        <w:jc w:val="center"/>
        <w:rPr>
          <w:b/>
          <w:color w:val="000000"/>
          <w:sz w:val="22"/>
          <w:szCs w:val="22"/>
          <w:u w:val="single"/>
        </w:rPr>
      </w:pPr>
      <w:hyperlink r:id="rId8" w:history="1">
        <w:r w:rsidR="006E6385">
          <w:rPr>
            <w:rStyle w:val="Hyperlink"/>
            <w:b/>
            <w:sz w:val="22"/>
            <w:szCs w:val="22"/>
          </w:rPr>
          <w:t>fccinfo@fcc.gov</w:t>
        </w:r>
      </w:hyperlink>
      <w:r w:rsidR="00EB311B">
        <w:rPr>
          <w:b/>
          <w:color w:val="000000"/>
          <w:sz w:val="22"/>
          <w:szCs w:val="22"/>
        </w:rPr>
        <w:br w:type="page"/>
      </w:r>
      <w:r w:rsidR="00B74BD9" w:rsidRPr="005E6135">
        <w:rPr>
          <w:b/>
          <w:color w:val="000000"/>
          <w:sz w:val="22"/>
          <w:szCs w:val="22"/>
          <w:u w:val="single"/>
        </w:rPr>
        <w:lastRenderedPageBreak/>
        <w:t>Experimental Radio Service</w:t>
      </w:r>
    </w:p>
    <w:p w:rsidR="00EB311B" w:rsidRPr="005E6135" w:rsidRDefault="00EB311B">
      <w:pPr>
        <w:jc w:val="center"/>
        <w:rPr>
          <w:b/>
          <w:color w:val="000000"/>
          <w:sz w:val="22"/>
          <w:szCs w:val="22"/>
          <w:u w:val="single"/>
        </w:rPr>
      </w:pPr>
    </w:p>
    <w:p w:rsidR="00EB311B" w:rsidRPr="005E6135" w:rsidRDefault="00EB311B">
      <w:pPr>
        <w:pStyle w:val="Heading4"/>
        <w:tabs>
          <w:tab w:val="left" w:pos="360"/>
        </w:tabs>
        <w:rPr>
          <w:sz w:val="22"/>
          <w:szCs w:val="22"/>
          <w:u w:val="single"/>
        </w:rPr>
      </w:pPr>
      <w:r w:rsidRPr="005E6135">
        <w:rPr>
          <w:sz w:val="22"/>
          <w:szCs w:val="22"/>
          <w:u w:val="single"/>
        </w:rPr>
        <w:t>1. Objectives of the Proceeding</w:t>
      </w:r>
    </w:p>
    <w:p w:rsidR="00EB311B" w:rsidRPr="005E6135" w:rsidRDefault="00EB311B">
      <w:pPr>
        <w:rPr>
          <w:sz w:val="22"/>
          <w:szCs w:val="22"/>
        </w:rPr>
      </w:pPr>
    </w:p>
    <w:p w:rsidR="009252A7" w:rsidRPr="005E6135" w:rsidRDefault="00EB311B" w:rsidP="00F87CE8">
      <w:pPr>
        <w:rPr>
          <w:sz w:val="22"/>
          <w:szCs w:val="22"/>
        </w:rPr>
      </w:pPr>
      <w:r w:rsidRPr="005E6135">
        <w:rPr>
          <w:sz w:val="22"/>
          <w:szCs w:val="22"/>
        </w:rPr>
        <w:t xml:space="preserve">In the </w:t>
      </w:r>
      <w:r w:rsidRPr="005E6135">
        <w:rPr>
          <w:i/>
          <w:sz w:val="22"/>
          <w:szCs w:val="22"/>
        </w:rPr>
        <w:t>Report and Order</w:t>
      </w:r>
      <w:r w:rsidR="00B74BD9" w:rsidRPr="005E6135">
        <w:rPr>
          <w:sz w:val="22"/>
          <w:szCs w:val="22"/>
        </w:rPr>
        <w:t xml:space="preserve"> </w:t>
      </w:r>
      <w:r w:rsidR="00F87CE8" w:rsidRPr="005E6135">
        <w:rPr>
          <w:sz w:val="22"/>
          <w:szCs w:val="22"/>
        </w:rPr>
        <w:t>(</w:t>
      </w:r>
      <w:r w:rsidR="00F87CE8" w:rsidRPr="005E6135">
        <w:rPr>
          <w:i/>
          <w:sz w:val="22"/>
          <w:szCs w:val="22"/>
        </w:rPr>
        <w:t>R&amp;O</w:t>
      </w:r>
      <w:r w:rsidR="00F87CE8" w:rsidRPr="005E6135">
        <w:rPr>
          <w:sz w:val="22"/>
          <w:szCs w:val="22"/>
        </w:rPr>
        <w:t xml:space="preserve">) </w:t>
      </w:r>
      <w:r w:rsidR="00B74BD9" w:rsidRPr="005E6135">
        <w:rPr>
          <w:sz w:val="22"/>
          <w:szCs w:val="22"/>
        </w:rPr>
        <w:t>a</w:t>
      </w:r>
      <w:r w:rsidRPr="005E6135">
        <w:rPr>
          <w:sz w:val="22"/>
          <w:szCs w:val="22"/>
        </w:rPr>
        <w:t xml:space="preserve">dopted </w:t>
      </w:r>
      <w:r w:rsidR="00B74BD9" w:rsidRPr="005E6135">
        <w:rPr>
          <w:sz w:val="22"/>
          <w:szCs w:val="22"/>
        </w:rPr>
        <w:t xml:space="preserve">January </w:t>
      </w:r>
      <w:r w:rsidRPr="005E6135">
        <w:rPr>
          <w:sz w:val="22"/>
          <w:szCs w:val="22"/>
        </w:rPr>
        <w:t>3</w:t>
      </w:r>
      <w:r w:rsidR="00B74BD9" w:rsidRPr="005E6135">
        <w:rPr>
          <w:sz w:val="22"/>
          <w:szCs w:val="22"/>
        </w:rPr>
        <w:t>1</w:t>
      </w:r>
      <w:r w:rsidRPr="005E6135">
        <w:rPr>
          <w:sz w:val="22"/>
          <w:szCs w:val="22"/>
        </w:rPr>
        <w:t>, 201</w:t>
      </w:r>
      <w:r w:rsidR="00E15B84" w:rsidRPr="005E6135">
        <w:rPr>
          <w:sz w:val="22"/>
          <w:szCs w:val="22"/>
        </w:rPr>
        <w:t>3</w:t>
      </w:r>
      <w:r w:rsidRPr="005E6135">
        <w:rPr>
          <w:sz w:val="22"/>
          <w:szCs w:val="22"/>
        </w:rPr>
        <w:t xml:space="preserve"> in ET Docket</w:t>
      </w:r>
      <w:r w:rsidR="00B74BD9" w:rsidRPr="005E6135">
        <w:rPr>
          <w:sz w:val="22"/>
          <w:szCs w:val="22"/>
        </w:rPr>
        <w:t>s</w:t>
      </w:r>
      <w:r w:rsidRPr="005E6135">
        <w:rPr>
          <w:sz w:val="22"/>
          <w:szCs w:val="22"/>
        </w:rPr>
        <w:t xml:space="preserve"> </w:t>
      </w:r>
      <w:r w:rsidR="00B74BD9" w:rsidRPr="005E6135">
        <w:rPr>
          <w:sz w:val="22"/>
          <w:szCs w:val="22"/>
        </w:rPr>
        <w:t>06-155 and 1</w:t>
      </w:r>
      <w:r w:rsidRPr="005E6135">
        <w:rPr>
          <w:sz w:val="22"/>
          <w:szCs w:val="22"/>
        </w:rPr>
        <w:t>0-</w:t>
      </w:r>
      <w:r w:rsidR="00B74BD9" w:rsidRPr="005E6135">
        <w:rPr>
          <w:sz w:val="22"/>
          <w:szCs w:val="22"/>
        </w:rPr>
        <w:t>2</w:t>
      </w:r>
      <w:r w:rsidRPr="005E6135">
        <w:rPr>
          <w:sz w:val="22"/>
          <w:szCs w:val="22"/>
        </w:rPr>
        <w:t xml:space="preserve">36, the Commission amended </w:t>
      </w:r>
      <w:r w:rsidR="00E943D8" w:rsidRPr="005E6135">
        <w:rPr>
          <w:sz w:val="22"/>
          <w:szCs w:val="22"/>
        </w:rPr>
        <w:t>its</w:t>
      </w:r>
      <w:r w:rsidRPr="005E6135">
        <w:rPr>
          <w:sz w:val="22"/>
          <w:szCs w:val="22"/>
        </w:rPr>
        <w:t xml:space="preserve"> Part 5 rules governing </w:t>
      </w:r>
      <w:r w:rsidR="003346A3" w:rsidRPr="005E6135">
        <w:rPr>
          <w:sz w:val="22"/>
          <w:szCs w:val="22"/>
        </w:rPr>
        <w:t>the Experimental Radio Service (ERS)</w:t>
      </w:r>
      <w:r w:rsidRPr="005E6135">
        <w:rPr>
          <w:sz w:val="22"/>
          <w:szCs w:val="22"/>
        </w:rPr>
        <w:t xml:space="preserve"> to </w:t>
      </w:r>
      <w:r w:rsidR="009252A7" w:rsidRPr="005E6135">
        <w:rPr>
          <w:sz w:val="22"/>
          <w:szCs w:val="22"/>
        </w:rPr>
        <w:t xml:space="preserve">provide increased opportunities for experimentation and innovation.  </w:t>
      </w:r>
      <w:r w:rsidR="00FC6002">
        <w:rPr>
          <w:sz w:val="22"/>
          <w:szCs w:val="22"/>
        </w:rPr>
        <w:t>Under conventional experimental licenses issued pursuant to t</w:t>
      </w:r>
      <w:r w:rsidR="009252A7" w:rsidRPr="005E6135">
        <w:rPr>
          <w:sz w:val="22"/>
          <w:szCs w:val="22"/>
        </w:rPr>
        <w:t xml:space="preserve">he </w:t>
      </w:r>
      <w:r w:rsidR="00393EC3" w:rsidRPr="005E6135">
        <w:rPr>
          <w:sz w:val="22"/>
          <w:szCs w:val="22"/>
        </w:rPr>
        <w:t>previous</w:t>
      </w:r>
      <w:r w:rsidR="009252A7" w:rsidRPr="005E6135">
        <w:rPr>
          <w:sz w:val="22"/>
          <w:szCs w:val="22"/>
        </w:rPr>
        <w:t xml:space="preserve"> rules</w:t>
      </w:r>
      <w:r w:rsidR="00FC6002">
        <w:rPr>
          <w:sz w:val="22"/>
          <w:szCs w:val="22"/>
        </w:rPr>
        <w:t>,</w:t>
      </w:r>
      <w:r w:rsidR="009252A7" w:rsidRPr="005E6135">
        <w:rPr>
          <w:sz w:val="22"/>
          <w:szCs w:val="22"/>
        </w:rPr>
        <w:t xml:space="preserve"> experimenter</w:t>
      </w:r>
      <w:r w:rsidR="00FC6002">
        <w:rPr>
          <w:sz w:val="22"/>
          <w:szCs w:val="22"/>
        </w:rPr>
        <w:t>s were limited</w:t>
      </w:r>
      <w:r w:rsidR="009252A7" w:rsidRPr="005E6135">
        <w:rPr>
          <w:sz w:val="22"/>
          <w:szCs w:val="22"/>
        </w:rPr>
        <w:t xml:space="preserve"> to a single </w:t>
      </w:r>
      <w:r w:rsidR="001928CA">
        <w:rPr>
          <w:sz w:val="22"/>
          <w:szCs w:val="22"/>
        </w:rPr>
        <w:t xml:space="preserve">experiment </w:t>
      </w:r>
      <w:r w:rsidR="009252A7" w:rsidRPr="005E6135">
        <w:rPr>
          <w:sz w:val="22"/>
          <w:szCs w:val="22"/>
        </w:rPr>
        <w:t>or a series of closely related experiments</w:t>
      </w:r>
      <w:r w:rsidR="00FC6002">
        <w:rPr>
          <w:sz w:val="22"/>
          <w:szCs w:val="22"/>
        </w:rPr>
        <w:t>.</w:t>
      </w:r>
      <w:r w:rsidR="009252A7" w:rsidRPr="005E6135">
        <w:rPr>
          <w:sz w:val="22"/>
          <w:szCs w:val="22"/>
        </w:rPr>
        <w:t xml:space="preserve"> </w:t>
      </w:r>
      <w:r w:rsidR="00FC6002">
        <w:rPr>
          <w:sz w:val="22"/>
          <w:szCs w:val="22"/>
        </w:rPr>
        <w:t>L</w:t>
      </w:r>
      <w:r w:rsidR="009252A7" w:rsidRPr="005E6135">
        <w:rPr>
          <w:sz w:val="22"/>
          <w:szCs w:val="22"/>
        </w:rPr>
        <w:t xml:space="preserve">icensees </w:t>
      </w:r>
      <w:r w:rsidR="00FC6002">
        <w:rPr>
          <w:sz w:val="22"/>
          <w:szCs w:val="22"/>
        </w:rPr>
        <w:t xml:space="preserve">wishing </w:t>
      </w:r>
      <w:r w:rsidR="009252A7" w:rsidRPr="005E6135">
        <w:rPr>
          <w:sz w:val="22"/>
          <w:szCs w:val="22"/>
        </w:rPr>
        <w:t>to vary any of their authorized parameters</w:t>
      </w:r>
      <w:r w:rsidR="00FC6002">
        <w:rPr>
          <w:sz w:val="22"/>
          <w:szCs w:val="22"/>
        </w:rPr>
        <w:t xml:space="preserve"> </w:t>
      </w:r>
      <w:r w:rsidR="00777575">
        <w:rPr>
          <w:sz w:val="22"/>
          <w:szCs w:val="22"/>
        </w:rPr>
        <w:t xml:space="preserve">were </w:t>
      </w:r>
      <w:r w:rsidR="00393EC3" w:rsidRPr="005E6135">
        <w:rPr>
          <w:sz w:val="22"/>
          <w:szCs w:val="22"/>
        </w:rPr>
        <w:t xml:space="preserve">required to </w:t>
      </w:r>
      <w:r w:rsidR="009252A7" w:rsidRPr="005E6135">
        <w:rPr>
          <w:sz w:val="22"/>
          <w:szCs w:val="22"/>
        </w:rPr>
        <w:t xml:space="preserve">apply for new or modified licenses.  </w:t>
      </w:r>
      <w:r w:rsidR="00FC6002">
        <w:rPr>
          <w:sz w:val="22"/>
          <w:szCs w:val="22"/>
        </w:rPr>
        <w:t>T</w:t>
      </w:r>
      <w:r w:rsidR="006C7487" w:rsidRPr="005E6135">
        <w:rPr>
          <w:sz w:val="22"/>
          <w:szCs w:val="22"/>
        </w:rPr>
        <w:t xml:space="preserve">he </w:t>
      </w:r>
      <w:r w:rsidR="006C7487" w:rsidRPr="005E6135">
        <w:rPr>
          <w:i/>
          <w:sz w:val="22"/>
          <w:szCs w:val="22"/>
        </w:rPr>
        <w:t>R&amp;O</w:t>
      </w:r>
      <w:r w:rsidR="009252A7" w:rsidRPr="005E6135">
        <w:rPr>
          <w:sz w:val="22"/>
          <w:szCs w:val="22"/>
        </w:rPr>
        <w:t xml:space="preserve"> </w:t>
      </w:r>
      <w:r w:rsidR="00E12A37">
        <w:rPr>
          <w:sz w:val="22"/>
          <w:szCs w:val="22"/>
        </w:rPr>
        <w:t xml:space="preserve">authorized the </w:t>
      </w:r>
      <w:r w:rsidR="009252A7" w:rsidRPr="005E6135">
        <w:rPr>
          <w:sz w:val="22"/>
          <w:szCs w:val="22"/>
        </w:rPr>
        <w:t xml:space="preserve">issuance of </w:t>
      </w:r>
      <w:r w:rsidR="009F2E58">
        <w:rPr>
          <w:sz w:val="22"/>
          <w:szCs w:val="22"/>
        </w:rPr>
        <w:t xml:space="preserve">three </w:t>
      </w:r>
      <w:r w:rsidR="00FC6002">
        <w:rPr>
          <w:sz w:val="22"/>
          <w:szCs w:val="22"/>
        </w:rPr>
        <w:t>new kinds of experimental licenses</w:t>
      </w:r>
      <w:r w:rsidR="009F2E58">
        <w:rPr>
          <w:sz w:val="22"/>
          <w:szCs w:val="22"/>
        </w:rPr>
        <w:t xml:space="preserve"> –</w:t>
      </w:r>
      <w:r w:rsidR="00FC6002">
        <w:rPr>
          <w:sz w:val="22"/>
          <w:szCs w:val="22"/>
        </w:rPr>
        <w:t xml:space="preserve"> </w:t>
      </w:r>
      <w:r w:rsidR="009252A7" w:rsidRPr="005E6135">
        <w:rPr>
          <w:sz w:val="22"/>
          <w:szCs w:val="22"/>
        </w:rPr>
        <w:t>program</w:t>
      </w:r>
      <w:r w:rsidR="009F2E58">
        <w:rPr>
          <w:sz w:val="22"/>
          <w:szCs w:val="22"/>
        </w:rPr>
        <w:t>, medical testing</w:t>
      </w:r>
      <w:r w:rsidR="009252A7" w:rsidRPr="005E6135">
        <w:rPr>
          <w:sz w:val="22"/>
          <w:szCs w:val="22"/>
        </w:rPr>
        <w:t xml:space="preserve"> and </w:t>
      </w:r>
      <w:r w:rsidR="009F2E58">
        <w:rPr>
          <w:sz w:val="22"/>
          <w:szCs w:val="22"/>
        </w:rPr>
        <w:t xml:space="preserve">compliance </w:t>
      </w:r>
      <w:r w:rsidR="009252A7" w:rsidRPr="005E6135">
        <w:rPr>
          <w:sz w:val="22"/>
          <w:szCs w:val="22"/>
        </w:rPr>
        <w:t>testing experimental licenses</w:t>
      </w:r>
      <w:r w:rsidR="009F2E58">
        <w:rPr>
          <w:sz w:val="22"/>
          <w:szCs w:val="22"/>
        </w:rPr>
        <w:t xml:space="preserve"> –</w:t>
      </w:r>
      <w:r w:rsidR="00FC6002">
        <w:rPr>
          <w:sz w:val="22"/>
          <w:szCs w:val="22"/>
        </w:rPr>
        <w:t xml:space="preserve"> which</w:t>
      </w:r>
      <w:r w:rsidR="009252A7" w:rsidRPr="005E6135">
        <w:rPr>
          <w:sz w:val="22"/>
          <w:szCs w:val="22"/>
        </w:rPr>
        <w:t xml:space="preserve"> allow researchers and laboratories to conduct multiple non-related experiments under a single authorization over a longer period of time, thus eliminating regulatory delay and uncertainty.</w:t>
      </w:r>
    </w:p>
    <w:p w:rsidR="00017465" w:rsidRPr="005E6135" w:rsidRDefault="00017465" w:rsidP="009252A7">
      <w:pPr>
        <w:spacing w:after="120"/>
        <w:rPr>
          <w:sz w:val="22"/>
          <w:szCs w:val="22"/>
        </w:rPr>
      </w:pPr>
    </w:p>
    <w:p w:rsidR="009252A7" w:rsidRPr="005E6135" w:rsidRDefault="009252A7" w:rsidP="009252A7">
      <w:pPr>
        <w:spacing w:after="120"/>
        <w:rPr>
          <w:sz w:val="22"/>
          <w:szCs w:val="22"/>
        </w:rPr>
      </w:pPr>
      <w:r w:rsidRPr="005E6135">
        <w:rPr>
          <w:sz w:val="22"/>
          <w:szCs w:val="22"/>
        </w:rPr>
        <w:t xml:space="preserve">The </w:t>
      </w:r>
      <w:r w:rsidR="00F87CE8" w:rsidRPr="005E6135">
        <w:rPr>
          <w:i/>
          <w:sz w:val="22"/>
          <w:szCs w:val="22"/>
        </w:rPr>
        <w:t>R&amp;O</w:t>
      </w:r>
      <w:r w:rsidR="00F87CE8" w:rsidRPr="005E6135">
        <w:rPr>
          <w:sz w:val="22"/>
          <w:szCs w:val="22"/>
        </w:rPr>
        <w:t xml:space="preserve"> </w:t>
      </w:r>
      <w:r w:rsidRPr="005E6135">
        <w:rPr>
          <w:sz w:val="22"/>
          <w:szCs w:val="22"/>
        </w:rPr>
        <w:t>also broaden</w:t>
      </w:r>
      <w:r w:rsidR="00393EC3" w:rsidRPr="005E6135">
        <w:rPr>
          <w:sz w:val="22"/>
          <w:szCs w:val="22"/>
        </w:rPr>
        <w:t>ed</w:t>
      </w:r>
      <w:r w:rsidRPr="005E6135">
        <w:rPr>
          <w:sz w:val="22"/>
          <w:szCs w:val="22"/>
        </w:rPr>
        <w:t xml:space="preserve"> opportunities for market</w:t>
      </w:r>
      <w:r w:rsidR="001928CA">
        <w:rPr>
          <w:sz w:val="22"/>
          <w:szCs w:val="22"/>
        </w:rPr>
        <w:t>ing</w:t>
      </w:r>
      <w:r w:rsidR="00467797" w:rsidRPr="005E6135">
        <w:rPr>
          <w:sz w:val="22"/>
          <w:szCs w:val="22"/>
        </w:rPr>
        <w:t xml:space="preserve"> by adopting a new subpart within the ERS </w:t>
      </w:r>
      <w:r w:rsidR="00356735">
        <w:rPr>
          <w:sz w:val="22"/>
          <w:szCs w:val="22"/>
        </w:rPr>
        <w:t>r</w:t>
      </w:r>
      <w:r w:rsidR="00467797" w:rsidRPr="005E6135">
        <w:rPr>
          <w:sz w:val="22"/>
          <w:szCs w:val="22"/>
        </w:rPr>
        <w:t>ules that contains prov</w:t>
      </w:r>
      <w:r w:rsidR="001928CA">
        <w:rPr>
          <w:sz w:val="22"/>
          <w:szCs w:val="22"/>
        </w:rPr>
        <w:t xml:space="preserve">isions for product development trials, </w:t>
      </w:r>
      <w:r w:rsidR="00467797" w:rsidRPr="005E6135">
        <w:rPr>
          <w:sz w:val="22"/>
          <w:szCs w:val="22"/>
        </w:rPr>
        <w:t>as well as market</w:t>
      </w:r>
      <w:r w:rsidR="001928CA">
        <w:rPr>
          <w:sz w:val="22"/>
          <w:szCs w:val="22"/>
        </w:rPr>
        <w:t xml:space="preserve"> trials</w:t>
      </w:r>
      <w:r w:rsidR="008A0E96">
        <w:rPr>
          <w:sz w:val="22"/>
          <w:szCs w:val="22"/>
        </w:rPr>
        <w:t xml:space="preserve">.  </w:t>
      </w:r>
      <w:r w:rsidR="00C902EF" w:rsidRPr="005E6135">
        <w:rPr>
          <w:sz w:val="22"/>
          <w:szCs w:val="22"/>
        </w:rPr>
        <w:t xml:space="preserve">Additionally, the </w:t>
      </w:r>
      <w:r w:rsidR="00C902EF" w:rsidRPr="005E6135">
        <w:rPr>
          <w:i/>
          <w:sz w:val="22"/>
          <w:szCs w:val="22"/>
        </w:rPr>
        <w:t>R&amp;O</w:t>
      </w:r>
      <w:r w:rsidR="00C902EF" w:rsidRPr="005E6135">
        <w:rPr>
          <w:sz w:val="22"/>
          <w:szCs w:val="22"/>
        </w:rPr>
        <w:t xml:space="preserve"> </w:t>
      </w:r>
      <w:r w:rsidRPr="005E6135">
        <w:rPr>
          <w:sz w:val="22"/>
          <w:szCs w:val="22"/>
        </w:rPr>
        <w:t>revis</w:t>
      </w:r>
      <w:r w:rsidR="00C902EF" w:rsidRPr="005E6135">
        <w:rPr>
          <w:sz w:val="22"/>
          <w:szCs w:val="22"/>
        </w:rPr>
        <w:t>ed</w:t>
      </w:r>
      <w:r w:rsidRPr="005E6135">
        <w:rPr>
          <w:sz w:val="22"/>
          <w:szCs w:val="22"/>
        </w:rPr>
        <w:t xml:space="preserve"> and consolidat</w:t>
      </w:r>
      <w:r w:rsidR="00C902EF" w:rsidRPr="005E6135">
        <w:rPr>
          <w:sz w:val="22"/>
          <w:szCs w:val="22"/>
        </w:rPr>
        <w:t>ed</w:t>
      </w:r>
      <w:r w:rsidRPr="005E6135">
        <w:rPr>
          <w:sz w:val="22"/>
          <w:szCs w:val="22"/>
        </w:rPr>
        <w:t xml:space="preserve"> the Commission’s existing</w:t>
      </w:r>
      <w:r w:rsidR="00354570" w:rsidRPr="005E6135">
        <w:rPr>
          <w:sz w:val="22"/>
          <w:szCs w:val="22"/>
        </w:rPr>
        <w:t xml:space="preserve"> r</w:t>
      </w:r>
      <w:r w:rsidRPr="005E6135">
        <w:rPr>
          <w:sz w:val="22"/>
          <w:szCs w:val="22"/>
        </w:rPr>
        <w:t>ules</w:t>
      </w:r>
      <w:r w:rsidR="00354570" w:rsidRPr="005E6135">
        <w:rPr>
          <w:sz w:val="22"/>
          <w:szCs w:val="22"/>
        </w:rPr>
        <w:t xml:space="preserve"> for broadcasting experiments in Parts 73 and 74 into a new subpart within Part 5</w:t>
      </w:r>
      <w:r w:rsidR="00CC3A4B" w:rsidRPr="005E6135">
        <w:rPr>
          <w:sz w:val="22"/>
          <w:szCs w:val="22"/>
        </w:rPr>
        <w:t>,</w:t>
      </w:r>
      <w:r w:rsidR="00354570" w:rsidRPr="005E6135">
        <w:rPr>
          <w:sz w:val="22"/>
          <w:szCs w:val="22"/>
        </w:rPr>
        <w:t xml:space="preserve"> and eliminated developmental licensing rules in several Commission rules parts so that all experimental authority will be under the Part 5 ERS </w:t>
      </w:r>
      <w:r w:rsidR="00E71DD2" w:rsidRPr="005E6135">
        <w:rPr>
          <w:sz w:val="22"/>
          <w:szCs w:val="22"/>
        </w:rPr>
        <w:t>r</w:t>
      </w:r>
      <w:r w:rsidR="00354570" w:rsidRPr="005E6135">
        <w:rPr>
          <w:sz w:val="22"/>
          <w:szCs w:val="22"/>
        </w:rPr>
        <w:t xml:space="preserve">ules, providing clear and consistent guidelines to applicants for all types of experimentation.  </w:t>
      </w:r>
      <w:r w:rsidR="008A0E96">
        <w:rPr>
          <w:sz w:val="22"/>
          <w:szCs w:val="22"/>
        </w:rPr>
        <w:t>T</w:t>
      </w:r>
      <w:r w:rsidR="008A0E96" w:rsidRPr="005E6135">
        <w:rPr>
          <w:sz w:val="22"/>
          <w:szCs w:val="22"/>
        </w:rPr>
        <w:t xml:space="preserve">he </w:t>
      </w:r>
      <w:r w:rsidR="00354570" w:rsidRPr="005E6135">
        <w:rPr>
          <w:i/>
          <w:sz w:val="22"/>
          <w:szCs w:val="22"/>
        </w:rPr>
        <w:t>R&amp;O</w:t>
      </w:r>
      <w:r w:rsidRPr="005E6135">
        <w:rPr>
          <w:sz w:val="22"/>
          <w:szCs w:val="22"/>
        </w:rPr>
        <w:t xml:space="preserve"> </w:t>
      </w:r>
      <w:r w:rsidR="008A0E96">
        <w:rPr>
          <w:sz w:val="22"/>
          <w:szCs w:val="22"/>
        </w:rPr>
        <w:t xml:space="preserve">also </w:t>
      </w:r>
      <w:r w:rsidRPr="005E6135">
        <w:rPr>
          <w:sz w:val="22"/>
          <w:szCs w:val="22"/>
        </w:rPr>
        <w:t>promote</w:t>
      </w:r>
      <w:r w:rsidR="00393EC3" w:rsidRPr="005E6135">
        <w:rPr>
          <w:sz w:val="22"/>
          <w:szCs w:val="22"/>
        </w:rPr>
        <w:t>d</w:t>
      </w:r>
      <w:r w:rsidRPr="005E6135">
        <w:rPr>
          <w:sz w:val="22"/>
          <w:szCs w:val="22"/>
        </w:rPr>
        <w:t xml:space="preserve"> greater overall ex</w:t>
      </w:r>
      <w:r w:rsidR="00CC3A4B" w:rsidRPr="005E6135">
        <w:rPr>
          <w:sz w:val="22"/>
          <w:szCs w:val="22"/>
        </w:rPr>
        <w:t xml:space="preserve">perimentation by streamlining </w:t>
      </w:r>
      <w:r w:rsidR="00354570" w:rsidRPr="005E6135">
        <w:rPr>
          <w:sz w:val="22"/>
          <w:szCs w:val="22"/>
        </w:rPr>
        <w:t xml:space="preserve">ERS </w:t>
      </w:r>
      <w:r w:rsidRPr="005E6135">
        <w:rPr>
          <w:sz w:val="22"/>
          <w:szCs w:val="22"/>
        </w:rPr>
        <w:t>rules and procedures, and open</w:t>
      </w:r>
      <w:r w:rsidR="00393EC3" w:rsidRPr="005E6135">
        <w:rPr>
          <w:sz w:val="22"/>
          <w:szCs w:val="22"/>
        </w:rPr>
        <w:t>ed</w:t>
      </w:r>
      <w:r w:rsidRPr="005E6135">
        <w:rPr>
          <w:sz w:val="22"/>
          <w:szCs w:val="22"/>
        </w:rPr>
        <w:t xml:space="preserve"> new opportunities for experimentation by making targeted modifications to those rules and procedures</w:t>
      </w:r>
      <w:r w:rsidR="00C902EF" w:rsidRPr="005E6135">
        <w:rPr>
          <w:sz w:val="22"/>
          <w:szCs w:val="22"/>
        </w:rPr>
        <w:t>.</w:t>
      </w:r>
      <w:r w:rsidR="00467797" w:rsidRPr="005E6135">
        <w:rPr>
          <w:sz w:val="22"/>
          <w:szCs w:val="22"/>
        </w:rPr>
        <w:t xml:space="preserve"> </w:t>
      </w:r>
      <w:r w:rsidR="008A0E96">
        <w:rPr>
          <w:sz w:val="22"/>
          <w:szCs w:val="22"/>
        </w:rPr>
        <w:t xml:space="preserve"> Finally, the Commission </w:t>
      </w:r>
      <w:r w:rsidR="008A0E96" w:rsidRPr="005E6135">
        <w:rPr>
          <w:sz w:val="22"/>
          <w:szCs w:val="22"/>
        </w:rPr>
        <w:t xml:space="preserve">modified the rules </w:t>
      </w:r>
      <w:r w:rsidR="008A0E96">
        <w:rPr>
          <w:sz w:val="22"/>
          <w:szCs w:val="22"/>
        </w:rPr>
        <w:t xml:space="preserve">in Part 2 </w:t>
      </w:r>
      <w:r w:rsidR="008A0E96" w:rsidRPr="005E6135">
        <w:rPr>
          <w:sz w:val="22"/>
          <w:szCs w:val="22"/>
        </w:rPr>
        <w:t>to clarify when operation or marketing of radio frequency (RF) devices is permitted prior to equipment certification, including the number of devices that can be imported for such purposes.</w:t>
      </w:r>
    </w:p>
    <w:p w:rsidR="00EB311B" w:rsidRPr="005E6135" w:rsidRDefault="00EB311B">
      <w:pPr>
        <w:rPr>
          <w:sz w:val="22"/>
          <w:szCs w:val="22"/>
        </w:rPr>
      </w:pPr>
    </w:p>
    <w:p w:rsidR="0061184B" w:rsidRPr="004F06C7" w:rsidRDefault="00EB311B" w:rsidP="0061184B">
      <w:pPr>
        <w:ind w:right="-18"/>
        <w:rPr>
          <w:sz w:val="22"/>
          <w:szCs w:val="22"/>
        </w:rPr>
      </w:pPr>
      <w:r w:rsidRPr="005E6135">
        <w:rPr>
          <w:sz w:val="22"/>
          <w:szCs w:val="22"/>
        </w:rPr>
        <w:t>A copy of th</w:t>
      </w:r>
      <w:r w:rsidR="00F87CE8" w:rsidRPr="005E6135">
        <w:rPr>
          <w:sz w:val="22"/>
          <w:szCs w:val="22"/>
        </w:rPr>
        <w:t xml:space="preserve">e </w:t>
      </w:r>
      <w:r w:rsidR="00F87CE8" w:rsidRPr="005E6135">
        <w:rPr>
          <w:i/>
          <w:sz w:val="22"/>
          <w:szCs w:val="22"/>
        </w:rPr>
        <w:t>R&amp;O</w:t>
      </w:r>
      <w:r w:rsidR="00F87CE8" w:rsidRPr="005E6135">
        <w:rPr>
          <w:sz w:val="22"/>
          <w:szCs w:val="22"/>
        </w:rPr>
        <w:t xml:space="preserve"> </w:t>
      </w:r>
      <w:r w:rsidRPr="005E6135">
        <w:rPr>
          <w:sz w:val="22"/>
          <w:szCs w:val="22"/>
        </w:rPr>
        <w:t xml:space="preserve">is available at: </w:t>
      </w:r>
      <w:hyperlink r:id="rId9" w:history="1">
        <w:r w:rsidR="0061184B" w:rsidRPr="009D5034">
          <w:rPr>
            <w:rStyle w:val="Hyperlink"/>
            <w:sz w:val="22"/>
            <w:szCs w:val="22"/>
          </w:rPr>
          <w:t>http://hraunfoss.fcc.gov/edocs_public/attachmatch/FCC-13-15A1.pdf</w:t>
        </w:r>
      </w:hyperlink>
      <w:r w:rsidR="0061184B">
        <w:rPr>
          <w:sz w:val="22"/>
          <w:szCs w:val="22"/>
        </w:rPr>
        <w:t xml:space="preserve"> </w:t>
      </w:r>
      <w:r w:rsidR="0061184B" w:rsidRPr="004F06C7">
        <w:rPr>
          <w:sz w:val="22"/>
          <w:szCs w:val="22"/>
        </w:rPr>
        <w:t xml:space="preserve"> (2</w:t>
      </w:r>
      <w:r w:rsidR="009D5B97">
        <w:rPr>
          <w:sz w:val="22"/>
          <w:szCs w:val="22"/>
        </w:rPr>
        <w:t>8</w:t>
      </w:r>
      <w:r w:rsidR="0061184B" w:rsidRPr="004F06C7">
        <w:rPr>
          <w:sz w:val="22"/>
          <w:szCs w:val="22"/>
        </w:rPr>
        <w:t xml:space="preserve"> FCC Rcd </w:t>
      </w:r>
      <w:r w:rsidR="009D5B97">
        <w:rPr>
          <w:sz w:val="22"/>
          <w:szCs w:val="22"/>
        </w:rPr>
        <w:t>758 (2013</w:t>
      </w:r>
      <w:r w:rsidR="0061184B" w:rsidRPr="004F06C7">
        <w:rPr>
          <w:sz w:val="22"/>
          <w:szCs w:val="22"/>
        </w:rPr>
        <w:t>))</w:t>
      </w:r>
    </w:p>
    <w:p w:rsidR="003346A3" w:rsidRPr="005E6135" w:rsidRDefault="003346A3">
      <w:pPr>
        <w:rPr>
          <w:sz w:val="22"/>
          <w:szCs w:val="22"/>
        </w:rPr>
      </w:pPr>
    </w:p>
    <w:p w:rsidR="00EB311B" w:rsidRPr="005E6135" w:rsidRDefault="006A7C03">
      <w:pPr>
        <w:rPr>
          <w:b/>
          <w:sz w:val="22"/>
          <w:szCs w:val="22"/>
          <w:u w:val="single"/>
        </w:rPr>
      </w:pPr>
      <w:r w:rsidRPr="005E6135">
        <w:rPr>
          <w:b/>
          <w:sz w:val="22"/>
          <w:szCs w:val="22"/>
          <w:u w:val="single"/>
        </w:rPr>
        <w:t>2.  Gen</w:t>
      </w:r>
      <w:r w:rsidR="00EB311B" w:rsidRPr="005E6135">
        <w:rPr>
          <w:b/>
          <w:sz w:val="22"/>
          <w:szCs w:val="22"/>
          <w:u w:val="single"/>
        </w:rPr>
        <w:t>e</w:t>
      </w:r>
      <w:r w:rsidRPr="005E6135">
        <w:rPr>
          <w:b/>
          <w:sz w:val="22"/>
          <w:szCs w:val="22"/>
          <w:u w:val="single"/>
        </w:rPr>
        <w:t>ral Informa</w:t>
      </w:r>
      <w:r w:rsidR="00EB311B" w:rsidRPr="005E6135">
        <w:rPr>
          <w:b/>
          <w:sz w:val="22"/>
          <w:szCs w:val="22"/>
          <w:u w:val="single"/>
        </w:rPr>
        <w:t>tion</w:t>
      </w:r>
    </w:p>
    <w:p w:rsidR="00EB311B" w:rsidRPr="005E6135" w:rsidRDefault="00EB311B">
      <w:pPr>
        <w:rPr>
          <w:b/>
          <w:sz w:val="22"/>
          <w:szCs w:val="22"/>
          <w:u w:val="single"/>
        </w:rPr>
      </w:pPr>
    </w:p>
    <w:p w:rsidR="00D14012" w:rsidRPr="005E6135" w:rsidRDefault="00D14012">
      <w:pPr>
        <w:rPr>
          <w:sz w:val="22"/>
          <w:szCs w:val="22"/>
        </w:rPr>
      </w:pPr>
      <w:r w:rsidRPr="005E6135">
        <w:rPr>
          <w:sz w:val="22"/>
          <w:szCs w:val="22"/>
        </w:rPr>
        <w:t xml:space="preserve">The Commission’s Part 5 ERS </w:t>
      </w:r>
      <w:r w:rsidR="00E71DD2" w:rsidRPr="005E6135">
        <w:rPr>
          <w:sz w:val="22"/>
          <w:szCs w:val="22"/>
        </w:rPr>
        <w:t>r</w:t>
      </w:r>
      <w:r w:rsidRPr="005E6135">
        <w:rPr>
          <w:sz w:val="22"/>
          <w:szCs w:val="22"/>
        </w:rPr>
        <w:t>ule</w:t>
      </w:r>
      <w:r w:rsidR="00E71DD2" w:rsidRPr="005E6135">
        <w:rPr>
          <w:sz w:val="22"/>
          <w:szCs w:val="22"/>
        </w:rPr>
        <w:t>s</w:t>
      </w:r>
      <w:r w:rsidRPr="005E6135">
        <w:rPr>
          <w:sz w:val="22"/>
          <w:szCs w:val="22"/>
        </w:rPr>
        <w:t xml:space="preserve"> prescribe the manner in which the radio spectrum may be made available to a variety of entities to experiment with new radio technologies, equipment designs, characteristics of radio wave propagation, or service concepts related to the use of the radio spectrum.  To encourage innovation, the Part 5 rules provide flexibility regarding allowable frequency range, power, and emissions.  In exchange for this flexibility, experimental operations are not protected from harmful interference from allocated services, and ERS licensees must not cause harmful interference to stations of authorized services, including secondary services.</w:t>
      </w:r>
    </w:p>
    <w:p w:rsidR="00C902EF" w:rsidRPr="005E6135" w:rsidRDefault="00C902EF">
      <w:pPr>
        <w:rPr>
          <w:sz w:val="22"/>
          <w:szCs w:val="22"/>
        </w:rPr>
      </w:pPr>
    </w:p>
    <w:p w:rsidR="00EB311B" w:rsidRPr="005E6135" w:rsidRDefault="00EB311B">
      <w:pPr>
        <w:rPr>
          <w:b/>
          <w:sz w:val="22"/>
          <w:szCs w:val="22"/>
          <w:u w:val="single"/>
        </w:rPr>
      </w:pPr>
      <w:r w:rsidRPr="005E6135">
        <w:rPr>
          <w:b/>
          <w:sz w:val="22"/>
          <w:szCs w:val="22"/>
          <w:u w:val="single"/>
        </w:rPr>
        <w:t xml:space="preserve">3.  </w:t>
      </w:r>
      <w:r w:rsidR="00853712" w:rsidRPr="005E6135">
        <w:rPr>
          <w:b/>
          <w:sz w:val="22"/>
          <w:szCs w:val="22"/>
          <w:u w:val="single"/>
        </w:rPr>
        <w:t>New E</w:t>
      </w:r>
      <w:r w:rsidR="00580C8C" w:rsidRPr="005E6135">
        <w:rPr>
          <w:b/>
          <w:sz w:val="22"/>
          <w:szCs w:val="22"/>
          <w:u w:val="single"/>
        </w:rPr>
        <w:t>RS</w:t>
      </w:r>
      <w:r w:rsidR="00853712" w:rsidRPr="005E6135">
        <w:rPr>
          <w:b/>
          <w:sz w:val="22"/>
          <w:szCs w:val="22"/>
          <w:u w:val="single"/>
        </w:rPr>
        <w:t xml:space="preserve"> Licenses</w:t>
      </w:r>
    </w:p>
    <w:p w:rsidR="00EB311B" w:rsidRPr="005E6135" w:rsidRDefault="00EB311B">
      <w:pPr>
        <w:rPr>
          <w:sz w:val="22"/>
          <w:szCs w:val="22"/>
        </w:rPr>
      </w:pPr>
    </w:p>
    <w:p w:rsidR="009158B2" w:rsidRDefault="009158B2" w:rsidP="009158B2">
      <w:pPr>
        <w:rPr>
          <w:sz w:val="22"/>
          <w:szCs w:val="22"/>
        </w:rPr>
      </w:pPr>
      <w:r w:rsidRPr="005E6135">
        <w:rPr>
          <w:sz w:val="22"/>
          <w:szCs w:val="22"/>
        </w:rPr>
        <w:t>The</w:t>
      </w:r>
      <w:r w:rsidR="0077720E">
        <w:rPr>
          <w:sz w:val="22"/>
          <w:szCs w:val="22"/>
        </w:rPr>
        <w:t xml:space="preserve"> three </w:t>
      </w:r>
      <w:r w:rsidRPr="005E6135">
        <w:rPr>
          <w:sz w:val="22"/>
          <w:szCs w:val="22"/>
        </w:rPr>
        <w:t xml:space="preserve">new </w:t>
      </w:r>
      <w:r w:rsidR="0077720E">
        <w:rPr>
          <w:sz w:val="22"/>
          <w:szCs w:val="22"/>
        </w:rPr>
        <w:t xml:space="preserve">types of </w:t>
      </w:r>
      <w:r w:rsidR="00E943D8" w:rsidRPr="005E6135">
        <w:rPr>
          <w:sz w:val="22"/>
          <w:szCs w:val="22"/>
        </w:rPr>
        <w:t xml:space="preserve">experimental </w:t>
      </w:r>
      <w:r w:rsidRPr="005E6135">
        <w:rPr>
          <w:sz w:val="22"/>
          <w:szCs w:val="22"/>
        </w:rPr>
        <w:t xml:space="preserve">licenses </w:t>
      </w:r>
      <w:r w:rsidR="00E15B84" w:rsidRPr="005E6135">
        <w:rPr>
          <w:sz w:val="22"/>
          <w:szCs w:val="22"/>
        </w:rPr>
        <w:t xml:space="preserve">authorized by the </w:t>
      </w:r>
      <w:r w:rsidR="00E15B84" w:rsidRPr="005E6135">
        <w:rPr>
          <w:i/>
          <w:sz w:val="22"/>
          <w:szCs w:val="22"/>
        </w:rPr>
        <w:t>R&amp;O</w:t>
      </w:r>
      <w:r w:rsidR="00E15B84" w:rsidRPr="005E6135">
        <w:rPr>
          <w:sz w:val="22"/>
          <w:szCs w:val="22"/>
        </w:rPr>
        <w:t xml:space="preserve"> </w:t>
      </w:r>
      <w:r w:rsidRPr="005E6135">
        <w:rPr>
          <w:sz w:val="22"/>
          <w:szCs w:val="22"/>
        </w:rPr>
        <w:t xml:space="preserve">will provide innovators </w:t>
      </w:r>
      <w:r w:rsidR="0077720E">
        <w:rPr>
          <w:sz w:val="22"/>
          <w:szCs w:val="22"/>
        </w:rPr>
        <w:t xml:space="preserve">in diverse fields of research </w:t>
      </w:r>
      <w:r w:rsidRPr="005E6135">
        <w:rPr>
          <w:sz w:val="22"/>
          <w:szCs w:val="22"/>
        </w:rPr>
        <w:t>greater flexibility</w:t>
      </w:r>
      <w:r w:rsidR="000B3CF4">
        <w:rPr>
          <w:sz w:val="22"/>
          <w:szCs w:val="22"/>
        </w:rPr>
        <w:t xml:space="preserve"> of spectrum use</w:t>
      </w:r>
      <w:r w:rsidR="005A3C45">
        <w:rPr>
          <w:sz w:val="22"/>
          <w:szCs w:val="22"/>
        </w:rPr>
        <w:t xml:space="preserve">, </w:t>
      </w:r>
      <w:r w:rsidR="000B3CF4">
        <w:rPr>
          <w:sz w:val="22"/>
          <w:szCs w:val="22"/>
        </w:rPr>
        <w:t xml:space="preserve">resulting in a corresponding degree of increased flexibility in initiating and modifying their experiments </w:t>
      </w:r>
      <w:r w:rsidR="00E9185C">
        <w:rPr>
          <w:sz w:val="22"/>
          <w:szCs w:val="22"/>
        </w:rPr>
        <w:t xml:space="preserve">before needing to expand the initial FCC spectrum authorization.  In this way, the availability of these new types of licenses will </w:t>
      </w:r>
      <w:r w:rsidRPr="005E6135">
        <w:rPr>
          <w:sz w:val="22"/>
          <w:szCs w:val="22"/>
        </w:rPr>
        <w:t xml:space="preserve">promote creativity </w:t>
      </w:r>
      <w:r w:rsidRPr="005E6135">
        <w:rPr>
          <w:sz w:val="22"/>
          <w:szCs w:val="22"/>
        </w:rPr>
        <w:lastRenderedPageBreak/>
        <w:t>and accelerat</w:t>
      </w:r>
      <w:r w:rsidR="00E9185C">
        <w:rPr>
          <w:sz w:val="22"/>
          <w:szCs w:val="22"/>
        </w:rPr>
        <w:t>e</w:t>
      </w:r>
      <w:r w:rsidRPr="005E6135">
        <w:rPr>
          <w:sz w:val="22"/>
          <w:szCs w:val="22"/>
        </w:rPr>
        <w:t xml:space="preserve"> the introduction of new products to the marketplace.  Specifically, these new license</w:t>
      </w:r>
      <w:r w:rsidR="0077720E">
        <w:rPr>
          <w:sz w:val="22"/>
          <w:szCs w:val="22"/>
        </w:rPr>
        <w:t xml:space="preserve"> types</w:t>
      </w:r>
      <w:r w:rsidRPr="005E6135">
        <w:rPr>
          <w:sz w:val="22"/>
          <w:szCs w:val="22"/>
        </w:rPr>
        <w:t xml:space="preserve"> are:</w:t>
      </w:r>
    </w:p>
    <w:p w:rsidR="009D5B97" w:rsidRPr="005E6135" w:rsidRDefault="009D5B97" w:rsidP="009158B2">
      <w:pPr>
        <w:rPr>
          <w:sz w:val="22"/>
          <w:szCs w:val="22"/>
        </w:rPr>
      </w:pPr>
    </w:p>
    <w:p w:rsidR="009158B2" w:rsidRPr="005E6135" w:rsidRDefault="009158B2" w:rsidP="009158B2">
      <w:pPr>
        <w:numPr>
          <w:ilvl w:val="0"/>
          <w:numId w:val="4"/>
        </w:numPr>
        <w:spacing w:after="120"/>
        <w:rPr>
          <w:sz w:val="22"/>
          <w:szCs w:val="22"/>
        </w:rPr>
      </w:pPr>
      <w:r w:rsidRPr="005E6135">
        <w:rPr>
          <w:b/>
          <w:i/>
          <w:sz w:val="22"/>
          <w:szCs w:val="22"/>
        </w:rPr>
        <w:t>Program license</w:t>
      </w:r>
      <w:r w:rsidRPr="005E6135">
        <w:rPr>
          <w:sz w:val="22"/>
          <w:szCs w:val="22"/>
        </w:rPr>
        <w:t xml:space="preserve">: This license will </w:t>
      </w:r>
      <w:r w:rsidR="0061184B">
        <w:rPr>
          <w:sz w:val="22"/>
          <w:szCs w:val="22"/>
        </w:rPr>
        <w:t xml:space="preserve">be available to </w:t>
      </w:r>
      <w:r w:rsidR="008A0E96">
        <w:rPr>
          <w:sz w:val="22"/>
          <w:szCs w:val="22"/>
        </w:rPr>
        <w:t xml:space="preserve">experimenters </w:t>
      </w:r>
      <w:r w:rsidR="000D5FE1" w:rsidRPr="005E6135">
        <w:rPr>
          <w:sz w:val="22"/>
          <w:szCs w:val="22"/>
        </w:rPr>
        <w:t xml:space="preserve">that have demonstrated experience in RF technology </w:t>
      </w:r>
      <w:r w:rsidR="000D5FE1">
        <w:rPr>
          <w:sz w:val="22"/>
          <w:szCs w:val="22"/>
        </w:rPr>
        <w:t xml:space="preserve">and are </w:t>
      </w:r>
      <w:r w:rsidR="008A0E96">
        <w:rPr>
          <w:sz w:val="22"/>
          <w:szCs w:val="22"/>
        </w:rPr>
        <w:t xml:space="preserve">associated with </w:t>
      </w:r>
      <w:r w:rsidRPr="005E6135">
        <w:rPr>
          <w:sz w:val="22"/>
          <w:szCs w:val="22"/>
        </w:rPr>
        <w:t xml:space="preserve">colleges, research laboratories, health care institutions, and manufacturers to conduct ongoing series of research experiments and tests.  </w:t>
      </w:r>
    </w:p>
    <w:p w:rsidR="009158B2" w:rsidRPr="005E6135" w:rsidRDefault="009158B2" w:rsidP="009158B2">
      <w:pPr>
        <w:pStyle w:val="ParaNum"/>
        <w:widowControl/>
        <w:numPr>
          <w:ilvl w:val="0"/>
          <w:numId w:val="4"/>
        </w:numPr>
        <w:tabs>
          <w:tab w:val="left" w:pos="-1440"/>
          <w:tab w:val="left" w:pos="-720"/>
          <w:tab w:val="left" w:pos="720"/>
          <w:tab w:val="left" w:pos="1440"/>
        </w:tabs>
        <w:suppressAutoHyphens/>
        <w:rPr>
          <w:szCs w:val="22"/>
        </w:rPr>
      </w:pPr>
      <w:r w:rsidRPr="005E6135">
        <w:rPr>
          <w:b/>
          <w:i/>
          <w:szCs w:val="22"/>
        </w:rPr>
        <w:t>Medical testing license</w:t>
      </w:r>
      <w:r w:rsidRPr="005E6135">
        <w:rPr>
          <w:szCs w:val="22"/>
        </w:rPr>
        <w:t xml:space="preserve">: This license will be available to health care facilities with RF expertise to assess newly developed RF based medical devices for patient compatibility, electromagnetic compatibility and to conduct clinical trials at patients’ homes or in other geographic areas that are not within the health care licensee’s control. </w:t>
      </w:r>
    </w:p>
    <w:p w:rsidR="009158B2" w:rsidRDefault="009158B2" w:rsidP="009158B2">
      <w:pPr>
        <w:pStyle w:val="ParaNum"/>
        <w:widowControl/>
        <w:numPr>
          <w:ilvl w:val="0"/>
          <w:numId w:val="4"/>
        </w:numPr>
        <w:tabs>
          <w:tab w:val="left" w:pos="-1440"/>
          <w:tab w:val="left" w:pos="-720"/>
          <w:tab w:val="left" w:pos="720"/>
          <w:tab w:val="left" w:pos="1440"/>
        </w:tabs>
        <w:suppressAutoHyphens/>
        <w:spacing w:after="0"/>
        <w:rPr>
          <w:szCs w:val="22"/>
        </w:rPr>
      </w:pPr>
      <w:r w:rsidRPr="005E6135">
        <w:rPr>
          <w:b/>
          <w:i/>
          <w:szCs w:val="22"/>
        </w:rPr>
        <w:t>Compliance testing license</w:t>
      </w:r>
      <w:r w:rsidRPr="005E6135">
        <w:rPr>
          <w:szCs w:val="22"/>
        </w:rPr>
        <w:t xml:space="preserve">: This license will provide Commission-recognized laboratories the flexibility to undertake RF product compliance testing under the Commission’s equipment authorization procedures. </w:t>
      </w:r>
    </w:p>
    <w:p w:rsidR="00FC6002" w:rsidRDefault="00FC6002" w:rsidP="00FC6002">
      <w:pPr>
        <w:pStyle w:val="ParaNum"/>
        <w:widowControl/>
        <w:numPr>
          <w:ilvl w:val="0"/>
          <w:numId w:val="0"/>
        </w:numPr>
        <w:tabs>
          <w:tab w:val="left" w:pos="-1440"/>
          <w:tab w:val="left" w:pos="-720"/>
          <w:tab w:val="left" w:pos="1440"/>
        </w:tabs>
        <w:suppressAutoHyphens/>
        <w:spacing w:after="0"/>
        <w:ind w:firstLine="720"/>
        <w:rPr>
          <w:szCs w:val="22"/>
        </w:rPr>
      </w:pPr>
    </w:p>
    <w:p w:rsidR="00FC6002" w:rsidRPr="005E6135" w:rsidRDefault="00FC6002" w:rsidP="00FC6002">
      <w:pPr>
        <w:ind w:right="-18"/>
        <w:rPr>
          <w:sz w:val="22"/>
          <w:szCs w:val="22"/>
        </w:rPr>
      </w:pPr>
      <w:r w:rsidRPr="005E6135">
        <w:rPr>
          <w:sz w:val="22"/>
          <w:szCs w:val="22"/>
        </w:rPr>
        <w:t xml:space="preserve">The </w:t>
      </w:r>
      <w:r w:rsidRPr="005E6135">
        <w:rPr>
          <w:i/>
          <w:sz w:val="22"/>
          <w:szCs w:val="22"/>
        </w:rPr>
        <w:t>R&amp;O</w:t>
      </w:r>
      <w:r w:rsidRPr="005E6135">
        <w:rPr>
          <w:sz w:val="22"/>
          <w:szCs w:val="22"/>
        </w:rPr>
        <w:t xml:space="preserve"> a</w:t>
      </w:r>
      <w:r>
        <w:rPr>
          <w:sz w:val="22"/>
          <w:szCs w:val="22"/>
        </w:rPr>
        <w:t xml:space="preserve">uthorized </w:t>
      </w:r>
      <w:r w:rsidRPr="005E6135">
        <w:rPr>
          <w:sz w:val="22"/>
          <w:szCs w:val="22"/>
        </w:rPr>
        <w:t xml:space="preserve">the </w:t>
      </w:r>
      <w:r>
        <w:rPr>
          <w:sz w:val="22"/>
          <w:szCs w:val="22"/>
        </w:rPr>
        <w:t>continuing</w:t>
      </w:r>
      <w:r w:rsidRPr="005E6135">
        <w:rPr>
          <w:sz w:val="22"/>
          <w:szCs w:val="22"/>
        </w:rPr>
        <w:t xml:space="preserve"> issu</w:t>
      </w:r>
      <w:r>
        <w:rPr>
          <w:sz w:val="22"/>
          <w:szCs w:val="22"/>
        </w:rPr>
        <w:t>ance of</w:t>
      </w:r>
      <w:r w:rsidRPr="005E6135">
        <w:rPr>
          <w:sz w:val="22"/>
          <w:szCs w:val="22"/>
        </w:rPr>
        <w:t xml:space="preserve"> conventional experimental licenses </w:t>
      </w:r>
      <w:r>
        <w:rPr>
          <w:sz w:val="22"/>
          <w:szCs w:val="22"/>
        </w:rPr>
        <w:t>where appropriate</w:t>
      </w:r>
      <w:r w:rsidRPr="005E6135">
        <w:rPr>
          <w:sz w:val="22"/>
          <w:szCs w:val="22"/>
        </w:rPr>
        <w:t xml:space="preserve">, </w:t>
      </w:r>
      <w:r>
        <w:rPr>
          <w:sz w:val="22"/>
          <w:szCs w:val="22"/>
        </w:rPr>
        <w:t xml:space="preserve">and mandated that some experiments – including those involving product development and market trials, those requiring non-disclosure of proprietary information, and those requiring environmental assessments or orbital debris mitigation plans – be conducted only under conventional licenses.   </w:t>
      </w:r>
    </w:p>
    <w:p w:rsidR="00FC6002" w:rsidRPr="005E6135" w:rsidRDefault="00FC6002" w:rsidP="00FC6002">
      <w:pPr>
        <w:pStyle w:val="ParaNum"/>
        <w:widowControl/>
        <w:numPr>
          <w:ilvl w:val="0"/>
          <w:numId w:val="0"/>
        </w:numPr>
        <w:tabs>
          <w:tab w:val="left" w:pos="-1440"/>
          <w:tab w:val="left" w:pos="-720"/>
          <w:tab w:val="left" w:pos="1440"/>
        </w:tabs>
        <w:suppressAutoHyphens/>
        <w:spacing w:after="0"/>
        <w:ind w:firstLine="720"/>
        <w:rPr>
          <w:szCs w:val="22"/>
        </w:rPr>
      </w:pPr>
    </w:p>
    <w:p w:rsidR="00EB311B" w:rsidRPr="005E6135" w:rsidRDefault="00EB311B">
      <w:pPr>
        <w:ind w:left="360"/>
        <w:rPr>
          <w:sz w:val="22"/>
          <w:szCs w:val="22"/>
        </w:rPr>
      </w:pPr>
    </w:p>
    <w:p w:rsidR="00930BD6" w:rsidRPr="005E6135" w:rsidRDefault="00930BD6" w:rsidP="00930BD6">
      <w:pPr>
        <w:rPr>
          <w:b/>
          <w:sz w:val="22"/>
          <w:szCs w:val="22"/>
          <w:u w:val="single"/>
        </w:rPr>
      </w:pPr>
      <w:r w:rsidRPr="005E6135">
        <w:rPr>
          <w:b/>
          <w:sz w:val="22"/>
          <w:szCs w:val="22"/>
          <w:u w:val="single"/>
        </w:rPr>
        <w:t>4.  Requirements Applicable to Program and Medical Testing Licensees</w:t>
      </w:r>
    </w:p>
    <w:p w:rsidR="00930BD6" w:rsidRPr="005E6135" w:rsidRDefault="00930BD6" w:rsidP="00930BD6">
      <w:pPr>
        <w:rPr>
          <w:sz w:val="22"/>
          <w:szCs w:val="22"/>
        </w:rPr>
      </w:pPr>
    </w:p>
    <w:p w:rsidR="00930BD6" w:rsidRDefault="003D3D82" w:rsidP="00930BD6">
      <w:pPr>
        <w:rPr>
          <w:sz w:val="22"/>
          <w:szCs w:val="22"/>
        </w:rPr>
      </w:pPr>
      <w:r>
        <w:rPr>
          <w:sz w:val="22"/>
          <w:szCs w:val="22"/>
        </w:rPr>
        <w:t>A</w:t>
      </w:r>
      <w:r w:rsidR="00FA7E40" w:rsidRPr="005E6135">
        <w:rPr>
          <w:sz w:val="22"/>
          <w:szCs w:val="22"/>
        </w:rPr>
        <w:t xml:space="preserve">ll ERS licensees </w:t>
      </w:r>
      <w:r w:rsidR="00215C9E">
        <w:rPr>
          <w:sz w:val="22"/>
          <w:szCs w:val="22"/>
        </w:rPr>
        <w:t xml:space="preserve">– whether holding the conventional or the new types of ERS licenses – </w:t>
      </w:r>
      <w:r>
        <w:rPr>
          <w:sz w:val="22"/>
          <w:szCs w:val="22"/>
        </w:rPr>
        <w:t xml:space="preserve">are required </w:t>
      </w:r>
      <w:r w:rsidR="00FA7E40" w:rsidRPr="005E6135">
        <w:rPr>
          <w:sz w:val="22"/>
          <w:szCs w:val="22"/>
        </w:rPr>
        <w:t>to operate on a non-harmful interference basis to authorized services</w:t>
      </w:r>
      <w:r>
        <w:rPr>
          <w:sz w:val="22"/>
          <w:szCs w:val="22"/>
        </w:rPr>
        <w:t xml:space="preserve">.  </w:t>
      </w:r>
      <w:r w:rsidR="00215C9E">
        <w:rPr>
          <w:sz w:val="22"/>
          <w:szCs w:val="22"/>
        </w:rPr>
        <w:t xml:space="preserve">For </w:t>
      </w:r>
      <w:r w:rsidR="00215C9E" w:rsidRPr="005E6135">
        <w:rPr>
          <w:sz w:val="22"/>
          <w:szCs w:val="22"/>
        </w:rPr>
        <w:t xml:space="preserve">each </w:t>
      </w:r>
      <w:r w:rsidR="00215C9E">
        <w:rPr>
          <w:sz w:val="22"/>
          <w:szCs w:val="22"/>
        </w:rPr>
        <w:t>program and medical testing</w:t>
      </w:r>
      <w:r w:rsidR="00215C9E" w:rsidRPr="005E6135">
        <w:rPr>
          <w:sz w:val="22"/>
          <w:szCs w:val="22"/>
        </w:rPr>
        <w:t xml:space="preserve"> </w:t>
      </w:r>
      <w:r w:rsidR="00215C9E">
        <w:rPr>
          <w:sz w:val="22"/>
          <w:szCs w:val="22"/>
        </w:rPr>
        <w:t xml:space="preserve">ERS </w:t>
      </w:r>
      <w:r w:rsidR="00215C9E" w:rsidRPr="005E6135">
        <w:rPr>
          <w:sz w:val="22"/>
          <w:szCs w:val="22"/>
        </w:rPr>
        <w:t>license</w:t>
      </w:r>
      <w:r w:rsidR="00215C9E">
        <w:rPr>
          <w:sz w:val="22"/>
          <w:szCs w:val="22"/>
        </w:rPr>
        <w:t xml:space="preserve">, </w:t>
      </w:r>
      <w:r w:rsidR="00FA7E40" w:rsidRPr="005E6135">
        <w:rPr>
          <w:sz w:val="22"/>
          <w:szCs w:val="22"/>
        </w:rPr>
        <w:t>t</w:t>
      </w:r>
      <w:r w:rsidR="00930BD6" w:rsidRPr="005E6135">
        <w:rPr>
          <w:sz w:val="22"/>
          <w:szCs w:val="22"/>
        </w:rPr>
        <w:t xml:space="preserve">he </w:t>
      </w:r>
      <w:r w:rsidR="00930BD6" w:rsidRPr="005E6135">
        <w:rPr>
          <w:i/>
          <w:sz w:val="22"/>
          <w:szCs w:val="22"/>
        </w:rPr>
        <w:t>R&amp;O</w:t>
      </w:r>
      <w:r w:rsidR="00930BD6" w:rsidRPr="005E6135">
        <w:rPr>
          <w:sz w:val="22"/>
          <w:szCs w:val="22"/>
        </w:rPr>
        <w:t xml:space="preserve"> </w:t>
      </w:r>
      <w:r w:rsidR="00215C9E">
        <w:rPr>
          <w:sz w:val="22"/>
          <w:szCs w:val="22"/>
        </w:rPr>
        <w:t xml:space="preserve">also </w:t>
      </w:r>
      <w:r w:rsidR="00930BD6" w:rsidRPr="005E6135">
        <w:rPr>
          <w:sz w:val="22"/>
          <w:szCs w:val="22"/>
        </w:rPr>
        <w:t>requir</w:t>
      </w:r>
      <w:r>
        <w:rPr>
          <w:sz w:val="22"/>
          <w:szCs w:val="22"/>
        </w:rPr>
        <w:t>es</w:t>
      </w:r>
      <w:r w:rsidR="00930BD6" w:rsidRPr="005E6135">
        <w:rPr>
          <w:sz w:val="22"/>
          <w:szCs w:val="22"/>
        </w:rPr>
        <w:t xml:space="preserve"> </w:t>
      </w:r>
      <w:r w:rsidR="00215C9E">
        <w:rPr>
          <w:sz w:val="22"/>
          <w:szCs w:val="22"/>
        </w:rPr>
        <w:t xml:space="preserve">the </w:t>
      </w:r>
      <w:r w:rsidR="00930BD6" w:rsidRPr="005E6135">
        <w:rPr>
          <w:sz w:val="22"/>
          <w:szCs w:val="22"/>
        </w:rPr>
        <w:t xml:space="preserve">licensee to develop a specific plan to avoid harmful interference to critical </w:t>
      </w:r>
      <w:r w:rsidR="002E7AFC">
        <w:rPr>
          <w:sz w:val="22"/>
          <w:szCs w:val="22"/>
        </w:rPr>
        <w:t>services</w:t>
      </w:r>
      <w:r>
        <w:rPr>
          <w:sz w:val="22"/>
          <w:szCs w:val="22"/>
        </w:rPr>
        <w:t xml:space="preserve"> </w:t>
      </w:r>
      <w:r w:rsidRPr="005E6135">
        <w:rPr>
          <w:sz w:val="22"/>
          <w:szCs w:val="22"/>
        </w:rPr>
        <w:t>(</w:t>
      </w:r>
      <w:r w:rsidRPr="005E6135">
        <w:rPr>
          <w:i/>
          <w:sz w:val="22"/>
          <w:szCs w:val="22"/>
        </w:rPr>
        <w:t>i.e</w:t>
      </w:r>
      <w:r w:rsidRPr="005E6135">
        <w:rPr>
          <w:sz w:val="22"/>
          <w:szCs w:val="22"/>
        </w:rPr>
        <w:t>. commercial mobile radio services, emergency notifications, and public safety radio services)</w:t>
      </w:r>
      <w:r w:rsidR="00930BD6" w:rsidRPr="005E6135">
        <w:rPr>
          <w:sz w:val="22"/>
          <w:szCs w:val="22"/>
        </w:rPr>
        <w:t>.</w:t>
      </w:r>
      <w:r w:rsidR="00E25178">
        <w:rPr>
          <w:sz w:val="22"/>
          <w:szCs w:val="22"/>
        </w:rPr>
        <w:t xml:space="preserve">  </w:t>
      </w:r>
      <w:r w:rsidR="008C66AE">
        <w:rPr>
          <w:sz w:val="22"/>
          <w:szCs w:val="22"/>
        </w:rPr>
        <w:t>Moreover</w:t>
      </w:r>
      <w:r w:rsidR="00E25178">
        <w:rPr>
          <w:sz w:val="22"/>
          <w:szCs w:val="22"/>
        </w:rPr>
        <w:t xml:space="preserve">, </w:t>
      </w:r>
      <w:r w:rsidR="00E25178" w:rsidRPr="005E6135">
        <w:rPr>
          <w:sz w:val="22"/>
          <w:szCs w:val="22"/>
        </w:rPr>
        <w:t xml:space="preserve">the </w:t>
      </w:r>
      <w:r w:rsidR="00E25178" w:rsidRPr="005E6135">
        <w:rPr>
          <w:i/>
          <w:sz w:val="22"/>
          <w:szCs w:val="22"/>
        </w:rPr>
        <w:t>R&amp;O</w:t>
      </w:r>
      <w:r w:rsidR="00E25178">
        <w:rPr>
          <w:i/>
          <w:sz w:val="22"/>
          <w:szCs w:val="22"/>
        </w:rPr>
        <w:t xml:space="preserve"> </w:t>
      </w:r>
      <w:r w:rsidR="00E25178">
        <w:rPr>
          <w:sz w:val="22"/>
          <w:szCs w:val="22"/>
        </w:rPr>
        <w:t xml:space="preserve">prohibited </w:t>
      </w:r>
      <w:r w:rsidR="00E25178" w:rsidRPr="008C66AE">
        <w:rPr>
          <w:sz w:val="22"/>
          <w:szCs w:val="22"/>
        </w:rPr>
        <w:t xml:space="preserve">program </w:t>
      </w:r>
      <w:r w:rsidR="00E25178">
        <w:rPr>
          <w:sz w:val="22"/>
          <w:szCs w:val="22"/>
        </w:rPr>
        <w:t xml:space="preserve">and medical testing </w:t>
      </w:r>
      <w:r w:rsidR="00E25178" w:rsidRPr="008C66AE">
        <w:rPr>
          <w:sz w:val="22"/>
          <w:szCs w:val="22"/>
        </w:rPr>
        <w:t xml:space="preserve">licensees </w:t>
      </w:r>
      <w:r w:rsidR="00E25178">
        <w:rPr>
          <w:sz w:val="22"/>
          <w:szCs w:val="22"/>
        </w:rPr>
        <w:t>from o</w:t>
      </w:r>
      <w:r w:rsidR="00E25178" w:rsidRPr="008C66AE">
        <w:rPr>
          <w:sz w:val="22"/>
          <w:szCs w:val="22"/>
        </w:rPr>
        <w:t>perat</w:t>
      </w:r>
      <w:r w:rsidR="00E25178">
        <w:rPr>
          <w:sz w:val="22"/>
          <w:szCs w:val="22"/>
        </w:rPr>
        <w:t>ing</w:t>
      </w:r>
      <w:r w:rsidR="00E25178" w:rsidRPr="008C66AE">
        <w:rPr>
          <w:sz w:val="22"/>
          <w:szCs w:val="22"/>
        </w:rPr>
        <w:t xml:space="preserve"> </w:t>
      </w:r>
      <w:r w:rsidR="005A01DD">
        <w:rPr>
          <w:sz w:val="22"/>
          <w:szCs w:val="22"/>
        </w:rPr>
        <w:t>i</w:t>
      </w:r>
      <w:r w:rsidR="00E25178" w:rsidRPr="008C66AE">
        <w:rPr>
          <w:sz w:val="22"/>
          <w:szCs w:val="22"/>
        </w:rPr>
        <w:t xml:space="preserve">n </w:t>
      </w:r>
      <w:r w:rsidR="005A01DD">
        <w:rPr>
          <w:sz w:val="22"/>
          <w:szCs w:val="22"/>
        </w:rPr>
        <w:t xml:space="preserve">certain </w:t>
      </w:r>
      <w:r w:rsidR="001266A1">
        <w:rPr>
          <w:sz w:val="22"/>
          <w:szCs w:val="22"/>
        </w:rPr>
        <w:t>“</w:t>
      </w:r>
      <w:r w:rsidR="005A01DD">
        <w:rPr>
          <w:sz w:val="22"/>
          <w:szCs w:val="22"/>
        </w:rPr>
        <w:t>restricted</w:t>
      </w:r>
      <w:r w:rsidR="001266A1">
        <w:rPr>
          <w:sz w:val="22"/>
          <w:szCs w:val="22"/>
        </w:rPr>
        <w:t>”</w:t>
      </w:r>
      <w:r w:rsidR="005A01DD">
        <w:rPr>
          <w:sz w:val="22"/>
          <w:szCs w:val="22"/>
        </w:rPr>
        <w:t xml:space="preserve"> and </w:t>
      </w:r>
      <w:r w:rsidR="000C116B">
        <w:rPr>
          <w:sz w:val="22"/>
          <w:szCs w:val="22"/>
        </w:rPr>
        <w:t>“</w:t>
      </w:r>
      <w:r w:rsidR="005A01DD">
        <w:rPr>
          <w:sz w:val="22"/>
          <w:szCs w:val="22"/>
        </w:rPr>
        <w:t>passive service</w:t>
      </w:r>
      <w:r w:rsidR="000C116B">
        <w:rPr>
          <w:sz w:val="22"/>
          <w:szCs w:val="22"/>
        </w:rPr>
        <w:t>”</w:t>
      </w:r>
      <w:r w:rsidR="005A01DD">
        <w:rPr>
          <w:sz w:val="22"/>
          <w:szCs w:val="22"/>
        </w:rPr>
        <w:t xml:space="preserve"> bands </w:t>
      </w:r>
      <w:r w:rsidR="000C116B">
        <w:rPr>
          <w:sz w:val="22"/>
          <w:szCs w:val="22"/>
        </w:rPr>
        <w:t>where safety-of-</w:t>
      </w:r>
      <w:r w:rsidR="005A01DD">
        <w:rPr>
          <w:sz w:val="22"/>
          <w:szCs w:val="22"/>
        </w:rPr>
        <w:t xml:space="preserve">life services </w:t>
      </w:r>
      <w:r w:rsidR="000C116B">
        <w:rPr>
          <w:sz w:val="22"/>
          <w:szCs w:val="22"/>
        </w:rPr>
        <w:t xml:space="preserve">or </w:t>
      </w:r>
      <w:r w:rsidR="005A01DD">
        <w:rPr>
          <w:sz w:val="22"/>
          <w:szCs w:val="22"/>
        </w:rPr>
        <w:t xml:space="preserve">services particularly sensitive to interference (such as the Radio Astronomy Service) </w:t>
      </w:r>
      <w:r w:rsidR="000C116B">
        <w:rPr>
          <w:sz w:val="22"/>
          <w:szCs w:val="22"/>
        </w:rPr>
        <w:t>operate.  Finally,</w:t>
      </w:r>
      <w:r w:rsidR="00930BD6" w:rsidRPr="005E6135">
        <w:rPr>
          <w:sz w:val="22"/>
          <w:szCs w:val="22"/>
        </w:rPr>
        <w:t xml:space="preserve"> the </w:t>
      </w:r>
      <w:r w:rsidR="00930BD6" w:rsidRPr="005E6135">
        <w:rPr>
          <w:i/>
          <w:sz w:val="22"/>
          <w:szCs w:val="22"/>
        </w:rPr>
        <w:t>R&amp;O</w:t>
      </w:r>
      <w:r w:rsidR="00930BD6" w:rsidRPr="005E6135">
        <w:rPr>
          <w:sz w:val="22"/>
          <w:szCs w:val="22"/>
        </w:rPr>
        <w:t xml:space="preserve"> created a new web-based registration system to track and manage experiments </w:t>
      </w:r>
      <w:r w:rsidR="009358DE">
        <w:rPr>
          <w:sz w:val="22"/>
          <w:szCs w:val="22"/>
        </w:rPr>
        <w:t>undertake</w:t>
      </w:r>
      <w:r w:rsidR="000D5FE1">
        <w:rPr>
          <w:sz w:val="22"/>
          <w:szCs w:val="22"/>
        </w:rPr>
        <w:t>n</w:t>
      </w:r>
      <w:r w:rsidR="009358DE">
        <w:rPr>
          <w:sz w:val="22"/>
          <w:szCs w:val="22"/>
        </w:rPr>
        <w:t xml:space="preserve"> by </w:t>
      </w:r>
      <w:r w:rsidR="00930BD6" w:rsidRPr="005E6135">
        <w:rPr>
          <w:sz w:val="22"/>
          <w:szCs w:val="22"/>
        </w:rPr>
        <w:t>program and medical testing licens</w:t>
      </w:r>
      <w:r w:rsidR="009358DE">
        <w:rPr>
          <w:sz w:val="22"/>
          <w:szCs w:val="22"/>
        </w:rPr>
        <w:t>e</w:t>
      </w:r>
      <w:r w:rsidR="00930BD6" w:rsidRPr="005E6135">
        <w:rPr>
          <w:sz w:val="22"/>
          <w:szCs w:val="22"/>
        </w:rPr>
        <w:t xml:space="preserve">es.  Plans for, and results from, </w:t>
      </w:r>
      <w:r w:rsidR="003D5565">
        <w:rPr>
          <w:sz w:val="22"/>
          <w:szCs w:val="22"/>
        </w:rPr>
        <w:t>program and medical testing</w:t>
      </w:r>
      <w:r w:rsidR="00930BD6" w:rsidRPr="005E6135">
        <w:rPr>
          <w:sz w:val="22"/>
          <w:szCs w:val="22"/>
        </w:rPr>
        <w:t xml:space="preserve"> experiments will be required to be posted </w:t>
      </w:r>
      <w:r w:rsidR="009358DE">
        <w:rPr>
          <w:sz w:val="22"/>
          <w:szCs w:val="22"/>
        </w:rPr>
        <w:t xml:space="preserve">by each licensee </w:t>
      </w:r>
      <w:r w:rsidR="00930BD6" w:rsidRPr="005E6135">
        <w:rPr>
          <w:sz w:val="22"/>
          <w:szCs w:val="22"/>
        </w:rPr>
        <w:t>to the</w:t>
      </w:r>
      <w:r w:rsidR="00C92056" w:rsidRPr="005E6135">
        <w:rPr>
          <w:sz w:val="22"/>
          <w:szCs w:val="22"/>
        </w:rPr>
        <w:t xml:space="preserve"> </w:t>
      </w:r>
      <w:r w:rsidR="00930BD6" w:rsidRPr="005E6135">
        <w:rPr>
          <w:sz w:val="22"/>
          <w:szCs w:val="22"/>
        </w:rPr>
        <w:t>C</w:t>
      </w:r>
      <w:r w:rsidR="00C92056" w:rsidRPr="005E6135">
        <w:rPr>
          <w:sz w:val="22"/>
          <w:szCs w:val="22"/>
        </w:rPr>
        <w:t>ommission</w:t>
      </w:r>
      <w:r w:rsidR="00930BD6" w:rsidRPr="005E6135">
        <w:rPr>
          <w:sz w:val="22"/>
          <w:szCs w:val="22"/>
        </w:rPr>
        <w:t xml:space="preserve">’s program experimental registration website. </w:t>
      </w:r>
      <w:r w:rsidR="002B702D">
        <w:rPr>
          <w:sz w:val="22"/>
          <w:szCs w:val="22"/>
        </w:rPr>
        <w:t xml:space="preserve"> Specifically, at least 10 days prior to commencement of any program or medical testing experiment, each licensee must provide in a website posting a narrative statement describing the experiment</w:t>
      </w:r>
      <w:r w:rsidR="00855997">
        <w:rPr>
          <w:sz w:val="22"/>
          <w:szCs w:val="22"/>
        </w:rPr>
        <w:t>,</w:t>
      </w:r>
      <w:r w:rsidR="00D95AB3">
        <w:rPr>
          <w:sz w:val="22"/>
          <w:szCs w:val="22"/>
        </w:rPr>
        <w:t xml:space="preserve"> </w:t>
      </w:r>
      <w:r w:rsidR="00855997">
        <w:rPr>
          <w:sz w:val="22"/>
          <w:szCs w:val="22"/>
        </w:rPr>
        <w:t xml:space="preserve">including </w:t>
      </w:r>
      <w:r w:rsidR="002B702D">
        <w:rPr>
          <w:sz w:val="22"/>
          <w:szCs w:val="22"/>
        </w:rPr>
        <w:t>technical details</w:t>
      </w:r>
      <w:r w:rsidR="00855997">
        <w:rPr>
          <w:sz w:val="22"/>
          <w:szCs w:val="22"/>
        </w:rPr>
        <w:t xml:space="preserve"> of the experiment and</w:t>
      </w:r>
      <w:r w:rsidR="00855997" w:rsidRPr="00855997">
        <w:rPr>
          <w:sz w:val="22"/>
          <w:szCs w:val="22"/>
        </w:rPr>
        <w:t xml:space="preserve"> </w:t>
      </w:r>
      <w:r w:rsidR="00855997">
        <w:rPr>
          <w:sz w:val="22"/>
          <w:szCs w:val="22"/>
        </w:rPr>
        <w:t>a contact point for additional information about the experiment</w:t>
      </w:r>
      <w:r w:rsidR="000D5FE1">
        <w:rPr>
          <w:sz w:val="22"/>
          <w:szCs w:val="22"/>
        </w:rPr>
        <w:t xml:space="preserve"> as well as a “stop buzzer” contact</w:t>
      </w:r>
      <w:r w:rsidR="002B702D">
        <w:rPr>
          <w:sz w:val="22"/>
          <w:szCs w:val="22"/>
        </w:rPr>
        <w:t xml:space="preserve">. </w:t>
      </w:r>
      <w:r w:rsidR="00855997">
        <w:rPr>
          <w:sz w:val="22"/>
          <w:szCs w:val="22"/>
        </w:rPr>
        <w:t xml:space="preserve"> </w:t>
      </w:r>
      <w:r w:rsidR="002B702D">
        <w:rPr>
          <w:sz w:val="22"/>
          <w:szCs w:val="22"/>
        </w:rPr>
        <w:t xml:space="preserve">Within 30 days </w:t>
      </w:r>
      <w:r w:rsidR="00855997">
        <w:rPr>
          <w:sz w:val="22"/>
          <w:szCs w:val="22"/>
        </w:rPr>
        <w:t>of</w:t>
      </w:r>
      <w:r w:rsidR="002B702D">
        <w:rPr>
          <w:sz w:val="22"/>
          <w:szCs w:val="22"/>
        </w:rPr>
        <w:t xml:space="preserve"> completion of the experiment, each licensee must file a narrative statement describing th</w:t>
      </w:r>
      <w:r w:rsidR="00D95AB3">
        <w:rPr>
          <w:sz w:val="22"/>
          <w:szCs w:val="22"/>
        </w:rPr>
        <w:t>e results of the experiment.  Additionally, each medical testing licensee must file a yearly report detailing the activity that has been performed under its license.</w:t>
      </w:r>
    </w:p>
    <w:p w:rsidR="0061184B" w:rsidRPr="005E6135" w:rsidRDefault="0061184B" w:rsidP="00930BD6">
      <w:pPr>
        <w:rPr>
          <w:sz w:val="22"/>
          <w:szCs w:val="22"/>
        </w:rPr>
      </w:pPr>
    </w:p>
    <w:p w:rsidR="0061184B" w:rsidRPr="005E6135" w:rsidRDefault="0061184B" w:rsidP="0061184B">
      <w:pPr>
        <w:rPr>
          <w:b/>
          <w:sz w:val="22"/>
          <w:szCs w:val="22"/>
          <w:u w:val="single"/>
        </w:rPr>
      </w:pPr>
      <w:r>
        <w:rPr>
          <w:b/>
          <w:sz w:val="22"/>
          <w:szCs w:val="22"/>
          <w:u w:val="single"/>
        </w:rPr>
        <w:t>5</w:t>
      </w:r>
      <w:r w:rsidRPr="005E6135">
        <w:rPr>
          <w:b/>
          <w:sz w:val="22"/>
          <w:szCs w:val="22"/>
          <w:u w:val="single"/>
        </w:rPr>
        <w:t xml:space="preserve">.  Requirements Applicable to </w:t>
      </w:r>
      <w:r w:rsidR="009D5B97">
        <w:rPr>
          <w:b/>
          <w:sz w:val="22"/>
          <w:szCs w:val="22"/>
          <w:u w:val="single"/>
        </w:rPr>
        <w:t>Compliance</w:t>
      </w:r>
      <w:r w:rsidRPr="005E6135">
        <w:rPr>
          <w:b/>
          <w:sz w:val="22"/>
          <w:szCs w:val="22"/>
          <w:u w:val="single"/>
        </w:rPr>
        <w:t xml:space="preserve"> Testing Licensees</w:t>
      </w:r>
    </w:p>
    <w:p w:rsidR="00930BD6" w:rsidRDefault="003D4AF7">
      <w:pPr>
        <w:rPr>
          <w:b/>
          <w:sz w:val="22"/>
          <w:szCs w:val="22"/>
          <w:u w:val="single"/>
        </w:rPr>
      </w:pPr>
      <w:r>
        <w:rPr>
          <w:b/>
          <w:sz w:val="22"/>
          <w:szCs w:val="22"/>
          <w:u w:val="single"/>
        </w:rPr>
        <w:t xml:space="preserve"> </w:t>
      </w:r>
    </w:p>
    <w:p w:rsidR="009D5B97" w:rsidRPr="001B3C9D" w:rsidRDefault="00936F1E">
      <w:pPr>
        <w:rPr>
          <w:b/>
          <w:sz w:val="22"/>
          <w:szCs w:val="22"/>
          <w:u w:val="single"/>
        </w:rPr>
      </w:pPr>
      <w:r w:rsidRPr="00356735">
        <w:rPr>
          <w:sz w:val="22"/>
          <w:szCs w:val="22"/>
        </w:rPr>
        <w:t xml:space="preserve">The limitations and reporting obligations that the </w:t>
      </w:r>
      <w:r w:rsidRPr="00356735">
        <w:rPr>
          <w:i/>
          <w:iCs/>
          <w:sz w:val="22"/>
          <w:szCs w:val="22"/>
        </w:rPr>
        <w:t xml:space="preserve">R&amp;O </w:t>
      </w:r>
      <w:r w:rsidRPr="00356735">
        <w:rPr>
          <w:sz w:val="22"/>
          <w:szCs w:val="22"/>
        </w:rPr>
        <w:t xml:space="preserve">adopted for compliance testing licenses are designed to accommodate the purpose of such licenses – to enable FCC-approved laboratories to test various communications products for compliance with the Commission’s RF limits.  Thus, the prohibition on operating in restricted and passive service bands, which applies to program and medical testing licenses, do not apply to compliance testing licenses because the Commission issues these licenses to test, </w:t>
      </w:r>
      <w:r w:rsidRPr="00356735">
        <w:rPr>
          <w:i/>
          <w:iCs/>
          <w:sz w:val="22"/>
          <w:szCs w:val="22"/>
        </w:rPr>
        <w:t>inter alia</w:t>
      </w:r>
      <w:r w:rsidRPr="00356735">
        <w:rPr>
          <w:sz w:val="22"/>
          <w:szCs w:val="22"/>
        </w:rPr>
        <w:t xml:space="preserve">, products designed to operate in these bands.  </w:t>
      </w:r>
      <w:r w:rsidR="00CE3AB6">
        <w:rPr>
          <w:sz w:val="22"/>
          <w:szCs w:val="22"/>
        </w:rPr>
        <w:t xml:space="preserve">Additionally, the </w:t>
      </w:r>
      <w:r w:rsidR="00CE3AB6" w:rsidRPr="004F06C7">
        <w:rPr>
          <w:i/>
          <w:sz w:val="22"/>
          <w:szCs w:val="22"/>
        </w:rPr>
        <w:t>R&amp;O</w:t>
      </w:r>
      <w:r w:rsidR="00CE3AB6" w:rsidRPr="004F06C7">
        <w:rPr>
          <w:sz w:val="22"/>
          <w:szCs w:val="22"/>
        </w:rPr>
        <w:t xml:space="preserve"> </w:t>
      </w:r>
      <w:r w:rsidR="00CE3AB6">
        <w:rPr>
          <w:sz w:val="22"/>
          <w:szCs w:val="22"/>
        </w:rPr>
        <w:t>did not impose any website notification and reporting requirements</w:t>
      </w:r>
      <w:r w:rsidR="008C66AE">
        <w:rPr>
          <w:sz w:val="22"/>
          <w:szCs w:val="22"/>
        </w:rPr>
        <w:t xml:space="preserve"> on compliance testing licensees</w:t>
      </w:r>
      <w:r w:rsidR="00CE3AB6">
        <w:rPr>
          <w:sz w:val="22"/>
          <w:szCs w:val="22"/>
        </w:rPr>
        <w:t xml:space="preserve">, as there is no significant </w:t>
      </w:r>
      <w:r w:rsidR="00CE3AB6" w:rsidRPr="008C66AE">
        <w:rPr>
          <w:sz w:val="22"/>
          <w:szCs w:val="22"/>
        </w:rPr>
        <w:t xml:space="preserve">interference risk </w:t>
      </w:r>
      <w:r w:rsidR="00CE3AB6">
        <w:rPr>
          <w:sz w:val="22"/>
          <w:szCs w:val="22"/>
        </w:rPr>
        <w:t xml:space="preserve">involved with </w:t>
      </w:r>
      <w:r w:rsidR="00CE3AB6" w:rsidRPr="008C66AE">
        <w:rPr>
          <w:sz w:val="22"/>
          <w:szCs w:val="22"/>
        </w:rPr>
        <w:t>test</w:t>
      </w:r>
      <w:r w:rsidR="001266A1">
        <w:rPr>
          <w:sz w:val="22"/>
          <w:szCs w:val="22"/>
        </w:rPr>
        <w:t>ing</w:t>
      </w:r>
      <w:r w:rsidR="00CE3AB6" w:rsidRPr="008C66AE">
        <w:rPr>
          <w:sz w:val="22"/>
          <w:szCs w:val="22"/>
        </w:rPr>
        <w:t xml:space="preserve"> lab</w:t>
      </w:r>
      <w:r w:rsidR="001266A1">
        <w:rPr>
          <w:sz w:val="22"/>
          <w:szCs w:val="22"/>
        </w:rPr>
        <w:t>oratorie</w:t>
      </w:r>
      <w:r w:rsidR="00CE3AB6">
        <w:rPr>
          <w:sz w:val="22"/>
          <w:szCs w:val="22"/>
        </w:rPr>
        <w:t>s</w:t>
      </w:r>
      <w:r w:rsidR="00CE3AB6" w:rsidRPr="008C66AE">
        <w:rPr>
          <w:sz w:val="22"/>
          <w:szCs w:val="22"/>
        </w:rPr>
        <w:t xml:space="preserve"> certifying equipment for compliance with </w:t>
      </w:r>
      <w:r w:rsidR="00CE3AB6">
        <w:rPr>
          <w:sz w:val="22"/>
          <w:szCs w:val="22"/>
        </w:rPr>
        <w:t xml:space="preserve">Commission </w:t>
      </w:r>
      <w:r w:rsidR="00CE3AB6" w:rsidRPr="008C66AE">
        <w:rPr>
          <w:sz w:val="22"/>
          <w:szCs w:val="22"/>
        </w:rPr>
        <w:t>rules</w:t>
      </w:r>
      <w:r w:rsidR="003D3D82">
        <w:rPr>
          <w:sz w:val="22"/>
          <w:szCs w:val="22"/>
        </w:rPr>
        <w:t>,</w:t>
      </w:r>
      <w:r w:rsidR="0009456E">
        <w:rPr>
          <w:sz w:val="22"/>
          <w:szCs w:val="22"/>
        </w:rPr>
        <w:t xml:space="preserve"> and test reporting is already required</w:t>
      </w:r>
      <w:r w:rsidR="00CB5787">
        <w:rPr>
          <w:sz w:val="22"/>
          <w:szCs w:val="22"/>
        </w:rPr>
        <w:t xml:space="preserve"> of them</w:t>
      </w:r>
      <w:r w:rsidR="00CE3AB6" w:rsidRPr="008C66AE">
        <w:rPr>
          <w:sz w:val="22"/>
          <w:szCs w:val="22"/>
        </w:rPr>
        <w:t>.</w:t>
      </w:r>
      <w:r w:rsidR="00CE3AB6">
        <w:rPr>
          <w:sz w:val="22"/>
          <w:szCs w:val="22"/>
        </w:rPr>
        <w:t xml:space="preserve">  However, </w:t>
      </w:r>
      <w:r w:rsidR="001B3C9D">
        <w:rPr>
          <w:sz w:val="22"/>
          <w:szCs w:val="22"/>
        </w:rPr>
        <w:t xml:space="preserve">the </w:t>
      </w:r>
      <w:r w:rsidR="001B3C9D" w:rsidRPr="004F06C7">
        <w:rPr>
          <w:i/>
          <w:sz w:val="22"/>
          <w:szCs w:val="22"/>
        </w:rPr>
        <w:t>R&amp;O</w:t>
      </w:r>
      <w:r w:rsidR="001B3C9D" w:rsidRPr="004F06C7">
        <w:rPr>
          <w:sz w:val="22"/>
          <w:szCs w:val="22"/>
        </w:rPr>
        <w:t xml:space="preserve"> </w:t>
      </w:r>
      <w:r w:rsidR="001B3C9D">
        <w:rPr>
          <w:sz w:val="22"/>
          <w:szCs w:val="22"/>
        </w:rPr>
        <w:t>limit</w:t>
      </w:r>
      <w:r w:rsidR="00E25178">
        <w:rPr>
          <w:sz w:val="22"/>
          <w:szCs w:val="22"/>
        </w:rPr>
        <w:t>ed</w:t>
      </w:r>
      <w:r w:rsidR="001B3C9D">
        <w:rPr>
          <w:sz w:val="22"/>
          <w:szCs w:val="22"/>
        </w:rPr>
        <w:t xml:space="preserve"> compliance testing </w:t>
      </w:r>
      <w:r w:rsidR="00DE78F9" w:rsidRPr="001B3C9D">
        <w:rPr>
          <w:sz w:val="22"/>
          <w:szCs w:val="22"/>
        </w:rPr>
        <w:t>eligibility to Commission-recognized testing laboratories</w:t>
      </w:r>
      <w:r w:rsidR="001B3C9D">
        <w:rPr>
          <w:sz w:val="22"/>
          <w:szCs w:val="22"/>
        </w:rPr>
        <w:t>, in order</w:t>
      </w:r>
      <w:r w:rsidR="00DE78F9" w:rsidRPr="001B3C9D">
        <w:rPr>
          <w:sz w:val="22"/>
          <w:szCs w:val="22"/>
        </w:rPr>
        <w:t xml:space="preserve"> to provide assurance to the public of the competency of the entities that </w:t>
      </w:r>
      <w:r w:rsidR="007A6F6B">
        <w:rPr>
          <w:sz w:val="22"/>
          <w:szCs w:val="22"/>
        </w:rPr>
        <w:t xml:space="preserve">have been given the broad authority to </w:t>
      </w:r>
      <w:r w:rsidR="00DE78F9" w:rsidRPr="001B3C9D">
        <w:rPr>
          <w:sz w:val="22"/>
          <w:szCs w:val="22"/>
        </w:rPr>
        <w:t>engage in compliance testing</w:t>
      </w:r>
      <w:r w:rsidR="001B3C9D" w:rsidRPr="001B3C9D">
        <w:rPr>
          <w:szCs w:val="22"/>
        </w:rPr>
        <w:t xml:space="preserve"> </w:t>
      </w:r>
      <w:r w:rsidR="001B3C9D">
        <w:rPr>
          <w:szCs w:val="22"/>
        </w:rPr>
        <w:t xml:space="preserve"> </w:t>
      </w:r>
      <w:r w:rsidR="001B3C9D" w:rsidRPr="001B3C9D">
        <w:rPr>
          <w:sz w:val="22"/>
          <w:szCs w:val="22"/>
        </w:rPr>
        <w:t xml:space="preserve">In addition, the authority </w:t>
      </w:r>
      <w:r w:rsidR="00F60CBC">
        <w:rPr>
          <w:sz w:val="22"/>
          <w:szCs w:val="22"/>
        </w:rPr>
        <w:t xml:space="preserve">to operate under a </w:t>
      </w:r>
      <w:r w:rsidR="001B3C9D" w:rsidRPr="001B3C9D">
        <w:rPr>
          <w:sz w:val="22"/>
          <w:szCs w:val="22"/>
        </w:rPr>
        <w:t xml:space="preserve">compliance testing license </w:t>
      </w:r>
      <w:r w:rsidR="00F60CBC">
        <w:rPr>
          <w:sz w:val="22"/>
          <w:szCs w:val="22"/>
        </w:rPr>
        <w:t xml:space="preserve">extends </w:t>
      </w:r>
      <w:r w:rsidR="001B3C9D" w:rsidRPr="001B3C9D">
        <w:rPr>
          <w:sz w:val="22"/>
          <w:szCs w:val="22"/>
        </w:rPr>
        <w:t xml:space="preserve">only </w:t>
      </w:r>
      <w:r w:rsidR="00F60CBC">
        <w:rPr>
          <w:sz w:val="22"/>
          <w:szCs w:val="22"/>
        </w:rPr>
        <w:t xml:space="preserve">to </w:t>
      </w:r>
      <w:r w:rsidR="001B3C9D" w:rsidRPr="001B3C9D">
        <w:rPr>
          <w:sz w:val="22"/>
          <w:szCs w:val="22"/>
        </w:rPr>
        <w:t>those testing activities necessary for product certification</w:t>
      </w:r>
      <w:r w:rsidR="00E26E5E">
        <w:rPr>
          <w:sz w:val="22"/>
          <w:szCs w:val="22"/>
        </w:rPr>
        <w:t>.  Compliance testing licensees are specifically</w:t>
      </w:r>
      <w:r w:rsidR="001B3C9D">
        <w:rPr>
          <w:sz w:val="22"/>
          <w:szCs w:val="22"/>
        </w:rPr>
        <w:t xml:space="preserve"> not</w:t>
      </w:r>
      <w:r w:rsidR="001B3C9D" w:rsidRPr="001B3C9D">
        <w:rPr>
          <w:sz w:val="22"/>
          <w:szCs w:val="22"/>
        </w:rPr>
        <w:t xml:space="preserve"> </w:t>
      </w:r>
      <w:r w:rsidR="00E26E5E">
        <w:rPr>
          <w:sz w:val="22"/>
          <w:szCs w:val="22"/>
        </w:rPr>
        <w:t xml:space="preserve">authorized </w:t>
      </w:r>
      <w:r w:rsidR="001B3C9D" w:rsidRPr="001B3C9D">
        <w:rPr>
          <w:sz w:val="22"/>
          <w:szCs w:val="22"/>
        </w:rPr>
        <w:t xml:space="preserve">to </w:t>
      </w:r>
      <w:r w:rsidR="00E26E5E">
        <w:rPr>
          <w:sz w:val="22"/>
          <w:szCs w:val="22"/>
        </w:rPr>
        <w:t xml:space="preserve">conduct </w:t>
      </w:r>
      <w:r w:rsidR="006926F6">
        <w:rPr>
          <w:sz w:val="22"/>
          <w:szCs w:val="22"/>
        </w:rPr>
        <w:t xml:space="preserve">product </w:t>
      </w:r>
      <w:r w:rsidR="001B3C9D" w:rsidRPr="001B3C9D">
        <w:rPr>
          <w:sz w:val="22"/>
          <w:szCs w:val="22"/>
        </w:rPr>
        <w:t>immunity testing</w:t>
      </w:r>
      <w:r w:rsidR="00E26E5E">
        <w:rPr>
          <w:sz w:val="22"/>
          <w:szCs w:val="22"/>
        </w:rPr>
        <w:t>, which</w:t>
      </w:r>
      <w:r w:rsidR="001B3C9D" w:rsidRPr="001B3C9D">
        <w:rPr>
          <w:sz w:val="22"/>
          <w:szCs w:val="22"/>
        </w:rPr>
        <w:t xml:space="preserve"> often entails high</w:t>
      </w:r>
      <w:r w:rsidR="00DE78DB">
        <w:rPr>
          <w:sz w:val="22"/>
          <w:szCs w:val="22"/>
        </w:rPr>
        <w:t>-</w:t>
      </w:r>
      <w:r w:rsidR="001B3C9D" w:rsidRPr="001B3C9D">
        <w:rPr>
          <w:sz w:val="22"/>
          <w:szCs w:val="22"/>
        </w:rPr>
        <w:t xml:space="preserve">powered emissions over a very broad swath of spectrum, </w:t>
      </w:r>
      <w:r w:rsidR="00E26E5E">
        <w:rPr>
          <w:sz w:val="22"/>
          <w:szCs w:val="22"/>
        </w:rPr>
        <w:t xml:space="preserve">and so </w:t>
      </w:r>
      <w:r w:rsidR="001B3C9D" w:rsidRPr="001B3C9D">
        <w:rPr>
          <w:sz w:val="22"/>
          <w:szCs w:val="22"/>
        </w:rPr>
        <w:t>could pose a significant risk of interference to other systems, including Federal systems.</w:t>
      </w:r>
      <w:r w:rsidR="001B3C9D">
        <w:rPr>
          <w:sz w:val="22"/>
          <w:szCs w:val="22"/>
        </w:rPr>
        <w:t xml:space="preserve">  Accordingly,</w:t>
      </w:r>
      <w:r w:rsidR="001B3C9D" w:rsidRPr="001B3C9D">
        <w:rPr>
          <w:sz w:val="22"/>
          <w:szCs w:val="22"/>
        </w:rPr>
        <w:t xml:space="preserve"> </w:t>
      </w:r>
      <w:r w:rsidR="001B3C9D" w:rsidRPr="004F06C7">
        <w:rPr>
          <w:sz w:val="22"/>
          <w:szCs w:val="22"/>
        </w:rPr>
        <w:t xml:space="preserve">the </w:t>
      </w:r>
      <w:r w:rsidR="001B3C9D" w:rsidRPr="004F06C7">
        <w:rPr>
          <w:i/>
          <w:sz w:val="22"/>
          <w:szCs w:val="22"/>
        </w:rPr>
        <w:t>R&amp;O</w:t>
      </w:r>
      <w:r w:rsidR="001B3C9D" w:rsidRPr="001B3C9D">
        <w:rPr>
          <w:sz w:val="22"/>
          <w:szCs w:val="22"/>
        </w:rPr>
        <w:t xml:space="preserve"> </w:t>
      </w:r>
      <w:r w:rsidR="001B3C9D">
        <w:rPr>
          <w:sz w:val="22"/>
          <w:szCs w:val="22"/>
        </w:rPr>
        <w:t>require</w:t>
      </w:r>
      <w:r w:rsidR="00E26E5E">
        <w:rPr>
          <w:sz w:val="22"/>
          <w:szCs w:val="22"/>
        </w:rPr>
        <w:t>s</w:t>
      </w:r>
      <w:r w:rsidR="001B3C9D">
        <w:rPr>
          <w:sz w:val="22"/>
          <w:szCs w:val="22"/>
        </w:rPr>
        <w:t xml:space="preserve"> a</w:t>
      </w:r>
      <w:r w:rsidR="001B3C9D" w:rsidRPr="001B3C9D">
        <w:rPr>
          <w:sz w:val="22"/>
          <w:szCs w:val="22"/>
        </w:rPr>
        <w:t xml:space="preserve"> conventional experimental license for immunity testing</w:t>
      </w:r>
      <w:r w:rsidR="001B3C9D">
        <w:rPr>
          <w:sz w:val="22"/>
          <w:szCs w:val="22"/>
        </w:rPr>
        <w:t xml:space="preserve">, </w:t>
      </w:r>
      <w:r w:rsidR="001B3C9D" w:rsidRPr="001B3C9D">
        <w:rPr>
          <w:sz w:val="22"/>
          <w:szCs w:val="22"/>
        </w:rPr>
        <w:t xml:space="preserve">to ensure that all necessary coordination is conducted and that all reasonable precautions against </w:t>
      </w:r>
      <w:r w:rsidR="001B3C9D">
        <w:rPr>
          <w:sz w:val="22"/>
          <w:szCs w:val="22"/>
        </w:rPr>
        <w:t xml:space="preserve">harmful </w:t>
      </w:r>
      <w:r w:rsidR="001B3C9D" w:rsidRPr="001B3C9D">
        <w:rPr>
          <w:sz w:val="22"/>
          <w:szCs w:val="22"/>
        </w:rPr>
        <w:t xml:space="preserve">interference are taken.  </w:t>
      </w:r>
    </w:p>
    <w:p w:rsidR="000D5FE1" w:rsidRPr="005E6135" w:rsidRDefault="000D5FE1">
      <w:pPr>
        <w:rPr>
          <w:b/>
          <w:sz w:val="22"/>
          <w:szCs w:val="22"/>
          <w:u w:val="single"/>
        </w:rPr>
      </w:pPr>
    </w:p>
    <w:p w:rsidR="00EB311B" w:rsidRPr="005E6135" w:rsidRDefault="0061184B">
      <w:pPr>
        <w:rPr>
          <w:b/>
          <w:sz w:val="22"/>
          <w:szCs w:val="22"/>
          <w:u w:val="single"/>
        </w:rPr>
      </w:pPr>
      <w:r>
        <w:rPr>
          <w:b/>
          <w:sz w:val="22"/>
          <w:szCs w:val="22"/>
          <w:u w:val="single"/>
        </w:rPr>
        <w:t>6</w:t>
      </w:r>
      <w:r w:rsidR="00061047" w:rsidRPr="005E6135">
        <w:rPr>
          <w:b/>
          <w:sz w:val="22"/>
          <w:szCs w:val="22"/>
          <w:u w:val="single"/>
        </w:rPr>
        <w:t xml:space="preserve">.  </w:t>
      </w:r>
      <w:r w:rsidR="005E0D5F" w:rsidRPr="005E6135">
        <w:rPr>
          <w:b/>
          <w:sz w:val="22"/>
          <w:szCs w:val="22"/>
          <w:u w:val="single"/>
        </w:rPr>
        <w:t>Innovation Zones</w:t>
      </w:r>
    </w:p>
    <w:p w:rsidR="00061047" w:rsidRPr="005E6135" w:rsidRDefault="00061047" w:rsidP="00061047">
      <w:pPr>
        <w:rPr>
          <w:sz w:val="22"/>
          <w:szCs w:val="22"/>
        </w:rPr>
      </w:pPr>
    </w:p>
    <w:p w:rsidR="00327106" w:rsidRPr="00356735" w:rsidRDefault="005E0D5F" w:rsidP="00356735">
      <w:pPr>
        <w:tabs>
          <w:tab w:val="left" w:pos="360"/>
        </w:tabs>
        <w:spacing w:after="220"/>
        <w:rPr>
          <w:sz w:val="22"/>
          <w:szCs w:val="22"/>
        </w:rPr>
      </w:pPr>
      <w:r w:rsidRPr="005E6135">
        <w:rPr>
          <w:rFonts w:eastAsia="Batang"/>
          <w:sz w:val="22"/>
          <w:szCs w:val="22"/>
          <w:lang w:eastAsia="ko-KR"/>
        </w:rPr>
        <w:t xml:space="preserve">The </w:t>
      </w:r>
      <w:r w:rsidRPr="005E6135">
        <w:rPr>
          <w:i/>
          <w:sz w:val="22"/>
          <w:szCs w:val="22"/>
        </w:rPr>
        <w:t>R&amp;O</w:t>
      </w:r>
      <w:r w:rsidRPr="005E6135">
        <w:rPr>
          <w:sz w:val="22"/>
          <w:szCs w:val="22"/>
        </w:rPr>
        <w:t xml:space="preserve"> </w:t>
      </w:r>
      <w:r w:rsidRPr="005E6135">
        <w:rPr>
          <w:rFonts w:eastAsia="Batang"/>
          <w:sz w:val="22"/>
          <w:szCs w:val="22"/>
          <w:lang w:eastAsia="ko-KR"/>
        </w:rPr>
        <w:t>adopted rules that allow the Commission</w:t>
      </w:r>
      <w:r w:rsidR="000D14B8" w:rsidRPr="005E6135">
        <w:rPr>
          <w:rFonts w:eastAsia="Batang"/>
          <w:sz w:val="22"/>
          <w:szCs w:val="22"/>
          <w:lang w:eastAsia="ko-KR"/>
        </w:rPr>
        <w:t xml:space="preserve"> </w:t>
      </w:r>
      <w:r w:rsidRPr="005E6135">
        <w:rPr>
          <w:rFonts w:eastAsia="Batang"/>
          <w:sz w:val="22"/>
          <w:szCs w:val="22"/>
          <w:lang w:eastAsia="ko-KR"/>
        </w:rPr>
        <w:t>– on its own motion or in response to a public request – to designate a defined geographic area and frequency range(s) as an innovation zone for specific types of program experiments</w:t>
      </w:r>
      <w:r w:rsidR="000D14B8" w:rsidRPr="005E6135">
        <w:rPr>
          <w:rFonts w:eastAsia="Batang"/>
          <w:sz w:val="22"/>
          <w:szCs w:val="22"/>
          <w:lang w:eastAsia="ko-KR"/>
        </w:rPr>
        <w:t xml:space="preserve"> to provide opportunities to test potentially innovative wireless devices in real world operating environments.</w:t>
      </w:r>
      <w:r w:rsidRPr="005E6135">
        <w:rPr>
          <w:rFonts w:eastAsia="Batang"/>
          <w:sz w:val="22"/>
          <w:szCs w:val="22"/>
          <w:lang w:eastAsia="ko-KR"/>
        </w:rPr>
        <w:t xml:space="preserve">  </w:t>
      </w:r>
      <w:r w:rsidR="00327106" w:rsidRPr="00356735">
        <w:rPr>
          <w:sz w:val="22"/>
          <w:szCs w:val="22"/>
        </w:rPr>
        <w:t xml:space="preserve"> Innovation zones will be announced via public notice and posted on the Commission’s program experimental registration website.  A program experimental licensee may conduct experiments in an innovation zone consistent with the specified boundary conditions without specific authorization from the Commission.  All licensees operating under this authority must comply with the requirements and limitations set forth for program licensees in this part, including providing notification of its intended operations on the program experimental registration website prior to operation.</w:t>
      </w:r>
      <w:r w:rsidR="00327106" w:rsidRPr="00356735">
        <w:rPr>
          <w:b/>
          <w:sz w:val="22"/>
          <w:szCs w:val="22"/>
        </w:rPr>
        <w:tab/>
      </w:r>
    </w:p>
    <w:p w:rsidR="006C7487" w:rsidRPr="005E6135" w:rsidRDefault="006C7487" w:rsidP="00061047">
      <w:pPr>
        <w:rPr>
          <w:rFonts w:eastAsia="Batang"/>
          <w:sz w:val="22"/>
          <w:szCs w:val="22"/>
          <w:lang w:eastAsia="ko-KR"/>
        </w:rPr>
      </w:pPr>
    </w:p>
    <w:p w:rsidR="00B03A50" w:rsidRPr="005E6135" w:rsidRDefault="0061184B" w:rsidP="00B03A50">
      <w:pPr>
        <w:rPr>
          <w:sz w:val="22"/>
          <w:szCs w:val="22"/>
        </w:rPr>
      </w:pPr>
      <w:r>
        <w:rPr>
          <w:b/>
          <w:sz w:val="22"/>
          <w:szCs w:val="22"/>
          <w:u w:val="single"/>
        </w:rPr>
        <w:t>7</w:t>
      </w:r>
      <w:r w:rsidR="00B03A50" w:rsidRPr="005E6135">
        <w:rPr>
          <w:b/>
          <w:sz w:val="22"/>
          <w:szCs w:val="22"/>
          <w:u w:val="single"/>
        </w:rPr>
        <w:t xml:space="preserve">.  Product Development Trials and Market Trials </w:t>
      </w:r>
    </w:p>
    <w:p w:rsidR="00B03A50" w:rsidRPr="005E6135" w:rsidRDefault="00B03A50" w:rsidP="00061047">
      <w:pPr>
        <w:rPr>
          <w:sz w:val="22"/>
          <w:szCs w:val="22"/>
        </w:rPr>
      </w:pPr>
    </w:p>
    <w:p w:rsidR="00B03A50" w:rsidRPr="00A5139E" w:rsidRDefault="00B03A50" w:rsidP="000D5FE1">
      <w:pPr>
        <w:rPr>
          <w:sz w:val="22"/>
          <w:szCs w:val="22"/>
        </w:rPr>
      </w:pPr>
      <w:r w:rsidRPr="005E6135">
        <w:rPr>
          <w:rFonts w:eastAsia="Batang"/>
          <w:sz w:val="22"/>
          <w:szCs w:val="22"/>
          <w:lang w:eastAsia="ko-KR"/>
        </w:rPr>
        <w:t xml:space="preserve">The </w:t>
      </w:r>
      <w:r w:rsidRPr="005E6135">
        <w:rPr>
          <w:i/>
          <w:sz w:val="22"/>
          <w:szCs w:val="22"/>
        </w:rPr>
        <w:t>R&amp;O</w:t>
      </w:r>
      <w:r w:rsidRPr="005E6135">
        <w:rPr>
          <w:sz w:val="22"/>
          <w:szCs w:val="22"/>
        </w:rPr>
        <w:t xml:space="preserve"> </w:t>
      </w:r>
      <w:r w:rsidRPr="005E6135">
        <w:rPr>
          <w:rFonts w:eastAsia="Batang"/>
          <w:sz w:val="22"/>
          <w:szCs w:val="22"/>
          <w:lang w:eastAsia="ko-KR"/>
        </w:rPr>
        <w:t>adopted rules that</w:t>
      </w:r>
      <w:r w:rsidRPr="005E6135">
        <w:rPr>
          <w:sz w:val="22"/>
          <w:szCs w:val="22"/>
        </w:rPr>
        <w:t xml:space="preserve"> differentiate between product development trials and market trial</w:t>
      </w:r>
      <w:r w:rsidR="00C83E7D" w:rsidRPr="005E6135">
        <w:rPr>
          <w:sz w:val="22"/>
          <w:szCs w:val="22"/>
        </w:rPr>
        <w:t>s</w:t>
      </w:r>
      <w:r w:rsidRPr="005E6135">
        <w:rPr>
          <w:sz w:val="22"/>
          <w:szCs w:val="22"/>
        </w:rPr>
        <w:t xml:space="preserve">.  </w:t>
      </w:r>
      <w:r w:rsidR="000D5FE1" w:rsidRPr="000D5FE1">
        <w:rPr>
          <w:sz w:val="22"/>
          <w:szCs w:val="22"/>
        </w:rPr>
        <w:t>A product development trial will permit parties to evaluate product performance in the conceptual, developmental, and design stages, whereas a market trial will permit parties to evaluate product performance and customer acceptability prior to the production stage.</w:t>
      </w:r>
      <w:r w:rsidR="000D5FE1">
        <w:rPr>
          <w:sz w:val="22"/>
          <w:szCs w:val="22"/>
        </w:rPr>
        <w:t xml:space="preserve">  </w:t>
      </w:r>
      <w:r w:rsidRPr="005E6135">
        <w:rPr>
          <w:sz w:val="22"/>
          <w:szCs w:val="22"/>
        </w:rPr>
        <w:t>In a product development trial, licensees must own all of the equipment, must inform all participants of the nature of the trial, and must not market devices or offer services for hire.  Market trials, coming later in the development process, require that the licensee retain ownership of all equipment, but allow limited marketing of equipment.</w:t>
      </w:r>
      <w:r w:rsidR="00C83E7D" w:rsidRPr="005E6135">
        <w:rPr>
          <w:sz w:val="22"/>
          <w:szCs w:val="22"/>
        </w:rPr>
        <w:t xml:space="preserve">  </w:t>
      </w:r>
      <w:r w:rsidR="00CC3A4B" w:rsidRPr="005E6135">
        <w:rPr>
          <w:sz w:val="22"/>
          <w:szCs w:val="22"/>
        </w:rPr>
        <w:t>To better ensure that</w:t>
      </w:r>
      <w:r w:rsidR="00C83E7D" w:rsidRPr="005E6135">
        <w:rPr>
          <w:sz w:val="22"/>
          <w:szCs w:val="22"/>
        </w:rPr>
        <w:t xml:space="preserve"> an ERS licensee does not create a </w:t>
      </w:r>
      <w:r w:rsidR="00C83E7D" w:rsidRPr="005E6135">
        <w:rPr>
          <w:i/>
          <w:sz w:val="22"/>
          <w:szCs w:val="22"/>
        </w:rPr>
        <w:t xml:space="preserve">de facto </w:t>
      </w:r>
      <w:r w:rsidR="00C83E7D" w:rsidRPr="005E6135">
        <w:rPr>
          <w:sz w:val="22"/>
          <w:szCs w:val="22"/>
        </w:rPr>
        <w:t xml:space="preserve">service through the experimental licensing process, both product development and market trials will be authorized only under </w:t>
      </w:r>
      <w:r w:rsidR="001368D8" w:rsidRPr="005E6135">
        <w:rPr>
          <w:sz w:val="22"/>
          <w:szCs w:val="22"/>
        </w:rPr>
        <w:t xml:space="preserve">a </w:t>
      </w:r>
      <w:r w:rsidR="00C83E7D" w:rsidRPr="005E6135">
        <w:rPr>
          <w:sz w:val="22"/>
          <w:szCs w:val="22"/>
        </w:rPr>
        <w:t>conventional experimental license</w:t>
      </w:r>
      <w:r w:rsidR="00CC3A4B" w:rsidRPr="005E6135">
        <w:rPr>
          <w:sz w:val="22"/>
          <w:szCs w:val="22"/>
        </w:rPr>
        <w:t xml:space="preserve">, wherein the scope of the </w:t>
      </w:r>
      <w:r w:rsidR="001368D8" w:rsidRPr="005E6135">
        <w:rPr>
          <w:sz w:val="22"/>
          <w:szCs w:val="22"/>
        </w:rPr>
        <w:t>experiment is limited</w:t>
      </w:r>
      <w:r w:rsidR="00C83E7D" w:rsidRPr="005E6135">
        <w:rPr>
          <w:sz w:val="22"/>
          <w:szCs w:val="22"/>
        </w:rPr>
        <w:t>.</w:t>
      </w:r>
      <w:r w:rsidR="00A5139E">
        <w:rPr>
          <w:sz w:val="22"/>
          <w:szCs w:val="22"/>
        </w:rPr>
        <w:t xml:space="preserve"> </w:t>
      </w:r>
      <w:r w:rsidR="00FB1841">
        <w:rPr>
          <w:sz w:val="22"/>
          <w:szCs w:val="22"/>
        </w:rPr>
        <w:t xml:space="preserve"> </w:t>
      </w:r>
      <w:r w:rsidR="00A5139E">
        <w:rPr>
          <w:sz w:val="22"/>
          <w:szCs w:val="22"/>
        </w:rPr>
        <w:t>P</w:t>
      </w:r>
      <w:r w:rsidR="00A5139E" w:rsidRPr="00A5139E">
        <w:rPr>
          <w:sz w:val="22"/>
          <w:szCs w:val="22"/>
          <w:lang w:eastAsia="ja-JP"/>
        </w:rPr>
        <w:t>roduct development trial</w:t>
      </w:r>
      <w:r w:rsidR="00A5139E">
        <w:rPr>
          <w:sz w:val="22"/>
          <w:szCs w:val="22"/>
          <w:lang w:eastAsia="ja-JP"/>
        </w:rPr>
        <w:t>s</w:t>
      </w:r>
      <w:r w:rsidR="00A5139E" w:rsidRPr="00A5139E">
        <w:rPr>
          <w:sz w:val="22"/>
          <w:szCs w:val="22"/>
          <w:lang w:eastAsia="ja-JP"/>
        </w:rPr>
        <w:t xml:space="preserve"> </w:t>
      </w:r>
      <w:r w:rsidR="00A5139E" w:rsidRPr="00A5139E">
        <w:rPr>
          <w:color w:val="010101"/>
          <w:sz w:val="22"/>
          <w:szCs w:val="22"/>
          <w:lang w:eastAsia="ja-JP"/>
        </w:rPr>
        <w:t>include medical devices</w:t>
      </w:r>
      <w:r w:rsidR="00A5139E">
        <w:rPr>
          <w:color w:val="010101"/>
          <w:sz w:val="22"/>
          <w:szCs w:val="22"/>
          <w:lang w:eastAsia="ja-JP"/>
        </w:rPr>
        <w:t xml:space="preserve"> because</w:t>
      </w:r>
      <w:r w:rsidR="00A5139E" w:rsidRPr="00A5139E">
        <w:rPr>
          <w:color w:val="010101"/>
          <w:sz w:val="22"/>
          <w:szCs w:val="22"/>
          <w:lang w:eastAsia="ja-JP"/>
        </w:rPr>
        <w:t xml:space="preserve"> </w:t>
      </w:r>
      <w:r w:rsidR="00A5139E">
        <w:rPr>
          <w:color w:val="010101"/>
          <w:sz w:val="22"/>
          <w:szCs w:val="22"/>
          <w:lang w:eastAsia="ja-JP"/>
        </w:rPr>
        <w:t>such</w:t>
      </w:r>
      <w:r w:rsidR="00A5139E" w:rsidRPr="00A5139E">
        <w:rPr>
          <w:color w:val="010101"/>
          <w:sz w:val="22"/>
          <w:szCs w:val="22"/>
          <w:lang w:eastAsia="ja-JP"/>
        </w:rPr>
        <w:t xml:space="preserve"> devices must not only be evaluated in </w:t>
      </w:r>
      <w:r w:rsidR="00A5139E" w:rsidRPr="00A5139E">
        <w:rPr>
          <w:color w:val="010101"/>
          <w:sz w:val="22"/>
          <w:szCs w:val="22"/>
        </w:rPr>
        <w:t>the conceptual, development</w:t>
      </w:r>
      <w:r w:rsidR="00A5139E" w:rsidRPr="00A5139E">
        <w:rPr>
          <w:sz w:val="22"/>
          <w:szCs w:val="22"/>
        </w:rPr>
        <w:t>a</w:t>
      </w:r>
      <w:r w:rsidR="00A5139E" w:rsidRPr="00A5139E">
        <w:rPr>
          <w:color w:val="010101"/>
          <w:sz w:val="22"/>
          <w:szCs w:val="22"/>
        </w:rPr>
        <w:t>l, an</w:t>
      </w:r>
      <w:r w:rsidR="00A5139E" w:rsidRPr="00A5139E">
        <w:rPr>
          <w:sz w:val="22"/>
          <w:szCs w:val="22"/>
        </w:rPr>
        <w:t xml:space="preserve">d design stages, but </w:t>
      </w:r>
      <w:r w:rsidR="00A5139E" w:rsidRPr="00A5139E">
        <w:rPr>
          <w:sz w:val="22"/>
          <w:szCs w:val="22"/>
          <w:lang w:eastAsia="ja-JP"/>
        </w:rPr>
        <w:t xml:space="preserve">also through extensive clinical trials.  </w:t>
      </w:r>
      <w:r w:rsidR="00A5139E">
        <w:rPr>
          <w:sz w:val="22"/>
          <w:szCs w:val="22"/>
          <w:lang w:eastAsia="ja-JP"/>
        </w:rPr>
        <w:t xml:space="preserve">Thus, developers of </w:t>
      </w:r>
      <w:r w:rsidR="00A5139E" w:rsidRPr="00A5139E">
        <w:rPr>
          <w:sz w:val="22"/>
          <w:szCs w:val="22"/>
          <w:lang w:eastAsia="ja-JP"/>
        </w:rPr>
        <w:t>medical device</w:t>
      </w:r>
      <w:r w:rsidR="00A5139E">
        <w:rPr>
          <w:sz w:val="22"/>
          <w:szCs w:val="22"/>
          <w:lang w:eastAsia="ja-JP"/>
        </w:rPr>
        <w:t>s may seek to conduct clinical trials of such devices either under a medical testing license or as part of a product development trial.</w:t>
      </w:r>
    </w:p>
    <w:p w:rsidR="00B03A50" w:rsidRDefault="00B03A50" w:rsidP="00061047">
      <w:pPr>
        <w:rPr>
          <w:sz w:val="22"/>
          <w:szCs w:val="22"/>
        </w:rPr>
      </w:pPr>
    </w:p>
    <w:p w:rsidR="00E83AFE" w:rsidRDefault="0061184B" w:rsidP="00E83AFE">
      <w:pPr>
        <w:rPr>
          <w:b/>
          <w:sz w:val="22"/>
          <w:szCs w:val="22"/>
          <w:u w:val="single"/>
        </w:rPr>
      </w:pPr>
      <w:r>
        <w:rPr>
          <w:b/>
          <w:sz w:val="22"/>
          <w:szCs w:val="22"/>
          <w:u w:val="single"/>
        </w:rPr>
        <w:t>8</w:t>
      </w:r>
      <w:r w:rsidR="00E83AFE" w:rsidRPr="005E6135">
        <w:rPr>
          <w:b/>
          <w:sz w:val="22"/>
          <w:szCs w:val="22"/>
          <w:u w:val="single"/>
        </w:rPr>
        <w:t xml:space="preserve">.  </w:t>
      </w:r>
      <w:r w:rsidR="00E83AFE">
        <w:rPr>
          <w:b/>
          <w:sz w:val="22"/>
          <w:szCs w:val="22"/>
          <w:u w:val="single"/>
        </w:rPr>
        <w:t>Evaluation Kits</w:t>
      </w:r>
    </w:p>
    <w:p w:rsidR="00E83AFE" w:rsidRPr="005E6135" w:rsidRDefault="00E83AFE" w:rsidP="00E83AFE">
      <w:pPr>
        <w:rPr>
          <w:sz w:val="22"/>
          <w:szCs w:val="22"/>
        </w:rPr>
      </w:pPr>
      <w:r w:rsidRPr="005E6135">
        <w:rPr>
          <w:b/>
          <w:sz w:val="22"/>
          <w:szCs w:val="22"/>
          <w:u w:val="single"/>
        </w:rPr>
        <w:t xml:space="preserve"> </w:t>
      </w:r>
    </w:p>
    <w:p w:rsidR="00E83AFE" w:rsidRDefault="00E83AFE" w:rsidP="00E83AFE">
      <w:pPr>
        <w:rPr>
          <w:sz w:val="22"/>
          <w:szCs w:val="22"/>
        </w:rPr>
      </w:pPr>
      <w:r w:rsidRPr="00A71A89">
        <w:rPr>
          <w:sz w:val="22"/>
          <w:szCs w:val="22"/>
        </w:rPr>
        <w:t xml:space="preserve">Evaluation kits typically consist of a component that a manufacturer intends to offer for sale, mounted on a board, with or without an enclosure, in configurations that provide connections to a power supply, easy access to terminals, and sometimes supporting devices or other hardware.  </w:t>
      </w:r>
      <w:r>
        <w:rPr>
          <w:sz w:val="22"/>
          <w:szCs w:val="22"/>
        </w:rPr>
        <w:t>I</w:t>
      </w:r>
      <w:r w:rsidRPr="00A71A89">
        <w:rPr>
          <w:sz w:val="22"/>
          <w:szCs w:val="22"/>
        </w:rPr>
        <w:t xml:space="preserve">n many instances, developers and system integrators seek to obtain evaluation kits from manufacturers to test and evaluate a component that the manufacturer intends to offer for sale to facilitate the purchaser’s development of hardware and software for use with that component.  </w:t>
      </w:r>
      <w:r>
        <w:rPr>
          <w:sz w:val="22"/>
          <w:szCs w:val="22"/>
        </w:rPr>
        <w:t xml:space="preserve">However, prior to </w:t>
      </w:r>
      <w:r w:rsidRPr="005E6135">
        <w:rPr>
          <w:sz w:val="22"/>
          <w:szCs w:val="22"/>
        </w:rPr>
        <w:t xml:space="preserve">the </w:t>
      </w:r>
      <w:r w:rsidRPr="005E6135">
        <w:rPr>
          <w:i/>
          <w:sz w:val="22"/>
          <w:szCs w:val="22"/>
        </w:rPr>
        <w:t>R&amp;O</w:t>
      </w:r>
      <w:r w:rsidRPr="00A71A89">
        <w:rPr>
          <w:sz w:val="22"/>
          <w:szCs w:val="22"/>
        </w:rPr>
        <w:t xml:space="preserve">, sales of these kits </w:t>
      </w:r>
      <w:r>
        <w:rPr>
          <w:sz w:val="22"/>
          <w:szCs w:val="22"/>
        </w:rPr>
        <w:t>we</w:t>
      </w:r>
      <w:r w:rsidRPr="00A71A89">
        <w:rPr>
          <w:sz w:val="22"/>
          <w:szCs w:val="22"/>
        </w:rPr>
        <w:t xml:space="preserve">re not permitted </w:t>
      </w:r>
      <w:r>
        <w:rPr>
          <w:sz w:val="22"/>
          <w:szCs w:val="22"/>
        </w:rPr>
        <w:t>before equipment authorization wa</w:t>
      </w:r>
      <w:r w:rsidRPr="00A71A89">
        <w:rPr>
          <w:sz w:val="22"/>
          <w:szCs w:val="22"/>
        </w:rPr>
        <w:t>s granted for the component, and this restriction delay</w:t>
      </w:r>
      <w:r>
        <w:rPr>
          <w:sz w:val="22"/>
          <w:szCs w:val="22"/>
        </w:rPr>
        <w:t xml:space="preserve">ed </w:t>
      </w:r>
      <w:r w:rsidRPr="00A71A89">
        <w:rPr>
          <w:sz w:val="22"/>
          <w:szCs w:val="22"/>
        </w:rPr>
        <w:t xml:space="preserve">the ability of manufacturers and system integrators to develop hardware and software for use with the component.  </w:t>
      </w:r>
      <w:r>
        <w:rPr>
          <w:sz w:val="22"/>
          <w:szCs w:val="22"/>
        </w:rPr>
        <w:t>T</w:t>
      </w:r>
      <w:r w:rsidRPr="00A71A89">
        <w:rPr>
          <w:sz w:val="22"/>
          <w:szCs w:val="22"/>
        </w:rPr>
        <w:t xml:space="preserve">he </w:t>
      </w:r>
      <w:r w:rsidRPr="005E6135">
        <w:rPr>
          <w:i/>
          <w:sz w:val="22"/>
          <w:szCs w:val="22"/>
        </w:rPr>
        <w:t>R&amp;O</w:t>
      </w:r>
      <w:r w:rsidRPr="00A71A89">
        <w:rPr>
          <w:sz w:val="22"/>
          <w:szCs w:val="22"/>
        </w:rPr>
        <w:t xml:space="preserve"> </w:t>
      </w:r>
      <w:r>
        <w:rPr>
          <w:sz w:val="22"/>
          <w:szCs w:val="22"/>
        </w:rPr>
        <w:t>eliminated this restricti</w:t>
      </w:r>
      <w:r w:rsidR="00F030D0">
        <w:rPr>
          <w:sz w:val="22"/>
          <w:szCs w:val="22"/>
        </w:rPr>
        <w:t>on by</w:t>
      </w:r>
      <w:r>
        <w:rPr>
          <w:sz w:val="22"/>
          <w:szCs w:val="22"/>
        </w:rPr>
        <w:t xml:space="preserve"> permitting the </w:t>
      </w:r>
      <w:r w:rsidRPr="00A71A89">
        <w:rPr>
          <w:sz w:val="22"/>
          <w:szCs w:val="22"/>
        </w:rPr>
        <w:t xml:space="preserve">sale of evaluation kits, provided that </w:t>
      </w:r>
      <w:r w:rsidR="00F030D0">
        <w:rPr>
          <w:sz w:val="22"/>
          <w:szCs w:val="22"/>
        </w:rPr>
        <w:t xml:space="preserve">the buyer is </w:t>
      </w:r>
      <w:r w:rsidRPr="00A71A89">
        <w:rPr>
          <w:sz w:val="22"/>
          <w:szCs w:val="22"/>
        </w:rPr>
        <w:t>notifi</w:t>
      </w:r>
      <w:r w:rsidR="00F030D0">
        <w:rPr>
          <w:sz w:val="22"/>
          <w:szCs w:val="22"/>
        </w:rPr>
        <w:t xml:space="preserve">ed of </w:t>
      </w:r>
      <w:r w:rsidRPr="00A71A89">
        <w:rPr>
          <w:sz w:val="22"/>
          <w:szCs w:val="22"/>
        </w:rPr>
        <w:t xml:space="preserve">the authorization status of the component.  </w:t>
      </w:r>
      <w:r w:rsidR="003E789E" w:rsidRPr="003E789E">
        <w:rPr>
          <w:sz w:val="22"/>
          <w:szCs w:val="22"/>
        </w:rPr>
        <w:t xml:space="preserve">Additionally, the R&amp;O set forth a definition of evaluation kits recommended by industry, except that the R&amp;O modified the recommended definition to include software and reference system integrators and product developers, as well as component makers.  </w:t>
      </w:r>
    </w:p>
    <w:p w:rsidR="008C66AE" w:rsidRPr="00A71A89" w:rsidRDefault="008C66AE" w:rsidP="00E83AFE">
      <w:pPr>
        <w:rPr>
          <w:sz w:val="22"/>
          <w:szCs w:val="22"/>
        </w:rPr>
      </w:pPr>
    </w:p>
    <w:p w:rsidR="00D83FA0" w:rsidRPr="005E6135" w:rsidRDefault="0061184B" w:rsidP="00D83FA0">
      <w:pPr>
        <w:rPr>
          <w:sz w:val="22"/>
          <w:szCs w:val="22"/>
        </w:rPr>
      </w:pPr>
      <w:r>
        <w:rPr>
          <w:b/>
          <w:sz w:val="22"/>
          <w:szCs w:val="22"/>
          <w:u w:val="single"/>
        </w:rPr>
        <w:t>9</w:t>
      </w:r>
      <w:r w:rsidR="00D83FA0" w:rsidRPr="005E6135">
        <w:rPr>
          <w:b/>
          <w:sz w:val="22"/>
          <w:szCs w:val="22"/>
          <w:u w:val="single"/>
        </w:rPr>
        <w:t xml:space="preserve">.  Importation Limits </w:t>
      </w:r>
    </w:p>
    <w:p w:rsidR="00D83FA0" w:rsidRPr="005E6135" w:rsidRDefault="00D83FA0" w:rsidP="00061047">
      <w:pPr>
        <w:rPr>
          <w:sz w:val="22"/>
          <w:szCs w:val="22"/>
        </w:rPr>
      </w:pPr>
    </w:p>
    <w:p w:rsidR="00D83FA0" w:rsidRDefault="00F1513B" w:rsidP="00061047">
      <w:pPr>
        <w:rPr>
          <w:sz w:val="22"/>
          <w:szCs w:val="22"/>
        </w:rPr>
      </w:pPr>
      <w:r>
        <w:rPr>
          <w:sz w:val="22"/>
          <w:szCs w:val="22"/>
        </w:rPr>
        <w:t xml:space="preserve">Prior to adoption of the </w:t>
      </w:r>
      <w:r>
        <w:rPr>
          <w:i/>
          <w:sz w:val="22"/>
          <w:szCs w:val="22"/>
        </w:rPr>
        <w:t>R&amp;O</w:t>
      </w:r>
      <w:r>
        <w:rPr>
          <w:sz w:val="22"/>
          <w:szCs w:val="22"/>
        </w:rPr>
        <w:t>,</w:t>
      </w:r>
      <w:r>
        <w:rPr>
          <w:i/>
          <w:sz w:val="22"/>
          <w:szCs w:val="22"/>
        </w:rPr>
        <w:t xml:space="preserve"> </w:t>
      </w:r>
      <w:r w:rsidR="00610833" w:rsidRPr="005E6135">
        <w:rPr>
          <w:sz w:val="22"/>
          <w:szCs w:val="22"/>
        </w:rPr>
        <w:t>C</w:t>
      </w:r>
      <w:r w:rsidR="00586959" w:rsidRPr="005E6135">
        <w:rPr>
          <w:sz w:val="22"/>
          <w:szCs w:val="22"/>
        </w:rPr>
        <w:t>ommission</w:t>
      </w:r>
      <w:r w:rsidR="00D83FA0" w:rsidRPr="005E6135">
        <w:rPr>
          <w:sz w:val="22"/>
          <w:szCs w:val="22"/>
        </w:rPr>
        <w:t xml:space="preserve"> rules limit</w:t>
      </w:r>
      <w:r>
        <w:rPr>
          <w:sz w:val="22"/>
          <w:szCs w:val="22"/>
        </w:rPr>
        <w:t xml:space="preserve">ed </w:t>
      </w:r>
      <w:r w:rsidR="00D83FA0" w:rsidRPr="005E6135">
        <w:rPr>
          <w:sz w:val="22"/>
          <w:szCs w:val="22"/>
        </w:rPr>
        <w:t xml:space="preserve">the </w:t>
      </w:r>
      <w:r>
        <w:rPr>
          <w:sz w:val="22"/>
          <w:szCs w:val="22"/>
        </w:rPr>
        <w:t xml:space="preserve">number </w:t>
      </w:r>
      <w:r w:rsidR="00D83FA0" w:rsidRPr="005E6135">
        <w:rPr>
          <w:sz w:val="22"/>
          <w:szCs w:val="22"/>
        </w:rPr>
        <w:t xml:space="preserve">of RF devices that </w:t>
      </w:r>
      <w:r>
        <w:rPr>
          <w:sz w:val="22"/>
          <w:szCs w:val="22"/>
        </w:rPr>
        <w:t xml:space="preserve">could be imported prior to their importation: </w:t>
      </w:r>
      <w:r w:rsidR="00D83FA0" w:rsidRPr="005E6135">
        <w:rPr>
          <w:sz w:val="22"/>
          <w:szCs w:val="22"/>
        </w:rPr>
        <w:t xml:space="preserve">2000 devices for services in which a license is needed and 200 devices for all other services.  </w:t>
      </w:r>
      <w:r>
        <w:rPr>
          <w:sz w:val="22"/>
          <w:szCs w:val="22"/>
        </w:rPr>
        <w:t>T</w:t>
      </w:r>
      <w:r w:rsidR="00610833" w:rsidRPr="005E6135">
        <w:rPr>
          <w:sz w:val="22"/>
          <w:szCs w:val="22"/>
        </w:rPr>
        <w:t xml:space="preserve">he </w:t>
      </w:r>
      <w:r w:rsidR="00610833" w:rsidRPr="005E6135">
        <w:rPr>
          <w:i/>
          <w:sz w:val="22"/>
          <w:szCs w:val="22"/>
        </w:rPr>
        <w:t>R&amp;O</w:t>
      </w:r>
      <w:r w:rsidR="00610833" w:rsidRPr="005E6135">
        <w:rPr>
          <w:sz w:val="22"/>
          <w:szCs w:val="22"/>
        </w:rPr>
        <w:t xml:space="preserve"> </w:t>
      </w:r>
      <w:r w:rsidR="006D3B23" w:rsidRPr="005E6135">
        <w:rPr>
          <w:sz w:val="22"/>
          <w:szCs w:val="22"/>
        </w:rPr>
        <w:t>increase</w:t>
      </w:r>
      <w:r w:rsidR="0056339E">
        <w:rPr>
          <w:sz w:val="22"/>
          <w:szCs w:val="22"/>
        </w:rPr>
        <w:t>d</w:t>
      </w:r>
      <w:r w:rsidR="006D3B23" w:rsidRPr="005E6135">
        <w:rPr>
          <w:sz w:val="22"/>
          <w:szCs w:val="22"/>
        </w:rPr>
        <w:t xml:space="preserve"> the importation limit for all devices – those that require a license and those that do not – to 4000 units</w:t>
      </w:r>
      <w:r w:rsidR="00610833" w:rsidRPr="005E6135">
        <w:rPr>
          <w:sz w:val="22"/>
          <w:szCs w:val="22"/>
        </w:rPr>
        <w:t xml:space="preserve">.  </w:t>
      </w:r>
    </w:p>
    <w:p w:rsidR="000D5FE1" w:rsidRDefault="000D5FE1" w:rsidP="00061047">
      <w:pPr>
        <w:rPr>
          <w:sz w:val="22"/>
          <w:szCs w:val="22"/>
        </w:rPr>
      </w:pPr>
    </w:p>
    <w:p w:rsidR="00A71A89" w:rsidRDefault="0061184B" w:rsidP="00A71A89">
      <w:pPr>
        <w:rPr>
          <w:b/>
          <w:sz w:val="22"/>
          <w:szCs w:val="22"/>
          <w:u w:val="single"/>
        </w:rPr>
      </w:pPr>
      <w:r>
        <w:rPr>
          <w:b/>
          <w:sz w:val="22"/>
          <w:szCs w:val="22"/>
          <w:u w:val="single"/>
        </w:rPr>
        <w:t>10</w:t>
      </w:r>
      <w:r w:rsidR="00A71A89" w:rsidRPr="005E6135">
        <w:rPr>
          <w:b/>
          <w:sz w:val="22"/>
          <w:szCs w:val="22"/>
          <w:u w:val="single"/>
        </w:rPr>
        <w:t xml:space="preserve">.  </w:t>
      </w:r>
      <w:r w:rsidR="00A71A89">
        <w:rPr>
          <w:b/>
          <w:sz w:val="22"/>
          <w:szCs w:val="22"/>
          <w:u w:val="single"/>
        </w:rPr>
        <w:t>Anechoic Chambers and Faraday Cages</w:t>
      </w:r>
      <w:r w:rsidR="00A71A89" w:rsidRPr="005E6135">
        <w:rPr>
          <w:b/>
          <w:sz w:val="22"/>
          <w:szCs w:val="22"/>
          <w:u w:val="single"/>
        </w:rPr>
        <w:t xml:space="preserve"> </w:t>
      </w:r>
    </w:p>
    <w:p w:rsidR="00A71A89" w:rsidRDefault="00A71A89" w:rsidP="00A71A89">
      <w:pPr>
        <w:rPr>
          <w:b/>
          <w:sz w:val="22"/>
          <w:szCs w:val="22"/>
          <w:u w:val="single"/>
        </w:rPr>
      </w:pPr>
    </w:p>
    <w:p w:rsidR="00A71A89" w:rsidRDefault="00746094" w:rsidP="00A71A89">
      <w:pPr>
        <w:rPr>
          <w:sz w:val="22"/>
          <w:szCs w:val="22"/>
          <w:lang w:eastAsia="ja-JP"/>
        </w:rPr>
      </w:pPr>
      <w:r w:rsidRPr="00746094">
        <w:rPr>
          <w:sz w:val="22"/>
          <w:szCs w:val="22"/>
        </w:rPr>
        <w:t xml:space="preserve">An anechoic chamber is a room, insulated from exterior sources of noise, and designed to stop reflections of electromagnetic waves.  </w:t>
      </w:r>
      <w:r>
        <w:rPr>
          <w:sz w:val="22"/>
          <w:szCs w:val="22"/>
        </w:rPr>
        <w:t>It is</w:t>
      </w:r>
      <w:r w:rsidRPr="00746094">
        <w:rPr>
          <w:sz w:val="22"/>
          <w:szCs w:val="22"/>
        </w:rPr>
        <w:t xml:space="preserve"> used to test and measure RF equipment</w:t>
      </w:r>
      <w:r>
        <w:rPr>
          <w:sz w:val="22"/>
          <w:szCs w:val="22"/>
        </w:rPr>
        <w:t>,</w:t>
      </w:r>
      <w:r w:rsidRPr="00746094">
        <w:rPr>
          <w:sz w:val="22"/>
          <w:szCs w:val="22"/>
        </w:rPr>
        <w:t xml:space="preserve"> such as antennas or radars</w:t>
      </w:r>
      <w:r>
        <w:rPr>
          <w:sz w:val="22"/>
          <w:szCs w:val="22"/>
        </w:rPr>
        <w:t>,</w:t>
      </w:r>
      <w:r w:rsidRPr="00746094">
        <w:rPr>
          <w:sz w:val="22"/>
          <w:szCs w:val="22"/>
        </w:rPr>
        <w:t xml:space="preserve"> or to conduct electromagnetic interference studies in isolation of external noise.  An</w:t>
      </w:r>
      <w:r>
        <w:rPr>
          <w:sz w:val="22"/>
          <w:szCs w:val="22"/>
        </w:rPr>
        <w:t xml:space="preserve"> an</w:t>
      </w:r>
      <w:r w:rsidRPr="00746094">
        <w:rPr>
          <w:sz w:val="22"/>
          <w:szCs w:val="22"/>
        </w:rPr>
        <w:t>echoic chamber</w:t>
      </w:r>
      <w:r>
        <w:rPr>
          <w:sz w:val="22"/>
          <w:szCs w:val="22"/>
        </w:rPr>
        <w:t xml:space="preserve"> i</w:t>
      </w:r>
      <w:r w:rsidRPr="00746094">
        <w:rPr>
          <w:sz w:val="22"/>
          <w:szCs w:val="22"/>
        </w:rPr>
        <w:t xml:space="preserve">s also used to measure emissions from unintentional radiators, such as a radio receiver or laptop computer. </w:t>
      </w:r>
      <w:r>
        <w:rPr>
          <w:sz w:val="22"/>
          <w:szCs w:val="22"/>
        </w:rPr>
        <w:t xml:space="preserve"> </w:t>
      </w:r>
      <w:r w:rsidRPr="00746094">
        <w:rPr>
          <w:sz w:val="22"/>
          <w:szCs w:val="22"/>
        </w:rPr>
        <w:t>A Faraday cage is an enclosure usually formed by a mesh of conducting material designed to block out external static and to keep RF fields generated within the cage from escaping.</w:t>
      </w:r>
      <w:r w:rsidRPr="00746094">
        <w:rPr>
          <w:rFonts w:eastAsia="Batang"/>
          <w:sz w:val="22"/>
          <w:szCs w:val="22"/>
        </w:rPr>
        <w:t xml:space="preserve"> </w:t>
      </w:r>
      <w:r>
        <w:rPr>
          <w:rFonts w:eastAsia="Batang"/>
          <w:sz w:val="22"/>
          <w:szCs w:val="22"/>
        </w:rPr>
        <w:t xml:space="preserve"> The </w:t>
      </w:r>
      <w:r w:rsidRPr="005E6135">
        <w:rPr>
          <w:i/>
          <w:sz w:val="22"/>
          <w:szCs w:val="22"/>
        </w:rPr>
        <w:t>R&amp;O</w:t>
      </w:r>
      <w:r>
        <w:rPr>
          <w:sz w:val="22"/>
          <w:szCs w:val="22"/>
        </w:rPr>
        <w:t xml:space="preserve"> </w:t>
      </w:r>
      <w:r w:rsidRPr="00746094">
        <w:rPr>
          <w:rFonts w:eastAsia="Batang"/>
          <w:sz w:val="22"/>
          <w:szCs w:val="22"/>
        </w:rPr>
        <w:t>c</w:t>
      </w:r>
      <w:r w:rsidRPr="00746094">
        <w:rPr>
          <w:sz w:val="22"/>
          <w:szCs w:val="22"/>
        </w:rPr>
        <w:t>odif</w:t>
      </w:r>
      <w:r>
        <w:rPr>
          <w:sz w:val="22"/>
          <w:szCs w:val="22"/>
        </w:rPr>
        <w:t xml:space="preserve">ied the Commission’s </w:t>
      </w:r>
      <w:r w:rsidRPr="00746094">
        <w:rPr>
          <w:sz w:val="22"/>
          <w:szCs w:val="22"/>
        </w:rPr>
        <w:t xml:space="preserve">existing policy of allowing </w:t>
      </w:r>
      <w:r w:rsidRPr="00746094">
        <w:rPr>
          <w:sz w:val="22"/>
          <w:szCs w:val="22"/>
          <w:lang w:eastAsia="ja-JP"/>
        </w:rPr>
        <w:t xml:space="preserve">RF tests and experiments that are fully contained within an anechoic chamber or a Faraday cage without the need for obtaining an experimental license.  In doing so, </w:t>
      </w:r>
      <w:r>
        <w:rPr>
          <w:sz w:val="22"/>
          <w:szCs w:val="22"/>
          <w:lang w:eastAsia="ja-JP"/>
        </w:rPr>
        <w:t xml:space="preserve">the </w:t>
      </w:r>
      <w:r w:rsidR="008843FB">
        <w:rPr>
          <w:sz w:val="22"/>
          <w:szCs w:val="22"/>
          <w:lang w:eastAsia="ja-JP"/>
        </w:rPr>
        <w:t xml:space="preserve">Commission observed in the </w:t>
      </w:r>
      <w:r w:rsidRPr="005E6135">
        <w:rPr>
          <w:i/>
          <w:sz w:val="22"/>
          <w:szCs w:val="22"/>
        </w:rPr>
        <w:t>R&amp;O</w:t>
      </w:r>
      <w:r w:rsidRPr="00A71A89">
        <w:rPr>
          <w:sz w:val="22"/>
          <w:szCs w:val="22"/>
        </w:rPr>
        <w:t xml:space="preserve"> </w:t>
      </w:r>
      <w:r w:rsidRPr="00746094">
        <w:rPr>
          <w:sz w:val="22"/>
          <w:szCs w:val="22"/>
          <w:lang w:eastAsia="ja-JP"/>
        </w:rPr>
        <w:t xml:space="preserve">that all experimenters, even those operating in </w:t>
      </w:r>
      <w:r w:rsidRPr="00746094">
        <w:rPr>
          <w:rFonts w:eastAsia="Batang"/>
          <w:sz w:val="22"/>
          <w:szCs w:val="22"/>
        </w:rPr>
        <w:t>RF enclosed facilities</w:t>
      </w:r>
      <w:r w:rsidRPr="00746094">
        <w:rPr>
          <w:sz w:val="22"/>
          <w:szCs w:val="22"/>
          <w:lang w:eastAsia="ja-JP"/>
        </w:rPr>
        <w:t>, are required to comply with the general prohibition against causing harmful interference to other spectrum users.</w:t>
      </w:r>
    </w:p>
    <w:p w:rsidR="00A54943" w:rsidRDefault="00A54943" w:rsidP="00A71A89">
      <w:pPr>
        <w:rPr>
          <w:sz w:val="22"/>
          <w:szCs w:val="22"/>
          <w:lang w:eastAsia="ja-JP"/>
        </w:rPr>
      </w:pPr>
    </w:p>
    <w:p w:rsidR="00BD274D" w:rsidRDefault="00BD274D" w:rsidP="00BD274D">
      <w:pPr>
        <w:rPr>
          <w:b/>
          <w:sz w:val="22"/>
          <w:szCs w:val="22"/>
          <w:u w:val="single"/>
        </w:rPr>
      </w:pPr>
      <w:r>
        <w:rPr>
          <w:b/>
          <w:sz w:val="22"/>
          <w:szCs w:val="22"/>
          <w:u w:val="single"/>
        </w:rPr>
        <w:t>11</w:t>
      </w:r>
      <w:r w:rsidRPr="005E6135">
        <w:rPr>
          <w:b/>
          <w:sz w:val="22"/>
          <w:szCs w:val="22"/>
          <w:u w:val="single"/>
        </w:rPr>
        <w:t xml:space="preserve">.  </w:t>
      </w:r>
      <w:r>
        <w:rPr>
          <w:b/>
          <w:sz w:val="22"/>
          <w:szCs w:val="22"/>
          <w:u w:val="single"/>
        </w:rPr>
        <w:t>Special Temporary Authorization</w:t>
      </w:r>
    </w:p>
    <w:p w:rsidR="00BD274D" w:rsidRDefault="00BD274D" w:rsidP="00BD274D">
      <w:pPr>
        <w:rPr>
          <w:sz w:val="22"/>
          <w:szCs w:val="22"/>
        </w:rPr>
      </w:pPr>
    </w:p>
    <w:p w:rsidR="00BD274D" w:rsidRDefault="00BD274D" w:rsidP="00BD274D">
      <w:pPr>
        <w:rPr>
          <w:sz w:val="22"/>
          <w:szCs w:val="22"/>
        </w:rPr>
      </w:pPr>
      <w:r>
        <w:rPr>
          <w:sz w:val="22"/>
          <w:szCs w:val="22"/>
        </w:rPr>
        <w:t xml:space="preserve">The </w:t>
      </w:r>
      <w:r w:rsidRPr="00AD3CE1">
        <w:rPr>
          <w:i/>
          <w:sz w:val="22"/>
          <w:szCs w:val="22"/>
        </w:rPr>
        <w:t>R&amp;O</w:t>
      </w:r>
      <w:r>
        <w:rPr>
          <w:sz w:val="22"/>
          <w:szCs w:val="22"/>
        </w:rPr>
        <w:t xml:space="preserve"> clarified in Section 5.61(c) of the Commission’s rules that an extension of an STA may be granted, provided that an application for a conventional experimental license that is “consistent with the terms and conditions” of the prior-granted STA has been filed at least 15 days prior to expiration of that STA. The </w:t>
      </w:r>
      <w:r w:rsidRPr="00430454">
        <w:rPr>
          <w:i/>
          <w:sz w:val="22"/>
          <w:szCs w:val="22"/>
        </w:rPr>
        <w:t>R&amp;O</w:t>
      </w:r>
      <w:r>
        <w:rPr>
          <w:sz w:val="22"/>
          <w:szCs w:val="22"/>
        </w:rPr>
        <w:t xml:space="preserve"> also clarified that the parameters of the conventional license application do not need to mirror exactly the parameters of the STA. They may differ so long as any changes do not increase the interference potential of the equipment under test. </w:t>
      </w:r>
    </w:p>
    <w:p w:rsidR="00BD274D" w:rsidRPr="00430454" w:rsidRDefault="00BD274D" w:rsidP="00BD274D">
      <w:pPr>
        <w:rPr>
          <w:sz w:val="22"/>
          <w:szCs w:val="22"/>
        </w:rPr>
      </w:pPr>
    </w:p>
    <w:p w:rsidR="00BD274D" w:rsidRPr="007F59C0" w:rsidRDefault="00BD274D" w:rsidP="00BD274D">
      <w:pPr>
        <w:rPr>
          <w:b/>
          <w:sz w:val="22"/>
          <w:szCs w:val="22"/>
          <w:u w:val="single"/>
        </w:rPr>
      </w:pPr>
      <w:r>
        <w:rPr>
          <w:b/>
          <w:sz w:val="22"/>
          <w:szCs w:val="22"/>
          <w:u w:val="single"/>
        </w:rPr>
        <w:t>12</w:t>
      </w:r>
      <w:r w:rsidRPr="007F59C0">
        <w:rPr>
          <w:b/>
          <w:sz w:val="22"/>
          <w:szCs w:val="22"/>
          <w:u w:val="single"/>
        </w:rPr>
        <w:t xml:space="preserve">. </w:t>
      </w:r>
      <w:r>
        <w:rPr>
          <w:b/>
          <w:sz w:val="22"/>
          <w:szCs w:val="22"/>
          <w:u w:val="single"/>
        </w:rPr>
        <w:t>Changes in Equipment and Emission Characteristics</w:t>
      </w:r>
    </w:p>
    <w:p w:rsidR="00BD274D" w:rsidRPr="007F59C0" w:rsidRDefault="00BD274D" w:rsidP="00BD274D">
      <w:pPr>
        <w:rPr>
          <w:b/>
          <w:sz w:val="22"/>
          <w:szCs w:val="22"/>
          <w:u w:val="single"/>
        </w:rPr>
      </w:pPr>
    </w:p>
    <w:p w:rsidR="00BD274D" w:rsidRPr="00430454" w:rsidRDefault="00BD274D" w:rsidP="00BD274D">
      <w:pPr>
        <w:rPr>
          <w:sz w:val="22"/>
          <w:szCs w:val="22"/>
        </w:rPr>
      </w:pPr>
      <w:r w:rsidRPr="00430454">
        <w:rPr>
          <w:sz w:val="22"/>
          <w:szCs w:val="22"/>
        </w:rPr>
        <w:t xml:space="preserve">The </w:t>
      </w:r>
      <w:r w:rsidRPr="00430454">
        <w:rPr>
          <w:i/>
          <w:sz w:val="22"/>
          <w:szCs w:val="22"/>
        </w:rPr>
        <w:t>R&amp;O</w:t>
      </w:r>
      <w:r>
        <w:rPr>
          <w:sz w:val="22"/>
          <w:szCs w:val="22"/>
        </w:rPr>
        <w:t xml:space="preserve"> modified Section 5.77(a) of the Commission’s rules to provide additional flexibility for licensees to make changes to equipment without prior Commission consent under certain conditions. Specifically, changes can be made to equipment provided that the ERP and directivity comply with the license and the regulations governing the license.  Pursuant to 5.77(b), the licensee is still required to supplement its application file with a description of any such changes and must file an application for modification if the changes are to become a permanent part of the license. </w:t>
      </w:r>
    </w:p>
    <w:p w:rsidR="00BD274D" w:rsidRDefault="00BD274D" w:rsidP="00A71A89">
      <w:pPr>
        <w:rPr>
          <w:sz w:val="22"/>
          <w:szCs w:val="22"/>
          <w:lang w:eastAsia="ja-JP"/>
        </w:rPr>
      </w:pPr>
    </w:p>
    <w:p w:rsidR="0019714E" w:rsidRDefault="0019714E" w:rsidP="00A54943">
      <w:pPr>
        <w:rPr>
          <w:b/>
          <w:sz w:val="22"/>
          <w:szCs w:val="22"/>
          <w:u w:val="single"/>
        </w:rPr>
      </w:pPr>
    </w:p>
    <w:p w:rsidR="00A54943" w:rsidRDefault="00A54943" w:rsidP="00A54943">
      <w:pPr>
        <w:rPr>
          <w:b/>
          <w:sz w:val="22"/>
          <w:szCs w:val="22"/>
          <w:u w:val="single"/>
        </w:rPr>
      </w:pPr>
      <w:r>
        <w:rPr>
          <w:b/>
          <w:sz w:val="22"/>
          <w:szCs w:val="22"/>
          <w:u w:val="single"/>
        </w:rPr>
        <w:t>1</w:t>
      </w:r>
      <w:r w:rsidR="00F710AB">
        <w:rPr>
          <w:b/>
          <w:sz w:val="22"/>
          <w:szCs w:val="22"/>
          <w:u w:val="single"/>
        </w:rPr>
        <w:t>3</w:t>
      </w:r>
      <w:r w:rsidRPr="005E6135">
        <w:rPr>
          <w:b/>
          <w:sz w:val="22"/>
          <w:szCs w:val="22"/>
          <w:u w:val="single"/>
        </w:rPr>
        <w:t xml:space="preserve">.  </w:t>
      </w:r>
      <w:r>
        <w:rPr>
          <w:b/>
          <w:sz w:val="22"/>
          <w:szCs w:val="22"/>
          <w:u w:val="single"/>
        </w:rPr>
        <w:t>Commercial Off-The-Shelf Equipment</w:t>
      </w:r>
    </w:p>
    <w:p w:rsidR="00A54943" w:rsidRDefault="00A54943" w:rsidP="00A54943">
      <w:pPr>
        <w:rPr>
          <w:b/>
          <w:sz w:val="22"/>
          <w:szCs w:val="22"/>
          <w:u w:val="single"/>
        </w:rPr>
      </w:pPr>
    </w:p>
    <w:p w:rsidR="00A54943" w:rsidRDefault="00A54943" w:rsidP="00A54943">
      <w:pPr>
        <w:rPr>
          <w:sz w:val="22"/>
          <w:szCs w:val="22"/>
        </w:rPr>
      </w:pPr>
      <w:r>
        <w:rPr>
          <w:sz w:val="22"/>
          <w:szCs w:val="22"/>
        </w:rPr>
        <w:t>T</w:t>
      </w:r>
      <w:r w:rsidRPr="00A54943">
        <w:rPr>
          <w:sz w:val="22"/>
          <w:szCs w:val="22"/>
        </w:rPr>
        <w:t>he Co</w:t>
      </w:r>
      <w:r w:rsidR="008A664D">
        <w:rPr>
          <w:sz w:val="22"/>
          <w:szCs w:val="22"/>
        </w:rPr>
        <w:t>mmission</w:t>
      </w:r>
      <w:r w:rsidR="00A11BFA">
        <w:rPr>
          <w:sz w:val="22"/>
          <w:szCs w:val="22"/>
        </w:rPr>
        <w:t xml:space="preserve"> in the past</w:t>
      </w:r>
      <w:r w:rsidR="008A664D">
        <w:rPr>
          <w:sz w:val="22"/>
          <w:szCs w:val="22"/>
        </w:rPr>
        <w:t xml:space="preserve"> has allowed ERS</w:t>
      </w:r>
      <w:r w:rsidRPr="00A54943">
        <w:rPr>
          <w:sz w:val="22"/>
          <w:szCs w:val="22"/>
        </w:rPr>
        <w:t xml:space="preserve"> licensees to substitute one piece of commercial off-the-shelf </w:t>
      </w:r>
      <w:r>
        <w:rPr>
          <w:sz w:val="22"/>
          <w:szCs w:val="22"/>
        </w:rPr>
        <w:t>(</w:t>
      </w:r>
      <w:r w:rsidRPr="00A54943">
        <w:rPr>
          <w:sz w:val="22"/>
          <w:szCs w:val="22"/>
        </w:rPr>
        <w:t>COTS</w:t>
      </w:r>
      <w:r>
        <w:rPr>
          <w:sz w:val="22"/>
          <w:szCs w:val="22"/>
        </w:rPr>
        <w:t>)</w:t>
      </w:r>
      <w:r w:rsidRPr="00A54943">
        <w:rPr>
          <w:sz w:val="22"/>
          <w:szCs w:val="22"/>
        </w:rPr>
        <w:t xml:space="preserve"> equipment for another, provided </w:t>
      </w:r>
      <w:r>
        <w:rPr>
          <w:sz w:val="22"/>
          <w:szCs w:val="22"/>
        </w:rPr>
        <w:t>th</w:t>
      </w:r>
      <w:r w:rsidR="00A11BFA">
        <w:rPr>
          <w:sz w:val="22"/>
          <w:szCs w:val="22"/>
        </w:rPr>
        <w:t>e equipment change</w:t>
      </w:r>
      <w:r w:rsidRPr="00A54943">
        <w:rPr>
          <w:sz w:val="22"/>
          <w:szCs w:val="22"/>
        </w:rPr>
        <w:t xml:space="preserve"> does not increase the risk of harmful interference to authorized spectrum users. </w:t>
      </w:r>
      <w:r>
        <w:rPr>
          <w:sz w:val="22"/>
          <w:szCs w:val="22"/>
        </w:rPr>
        <w:t>T</w:t>
      </w:r>
      <w:r>
        <w:rPr>
          <w:sz w:val="22"/>
          <w:szCs w:val="22"/>
          <w:lang w:eastAsia="ja-JP"/>
        </w:rPr>
        <w:t xml:space="preserve">he </w:t>
      </w:r>
      <w:r w:rsidRPr="005E6135">
        <w:rPr>
          <w:i/>
          <w:sz w:val="22"/>
          <w:szCs w:val="22"/>
        </w:rPr>
        <w:t>R&amp;O</w:t>
      </w:r>
      <w:r w:rsidRPr="00A71A89">
        <w:rPr>
          <w:sz w:val="22"/>
          <w:szCs w:val="22"/>
        </w:rPr>
        <w:t xml:space="preserve"> </w:t>
      </w:r>
      <w:r>
        <w:rPr>
          <w:sz w:val="22"/>
          <w:szCs w:val="22"/>
        </w:rPr>
        <w:t xml:space="preserve">clarified this policy by revising </w:t>
      </w:r>
      <w:r w:rsidRPr="00A54943">
        <w:rPr>
          <w:sz w:val="22"/>
          <w:szCs w:val="22"/>
        </w:rPr>
        <w:t>instructions to</w:t>
      </w:r>
      <w:r w:rsidR="008A664D">
        <w:rPr>
          <w:sz w:val="22"/>
          <w:szCs w:val="22"/>
        </w:rPr>
        <w:t xml:space="preserve"> the ERS application form (</w:t>
      </w:r>
      <w:r>
        <w:rPr>
          <w:sz w:val="22"/>
          <w:szCs w:val="22"/>
        </w:rPr>
        <w:t xml:space="preserve">Commission </w:t>
      </w:r>
      <w:r w:rsidRPr="00A54943">
        <w:rPr>
          <w:sz w:val="22"/>
          <w:szCs w:val="22"/>
        </w:rPr>
        <w:t>Form 442)</w:t>
      </w:r>
      <w:r>
        <w:t xml:space="preserve"> </w:t>
      </w:r>
      <w:r>
        <w:rPr>
          <w:sz w:val="22"/>
          <w:szCs w:val="22"/>
        </w:rPr>
        <w:t xml:space="preserve">to state </w:t>
      </w:r>
      <w:r w:rsidRPr="00A54943">
        <w:rPr>
          <w:sz w:val="22"/>
          <w:szCs w:val="22"/>
        </w:rPr>
        <w:t>that substituting one piece of COTS equipment for another without notifying the Commission is permitted</w:t>
      </w:r>
      <w:r>
        <w:rPr>
          <w:sz w:val="22"/>
          <w:szCs w:val="22"/>
        </w:rPr>
        <w:t>,</w:t>
      </w:r>
      <w:r w:rsidRPr="00A54943">
        <w:rPr>
          <w:sz w:val="22"/>
          <w:szCs w:val="22"/>
        </w:rPr>
        <w:t xml:space="preserve"> </w:t>
      </w:r>
      <w:r>
        <w:rPr>
          <w:sz w:val="22"/>
          <w:szCs w:val="22"/>
        </w:rPr>
        <w:t>provided that</w:t>
      </w:r>
      <w:r w:rsidRPr="00A54943">
        <w:rPr>
          <w:sz w:val="22"/>
          <w:szCs w:val="22"/>
        </w:rPr>
        <w:t xml:space="preserve"> such equipment substitution will not result in operations inconsistent with the terms of the authorization.</w:t>
      </w:r>
      <w:r>
        <w:rPr>
          <w:sz w:val="22"/>
          <w:szCs w:val="22"/>
        </w:rPr>
        <w:t xml:space="preserve"> </w:t>
      </w:r>
      <w:r w:rsidRPr="00A54943">
        <w:rPr>
          <w:sz w:val="22"/>
          <w:szCs w:val="22"/>
        </w:rPr>
        <w:t xml:space="preserve"> </w:t>
      </w:r>
      <w:r>
        <w:rPr>
          <w:sz w:val="22"/>
          <w:szCs w:val="22"/>
        </w:rPr>
        <w:t xml:space="preserve">However, </w:t>
      </w:r>
      <w:r w:rsidR="00B652D0">
        <w:rPr>
          <w:sz w:val="22"/>
          <w:szCs w:val="22"/>
        </w:rPr>
        <w:t xml:space="preserve">if </w:t>
      </w:r>
      <w:r>
        <w:rPr>
          <w:sz w:val="22"/>
          <w:szCs w:val="22"/>
        </w:rPr>
        <w:t>ERS l</w:t>
      </w:r>
      <w:r w:rsidRPr="00A54943">
        <w:rPr>
          <w:sz w:val="22"/>
          <w:szCs w:val="22"/>
        </w:rPr>
        <w:t xml:space="preserve">icensees make any modifications to COTS equipment that would invalidate the equipment’s certification, they must </w:t>
      </w:r>
      <w:r w:rsidR="00D91CD2">
        <w:rPr>
          <w:sz w:val="22"/>
          <w:szCs w:val="22"/>
        </w:rPr>
        <w:t xml:space="preserve">first secure a </w:t>
      </w:r>
      <w:r w:rsidRPr="00A54943">
        <w:rPr>
          <w:sz w:val="22"/>
          <w:szCs w:val="22"/>
        </w:rPr>
        <w:t>modif</w:t>
      </w:r>
      <w:r w:rsidR="00D91CD2">
        <w:rPr>
          <w:sz w:val="22"/>
          <w:szCs w:val="22"/>
        </w:rPr>
        <w:t xml:space="preserve">ication to </w:t>
      </w:r>
      <w:r w:rsidRPr="00A54943">
        <w:rPr>
          <w:sz w:val="22"/>
          <w:szCs w:val="22"/>
        </w:rPr>
        <w:t>their experi</w:t>
      </w:r>
      <w:r>
        <w:rPr>
          <w:sz w:val="22"/>
          <w:szCs w:val="22"/>
        </w:rPr>
        <w:t xml:space="preserve">mental license </w:t>
      </w:r>
      <w:r w:rsidR="00D91CD2">
        <w:rPr>
          <w:sz w:val="22"/>
          <w:szCs w:val="22"/>
        </w:rPr>
        <w:t>to cover the change</w:t>
      </w:r>
      <w:r>
        <w:rPr>
          <w:sz w:val="22"/>
          <w:szCs w:val="22"/>
        </w:rPr>
        <w:t xml:space="preserve">.  </w:t>
      </w:r>
    </w:p>
    <w:p w:rsidR="00F710AB" w:rsidRDefault="00F710AB" w:rsidP="00A54943">
      <w:pPr>
        <w:rPr>
          <w:sz w:val="22"/>
          <w:szCs w:val="22"/>
        </w:rPr>
      </w:pPr>
    </w:p>
    <w:p w:rsidR="00F710AB" w:rsidRPr="00F710AB" w:rsidRDefault="00F710AB" w:rsidP="00F710AB">
      <w:pPr>
        <w:rPr>
          <w:b/>
          <w:sz w:val="22"/>
          <w:szCs w:val="22"/>
          <w:u w:val="single"/>
        </w:rPr>
      </w:pPr>
      <w:r w:rsidRPr="00F710AB">
        <w:rPr>
          <w:b/>
          <w:sz w:val="22"/>
          <w:szCs w:val="22"/>
          <w:u w:val="single"/>
        </w:rPr>
        <w:t xml:space="preserve">14. Permanent Discontinuance of License </w:t>
      </w:r>
    </w:p>
    <w:p w:rsidR="00F710AB" w:rsidRPr="00F710AB" w:rsidRDefault="00F710AB" w:rsidP="00F710AB">
      <w:pPr>
        <w:rPr>
          <w:b/>
          <w:sz w:val="22"/>
          <w:szCs w:val="22"/>
          <w:u w:val="single"/>
        </w:rPr>
      </w:pPr>
    </w:p>
    <w:p w:rsidR="00F710AB" w:rsidRPr="0019714E" w:rsidRDefault="00F710AB" w:rsidP="00F710AB">
      <w:pPr>
        <w:rPr>
          <w:sz w:val="22"/>
          <w:szCs w:val="22"/>
        </w:rPr>
      </w:pPr>
      <w:r w:rsidRPr="0019714E">
        <w:rPr>
          <w:sz w:val="22"/>
          <w:szCs w:val="22"/>
        </w:rPr>
        <w:t>Section 5.81 of the Commission’s rules requires licensees to notify the Commission if they permanently discontinue their experimental operations. However, some licensees simply allow their licenses to expire once they conclude their experiments. To ensure that licensees are fully aware of their obligation to notify the Commission if they cease experimental operations prior to their license expiration date, the R&amp;O added clarifying language to explicitly state this obligation in Section 5.81 of the rules. Additionally, the R&amp;O added language to Section 5.81 stating that licensees who fail to meet this obligation may be subject to disciplinary action, including monetary fines.</w:t>
      </w:r>
    </w:p>
    <w:p w:rsidR="00A71A89" w:rsidRDefault="00A71A89" w:rsidP="00A71A89">
      <w:pPr>
        <w:rPr>
          <w:b/>
          <w:sz w:val="22"/>
          <w:szCs w:val="22"/>
          <w:u w:val="single"/>
        </w:rPr>
      </w:pPr>
    </w:p>
    <w:p w:rsidR="00EB311B" w:rsidRPr="005E6135" w:rsidRDefault="00A71A89">
      <w:pPr>
        <w:rPr>
          <w:b/>
          <w:sz w:val="22"/>
          <w:szCs w:val="22"/>
          <w:u w:val="single"/>
        </w:rPr>
      </w:pPr>
      <w:r>
        <w:rPr>
          <w:b/>
          <w:sz w:val="22"/>
          <w:szCs w:val="22"/>
          <w:u w:val="single"/>
        </w:rPr>
        <w:t>1</w:t>
      </w:r>
      <w:r w:rsidR="00F710AB">
        <w:rPr>
          <w:b/>
          <w:sz w:val="22"/>
          <w:szCs w:val="22"/>
          <w:u w:val="single"/>
        </w:rPr>
        <w:t>5</w:t>
      </w:r>
      <w:r w:rsidR="00EB311B" w:rsidRPr="005E6135">
        <w:rPr>
          <w:b/>
          <w:sz w:val="22"/>
          <w:szCs w:val="22"/>
          <w:u w:val="single"/>
        </w:rPr>
        <w:t xml:space="preserve">. </w:t>
      </w:r>
      <w:r w:rsidR="00E039D0" w:rsidRPr="005E6135">
        <w:rPr>
          <w:b/>
          <w:sz w:val="22"/>
          <w:szCs w:val="22"/>
          <w:u w:val="single"/>
        </w:rPr>
        <w:t xml:space="preserve"> </w:t>
      </w:r>
      <w:r w:rsidR="00E15B84" w:rsidRPr="005E6135">
        <w:rPr>
          <w:b/>
          <w:sz w:val="22"/>
          <w:szCs w:val="22"/>
          <w:u w:val="single"/>
        </w:rPr>
        <w:t>L</w:t>
      </w:r>
      <w:r w:rsidR="00EB311B" w:rsidRPr="005E6135">
        <w:rPr>
          <w:b/>
          <w:sz w:val="22"/>
          <w:szCs w:val="22"/>
          <w:u w:val="single"/>
        </w:rPr>
        <w:t>ink</w:t>
      </w:r>
      <w:r w:rsidR="00610833" w:rsidRPr="005E6135">
        <w:rPr>
          <w:b/>
          <w:sz w:val="22"/>
          <w:szCs w:val="22"/>
          <w:u w:val="single"/>
        </w:rPr>
        <w:t>s</w:t>
      </w:r>
      <w:r w:rsidR="00EB311B" w:rsidRPr="005E6135">
        <w:rPr>
          <w:b/>
          <w:sz w:val="22"/>
          <w:szCs w:val="22"/>
          <w:u w:val="single"/>
        </w:rPr>
        <w:t xml:space="preserve"> </w:t>
      </w:r>
      <w:r w:rsidR="00134963" w:rsidRPr="005E6135">
        <w:rPr>
          <w:b/>
          <w:sz w:val="22"/>
          <w:szCs w:val="22"/>
          <w:u w:val="single"/>
        </w:rPr>
        <w:t xml:space="preserve">to </w:t>
      </w:r>
      <w:r w:rsidR="00E15B84" w:rsidRPr="005E6135">
        <w:rPr>
          <w:b/>
          <w:sz w:val="22"/>
          <w:szCs w:val="22"/>
          <w:u w:val="single"/>
        </w:rPr>
        <w:t>Notice of Proposed Rulemaking in</w:t>
      </w:r>
      <w:r w:rsidR="00E039D0" w:rsidRPr="005E6135">
        <w:rPr>
          <w:b/>
          <w:sz w:val="22"/>
          <w:szCs w:val="22"/>
          <w:u w:val="single"/>
        </w:rPr>
        <w:t xml:space="preserve"> </w:t>
      </w:r>
      <w:r w:rsidR="00E15B84" w:rsidRPr="005E6135">
        <w:rPr>
          <w:b/>
          <w:sz w:val="22"/>
          <w:szCs w:val="22"/>
          <w:u w:val="single"/>
        </w:rPr>
        <w:t>this</w:t>
      </w:r>
      <w:r w:rsidR="00E039D0" w:rsidRPr="005E6135">
        <w:rPr>
          <w:b/>
          <w:sz w:val="22"/>
          <w:szCs w:val="22"/>
          <w:u w:val="single"/>
        </w:rPr>
        <w:t xml:space="preserve"> </w:t>
      </w:r>
      <w:r w:rsidR="00E15B84" w:rsidRPr="005E6135">
        <w:rPr>
          <w:b/>
          <w:sz w:val="22"/>
          <w:szCs w:val="22"/>
          <w:u w:val="single"/>
        </w:rPr>
        <w:t>Proceeding</w:t>
      </w:r>
      <w:r w:rsidR="00586959" w:rsidRPr="005E6135">
        <w:rPr>
          <w:b/>
          <w:sz w:val="22"/>
          <w:szCs w:val="22"/>
          <w:u w:val="single"/>
        </w:rPr>
        <w:t xml:space="preserve"> and to Part 5 Rules</w:t>
      </w:r>
    </w:p>
    <w:p w:rsidR="00EB311B" w:rsidRPr="005E6135" w:rsidRDefault="00EB311B">
      <w:pPr>
        <w:rPr>
          <w:b/>
          <w:sz w:val="22"/>
          <w:szCs w:val="22"/>
          <w:u w:val="single"/>
        </w:rPr>
      </w:pPr>
    </w:p>
    <w:p w:rsidR="00586959" w:rsidRPr="001B3C9D" w:rsidRDefault="00586959" w:rsidP="00586959">
      <w:pPr>
        <w:ind w:right="-18"/>
        <w:rPr>
          <w:sz w:val="22"/>
          <w:szCs w:val="22"/>
        </w:rPr>
      </w:pPr>
      <w:r w:rsidRPr="005E6135">
        <w:rPr>
          <w:sz w:val="22"/>
          <w:szCs w:val="22"/>
        </w:rPr>
        <w:t xml:space="preserve">The </w:t>
      </w:r>
      <w:r w:rsidRPr="005E6135">
        <w:rPr>
          <w:i/>
          <w:sz w:val="22"/>
          <w:szCs w:val="22"/>
        </w:rPr>
        <w:t>Notice of Proposed Rulemaking</w:t>
      </w:r>
      <w:r w:rsidRPr="005E6135">
        <w:rPr>
          <w:sz w:val="22"/>
          <w:szCs w:val="22"/>
        </w:rPr>
        <w:t xml:space="preserve"> that preceded the </w:t>
      </w:r>
      <w:r w:rsidRPr="005E6135">
        <w:rPr>
          <w:i/>
          <w:sz w:val="22"/>
          <w:szCs w:val="22"/>
        </w:rPr>
        <w:t xml:space="preserve">R&amp;O </w:t>
      </w:r>
      <w:r w:rsidRPr="005E6135">
        <w:rPr>
          <w:sz w:val="22"/>
          <w:szCs w:val="22"/>
        </w:rPr>
        <w:t>was released on November 30, 2010, and is available at</w:t>
      </w:r>
      <w:r w:rsidRPr="001B3C9D">
        <w:rPr>
          <w:sz w:val="22"/>
          <w:szCs w:val="22"/>
        </w:rPr>
        <w:t>:</w:t>
      </w:r>
      <w:r w:rsidR="0061184B" w:rsidRPr="001B3C9D">
        <w:rPr>
          <w:sz w:val="22"/>
          <w:szCs w:val="22"/>
        </w:rPr>
        <w:t xml:space="preserve"> </w:t>
      </w:r>
      <w:hyperlink r:id="rId10" w:history="1">
        <w:r w:rsidR="0098032A" w:rsidRPr="001B3C9D">
          <w:rPr>
            <w:rStyle w:val="Hyperlink"/>
            <w:sz w:val="22"/>
            <w:szCs w:val="22"/>
          </w:rPr>
          <w:t>http://hraunfoss.fcc.gov/edocs_public/attachmatch/FCC-1</w:t>
        </w:r>
        <w:r w:rsidR="0098032A" w:rsidRPr="009D5034">
          <w:rPr>
            <w:rStyle w:val="Hyperlink"/>
            <w:sz w:val="22"/>
            <w:szCs w:val="22"/>
          </w:rPr>
          <w:t>0</w:t>
        </w:r>
        <w:r w:rsidR="0098032A" w:rsidRPr="001B3C9D">
          <w:rPr>
            <w:rStyle w:val="Hyperlink"/>
            <w:sz w:val="22"/>
            <w:szCs w:val="22"/>
          </w:rPr>
          <w:t>-</w:t>
        </w:r>
        <w:r w:rsidR="0098032A" w:rsidRPr="009D5034">
          <w:rPr>
            <w:rStyle w:val="Hyperlink"/>
            <w:sz w:val="22"/>
            <w:szCs w:val="22"/>
          </w:rPr>
          <w:t>197</w:t>
        </w:r>
        <w:r w:rsidR="0098032A" w:rsidRPr="001B3C9D">
          <w:rPr>
            <w:rStyle w:val="Hyperlink"/>
            <w:sz w:val="22"/>
            <w:szCs w:val="22"/>
          </w:rPr>
          <w:t>A1.pdf</w:t>
        </w:r>
      </w:hyperlink>
      <w:r w:rsidR="0098032A">
        <w:rPr>
          <w:sz w:val="22"/>
          <w:szCs w:val="22"/>
        </w:rPr>
        <w:t xml:space="preserve"> </w:t>
      </w:r>
      <w:r w:rsidR="0061184B" w:rsidRPr="001B3C9D">
        <w:rPr>
          <w:sz w:val="22"/>
          <w:szCs w:val="22"/>
        </w:rPr>
        <w:t xml:space="preserve"> (2</w:t>
      </w:r>
      <w:r w:rsidR="0098032A">
        <w:rPr>
          <w:sz w:val="22"/>
          <w:szCs w:val="22"/>
        </w:rPr>
        <w:t>5</w:t>
      </w:r>
      <w:r w:rsidR="0061184B" w:rsidRPr="001B3C9D">
        <w:rPr>
          <w:sz w:val="22"/>
          <w:szCs w:val="22"/>
        </w:rPr>
        <w:t xml:space="preserve"> FCC Rcd </w:t>
      </w:r>
      <w:r w:rsidR="009D5B97">
        <w:rPr>
          <w:sz w:val="22"/>
          <w:szCs w:val="22"/>
        </w:rPr>
        <w:t>16544</w:t>
      </w:r>
      <w:r w:rsidR="0061184B" w:rsidRPr="001B3C9D">
        <w:rPr>
          <w:sz w:val="22"/>
          <w:szCs w:val="22"/>
        </w:rPr>
        <w:t xml:space="preserve"> (201</w:t>
      </w:r>
      <w:r w:rsidR="0098032A">
        <w:rPr>
          <w:sz w:val="22"/>
          <w:szCs w:val="22"/>
        </w:rPr>
        <w:t>0</w:t>
      </w:r>
      <w:r w:rsidR="0061184B" w:rsidRPr="001B3C9D">
        <w:rPr>
          <w:sz w:val="22"/>
          <w:szCs w:val="22"/>
        </w:rPr>
        <w:t>))</w:t>
      </w:r>
    </w:p>
    <w:p w:rsidR="00586959" w:rsidRPr="005E6135" w:rsidRDefault="00586959" w:rsidP="00014F01">
      <w:pPr>
        <w:ind w:right="-18"/>
        <w:rPr>
          <w:sz w:val="22"/>
          <w:szCs w:val="22"/>
        </w:rPr>
      </w:pPr>
    </w:p>
    <w:p w:rsidR="00EB311B" w:rsidRPr="005E6135" w:rsidRDefault="00014F01" w:rsidP="00014F01">
      <w:pPr>
        <w:ind w:right="-18"/>
        <w:rPr>
          <w:sz w:val="22"/>
          <w:szCs w:val="22"/>
        </w:rPr>
      </w:pPr>
      <w:r w:rsidRPr="005E6135">
        <w:rPr>
          <w:sz w:val="22"/>
          <w:szCs w:val="22"/>
        </w:rPr>
        <w:t>Part 5 Rules</w:t>
      </w:r>
      <w:r w:rsidR="00586959" w:rsidRPr="005E6135">
        <w:rPr>
          <w:sz w:val="22"/>
          <w:szCs w:val="22"/>
        </w:rPr>
        <w:t xml:space="preserve"> are available at</w:t>
      </w:r>
      <w:r w:rsidRPr="005E6135">
        <w:rPr>
          <w:sz w:val="22"/>
          <w:szCs w:val="22"/>
        </w:rPr>
        <w:t xml:space="preserve">: </w:t>
      </w:r>
      <w:hyperlink r:id="rId11" w:history="1">
        <w:r w:rsidRPr="005E6135">
          <w:rPr>
            <w:rStyle w:val="Hyperlink"/>
            <w:sz w:val="22"/>
            <w:szCs w:val="22"/>
          </w:rPr>
          <w:t>http://www.ecfr.gov/cgi-bin/text-idx?c=ecfr&amp;SID=d0682d11054f4998735216abb90d1d67&amp;rgn=div5&amp;view=text&amp;node=47:1.0.1.1.6&amp;idno=47</w:t>
        </w:r>
      </w:hyperlink>
      <w:r w:rsidRPr="005E6135">
        <w:rPr>
          <w:sz w:val="22"/>
          <w:szCs w:val="22"/>
        </w:rPr>
        <w:t xml:space="preserve"> </w:t>
      </w:r>
    </w:p>
    <w:p w:rsidR="00014F01" w:rsidRDefault="00014F01" w:rsidP="00014F01">
      <w:pPr>
        <w:ind w:right="-18"/>
        <w:rPr>
          <w:sz w:val="22"/>
          <w:szCs w:val="22"/>
        </w:rPr>
      </w:pPr>
    </w:p>
    <w:p w:rsidR="00CD5C7E" w:rsidRPr="005E6135" w:rsidRDefault="00CD5C7E" w:rsidP="00FC6002">
      <w:pPr>
        <w:ind w:right="-18"/>
        <w:rPr>
          <w:sz w:val="22"/>
          <w:szCs w:val="22"/>
        </w:rPr>
      </w:pPr>
    </w:p>
    <w:sectPr w:rsidR="00CD5C7E" w:rsidRPr="005E6135" w:rsidSect="00FB3203">
      <w:headerReference w:type="even" r:id="rId12"/>
      <w:headerReference w:type="default" r:id="rId13"/>
      <w:footerReference w:type="even" r:id="rId14"/>
      <w:footerReference w:type="default" r:id="rId15"/>
      <w:headerReference w:type="first" r:id="rId16"/>
      <w:footerReference w:type="first" r:id="rId1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24" w:rsidRDefault="00060324">
      <w:r>
        <w:separator/>
      </w:r>
    </w:p>
  </w:endnote>
  <w:endnote w:type="continuationSeparator" w:id="0">
    <w:p w:rsidR="00060324" w:rsidRDefault="0006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B" w:rsidRDefault="00FB3203">
    <w:pPr>
      <w:pStyle w:val="Footer"/>
      <w:framePr w:wrap="around" w:vAnchor="text" w:hAnchor="margin" w:xAlign="center" w:y="1"/>
      <w:rPr>
        <w:rStyle w:val="PageNumber"/>
      </w:rPr>
    </w:pPr>
    <w:r>
      <w:rPr>
        <w:rStyle w:val="PageNumber"/>
      </w:rPr>
      <w:fldChar w:fldCharType="begin"/>
    </w:r>
    <w:r w:rsidR="00EB311B">
      <w:rPr>
        <w:rStyle w:val="PageNumber"/>
      </w:rPr>
      <w:instrText xml:space="preserve">PAGE  </w:instrText>
    </w:r>
    <w:r>
      <w:rPr>
        <w:rStyle w:val="PageNumber"/>
      </w:rPr>
      <w:fldChar w:fldCharType="separate"/>
    </w:r>
    <w:r w:rsidR="00094EAA">
      <w:rPr>
        <w:rStyle w:val="PageNumber"/>
        <w:noProof/>
      </w:rPr>
      <w:t>3</w:t>
    </w:r>
    <w:r>
      <w:rPr>
        <w:rStyle w:val="PageNumber"/>
      </w:rPr>
      <w:fldChar w:fldCharType="end"/>
    </w:r>
  </w:p>
  <w:p w:rsidR="00EB311B" w:rsidRDefault="00EB3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B" w:rsidRDefault="00FB3203">
    <w:pPr>
      <w:pStyle w:val="Footer"/>
      <w:framePr w:wrap="around" w:vAnchor="text" w:hAnchor="margin" w:xAlign="center" w:y="1"/>
      <w:rPr>
        <w:rStyle w:val="PageNumber"/>
      </w:rPr>
    </w:pPr>
    <w:r>
      <w:rPr>
        <w:rStyle w:val="PageNumber"/>
      </w:rPr>
      <w:fldChar w:fldCharType="begin"/>
    </w:r>
    <w:r w:rsidR="00EB311B">
      <w:rPr>
        <w:rStyle w:val="PageNumber"/>
      </w:rPr>
      <w:instrText xml:space="preserve">PAGE  </w:instrText>
    </w:r>
    <w:r>
      <w:rPr>
        <w:rStyle w:val="PageNumber"/>
      </w:rPr>
      <w:fldChar w:fldCharType="separate"/>
    </w:r>
    <w:r w:rsidR="00BE2388">
      <w:rPr>
        <w:rStyle w:val="PageNumber"/>
        <w:noProof/>
      </w:rPr>
      <w:t>2</w:t>
    </w:r>
    <w:r>
      <w:rPr>
        <w:rStyle w:val="PageNumber"/>
      </w:rPr>
      <w:fldChar w:fldCharType="end"/>
    </w:r>
  </w:p>
  <w:p w:rsidR="00EB311B" w:rsidRDefault="00EB3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AA" w:rsidRDefault="0009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24" w:rsidRDefault="00060324">
      <w:r>
        <w:separator/>
      </w:r>
    </w:p>
  </w:footnote>
  <w:footnote w:type="continuationSeparator" w:id="0">
    <w:p w:rsidR="00060324" w:rsidRDefault="0006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AA" w:rsidRDefault="00094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AA" w:rsidRDefault="00094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B" w:rsidRDefault="00971F28">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anchor>
      </w:drawing>
    </w:r>
    <w:r w:rsidR="00EB311B">
      <w:rPr>
        <w:rFonts w:ascii="CG Times (W1)" w:hAnsi="CG Times (W1)"/>
        <w:sz w:val="28"/>
      </w:rPr>
      <w:t>Federal Communications Commission</w:t>
    </w:r>
  </w:p>
  <w:p w:rsidR="00EB311B" w:rsidRDefault="00EB311B">
    <w:pPr>
      <w:jc w:val="center"/>
      <w:rPr>
        <w:rFonts w:ascii="CG Times (W1)" w:hAnsi="CG Times (W1)"/>
        <w:sz w:val="28"/>
      </w:rPr>
    </w:pPr>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20554</w:t>
    </w:r>
  </w:p>
  <w:p w:rsidR="006E6385" w:rsidRDefault="006E6385">
    <w:pPr>
      <w:jc w:val="center"/>
      <w:rPr>
        <w:rFonts w:ascii="CG Times (W1)" w:hAnsi="CG Times (W1)"/>
        <w:sz w:val="28"/>
      </w:rPr>
    </w:pPr>
  </w:p>
  <w:p w:rsidR="006E6385" w:rsidRDefault="006E6385">
    <w:pPr>
      <w:jc w:val="center"/>
    </w:pPr>
    <w:r w:rsidRPr="006E6385">
      <w:rPr>
        <w:sz w:val="24"/>
        <w:szCs w:val="24"/>
      </w:rPr>
      <w:t>March 24, 2014</w:t>
    </w:r>
  </w:p>
  <w:p w:rsidR="006E6385" w:rsidRPr="006E6385" w:rsidRDefault="006E6385">
    <w:pPr>
      <w:pStyle w:val="Header"/>
      <w:tabs>
        <w:tab w:val="clear" w:pos="4320"/>
      </w:tabs>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C40EC6CE"/>
    <w:lvl w:ilvl="0">
      <w:start w:val="1"/>
      <w:numFmt w:val="decimal"/>
      <w:pStyle w:val="ParaNum"/>
      <w:lvlText w:val="%1."/>
      <w:lvlJc w:val="left"/>
      <w:pPr>
        <w:tabs>
          <w:tab w:val="num" w:pos="1080"/>
        </w:tabs>
        <w:ind w:left="0" w:firstLine="720"/>
      </w:pPr>
      <w:rPr>
        <w:b w:val="0"/>
        <w:sz w:val="22"/>
        <w:szCs w:val="22"/>
      </w:rPr>
    </w:lvl>
  </w:abstractNum>
  <w:abstractNum w:abstractNumId="3">
    <w:nsid w:val="66A33A5A"/>
    <w:multiLevelType w:val="hybridMultilevel"/>
    <w:tmpl w:val="9FFC27D8"/>
    <w:lvl w:ilvl="0" w:tplc="FEFC9E90">
      <w:start w:val="1"/>
      <w:numFmt w:val="bullet"/>
      <w:lvlText w:val=""/>
      <w:lvlJc w:val="left"/>
      <w:pPr>
        <w:tabs>
          <w:tab w:val="num" w:pos="720"/>
        </w:tabs>
        <w:ind w:left="720" w:hanging="360"/>
      </w:pPr>
      <w:rPr>
        <w:rFonts w:ascii="Symbol" w:hAnsi="Symbol" w:hint="default"/>
      </w:rPr>
    </w:lvl>
    <w:lvl w:ilvl="1" w:tplc="A8CC3304" w:tentative="1">
      <w:start w:val="1"/>
      <w:numFmt w:val="bullet"/>
      <w:lvlText w:val="o"/>
      <w:lvlJc w:val="left"/>
      <w:pPr>
        <w:tabs>
          <w:tab w:val="num" w:pos="1440"/>
        </w:tabs>
        <w:ind w:left="1440" w:hanging="360"/>
      </w:pPr>
      <w:rPr>
        <w:rFonts w:ascii="Courier New" w:hAnsi="Courier New" w:cs="Arial" w:hint="default"/>
      </w:rPr>
    </w:lvl>
    <w:lvl w:ilvl="2" w:tplc="7F16D7F8" w:tentative="1">
      <w:start w:val="1"/>
      <w:numFmt w:val="bullet"/>
      <w:lvlText w:val=""/>
      <w:lvlJc w:val="left"/>
      <w:pPr>
        <w:tabs>
          <w:tab w:val="num" w:pos="2160"/>
        </w:tabs>
        <w:ind w:left="2160" w:hanging="360"/>
      </w:pPr>
      <w:rPr>
        <w:rFonts w:ascii="Wingdings" w:hAnsi="Wingdings" w:hint="default"/>
      </w:rPr>
    </w:lvl>
    <w:lvl w:ilvl="3" w:tplc="01CE8748" w:tentative="1">
      <w:start w:val="1"/>
      <w:numFmt w:val="bullet"/>
      <w:lvlText w:val=""/>
      <w:lvlJc w:val="left"/>
      <w:pPr>
        <w:tabs>
          <w:tab w:val="num" w:pos="2880"/>
        </w:tabs>
        <w:ind w:left="2880" w:hanging="360"/>
      </w:pPr>
      <w:rPr>
        <w:rFonts w:ascii="Symbol" w:hAnsi="Symbol" w:hint="default"/>
      </w:rPr>
    </w:lvl>
    <w:lvl w:ilvl="4" w:tplc="438A8264" w:tentative="1">
      <w:start w:val="1"/>
      <w:numFmt w:val="bullet"/>
      <w:lvlText w:val="o"/>
      <w:lvlJc w:val="left"/>
      <w:pPr>
        <w:tabs>
          <w:tab w:val="num" w:pos="3600"/>
        </w:tabs>
        <w:ind w:left="3600" w:hanging="360"/>
      </w:pPr>
      <w:rPr>
        <w:rFonts w:ascii="Courier New" w:hAnsi="Courier New" w:cs="Arial" w:hint="default"/>
      </w:rPr>
    </w:lvl>
    <w:lvl w:ilvl="5" w:tplc="9B5A4078" w:tentative="1">
      <w:start w:val="1"/>
      <w:numFmt w:val="bullet"/>
      <w:lvlText w:val=""/>
      <w:lvlJc w:val="left"/>
      <w:pPr>
        <w:tabs>
          <w:tab w:val="num" w:pos="4320"/>
        </w:tabs>
        <w:ind w:left="4320" w:hanging="360"/>
      </w:pPr>
      <w:rPr>
        <w:rFonts w:ascii="Wingdings" w:hAnsi="Wingdings" w:hint="default"/>
      </w:rPr>
    </w:lvl>
    <w:lvl w:ilvl="6" w:tplc="A1A6DE2C" w:tentative="1">
      <w:start w:val="1"/>
      <w:numFmt w:val="bullet"/>
      <w:lvlText w:val=""/>
      <w:lvlJc w:val="left"/>
      <w:pPr>
        <w:tabs>
          <w:tab w:val="num" w:pos="5040"/>
        </w:tabs>
        <w:ind w:left="5040" w:hanging="360"/>
      </w:pPr>
      <w:rPr>
        <w:rFonts w:ascii="Symbol" w:hAnsi="Symbol" w:hint="default"/>
      </w:rPr>
    </w:lvl>
    <w:lvl w:ilvl="7" w:tplc="D5A2659A" w:tentative="1">
      <w:start w:val="1"/>
      <w:numFmt w:val="bullet"/>
      <w:lvlText w:val="o"/>
      <w:lvlJc w:val="left"/>
      <w:pPr>
        <w:tabs>
          <w:tab w:val="num" w:pos="5760"/>
        </w:tabs>
        <w:ind w:left="5760" w:hanging="360"/>
      </w:pPr>
      <w:rPr>
        <w:rFonts w:ascii="Courier New" w:hAnsi="Courier New" w:cs="Arial" w:hint="default"/>
      </w:rPr>
    </w:lvl>
    <w:lvl w:ilvl="8" w:tplc="4A60D1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1B"/>
    <w:rsid w:val="00002C46"/>
    <w:rsid w:val="00014F01"/>
    <w:rsid w:val="00017465"/>
    <w:rsid w:val="00060324"/>
    <w:rsid w:val="00061047"/>
    <w:rsid w:val="000719B6"/>
    <w:rsid w:val="0009456E"/>
    <w:rsid w:val="00094EAA"/>
    <w:rsid w:val="000B3CF4"/>
    <w:rsid w:val="000C116B"/>
    <w:rsid w:val="000C25EB"/>
    <w:rsid w:val="000D14B8"/>
    <w:rsid w:val="000D5FE1"/>
    <w:rsid w:val="000E6D23"/>
    <w:rsid w:val="001266A1"/>
    <w:rsid w:val="0013209F"/>
    <w:rsid w:val="00134963"/>
    <w:rsid w:val="001368D8"/>
    <w:rsid w:val="00162824"/>
    <w:rsid w:val="001928CA"/>
    <w:rsid w:val="0019714E"/>
    <w:rsid w:val="001A6854"/>
    <w:rsid w:val="001B3C9D"/>
    <w:rsid w:val="001E13DC"/>
    <w:rsid w:val="00215C9E"/>
    <w:rsid w:val="002A59E9"/>
    <w:rsid w:val="002A65A8"/>
    <w:rsid w:val="002A672C"/>
    <w:rsid w:val="002B702D"/>
    <w:rsid w:val="002E7AFC"/>
    <w:rsid w:val="003108D3"/>
    <w:rsid w:val="00327106"/>
    <w:rsid w:val="003346A3"/>
    <w:rsid w:val="00354570"/>
    <w:rsid w:val="00356735"/>
    <w:rsid w:val="00393EC3"/>
    <w:rsid w:val="003D3D82"/>
    <w:rsid w:val="003D4AF7"/>
    <w:rsid w:val="003D5565"/>
    <w:rsid w:val="003E42D0"/>
    <w:rsid w:val="003E789E"/>
    <w:rsid w:val="0040130D"/>
    <w:rsid w:val="004659BC"/>
    <w:rsid w:val="00467797"/>
    <w:rsid w:val="00470198"/>
    <w:rsid w:val="00504933"/>
    <w:rsid w:val="00516ABA"/>
    <w:rsid w:val="0056339E"/>
    <w:rsid w:val="00580C8C"/>
    <w:rsid w:val="00586959"/>
    <w:rsid w:val="005A01DD"/>
    <w:rsid w:val="005A3C45"/>
    <w:rsid w:val="005D27C9"/>
    <w:rsid w:val="005D665A"/>
    <w:rsid w:val="005E0D5F"/>
    <w:rsid w:val="005E6135"/>
    <w:rsid w:val="005F544D"/>
    <w:rsid w:val="00610833"/>
    <w:rsid w:val="0061184B"/>
    <w:rsid w:val="00623139"/>
    <w:rsid w:val="006420D4"/>
    <w:rsid w:val="00667174"/>
    <w:rsid w:val="006926F6"/>
    <w:rsid w:val="006A6030"/>
    <w:rsid w:val="006A7C03"/>
    <w:rsid w:val="006C7487"/>
    <w:rsid w:val="006D3B23"/>
    <w:rsid w:val="006E56C0"/>
    <w:rsid w:val="006E6385"/>
    <w:rsid w:val="00702E9C"/>
    <w:rsid w:val="0074229B"/>
    <w:rsid w:val="00746094"/>
    <w:rsid w:val="0077720E"/>
    <w:rsid w:val="00777575"/>
    <w:rsid w:val="007A6F6B"/>
    <w:rsid w:val="007C5381"/>
    <w:rsid w:val="007F56AF"/>
    <w:rsid w:val="00841606"/>
    <w:rsid w:val="00851041"/>
    <w:rsid w:val="00853712"/>
    <w:rsid w:val="00855997"/>
    <w:rsid w:val="008843FB"/>
    <w:rsid w:val="008A0E96"/>
    <w:rsid w:val="008A664D"/>
    <w:rsid w:val="008B5566"/>
    <w:rsid w:val="008C66AE"/>
    <w:rsid w:val="009158B2"/>
    <w:rsid w:val="00921365"/>
    <w:rsid w:val="009252A7"/>
    <w:rsid w:val="00930BD6"/>
    <w:rsid w:val="009358DE"/>
    <w:rsid w:val="00936F1E"/>
    <w:rsid w:val="00971F28"/>
    <w:rsid w:val="00976620"/>
    <w:rsid w:val="0098032A"/>
    <w:rsid w:val="00983E0D"/>
    <w:rsid w:val="00986CCE"/>
    <w:rsid w:val="009D06F0"/>
    <w:rsid w:val="009D5B97"/>
    <w:rsid w:val="009F2E58"/>
    <w:rsid w:val="00A03662"/>
    <w:rsid w:val="00A11BFA"/>
    <w:rsid w:val="00A27637"/>
    <w:rsid w:val="00A40A5B"/>
    <w:rsid w:val="00A5139E"/>
    <w:rsid w:val="00A5361F"/>
    <w:rsid w:val="00A54943"/>
    <w:rsid w:val="00A71A89"/>
    <w:rsid w:val="00AA25F8"/>
    <w:rsid w:val="00B03A50"/>
    <w:rsid w:val="00B652D0"/>
    <w:rsid w:val="00B74BD9"/>
    <w:rsid w:val="00B770F9"/>
    <w:rsid w:val="00BD274D"/>
    <w:rsid w:val="00BE2388"/>
    <w:rsid w:val="00C268C5"/>
    <w:rsid w:val="00C371C2"/>
    <w:rsid w:val="00C816BE"/>
    <w:rsid w:val="00C83E7D"/>
    <w:rsid w:val="00C902EF"/>
    <w:rsid w:val="00C910DA"/>
    <w:rsid w:val="00C92056"/>
    <w:rsid w:val="00CB2C4B"/>
    <w:rsid w:val="00CB5787"/>
    <w:rsid w:val="00CC3A4B"/>
    <w:rsid w:val="00CD5C7E"/>
    <w:rsid w:val="00CE3AB6"/>
    <w:rsid w:val="00CF6A38"/>
    <w:rsid w:val="00D14012"/>
    <w:rsid w:val="00D156CB"/>
    <w:rsid w:val="00D41C44"/>
    <w:rsid w:val="00D63FAA"/>
    <w:rsid w:val="00D83FA0"/>
    <w:rsid w:val="00D9070E"/>
    <w:rsid w:val="00D91CD2"/>
    <w:rsid w:val="00D95AB3"/>
    <w:rsid w:val="00DE78DB"/>
    <w:rsid w:val="00DE78F9"/>
    <w:rsid w:val="00DF452D"/>
    <w:rsid w:val="00E039D0"/>
    <w:rsid w:val="00E07C26"/>
    <w:rsid w:val="00E1291F"/>
    <w:rsid w:val="00E12A37"/>
    <w:rsid w:val="00E13182"/>
    <w:rsid w:val="00E15B84"/>
    <w:rsid w:val="00E201EF"/>
    <w:rsid w:val="00E25178"/>
    <w:rsid w:val="00E26564"/>
    <w:rsid w:val="00E26E5E"/>
    <w:rsid w:val="00E34D29"/>
    <w:rsid w:val="00E56C65"/>
    <w:rsid w:val="00E71DD2"/>
    <w:rsid w:val="00E83AFE"/>
    <w:rsid w:val="00E9185C"/>
    <w:rsid w:val="00E943D8"/>
    <w:rsid w:val="00EA3706"/>
    <w:rsid w:val="00EB0E39"/>
    <w:rsid w:val="00EB311B"/>
    <w:rsid w:val="00ED6427"/>
    <w:rsid w:val="00F030D0"/>
    <w:rsid w:val="00F076E7"/>
    <w:rsid w:val="00F1513B"/>
    <w:rsid w:val="00F41004"/>
    <w:rsid w:val="00F60CBC"/>
    <w:rsid w:val="00F710AB"/>
    <w:rsid w:val="00F87CE8"/>
    <w:rsid w:val="00FA7E40"/>
    <w:rsid w:val="00FB1841"/>
    <w:rsid w:val="00FB3203"/>
    <w:rsid w:val="00FC0BB2"/>
    <w:rsid w:val="00FC6002"/>
    <w:rsid w:val="00FE5E35"/>
    <w:rsid w:val="00F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ParaNum">
    <w:name w:val="ParaNum"/>
    <w:basedOn w:val="Normal"/>
    <w:link w:val="ParaNumChar1"/>
    <w:pPr>
      <w:widowControl w:val="0"/>
      <w:numPr>
        <w:numId w:val="3"/>
      </w:numPr>
      <w:spacing w:after="120"/>
    </w:pPr>
    <w:rPr>
      <w:snapToGrid w:val="0"/>
      <w:kern w:val="28"/>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ParaNumChar1">
    <w:name w:val="ParaNum Char1"/>
    <w:basedOn w:val="DefaultParagraphFont"/>
    <w:link w:val="ParaNum"/>
    <w:rsid w:val="009158B2"/>
    <w:rPr>
      <w:snapToGrid w:val="0"/>
      <w:kern w:val="28"/>
      <w:sz w:val="22"/>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basedOn w:val="Normal"/>
    <w:link w:val="FootnoteTextChar2"/>
    <w:rsid w:val="00CB2C4B"/>
    <w:pPr>
      <w:spacing w:after="120"/>
    </w:pPr>
  </w:style>
  <w:style w:type="character" w:customStyle="1" w:styleId="FootnoteTextChar">
    <w:name w:val="Footnote Text Char"/>
    <w:basedOn w:val="DefaultParagraphFont"/>
    <w:rsid w:val="00CB2C4B"/>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locked/>
    <w:rsid w:val="00CB2C4B"/>
  </w:style>
  <w:style w:type="character" w:styleId="FootnoteReference">
    <w:name w:val="footnote reference"/>
    <w:aliases w:val="Appel note de bas de p,o,fr,(NECG) Footnote Reference,Style 12,Style 124,Style 3,Style 17,FR,Style 13,Footnote Reference/,Style 6"/>
    <w:basedOn w:val="DefaultParagraphFont"/>
    <w:rsid w:val="00CB2C4B"/>
    <w:rPr>
      <w:rFonts w:ascii="Times New Roman" w:hAnsi="Times New Roman" w:cs="Times New Roman"/>
      <w:color w:val="auto"/>
      <w:sz w:val="22"/>
      <w:vertAlign w:val="superscript"/>
    </w:rPr>
  </w:style>
  <w:style w:type="character" w:styleId="CommentReference">
    <w:name w:val="annotation reference"/>
    <w:basedOn w:val="DefaultParagraphFont"/>
    <w:rsid w:val="005D665A"/>
    <w:rPr>
      <w:sz w:val="16"/>
      <w:szCs w:val="16"/>
    </w:rPr>
  </w:style>
  <w:style w:type="paragraph" w:styleId="CommentText">
    <w:name w:val="annotation text"/>
    <w:basedOn w:val="Normal"/>
    <w:link w:val="CommentTextChar"/>
    <w:rsid w:val="005D665A"/>
  </w:style>
  <w:style w:type="character" w:customStyle="1" w:styleId="CommentTextChar">
    <w:name w:val="Comment Text Char"/>
    <w:basedOn w:val="DefaultParagraphFont"/>
    <w:link w:val="CommentText"/>
    <w:rsid w:val="005D665A"/>
  </w:style>
  <w:style w:type="paragraph" w:styleId="CommentSubject">
    <w:name w:val="annotation subject"/>
    <w:basedOn w:val="CommentText"/>
    <w:next w:val="CommentText"/>
    <w:link w:val="CommentSubjectChar"/>
    <w:rsid w:val="005D665A"/>
    <w:rPr>
      <w:b/>
      <w:bCs/>
    </w:rPr>
  </w:style>
  <w:style w:type="character" w:customStyle="1" w:styleId="CommentSubjectChar">
    <w:name w:val="Comment Subject Char"/>
    <w:basedOn w:val="CommentTextChar"/>
    <w:link w:val="CommentSubject"/>
    <w:rsid w:val="005D66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ParaNum">
    <w:name w:val="ParaNum"/>
    <w:basedOn w:val="Normal"/>
    <w:link w:val="ParaNumChar1"/>
    <w:pPr>
      <w:widowControl w:val="0"/>
      <w:numPr>
        <w:numId w:val="3"/>
      </w:numPr>
      <w:spacing w:after="120"/>
    </w:pPr>
    <w:rPr>
      <w:snapToGrid w:val="0"/>
      <w:kern w:val="28"/>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ParaNumChar1">
    <w:name w:val="ParaNum Char1"/>
    <w:basedOn w:val="DefaultParagraphFont"/>
    <w:link w:val="ParaNum"/>
    <w:rsid w:val="009158B2"/>
    <w:rPr>
      <w:snapToGrid w:val="0"/>
      <w:kern w:val="28"/>
      <w:sz w:val="22"/>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basedOn w:val="Normal"/>
    <w:link w:val="FootnoteTextChar2"/>
    <w:rsid w:val="00CB2C4B"/>
    <w:pPr>
      <w:spacing w:after="120"/>
    </w:pPr>
  </w:style>
  <w:style w:type="character" w:customStyle="1" w:styleId="FootnoteTextChar">
    <w:name w:val="Footnote Text Char"/>
    <w:basedOn w:val="DefaultParagraphFont"/>
    <w:rsid w:val="00CB2C4B"/>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locked/>
    <w:rsid w:val="00CB2C4B"/>
  </w:style>
  <w:style w:type="character" w:styleId="FootnoteReference">
    <w:name w:val="footnote reference"/>
    <w:aliases w:val="Appel note de bas de p,o,fr,(NECG) Footnote Reference,Style 12,Style 124,Style 3,Style 17,FR,Style 13,Footnote Reference/,Style 6"/>
    <w:basedOn w:val="DefaultParagraphFont"/>
    <w:rsid w:val="00CB2C4B"/>
    <w:rPr>
      <w:rFonts w:ascii="Times New Roman" w:hAnsi="Times New Roman" w:cs="Times New Roman"/>
      <w:color w:val="auto"/>
      <w:sz w:val="22"/>
      <w:vertAlign w:val="superscript"/>
    </w:rPr>
  </w:style>
  <w:style w:type="character" w:styleId="CommentReference">
    <w:name w:val="annotation reference"/>
    <w:basedOn w:val="DefaultParagraphFont"/>
    <w:rsid w:val="005D665A"/>
    <w:rPr>
      <w:sz w:val="16"/>
      <w:szCs w:val="16"/>
    </w:rPr>
  </w:style>
  <w:style w:type="paragraph" w:styleId="CommentText">
    <w:name w:val="annotation text"/>
    <w:basedOn w:val="Normal"/>
    <w:link w:val="CommentTextChar"/>
    <w:rsid w:val="005D665A"/>
  </w:style>
  <w:style w:type="character" w:customStyle="1" w:styleId="CommentTextChar">
    <w:name w:val="Comment Text Char"/>
    <w:basedOn w:val="DefaultParagraphFont"/>
    <w:link w:val="CommentText"/>
    <w:rsid w:val="005D665A"/>
  </w:style>
  <w:style w:type="paragraph" w:styleId="CommentSubject">
    <w:name w:val="annotation subject"/>
    <w:basedOn w:val="CommentText"/>
    <w:next w:val="CommentText"/>
    <w:link w:val="CommentSubjectChar"/>
    <w:rsid w:val="005D665A"/>
    <w:rPr>
      <w:b/>
      <w:bCs/>
    </w:rPr>
  </w:style>
  <w:style w:type="character" w:customStyle="1" w:styleId="CommentSubjectChar">
    <w:name w:val="Comment Subject Char"/>
    <w:basedOn w:val="CommentTextChar"/>
    <w:link w:val="CommentSubject"/>
    <w:rsid w:val="005D6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fr.gov/cgi-bin/text-idx?c=ecfr&amp;SID=d0682d11054f4998735216abb90d1d67&amp;rgn=div5&amp;view=text&amp;node=47:1.0.1.1.6&amp;idno=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0-197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3-15A1.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2673</Words>
  <Characters>15690</Characters>
  <Application>Microsoft Office Word</Application>
  <DocSecurity>0</DocSecurity>
  <Lines>264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18431</CharactersWithSpaces>
  <SharedDoc>false</SharedDoc>
  <HyperlinkBase> </HyperlinkBase>
  <HLinks>
    <vt:vector size="60" baseType="variant">
      <vt:variant>
        <vt:i4>6160424</vt:i4>
      </vt:variant>
      <vt:variant>
        <vt:i4>27</vt:i4>
      </vt:variant>
      <vt:variant>
        <vt:i4>0</vt:i4>
      </vt:variant>
      <vt:variant>
        <vt:i4>5</vt:i4>
      </vt:variant>
      <vt:variant>
        <vt:lpwstr>http://hraunfoss.fcc.gov/edocs_public/attachmatch/DA-10-815A1.pdf</vt:lpwstr>
      </vt:variant>
      <vt:variant>
        <vt:lpwstr/>
      </vt:variant>
      <vt:variant>
        <vt:i4>5701751</vt:i4>
      </vt:variant>
      <vt:variant>
        <vt:i4>24</vt:i4>
      </vt:variant>
      <vt:variant>
        <vt:i4>0</vt:i4>
      </vt:variant>
      <vt:variant>
        <vt:i4>5</vt:i4>
      </vt:variant>
      <vt:variant>
        <vt:lpwstr>http://hraunfoss.fcc.gov/edocs_public/attachmatch/FCC-09-23A1.pdf</vt:lpwstr>
      </vt:variant>
      <vt:variant>
        <vt:lpwstr/>
      </vt:variant>
      <vt:variant>
        <vt:i4>5570619</vt:i4>
      </vt:variant>
      <vt:variant>
        <vt:i4>21</vt:i4>
      </vt:variant>
      <vt:variant>
        <vt:i4>0</vt:i4>
      </vt:variant>
      <vt:variant>
        <vt:i4>5</vt:i4>
      </vt:variant>
      <vt:variant>
        <vt:lpwstr>http://hraunfoss.fcc.gov/edocs_public/attachmatch/DA-11-912A1.doc</vt:lpwstr>
      </vt:variant>
      <vt:variant>
        <vt:lpwstr/>
      </vt:variant>
      <vt:variant>
        <vt:i4>6881309</vt:i4>
      </vt:variant>
      <vt:variant>
        <vt:i4>18</vt:i4>
      </vt:variant>
      <vt:variant>
        <vt:i4>0</vt:i4>
      </vt:variant>
      <vt:variant>
        <vt:i4>5</vt:i4>
      </vt:variant>
      <vt:variant>
        <vt:lpwstr>http://hraunfoss.fcc.gov/edocs_public/attachmatch/FCC-10-128A1.pdf</vt:lpwstr>
      </vt:variant>
      <vt:variant>
        <vt:lpwstr/>
      </vt:variant>
      <vt:variant>
        <vt:i4>6553630</vt:i4>
      </vt:variant>
      <vt:variant>
        <vt:i4>15</vt:i4>
      </vt:variant>
      <vt:variant>
        <vt:i4>0</vt:i4>
      </vt:variant>
      <vt:variant>
        <vt:i4>5</vt:i4>
      </vt:variant>
      <vt:variant>
        <vt:lpwstr>http://hraunfoss.fcc.gov/edocs_public/attachmatch/FCC-06-103A1.pdf</vt:lpwstr>
      </vt:variant>
      <vt:variant>
        <vt:lpwstr/>
      </vt:variant>
      <vt:variant>
        <vt:i4>5701748</vt:i4>
      </vt:variant>
      <vt:variant>
        <vt:i4>12</vt:i4>
      </vt:variant>
      <vt:variant>
        <vt:i4>0</vt:i4>
      </vt:variant>
      <vt:variant>
        <vt:i4>5</vt:i4>
      </vt:variant>
      <vt:variant>
        <vt:lpwstr>http://hraunfoss.fcc.gov/edocs_public/attachmatch/FCC-09-20A1.pdf</vt:lpwstr>
      </vt:variant>
      <vt:variant>
        <vt:lpwstr/>
      </vt:variant>
      <vt:variant>
        <vt:i4>6684696</vt:i4>
      </vt:variant>
      <vt:variant>
        <vt:i4>9</vt:i4>
      </vt:variant>
      <vt:variant>
        <vt:i4>0</vt:i4>
      </vt:variant>
      <vt:variant>
        <vt:i4>5</vt:i4>
      </vt:variant>
      <vt:variant>
        <vt:lpwstr>http://hraunfoss.fcc.gov/edocs_public/attachmatch/FCC-11-176A1.pdf</vt:lpwstr>
      </vt:variant>
      <vt:variant>
        <vt:lpwstr/>
      </vt:variant>
      <vt:variant>
        <vt:i4>7798845</vt:i4>
      </vt:variant>
      <vt:variant>
        <vt:i4>6</vt:i4>
      </vt:variant>
      <vt:variant>
        <vt:i4>0</vt:i4>
      </vt:variant>
      <vt:variant>
        <vt:i4>5</vt:i4>
      </vt:variant>
      <vt:variant>
        <vt:lpwstr>http://www.fcc.gov/encyclopedia/equipment-authorization-procedures</vt:lpwstr>
      </vt:variant>
      <vt:variant>
        <vt:lpwstr/>
      </vt:variant>
      <vt:variant>
        <vt:i4>6684696</vt:i4>
      </vt:variant>
      <vt:variant>
        <vt:i4>3</vt:i4>
      </vt:variant>
      <vt:variant>
        <vt:i4>0</vt:i4>
      </vt:variant>
      <vt:variant>
        <vt:i4>5</vt:i4>
      </vt:variant>
      <vt:variant>
        <vt:lpwstr>http://hraunfoss.fcc.gov/edocs_public/attachmatch/FCC-11-176A1.pdf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2014-03-24T19:28:00Z</dcterms:created>
  <dcterms:modified xsi:type="dcterms:W3CDTF">2014-03-24T19:28:00Z</dcterms:modified>
  <cp:category> </cp:category>
  <cp:contentStatus> </cp:contentStatus>
</cp:coreProperties>
</file>