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92" w:rsidRDefault="00584892">
      <w:bookmarkStart w:id="0" w:name="_GoBack"/>
      <w:bookmarkEnd w:id="0"/>
    </w:p>
    <w:p w:rsidR="00C7011B" w:rsidRDefault="00C7011B"/>
    <w:p w:rsidR="00C7011B" w:rsidRPr="000513C5" w:rsidRDefault="00C7011B" w:rsidP="00C7011B">
      <w:pPr>
        <w:jc w:val="right"/>
        <w:rPr>
          <w:b/>
          <w:sz w:val="24"/>
          <w:szCs w:val="24"/>
        </w:rPr>
      </w:pPr>
      <w:r w:rsidRPr="000513C5">
        <w:rPr>
          <w:b/>
        </w:rPr>
        <w:t xml:space="preserve">DA </w:t>
      </w:r>
      <w:r w:rsidRPr="000513C5">
        <w:rPr>
          <w:b/>
          <w:sz w:val="24"/>
          <w:szCs w:val="24"/>
        </w:rPr>
        <w:t>14-402</w:t>
      </w:r>
    </w:p>
    <w:p w:rsidR="00584892" w:rsidRPr="004B1666" w:rsidRDefault="00584892">
      <w:pPr>
        <w:rPr>
          <w:szCs w:val="22"/>
        </w:rPr>
      </w:pPr>
    </w:p>
    <w:p w:rsidR="00584892" w:rsidRPr="00C7011B" w:rsidRDefault="00584892">
      <w:pPr>
        <w:spacing w:after="120"/>
        <w:jc w:val="center"/>
        <w:rPr>
          <w:b/>
          <w:sz w:val="36"/>
          <w:szCs w:val="36"/>
        </w:rPr>
      </w:pPr>
      <w:r w:rsidRPr="00C7011B">
        <w:rPr>
          <w:b/>
          <w:sz w:val="36"/>
          <w:szCs w:val="36"/>
        </w:rPr>
        <w:t>Small Entity Compliance Guide</w:t>
      </w:r>
    </w:p>
    <w:p w:rsidR="00407F6A" w:rsidRPr="00135FD5" w:rsidRDefault="00407F6A">
      <w:pPr>
        <w:spacing w:after="120"/>
        <w:jc w:val="center"/>
        <w:rPr>
          <w:sz w:val="36"/>
          <w:szCs w:val="36"/>
        </w:rPr>
      </w:pPr>
    </w:p>
    <w:p w:rsidR="00407F6A" w:rsidRPr="00C7011B" w:rsidRDefault="00407F6A" w:rsidP="00407F6A">
      <w:pPr>
        <w:jc w:val="center"/>
        <w:rPr>
          <w:b/>
          <w:sz w:val="28"/>
          <w:szCs w:val="28"/>
        </w:rPr>
      </w:pPr>
      <w:r w:rsidRPr="00C7011B">
        <w:rPr>
          <w:b/>
          <w:sz w:val="28"/>
          <w:szCs w:val="28"/>
        </w:rPr>
        <w:t>Report and Order</w:t>
      </w:r>
    </w:p>
    <w:p w:rsidR="00584892" w:rsidRDefault="00E94E18" w:rsidP="00407F6A">
      <w:pPr>
        <w:jc w:val="center"/>
        <w:rPr>
          <w:b/>
          <w:sz w:val="28"/>
          <w:szCs w:val="28"/>
        </w:rPr>
      </w:pPr>
      <w:r w:rsidRPr="00C7011B">
        <w:rPr>
          <w:b/>
          <w:sz w:val="28"/>
          <w:szCs w:val="28"/>
        </w:rPr>
        <w:t xml:space="preserve">Amendment of the Commission’s Rules </w:t>
      </w:r>
      <w:r w:rsidR="00FA78A9" w:rsidRPr="00C7011B">
        <w:rPr>
          <w:b/>
          <w:sz w:val="28"/>
          <w:szCs w:val="28"/>
        </w:rPr>
        <w:t>Governing Certain Aviation Ground Station Equipment</w:t>
      </w:r>
    </w:p>
    <w:p w:rsidR="00C7011B" w:rsidRPr="00C7011B" w:rsidRDefault="00C7011B" w:rsidP="00407F6A">
      <w:pPr>
        <w:jc w:val="center"/>
        <w:rPr>
          <w:b/>
          <w:sz w:val="28"/>
          <w:szCs w:val="28"/>
        </w:rPr>
      </w:pPr>
    </w:p>
    <w:p w:rsidR="00407F6A" w:rsidRPr="00C7011B" w:rsidRDefault="00584892" w:rsidP="00407F6A">
      <w:pPr>
        <w:jc w:val="center"/>
        <w:rPr>
          <w:bCs/>
          <w:szCs w:val="22"/>
        </w:rPr>
      </w:pPr>
      <w:r w:rsidRPr="00C7011B">
        <w:rPr>
          <w:bCs/>
          <w:szCs w:val="22"/>
        </w:rPr>
        <w:t>FCC 1</w:t>
      </w:r>
      <w:r w:rsidR="00F26CCE" w:rsidRPr="00C7011B">
        <w:rPr>
          <w:bCs/>
          <w:szCs w:val="22"/>
        </w:rPr>
        <w:t>3</w:t>
      </w:r>
      <w:r w:rsidRPr="00C7011B">
        <w:rPr>
          <w:bCs/>
          <w:szCs w:val="22"/>
        </w:rPr>
        <w:t>-</w:t>
      </w:r>
      <w:r w:rsidR="00FA78A9" w:rsidRPr="00C7011B">
        <w:rPr>
          <w:bCs/>
          <w:szCs w:val="22"/>
        </w:rPr>
        <w:t>30</w:t>
      </w:r>
    </w:p>
    <w:p w:rsidR="00584892" w:rsidRPr="00C7011B" w:rsidRDefault="00584892" w:rsidP="00407F6A">
      <w:pPr>
        <w:jc w:val="center"/>
        <w:rPr>
          <w:spacing w:val="-2"/>
          <w:szCs w:val="22"/>
        </w:rPr>
      </w:pPr>
      <w:r w:rsidRPr="00C7011B">
        <w:rPr>
          <w:spacing w:val="-2"/>
          <w:szCs w:val="22"/>
        </w:rPr>
        <w:t>WT Docket No. 1</w:t>
      </w:r>
      <w:r w:rsidR="00F26CCE" w:rsidRPr="00C7011B">
        <w:rPr>
          <w:spacing w:val="-2"/>
          <w:szCs w:val="22"/>
        </w:rPr>
        <w:t>0</w:t>
      </w:r>
      <w:r w:rsidRPr="00C7011B">
        <w:rPr>
          <w:spacing w:val="-2"/>
          <w:szCs w:val="22"/>
        </w:rPr>
        <w:t>-</w:t>
      </w:r>
      <w:r w:rsidR="00FA78A9" w:rsidRPr="00C7011B">
        <w:rPr>
          <w:spacing w:val="-2"/>
          <w:szCs w:val="22"/>
        </w:rPr>
        <w:t>61</w:t>
      </w:r>
    </w:p>
    <w:p w:rsidR="00584892" w:rsidRPr="00F74B2B" w:rsidRDefault="00584892">
      <w:pPr>
        <w:jc w:val="center"/>
        <w:rPr>
          <w:b/>
          <w:szCs w:val="22"/>
        </w:rPr>
      </w:pPr>
    </w:p>
    <w:p w:rsidR="00C7011B" w:rsidRDefault="00C7011B" w:rsidP="00C7011B">
      <w:pPr>
        <w:tabs>
          <w:tab w:val="left" w:pos="360"/>
        </w:tabs>
        <w:ind w:left="1080" w:right="720"/>
        <w:jc w:val="both"/>
        <w:rPr>
          <w:b/>
          <w:szCs w:val="22"/>
        </w:rPr>
      </w:pPr>
      <w:r>
        <w:rPr>
          <w:b/>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C7011B" w:rsidRDefault="00C7011B" w:rsidP="00C7011B">
      <w:pPr>
        <w:tabs>
          <w:tab w:val="left" w:pos="360"/>
        </w:tabs>
        <w:ind w:left="1080" w:right="720"/>
        <w:jc w:val="both"/>
        <w:rPr>
          <w:b/>
          <w:szCs w:val="22"/>
        </w:rPr>
      </w:pPr>
    </w:p>
    <w:p w:rsidR="00C7011B" w:rsidRDefault="00C7011B" w:rsidP="00C7011B">
      <w:pPr>
        <w:tabs>
          <w:tab w:val="left" w:pos="360"/>
        </w:tabs>
        <w:ind w:left="1080" w:right="720"/>
        <w:jc w:val="both"/>
        <w:rPr>
          <w:b/>
          <w:szCs w:val="22"/>
        </w:rPr>
      </w:pPr>
      <w:r>
        <w:rPr>
          <w:b/>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C7011B" w:rsidRDefault="00C7011B" w:rsidP="00C7011B">
      <w:pPr>
        <w:rPr>
          <w:b/>
          <w:szCs w:val="22"/>
        </w:rPr>
      </w:pPr>
    </w:p>
    <w:p w:rsidR="00C7011B" w:rsidRDefault="00C7011B" w:rsidP="00C7011B">
      <w:pPr>
        <w:jc w:val="center"/>
        <w:rPr>
          <w:b/>
          <w:color w:val="000000"/>
          <w:szCs w:val="22"/>
        </w:rPr>
      </w:pPr>
      <w:r>
        <w:rPr>
          <w:b/>
          <w:color w:val="000000"/>
          <w:szCs w:val="22"/>
        </w:rPr>
        <w:t>1-888-CALL-FCC (1-888-225-5322) </w:t>
      </w:r>
      <w:r>
        <w:rPr>
          <w:b/>
          <w:color w:val="000000"/>
          <w:szCs w:val="22"/>
        </w:rPr>
        <w:br/>
        <w:t>TTY: 1-888-TELL-FCC (1-888-835-5322)</w:t>
      </w:r>
      <w:r>
        <w:rPr>
          <w:b/>
          <w:color w:val="000000"/>
          <w:szCs w:val="22"/>
        </w:rPr>
        <w:br/>
        <w:t>Fax: 1-866-418-0232</w:t>
      </w:r>
    </w:p>
    <w:p w:rsidR="00584892" w:rsidRPr="004B1666" w:rsidRDefault="004F6541" w:rsidP="00C7011B">
      <w:pPr>
        <w:jc w:val="center"/>
        <w:rPr>
          <w:b/>
          <w:color w:val="000000"/>
          <w:szCs w:val="22"/>
        </w:rPr>
      </w:pPr>
      <w:hyperlink r:id="rId8" w:history="1">
        <w:r w:rsidR="00C7011B">
          <w:rPr>
            <w:rStyle w:val="Hyperlink"/>
            <w:b/>
            <w:szCs w:val="22"/>
          </w:rPr>
          <w:t>fccinfo@fcc.gov</w:t>
        </w:r>
      </w:hyperlink>
    </w:p>
    <w:p w:rsidR="00584892" w:rsidRPr="004B1666" w:rsidRDefault="00584892">
      <w:pPr>
        <w:jc w:val="center"/>
        <w:rPr>
          <w:b/>
          <w:noProof/>
          <w:szCs w:val="22"/>
        </w:rPr>
      </w:pPr>
    </w:p>
    <w:p w:rsidR="00584892" w:rsidRPr="00E31002" w:rsidRDefault="00936135" w:rsidP="00936135">
      <w:pPr>
        <w:pStyle w:val="TOCTitle"/>
        <w:rPr>
          <w:b w:val="0"/>
        </w:rPr>
      </w:pPr>
      <w:bookmarkStart w:id="1" w:name="TOChere"/>
      <w:r w:rsidRPr="00E31002">
        <w:rPr>
          <w:b w:val="0"/>
        </w:rPr>
        <w:lastRenderedPageBreak/>
        <w:t>Table of Contents</w:t>
      </w:r>
    </w:p>
    <w:bookmarkEnd w:id="1"/>
    <w:p w:rsidR="00372F13" w:rsidRDefault="00492326">
      <w:pPr>
        <w:pStyle w:val="TOC1"/>
        <w:rPr>
          <w:rFonts w:asciiTheme="minorHAnsi" w:eastAsiaTheme="minorEastAsia" w:hAnsiTheme="minorHAnsi" w:cstheme="minorBidi"/>
          <w:b w:val="0"/>
          <w:caps w:val="0"/>
          <w:snapToGrid/>
          <w:kern w:val="0"/>
          <w:szCs w:val="22"/>
        </w:rPr>
      </w:pPr>
      <w:r>
        <w:rPr>
          <w:spacing w:val="-2"/>
        </w:rPr>
        <w:fldChar w:fldCharType="begin"/>
      </w:r>
      <w:r>
        <w:rPr>
          <w:spacing w:val="-2"/>
        </w:rPr>
        <w:instrText xml:space="preserve"> TOC \o "1-3" \h \z \u </w:instrText>
      </w:r>
      <w:r>
        <w:rPr>
          <w:spacing w:val="-2"/>
        </w:rPr>
        <w:fldChar w:fldCharType="separate"/>
      </w:r>
      <w:hyperlink w:anchor="_Toc352230494" w:history="1">
        <w:r w:rsidR="00372F13" w:rsidRPr="00A7023C">
          <w:rPr>
            <w:rStyle w:val="Hyperlink"/>
          </w:rPr>
          <w:t>I.</w:t>
        </w:r>
        <w:r w:rsidR="00372F13">
          <w:rPr>
            <w:rFonts w:asciiTheme="minorHAnsi" w:eastAsiaTheme="minorEastAsia" w:hAnsiTheme="minorHAnsi" w:cstheme="minorBidi"/>
            <w:b w:val="0"/>
            <w:caps w:val="0"/>
            <w:snapToGrid/>
            <w:kern w:val="0"/>
            <w:szCs w:val="22"/>
          </w:rPr>
          <w:tab/>
        </w:r>
        <w:r w:rsidR="00372F13" w:rsidRPr="00A7023C">
          <w:rPr>
            <w:rStyle w:val="Hyperlink"/>
          </w:rPr>
          <w:t>Objectives of the Proceeding</w:t>
        </w:r>
        <w:r w:rsidR="00372F13">
          <w:rPr>
            <w:webHidden/>
          </w:rPr>
          <w:tab/>
        </w:r>
        <w:r w:rsidR="00372F13">
          <w:rPr>
            <w:webHidden/>
          </w:rPr>
          <w:fldChar w:fldCharType="begin"/>
        </w:r>
        <w:r w:rsidR="00372F13">
          <w:rPr>
            <w:webHidden/>
          </w:rPr>
          <w:instrText xml:space="preserve"> PAGEREF _Toc352230494 \h </w:instrText>
        </w:r>
        <w:r w:rsidR="00372F13">
          <w:rPr>
            <w:webHidden/>
          </w:rPr>
        </w:r>
        <w:r w:rsidR="00372F13">
          <w:rPr>
            <w:webHidden/>
          </w:rPr>
          <w:fldChar w:fldCharType="separate"/>
        </w:r>
        <w:r w:rsidR="00FB2C2D">
          <w:rPr>
            <w:webHidden/>
          </w:rPr>
          <w:t>3</w:t>
        </w:r>
        <w:r w:rsidR="00372F13">
          <w:rPr>
            <w:webHidden/>
          </w:rPr>
          <w:fldChar w:fldCharType="end"/>
        </w:r>
      </w:hyperlink>
    </w:p>
    <w:p w:rsidR="00372F13" w:rsidRDefault="004F6541">
      <w:pPr>
        <w:pStyle w:val="TOC1"/>
        <w:rPr>
          <w:rFonts w:asciiTheme="minorHAnsi" w:eastAsiaTheme="minorEastAsia" w:hAnsiTheme="minorHAnsi" w:cstheme="minorBidi"/>
          <w:b w:val="0"/>
          <w:caps w:val="0"/>
          <w:snapToGrid/>
          <w:kern w:val="0"/>
          <w:szCs w:val="22"/>
        </w:rPr>
      </w:pPr>
      <w:hyperlink w:anchor="_Toc352230495" w:history="1">
        <w:r w:rsidR="00372F13" w:rsidRPr="00A7023C">
          <w:rPr>
            <w:rStyle w:val="Hyperlink"/>
          </w:rPr>
          <w:t>II.</w:t>
        </w:r>
        <w:r w:rsidR="00372F13">
          <w:rPr>
            <w:rFonts w:asciiTheme="minorHAnsi" w:eastAsiaTheme="minorEastAsia" w:hAnsiTheme="minorHAnsi" w:cstheme="minorBidi"/>
            <w:b w:val="0"/>
            <w:caps w:val="0"/>
            <w:snapToGrid/>
            <w:kern w:val="0"/>
            <w:szCs w:val="22"/>
          </w:rPr>
          <w:tab/>
        </w:r>
        <w:r w:rsidR="00372F13" w:rsidRPr="00A7023C">
          <w:rPr>
            <w:rStyle w:val="Hyperlink"/>
          </w:rPr>
          <w:t>Regulations and Policies That the Commission ADOPTED OR Modified, including compliance requirements</w:t>
        </w:r>
        <w:r w:rsidR="00372F13">
          <w:rPr>
            <w:webHidden/>
          </w:rPr>
          <w:tab/>
        </w:r>
        <w:r w:rsidR="00372F13">
          <w:rPr>
            <w:webHidden/>
          </w:rPr>
          <w:fldChar w:fldCharType="begin"/>
        </w:r>
        <w:r w:rsidR="00372F13">
          <w:rPr>
            <w:webHidden/>
          </w:rPr>
          <w:instrText xml:space="preserve"> PAGEREF _Toc352230495 \h </w:instrText>
        </w:r>
        <w:r w:rsidR="00372F13">
          <w:rPr>
            <w:webHidden/>
          </w:rPr>
        </w:r>
        <w:r w:rsidR="00372F13">
          <w:rPr>
            <w:webHidden/>
          </w:rPr>
          <w:fldChar w:fldCharType="separate"/>
        </w:r>
        <w:r w:rsidR="00FB2C2D">
          <w:rPr>
            <w:webHidden/>
          </w:rPr>
          <w:t>3</w:t>
        </w:r>
        <w:r w:rsidR="00372F13">
          <w:rPr>
            <w:webHidden/>
          </w:rPr>
          <w:fldChar w:fldCharType="end"/>
        </w:r>
      </w:hyperlink>
    </w:p>
    <w:p w:rsidR="00372F13" w:rsidRDefault="004F6541">
      <w:pPr>
        <w:pStyle w:val="TOC2"/>
        <w:rPr>
          <w:rFonts w:asciiTheme="minorHAnsi" w:eastAsiaTheme="minorEastAsia" w:hAnsiTheme="minorHAnsi" w:cstheme="minorBidi"/>
          <w:b w:val="0"/>
          <w:snapToGrid/>
          <w:kern w:val="0"/>
          <w:szCs w:val="22"/>
        </w:rPr>
      </w:pPr>
      <w:hyperlink w:anchor="_Toc352230496" w:history="1">
        <w:r w:rsidR="00372F13" w:rsidRPr="00A7023C">
          <w:rPr>
            <w:rStyle w:val="Hyperlink"/>
          </w:rPr>
          <w:t>A.</w:t>
        </w:r>
        <w:r w:rsidR="00372F13">
          <w:rPr>
            <w:rFonts w:asciiTheme="minorHAnsi" w:eastAsiaTheme="minorEastAsia" w:hAnsiTheme="minorHAnsi" w:cstheme="minorBidi"/>
            <w:b w:val="0"/>
            <w:snapToGrid/>
            <w:kern w:val="0"/>
            <w:szCs w:val="22"/>
          </w:rPr>
          <w:tab/>
        </w:r>
        <w:r w:rsidR="00372F13" w:rsidRPr="00A7023C">
          <w:rPr>
            <w:rStyle w:val="Hyperlink"/>
          </w:rPr>
          <w:t>Vehicle Squitters</w:t>
        </w:r>
        <w:r w:rsidR="00372F13">
          <w:rPr>
            <w:webHidden/>
          </w:rPr>
          <w:tab/>
        </w:r>
        <w:r w:rsidR="00372F13">
          <w:rPr>
            <w:webHidden/>
          </w:rPr>
          <w:fldChar w:fldCharType="begin"/>
        </w:r>
        <w:r w:rsidR="00372F13">
          <w:rPr>
            <w:webHidden/>
          </w:rPr>
          <w:instrText xml:space="preserve"> PAGEREF _Toc352230496 \h </w:instrText>
        </w:r>
        <w:r w:rsidR="00372F13">
          <w:rPr>
            <w:webHidden/>
          </w:rPr>
        </w:r>
        <w:r w:rsidR="00372F13">
          <w:rPr>
            <w:webHidden/>
          </w:rPr>
          <w:fldChar w:fldCharType="separate"/>
        </w:r>
        <w:r w:rsidR="00FB2C2D">
          <w:rPr>
            <w:webHidden/>
          </w:rPr>
          <w:t>3</w:t>
        </w:r>
        <w:r w:rsidR="00372F13">
          <w:rPr>
            <w:webHidden/>
          </w:rPr>
          <w:fldChar w:fldCharType="end"/>
        </w:r>
      </w:hyperlink>
    </w:p>
    <w:p w:rsidR="00372F13" w:rsidRDefault="004F6541">
      <w:pPr>
        <w:pStyle w:val="TOC2"/>
        <w:rPr>
          <w:rFonts w:asciiTheme="minorHAnsi" w:eastAsiaTheme="minorEastAsia" w:hAnsiTheme="minorHAnsi" w:cstheme="minorBidi"/>
          <w:b w:val="0"/>
          <w:snapToGrid/>
          <w:kern w:val="0"/>
          <w:szCs w:val="22"/>
        </w:rPr>
      </w:pPr>
      <w:hyperlink w:anchor="_Toc352230497" w:history="1">
        <w:r w:rsidR="00372F13" w:rsidRPr="00A7023C">
          <w:rPr>
            <w:rStyle w:val="Hyperlink"/>
          </w:rPr>
          <w:t>B.</w:t>
        </w:r>
        <w:r w:rsidR="00372F13">
          <w:rPr>
            <w:rFonts w:asciiTheme="minorHAnsi" w:eastAsiaTheme="minorEastAsia" w:hAnsiTheme="minorHAnsi" w:cstheme="minorBidi"/>
            <w:b w:val="0"/>
            <w:snapToGrid/>
            <w:kern w:val="0"/>
            <w:szCs w:val="22"/>
          </w:rPr>
          <w:tab/>
        </w:r>
        <w:r w:rsidR="00372F13" w:rsidRPr="00A7023C">
          <w:rPr>
            <w:rStyle w:val="Hyperlink"/>
          </w:rPr>
          <w:t>Audio Visual Warning Systems (AVWS)</w:t>
        </w:r>
        <w:r w:rsidR="00372F13">
          <w:rPr>
            <w:webHidden/>
          </w:rPr>
          <w:tab/>
        </w:r>
        <w:r w:rsidR="00372F13">
          <w:rPr>
            <w:webHidden/>
          </w:rPr>
          <w:fldChar w:fldCharType="begin"/>
        </w:r>
        <w:r w:rsidR="00372F13">
          <w:rPr>
            <w:webHidden/>
          </w:rPr>
          <w:instrText xml:space="preserve"> PAGEREF _Toc352230497 \h </w:instrText>
        </w:r>
        <w:r w:rsidR="00372F13">
          <w:rPr>
            <w:webHidden/>
          </w:rPr>
        </w:r>
        <w:r w:rsidR="00372F13">
          <w:rPr>
            <w:webHidden/>
          </w:rPr>
          <w:fldChar w:fldCharType="separate"/>
        </w:r>
        <w:r w:rsidR="00FB2C2D">
          <w:rPr>
            <w:webHidden/>
          </w:rPr>
          <w:t>4</w:t>
        </w:r>
        <w:r w:rsidR="00372F13">
          <w:rPr>
            <w:webHidden/>
          </w:rPr>
          <w:fldChar w:fldCharType="end"/>
        </w:r>
      </w:hyperlink>
    </w:p>
    <w:p w:rsidR="00372F13" w:rsidRDefault="004F6541" w:rsidP="00194551">
      <w:pPr>
        <w:pStyle w:val="TOC2"/>
        <w:rPr>
          <w:rFonts w:asciiTheme="minorHAnsi" w:eastAsiaTheme="minorEastAsia" w:hAnsiTheme="minorHAnsi" w:cstheme="minorBidi"/>
          <w:b w:val="0"/>
          <w:snapToGrid/>
          <w:kern w:val="0"/>
          <w:szCs w:val="22"/>
        </w:rPr>
      </w:pPr>
      <w:hyperlink w:anchor="_Toc352230498" w:history="1">
        <w:r w:rsidR="00372F13" w:rsidRPr="00A7023C">
          <w:rPr>
            <w:rStyle w:val="Hyperlink"/>
          </w:rPr>
          <w:t>C.</w:t>
        </w:r>
        <w:r w:rsidR="00372F13">
          <w:rPr>
            <w:rFonts w:asciiTheme="minorHAnsi" w:eastAsiaTheme="minorEastAsia" w:hAnsiTheme="minorHAnsi" w:cstheme="minorBidi"/>
            <w:b w:val="0"/>
            <w:snapToGrid/>
            <w:kern w:val="0"/>
            <w:szCs w:val="22"/>
          </w:rPr>
          <w:tab/>
        </w:r>
        <w:r w:rsidR="00372F13" w:rsidRPr="00A7023C">
          <w:rPr>
            <w:rStyle w:val="Hyperlink"/>
          </w:rPr>
          <w:t>Aircraft Data Link Test Equipment</w:t>
        </w:r>
        <w:r w:rsidR="00372F13">
          <w:rPr>
            <w:webHidden/>
          </w:rPr>
          <w:tab/>
        </w:r>
        <w:r w:rsidR="00372F13">
          <w:rPr>
            <w:webHidden/>
          </w:rPr>
          <w:fldChar w:fldCharType="begin"/>
        </w:r>
        <w:r w:rsidR="00372F13">
          <w:rPr>
            <w:webHidden/>
          </w:rPr>
          <w:instrText xml:space="preserve"> PAGEREF _Toc352230498 \h </w:instrText>
        </w:r>
        <w:r w:rsidR="00372F13">
          <w:rPr>
            <w:webHidden/>
          </w:rPr>
        </w:r>
        <w:r w:rsidR="00372F13">
          <w:rPr>
            <w:webHidden/>
          </w:rPr>
          <w:fldChar w:fldCharType="separate"/>
        </w:r>
        <w:r w:rsidR="00FB2C2D">
          <w:rPr>
            <w:webHidden/>
          </w:rPr>
          <w:t>4</w:t>
        </w:r>
        <w:r w:rsidR="00372F13">
          <w:rPr>
            <w:webHidden/>
          </w:rPr>
          <w:fldChar w:fldCharType="end"/>
        </w:r>
      </w:hyperlink>
    </w:p>
    <w:p w:rsidR="00372F13" w:rsidRDefault="004F6541">
      <w:pPr>
        <w:pStyle w:val="TOC1"/>
        <w:rPr>
          <w:rFonts w:asciiTheme="minorHAnsi" w:eastAsiaTheme="minorEastAsia" w:hAnsiTheme="minorHAnsi" w:cstheme="minorBidi"/>
          <w:b w:val="0"/>
          <w:caps w:val="0"/>
          <w:snapToGrid/>
          <w:kern w:val="0"/>
          <w:szCs w:val="22"/>
        </w:rPr>
      </w:pPr>
      <w:hyperlink w:anchor="_Toc352230500" w:history="1">
        <w:r w:rsidR="00372F13" w:rsidRPr="00A7023C">
          <w:rPr>
            <w:rStyle w:val="Hyperlink"/>
          </w:rPr>
          <w:t>III.</w:t>
        </w:r>
        <w:r w:rsidR="00372F13">
          <w:rPr>
            <w:rFonts w:asciiTheme="minorHAnsi" w:eastAsiaTheme="minorEastAsia" w:hAnsiTheme="minorHAnsi" w:cstheme="minorBidi"/>
            <w:b w:val="0"/>
            <w:caps w:val="0"/>
            <w:snapToGrid/>
            <w:kern w:val="0"/>
            <w:szCs w:val="22"/>
          </w:rPr>
          <w:tab/>
        </w:r>
        <w:r w:rsidR="00372F13" w:rsidRPr="00A7023C">
          <w:rPr>
            <w:rStyle w:val="Hyperlink"/>
          </w:rPr>
          <w:t>Recordkeeping and Other Compliance Requirements</w:t>
        </w:r>
        <w:r w:rsidR="00372F13">
          <w:rPr>
            <w:webHidden/>
          </w:rPr>
          <w:tab/>
        </w:r>
        <w:r w:rsidR="00FB2C2D">
          <w:rPr>
            <w:webHidden/>
          </w:rPr>
          <w:t>5</w:t>
        </w:r>
      </w:hyperlink>
    </w:p>
    <w:p w:rsidR="00372F13" w:rsidRDefault="004F6541">
      <w:pPr>
        <w:pStyle w:val="TOC1"/>
        <w:rPr>
          <w:rFonts w:asciiTheme="minorHAnsi" w:eastAsiaTheme="minorEastAsia" w:hAnsiTheme="minorHAnsi" w:cstheme="minorBidi"/>
          <w:b w:val="0"/>
          <w:caps w:val="0"/>
          <w:snapToGrid/>
          <w:kern w:val="0"/>
          <w:szCs w:val="22"/>
        </w:rPr>
      </w:pPr>
      <w:hyperlink w:anchor="_Toc352230501" w:history="1">
        <w:r w:rsidR="00372F13" w:rsidRPr="00A7023C">
          <w:rPr>
            <w:rStyle w:val="Hyperlink"/>
          </w:rPr>
          <w:t>IV.</w:t>
        </w:r>
        <w:r w:rsidR="00372F13">
          <w:rPr>
            <w:rFonts w:asciiTheme="minorHAnsi" w:eastAsiaTheme="minorEastAsia" w:hAnsiTheme="minorHAnsi" w:cstheme="minorBidi"/>
            <w:b w:val="0"/>
            <w:caps w:val="0"/>
            <w:snapToGrid/>
            <w:kern w:val="0"/>
            <w:szCs w:val="22"/>
          </w:rPr>
          <w:tab/>
        </w:r>
        <w:r w:rsidR="00372F13" w:rsidRPr="00A7023C">
          <w:rPr>
            <w:rStyle w:val="Hyperlink"/>
          </w:rPr>
          <w:t>Weblink</w:t>
        </w:r>
        <w:r w:rsidR="00372F13">
          <w:rPr>
            <w:webHidden/>
          </w:rPr>
          <w:tab/>
        </w:r>
        <w:r w:rsidR="00372F13">
          <w:rPr>
            <w:webHidden/>
          </w:rPr>
          <w:fldChar w:fldCharType="begin"/>
        </w:r>
        <w:r w:rsidR="00372F13">
          <w:rPr>
            <w:webHidden/>
          </w:rPr>
          <w:instrText xml:space="preserve"> PAGEREF _Toc352230501 \h </w:instrText>
        </w:r>
        <w:r w:rsidR="00372F13">
          <w:rPr>
            <w:webHidden/>
          </w:rPr>
        </w:r>
        <w:r w:rsidR="00372F13">
          <w:rPr>
            <w:webHidden/>
          </w:rPr>
          <w:fldChar w:fldCharType="separate"/>
        </w:r>
        <w:r w:rsidR="00FB2C2D">
          <w:rPr>
            <w:webHidden/>
          </w:rPr>
          <w:t>5</w:t>
        </w:r>
        <w:r w:rsidR="00372F13">
          <w:rPr>
            <w:webHidden/>
          </w:rPr>
          <w:fldChar w:fldCharType="end"/>
        </w:r>
      </w:hyperlink>
    </w:p>
    <w:p w:rsidR="00584892" w:rsidRPr="004B1666" w:rsidRDefault="00492326">
      <w:pPr>
        <w:rPr>
          <w:szCs w:val="22"/>
        </w:rPr>
      </w:pPr>
      <w:r>
        <w:rPr>
          <w:spacing w:val="-2"/>
        </w:rPr>
        <w:fldChar w:fldCharType="end"/>
      </w:r>
    </w:p>
    <w:p w:rsidR="00584892" w:rsidRPr="004B1666" w:rsidRDefault="00584892">
      <w:pPr>
        <w:jc w:val="both"/>
        <w:rPr>
          <w:szCs w:val="22"/>
        </w:rPr>
      </w:pPr>
      <w:r w:rsidRPr="004B1666">
        <w:rPr>
          <w:szCs w:val="22"/>
        </w:rPr>
        <w:br w:type="page"/>
      </w:r>
    </w:p>
    <w:p w:rsidR="00584892" w:rsidRPr="004B1666" w:rsidRDefault="00584892" w:rsidP="001C40D7">
      <w:pPr>
        <w:pStyle w:val="Heading1"/>
        <w:spacing w:after="220"/>
        <w:jc w:val="both"/>
        <w:rPr>
          <w:rFonts w:ascii="Times New Roman" w:hAnsi="Times New Roman"/>
          <w:szCs w:val="22"/>
        </w:rPr>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352138697"/>
      <w:bookmarkStart w:id="27" w:name="_Toc352149943"/>
      <w:bookmarkStart w:id="28" w:name="_Toc352230494"/>
      <w:r w:rsidRPr="004B1666">
        <w:rPr>
          <w:rFonts w:ascii="Times New Roman" w:hAnsi="Times New Roman"/>
          <w:szCs w:val="22"/>
        </w:rPr>
        <w:lastRenderedPageBreak/>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31660" w:rsidRDefault="00584892" w:rsidP="001C40D7">
      <w:pPr>
        <w:pStyle w:val="ParaNum"/>
        <w:numPr>
          <w:ilvl w:val="0"/>
          <w:numId w:val="0"/>
        </w:numPr>
        <w:tabs>
          <w:tab w:val="num" w:pos="1260"/>
        </w:tabs>
        <w:spacing w:after="220"/>
        <w:ind w:firstLine="720"/>
        <w:jc w:val="both"/>
        <w:rPr>
          <w:szCs w:val="22"/>
        </w:rPr>
      </w:pPr>
      <w:r w:rsidRPr="00790C36">
        <w:rPr>
          <w:szCs w:val="22"/>
        </w:rPr>
        <w:t>In th</w:t>
      </w:r>
      <w:r w:rsidR="006928C0">
        <w:rPr>
          <w:szCs w:val="22"/>
        </w:rPr>
        <w:t>e</w:t>
      </w:r>
      <w:r w:rsidRPr="00790C36">
        <w:rPr>
          <w:szCs w:val="22"/>
        </w:rPr>
        <w:t xml:space="preserve"> </w:t>
      </w:r>
      <w:r>
        <w:rPr>
          <w:i/>
          <w:szCs w:val="22"/>
        </w:rPr>
        <w:t>Report and Order</w:t>
      </w:r>
      <w:r w:rsidRPr="00790C36">
        <w:rPr>
          <w:i/>
          <w:szCs w:val="22"/>
        </w:rPr>
        <w:t xml:space="preserve"> </w:t>
      </w:r>
      <w:r>
        <w:rPr>
          <w:szCs w:val="22"/>
        </w:rPr>
        <w:t>in WT Docket No</w:t>
      </w:r>
      <w:r w:rsidRPr="00790C36">
        <w:rPr>
          <w:szCs w:val="22"/>
        </w:rPr>
        <w:t xml:space="preserve">. </w:t>
      </w:r>
      <w:r w:rsidR="000A51ED">
        <w:rPr>
          <w:szCs w:val="22"/>
        </w:rPr>
        <w:t>1</w:t>
      </w:r>
      <w:r w:rsidR="0089649F">
        <w:rPr>
          <w:szCs w:val="22"/>
        </w:rPr>
        <w:t>0</w:t>
      </w:r>
      <w:r w:rsidRPr="00790C36">
        <w:rPr>
          <w:szCs w:val="22"/>
        </w:rPr>
        <w:t>-</w:t>
      </w:r>
      <w:r w:rsidR="005129E5">
        <w:rPr>
          <w:szCs w:val="22"/>
        </w:rPr>
        <w:t>61</w:t>
      </w:r>
      <w:r w:rsidR="0089649F">
        <w:rPr>
          <w:szCs w:val="22"/>
        </w:rPr>
        <w:t>,</w:t>
      </w:r>
      <w:r w:rsidRPr="00790C36">
        <w:rPr>
          <w:szCs w:val="22"/>
        </w:rPr>
        <w:t xml:space="preserve"> </w:t>
      </w:r>
      <w:r>
        <w:rPr>
          <w:szCs w:val="22"/>
        </w:rPr>
        <w:t>the Commission</w:t>
      </w:r>
      <w:r w:rsidRPr="00790C36">
        <w:rPr>
          <w:szCs w:val="22"/>
        </w:rPr>
        <w:t xml:space="preserve"> </w:t>
      </w:r>
      <w:r w:rsidR="005129E5">
        <w:rPr>
          <w:szCs w:val="22"/>
        </w:rPr>
        <w:t>took</w:t>
      </w:r>
      <w:r w:rsidR="005129E5">
        <w:t xml:space="preserve"> action to authorize new ground station technologies that will promote aviation safety</w:t>
      </w:r>
      <w:r w:rsidR="003318E0" w:rsidRPr="00DD0873">
        <w:rPr>
          <w:szCs w:val="22"/>
        </w:rPr>
        <w:t>.</w:t>
      </w:r>
      <w:r w:rsidR="00D21EFA">
        <w:rPr>
          <w:szCs w:val="22"/>
        </w:rPr>
        <w:t xml:space="preserve"> </w:t>
      </w:r>
      <w:r w:rsidR="008D33E5">
        <w:rPr>
          <w:szCs w:val="22"/>
        </w:rPr>
        <w:t xml:space="preserve"> </w:t>
      </w:r>
      <w:r w:rsidR="00E31660">
        <w:rPr>
          <w:szCs w:val="22"/>
        </w:rPr>
        <w:t xml:space="preserve">The rules adopted in </w:t>
      </w:r>
      <w:r w:rsidR="00E31660" w:rsidRPr="00E31660">
        <w:rPr>
          <w:szCs w:val="22"/>
        </w:rPr>
        <w:t xml:space="preserve">this </w:t>
      </w:r>
      <w:r w:rsidR="00E31660" w:rsidRPr="00E31660">
        <w:rPr>
          <w:i/>
          <w:szCs w:val="22"/>
        </w:rPr>
        <w:t>Report and Order</w:t>
      </w:r>
      <w:r w:rsidR="00E31660">
        <w:rPr>
          <w:szCs w:val="22"/>
        </w:rPr>
        <w:t xml:space="preserve"> are intended to ensure that the Commission’s Part 87 rules governing the Aviation Radio Service remain up to date and continue to further the Commission’s goals of accommodating new technologies, facilitat</w:t>
      </w:r>
      <w:r w:rsidR="008D33E5">
        <w:rPr>
          <w:szCs w:val="22"/>
        </w:rPr>
        <w:t>e</w:t>
      </w:r>
      <w:r w:rsidR="00E31660">
        <w:rPr>
          <w:szCs w:val="22"/>
        </w:rPr>
        <w:t xml:space="preserve"> </w:t>
      </w:r>
      <w:r w:rsidR="006928C0">
        <w:rPr>
          <w:szCs w:val="22"/>
        </w:rPr>
        <w:t xml:space="preserve">aeronautical spectrum </w:t>
      </w:r>
      <w:r w:rsidR="00E31660">
        <w:rPr>
          <w:szCs w:val="22"/>
        </w:rPr>
        <w:t>efficien</w:t>
      </w:r>
      <w:r w:rsidR="006928C0">
        <w:rPr>
          <w:szCs w:val="22"/>
        </w:rPr>
        <w:t>cy</w:t>
      </w:r>
      <w:r w:rsidR="00E31660">
        <w:rPr>
          <w:szCs w:val="22"/>
        </w:rPr>
        <w:t xml:space="preserve"> and </w:t>
      </w:r>
      <w:r w:rsidR="006928C0">
        <w:rPr>
          <w:szCs w:val="22"/>
        </w:rPr>
        <w:t xml:space="preserve">use </w:t>
      </w:r>
      <w:r w:rsidR="00E31660">
        <w:rPr>
          <w:szCs w:val="22"/>
        </w:rPr>
        <w:t>effective</w:t>
      </w:r>
      <w:r w:rsidR="006928C0">
        <w:rPr>
          <w:szCs w:val="22"/>
        </w:rPr>
        <w:t>ness</w:t>
      </w:r>
      <w:r w:rsidR="00E31660">
        <w:rPr>
          <w:szCs w:val="22"/>
        </w:rPr>
        <w:t>, avoid unnecessary regulation, and, above all, enhanc</w:t>
      </w:r>
      <w:r w:rsidR="008D33E5">
        <w:rPr>
          <w:szCs w:val="22"/>
        </w:rPr>
        <w:t>e</w:t>
      </w:r>
      <w:r w:rsidR="00E31660">
        <w:rPr>
          <w:szCs w:val="22"/>
        </w:rPr>
        <w:t xml:space="preserve"> </w:t>
      </w:r>
      <w:r w:rsidR="006928C0">
        <w:rPr>
          <w:szCs w:val="22"/>
        </w:rPr>
        <w:t xml:space="preserve">flight </w:t>
      </w:r>
      <w:r w:rsidR="00E31660">
        <w:rPr>
          <w:szCs w:val="22"/>
        </w:rPr>
        <w:t>safety.</w:t>
      </w:r>
    </w:p>
    <w:p w:rsidR="00BA75E6" w:rsidRDefault="00D21EFA" w:rsidP="001C40D7">
      <w:pPr>
        <w:pStyle w:val="ParaNum"/>
        <w:numPr>
          <w:ilvl w:val="0"/>
          <w:numId w:val="0"/>
        </w:numPr>
        <w:tabs>
          <w:tab w:val="num" w:pos="1260"/>
        </w:tabs>
        <w:spacing w:after="220"/>
        <w:ind w:firstLine="720"/>
        <w:jc w:val="both"/>
      </w:pPr>
      <w:r>
        <w:rPr>
          <w:szCs w:val="22"/>
        </w:rPr>
        <w:t xml:space="preserve">The Commission </w:t>
      </w:r>
      <w:r>
        <w:t xml:space="preserve">amended Part 87 of the Commission’s Rules to allow </w:t>
      </w:r>
      <w:r w:rsidR="006928C0">
        <w:t xml:space="preserve">the </w:t>
      </w:r>
      <w:r>
        <w:t>use of frequency 1090 MHz by aeronautical utility mobile stations for airport surface detection equipment, commonly referred to as vehicle “squitters</w:t>
      </w:r>
      <w:r w:rsidR="008D33E5">
        <w:t>,</w:t>
      </w:r>
      <w:r>
        <w:t>”</w:t>
      </w:r>
      <w:r w:rsidR="008D33E5">
        <w:rPr>
          <w:rStyle w:val="FootnoteReference"/>
        </w:rPr>
        <w:footnoteReference w:id="1"/>
      </w:r>
      <w:r>
        <w:t xml:space="preserve"> </w:t>
      </w:r>
      <w:r w:rsidR="00620228" w:rsidRPr="00620228">
        <w:t xml:space="preserve">to help reduce collisions between aircraft and airport ground vehicles.  In addition, </w:t>
      </w:r>
      <w:r w:rsidR="00620228">
        <w:t>the Commission</w:t>
      </w:r>
      <w:r w:rsidR="00620228" w:rsidRPr="00620228">
        <w:t xml:space="preserve"> establish</w:t>
      </w:r>
      <w:r w:rsidR="00620228">
        <w:t>ed</w:t>
      </w:r>
      <w:r w:rsidR="00620228" w:rsidRPr="00620228">
        <w:t xml:space="preserve"> service rules for audio visual warning systems to help aircraft in flight avoid antenna structures and other obstacles</w:t>
      </w:r>
      <w:r w:rsidR="00620228">
        <w:t xml:space="preserve"> and </w:t>
      </w:r>
      <w:r w:rsidR="00620228" w:rsidRPr="00620228">
        <w:t>adopt</w:t>
      </w:r>
      <w:r w:rsidR="00620228">
        <w:t>ed</w:t>
      </w:r>
      <w:r w:rsidR="00620228" w:rsidRPr="00620228">
        <w:t xml:space="preserve"> rules to permit ground testing of aviation data link systems</w:t>
      </w:r>
      <w:r w:rsidR="00620228">
        <w:t>.</w:t>
      </w:r>
      <w:r w:rsidR="00620228" w:rsidRPr="00620228">
        <w:t xml:space="preserve">    </w:t>
      </w:r>
    </w:p>
    <w:p w:rsidR="00F2521C" w:rsidRPr="001C40D7" w:rsidRDefault="00F2521C" w:rsidP="001C40D7">
      <w:pPr>
        <w:pStyle w:val="ParaNum"/>
        <w:numPr>
          <w:ilvl w:val="0"/>
          <w:numId w:val="0"/>
        </w:numPr>
        <w:tabs>
          <w:tab w:val="num" w:pos="1260"/>
        </w:tabs>
        <w:spacing w:after="220"/>
        <w:ind w:firstLine="720"/>
        <w:jc w:val="both"/>
        <w:rPr>
          <w:szCs w:val="22"/>
        </w:rPr>
      </w:pPr>
      <w:r>
        <w:rPr>
          <w:szCs w:val="22"/>
        </w:rPr>
        <w:t>T</w:t>
      </w:r>
      <w:r w:rsidRPr="00F2521C">
        <w:rPr>
          <w:szCs w:val="22"/>
        </w:rPr>
        <w:t>he benefits of the rule changes adopted in</w:t>
      </w:r>
      <w:r>
        <w:rPr>
          <w:szCs w:val="22"/>
        </w:rPr>
        <w:t xml:space="preserve"> this </w:t>
      </w:r>
      <w:r w:rsidRPr="00F2521C">
        <w:rPr>
          <w:i/>
          <w:szCs w:val="22"/>
        </w:rPr>
        <w:t>Report and Order</w:t>
      </w:r>
      <w:r w:rsidRPr="00F2521C">
        <w:rPr>
          <w:szCs w:val="22"/>
        </w:rPr>
        <w:t xml:space="preserve"> outweigh any potential costs.  The rules will promote aviation safety by allowing </w:t>
      </w:r>
      <w:r w:rsidR="006928C0">
        <w:rPr>
          <w:szCs w:val="22"/>
        </w:rPr>
        <w:t xml:space="preserve">the </w:t>
      </w:r>
      <w:r w:rsidRPr="00F2521C">
        <w:rPr>
          <w:szCs w:val="22"/>
        </w:rPr>
        <w:t xml:space="preserve">use of frequency 1090 MHz by aeronautical utility mobile stations for airport surface detection equipment.  The rules will also help aircraft in flight avoid antenna structures and other obstacles.  In addition, the rules will benefit the public by ensuring the reliability of aviation data link test systems and </w:t>
      </w:r>
      <w:r w:rsidR="009D7632">
        <w:rPr>
          <w:szCs w:val="22"/>
        </w:rPr>
        <w:t>thereby</w:t>
      </w:r>
      <w:r w:rsidRPr="00F2521C">
        <w:rPr>
          <w:szCs w:val="22"/>
        </w:rPr>
        <w:t xml:space="preserve"> enhanc</w:t>
      </w:r>
      <w:r w:rsidR="00FF7CBE">
        <w:rPr>
          <w:szCs w:val="22"/>
        </w:rPr>
        <w:t>ing</w:t>
      </w:r>
      <w:r w:rsidRPr="00F2521C">
        <w:rPr>
          <w:szCs w:val="22"/>
        </w:rPr>
        <w:t xml:space="preserve"> aviation safety.  These rules do not impose new obligations on any licensee or prospective licensee.  Rather, they give licensees new options to enhance the safety and reliability of their aviation-related operations.  In light of the substantial public safety benefits associated with these rules and the costs and burdens they impose, such as </w:t>
      </w:r>
      <w:r w:rsidR="009D7632">
        <w:rPr>
          <w:szCs w:val="22"/>
        </w:rPr>
        <w:t xml:space="preserve">the </w:t>
      </w:r>
      <w:r w:rsidRPr="00F2521C">
        <w:rPr>
          <w:szCs w:val="22"/>
        </w:rPr>
        <w:t xml:space="preserve">costs that may be incurred in coordinating with the </w:t>
      </w:r>
      <w:r w:rsidR="00E07F1D">
        <w:rPr>
          <w:szCs w:val="22"/>
        </w:rPr>
        <w:t>Federal Aviation Administration (</w:t>
      </w:r>
      <w:r w:rsidRPr="00F2521C">
        <w:rPr>
          <w:szCs w:val="22"/>
        </w:rPr>
        <w:t>FAA</w:t>
      </w:r>
      <w:r w:rsidR="00E07F1D">
        <w:rPr>
          <w:szCs w:val="22"/>
        </w:rPr>
        <w:t>)</w:t>
      </w:r>
      <w:r w:rsidRPr="00F2521C">
        <w:rPr>
          <w:szCs w:val="22"/>
        </w:rPr>
        <w:t xml:space="preserve"> or the aeronautical enroute licensee, </w:t>
      </w:r>
      <w:r w:rsidR="004D653B">
        <w:rPr>
          <w:szCs w:val="22"/>
        </w:rPr>
        <w:t>t</w:t>
      </w:r>
      <w:r>
        <w:rPr>
          <w:szCs w:val="22"/>
        </w:rPr>
        <w:t>he Commission determined that</w:t>
      </w:r>
      <w:r w:rsidRPr="00F2521C">
        <w:rPr>
          <w:szCs w:val="22"/>
        </w:rPr>
        <w:t xml:space="preserve"> the benefits outweigh</w:t>
      </w:r>
      <w:r w:rsidR="00874844">
        <w:rPr>
          <w:szCs w:val="22"/>
        </w:rPr>
        <w:t>ed</w:t>
      </w:r>
      <w:r w:rsidRPr="00F2521C">
        <w:rPr>
          <w:szCs w:val="22"/>
        </w:rPr>
        <w:t xml:space="preserve"> the potential costs.</w:t>
      </w:r>
    </w:p>
    <w:p w:rsidR="00584892" w:rsidRPr="004B1666" w:rsidRDefault="00584892" w:rsidP="001C40D7">
      <w:pPr>
        <w:pStyle w:val="Heading1"/>
        <w:spacing w:after="220"/>
        <w:jc w:val="both"/>
        <w:rPr>
          <w:rFonts w:ascii="Times New Roman" w:hAnsi="Times New Roman"/>
          <w:szCs w:val="22"/>
        </w:rPr>
      </w:pPr>
      <w:bookmarkStart w:id="29" w:name="_Toc103419949"/>
      <w:bookmarkStart w:id="30" w:name="_Toc103420573"/>
      <w:bookmarkStart w:id="31" w:name="_Toc103420715"/>
      <w:bookmarkStart w:id="32" w:name="_Toc103420759"/>
      <w:bookmarkStart w:id="33" w:name="_Toc103420819"/>
      <w:bookmarkStart w:id="34" w:name="_Toc103420866"/>
      <w:bookmarkStart w:id="35" w:name="_Toc103420954"/>
      <w:bookmarkStart w:id="36" w:name="_Toc103421293"/>
      <w:bookmarkStart w:id="37" w:name="_Toc103421411"/>
      <w:bookmarkStart w:id="38" w:name="_Toc103421505"/>
      <w:bookmarkStart w:id="39" w:name="_Toc103488262"/>
      <w:bookmarkStart w:id="40" w:name="_Toc125945574"/>
      <w:bookmarkStart w:id="41" w:name="_Toc153861059"/>
      <w:bookmarkStart w:id="42" w:name="_Toc176072635"/>
      <w:bookmarkStart w:id="43" w:name="_Toc176072761"/>
      <w:bookmarkStart w:id="44" w:name="_Toc176072787"/>
      <w:bookmarkStart w:id="45" w:name="_Toc176072811"/>
      <w:bookmarkStart w:id="46" w:name="_Toc179100554"/>
      <w:bookmarkStart w:id="47" w:name="_Toc179100919"/>
      <w:bookmarkStart w:id="48" w:name="_Toc216065689"/>
      <w:bookmarkStart w:id="49" w:name="_Toc326229720"/>
      <w:bookmarkStart w:id="50" w:name="_Toc326658330"/>
      <w:bookmarkStart w:id="51" w:name="_Toc326746786"/>
      <w:bookmarkStart w:id="52" w:name="_Toc326826052"/>
      <w:bookmarkStart w:id="53" w:name="_Toc352138698"/>
      <w:bookmarkStart w:id="54" w:name="_Toc352149944"/>
      <w:bookmarkStart w:id="55" w:name="_Toc352230495"/>
      <w:r w:rsidRPr="004B1666">
        <w:rPr>
          <w:rFonts w:ascii="Times New Roman" w:hAnsi="Times New Roman"/>
          <w:szCs w:val="22"/>
        </w:rPr>
        <w:t>Regulations and Policies That the Commission ADOPTED OR Modified</w:t>
      </w:r>
      <w:bookmarkEnd w:id="29"/>
      <w:bookmarkEnd w:id="30"/>
      <w:bookmarkEnd w:id="31"/>
      <w:bookmarkEnd w:id="32"/>
      <w:bookmarkEnd w:id="33"/>
      <w:bookmarkEnd w:id="34"/>
      <w:bookmarkEnd w:id="35"/>
      <w:bookmarkEnd w:id="36"/>
      <w:bookmarkEnd w:id="37"/>
      <w:bookmarkEnd w:id="38"/>
      <w:bookmarkEnd w:id="39"/>
      <w:bookmarkEnd w:id="40"/>
      <w:r w:rsidRPr="004B1666">
        <w:rPr>
          <w:rFonts w:ascii="Times New Roman" w:hAnsi="Times New Roman"/>
          <w:szCs w:val="22"/>
        </w:rPr>
        <w:t>, including compliance requirements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B1666">
        <w:rPr>
          <w:rFonts w:ascii="Times New Roman" w:hAnsi="Times New Roman"/>
          <w:szCs w:val="22"/>
        </w:rPr>
        <w:t xml:space="preserve"> </w:t>
      </w:r>
    </w:p>
    <w:p w:rsidR="00584892" w:rsidRPr="00D27BE0" w:rsidRDefault="00584892" w:rsidP="001C40D7">
      <w:pPr>
        <w:spacing w:after="220"/>
        <w:ind w:firstLine="720"/>
        <w:jc w:val="both"/>
        <w:rPr>
          <w:szCs w:val="22"/>
        </w:rPr>
      </w:pPr>
      <w:r w:rsidRPr="00D27BE0">
        <w:rPr>
          <w:szCs w:val="22"/>
        </w:rPr>
        <w:t xml:space="preserve">In the </w:t>
      </w:r>
      <w:r w:rsidRPr="00D27BE0">
        <w:rPr>
          <w:i/>
          <w:szCs w:val="22"/>
        </w:rPr>
        <w:t>Report and Order</w:t>
      </w:r>
      <w:r w:rsidRPr="00D27BE0">
        <w:rPr>
          <w:szCs w:val="22"/>
        </w:rPr>
        <w:t xml:space="preserve"> the Commi</w:t>
      </w:r>
      <w:r>
        <w:rPr>
          <w:szCs w:val="22"/>
        </w:rPr>
        <w:t>ssion took the following action</w:t>
      </w:r>
      <w:r w:rsidR="00C5136C">
        <w:rPr>
          <w:szCs w:val="22"/>
        </w:rPr>
        <w:t>s</w:t>
      </w:r>
      <w:r w:rsidRPr="00D27BE0">
        <w:rPr>
          <w:szCs w:val="22"/>
        </w:rPr>
        <w:t>:</w:t>
      </w:r>
    </w:p>
    <w:p w:rsidR="00733C7A" w:rsidRDefault="00587A3E" w:rsidP="001C40D7">
      <w:pPr>
        <w:pStyle w:val="ParaNum"/>
        <w:numPr>
          <w:ilvl w:val="0"/>
          <w:numId w:val="3"/>
        </w:numPr>
        <w:spacing w:after="220"/>
        <w:ind w:left="1440" w:hanging="720"/>
      </w:pPr>
      <w:r>
        <w:t xml:space="preserve">Amended Part 87 of the Commission’s Rules to allow </w:t>
      </w:r>
      <w:r w:rsidR="000D5EC5">
        <w:t xml:space="preserve">the </w:t>
      </w:r>
      <w:r>
        <w:t>use of frequency 1090 MHz by aeronautical utility mobile stations for airport surface detection equipment, commonly referred to as vehicle “squitters”</w:t>
      </w:r>
      <w:r w:rsidR="00733C7A">
        <w:t>;</w:t>
      </w:r>
    </w:p>
    <w:p w:rsidR="00733C7A" w:rsidRDefault="00AF7727" w:rsidP="001C40D7">
      <w:pPr>
        <w:pStyle w:val="ParaNum"/>
        <w:numPr>
          <w:ilvl w:val="0"/>
          <w:numId w:val="3"/>
        </w:numPr>
        <w:spacing w:after="220"/>
        <w:ind w:left="1440" w:hanging="720"/>
      </w:pPr>
      <w:r>
        <w:t>E</w:t>
      </w:r>
      <w:r w:rsidR="00587A3E" w:rsidRPr="00620228">
        <w:t>stablish</w:t>
      </w:r>
      <w:r w:rsidR="00587A3E">
        <w:t>ed</w:t>
      </w:r>
      <w:r w:rsidR="00587A3E" w:rsidRPr="00620228">
        <w:t xml:space="preserve"> service rules for audio visual warning systems to help aircraft in flight avoid antenna structures and other obstacles</w:t>
      </w:r>
      <w:r w:rsidR="00733C7A">
        <w:t>;</w:t>
      </w:r>
    </w:p>
    <w:p w:rsidR="00733C7A" w:rsidRDefault="00C63BFE" w:rsidP="001C40D7">
      <w:pPr>
        <w:pStyle w:val="ParaNum"/>
        <w:numPr>
          <w:ilvl w:val="0"/>
          <w:numId w:val="3"/>
        </w:numPr>
        <w:spacing w:after="220"/>
        <w:ind w:left="1440" w:hanging="720"/>
      </w:pPr>
      <w:r>
        <w:t>A</w:t>
      </w:r>
      <w:r w:rsidRPr="00620228">
        <w:t>dopt</w:t>
      </w:r>
      <w:r>
        <w:t>ed</w:t>
      </w:r>
      <w:r w:rsidRPr="00620228">
        <w:t xml:space="preserve"> rules to permit </w:t>
      </w:r>
      <w:r w:rsidR="000D5EC5" w:rsidRPr="00620228">
        <w:t xml:space="preserve">aviation data link system </w:t>
      </w:r>
      <w:r w:rsidRPr="00620228">
        <w:t>ground testing</w:t>
      </w:r>
      <w:r>
        <w:t>.</w:t>
      </w:r>
    </w:p>
    <w:p w:rsidR="00896AD3" w:rsidRDefault="00896AD3" w:rsidP="00896AD3">
      <w:pPr>
        <w:pStyle w:val="Heading2"/>
      </w:pPr>
      <w:bookmarkStart w:id="56" w:name="_Toc352138699"/>
      <w:bookmarkStart w:id="57" w:name="_Toc352149945"/>
      <w:bookmarkStart w:id="58" w:name="_Toc352230496"/>
      <w:r>
        <w:t>Vehicle Squitters</w:t>
      </w:r>
      <w:bookmarkEnd w:id="56"/>
      <w:bookmarkEnd w:id="57"/>
      <w:bookmarkEnd w:id="58"/>
    </w:p>
    <w:p w:rsidR="00E36DA3" w:rsidRDefault="009E1696" w:rsidP="00B67F15">
      <w:pPr>
        <w:pStyle w:val="ParaNum"/>
        <w:numPr>
          <w:ilvl w:val="0"/>
          <w:numId w:val="0"/>
        </w:numPr>
        <w:spacing w:after="220"/>
        <w:ind w:firstLine="720"/>
        <w:jc w:val="both"/>
      </w:pPr>
      <w:r>
        <w:t xml:space="preserve">The Commission </w:t>
      </w:r>
      <w:r w:rsidRPr="009E1696">
        <w:t>conclude</w:t>
      </w:r>
      <w:r>
        <w:t>d</w:t>
      </w:r>
      <w:r w:rsidRPr="009E1696">
        <w:t xml:space="preserve"> that permitting</w:t>
      </w:r>
      <w:r w:rsidR="000D5EC5">
        <w:t xml:space="preserve"> the</w:t>
      </w:r>
      <w:r w:rsidRPr="009E1696">
        <w:t xml:space="preserve"> use of frequency 1090 MHz by vehicle squitters to </w:t>
      </w:r>
      <w:r w:rsidRPr="00813D65">
        <w:t>facilitate</w:t>
      </w:r>
      <w:r w:rsidRPr="009E1696">
        <w:t xml:space="preserve"> tracking of ground vehicle movements on the airport surface will further the public interest.  </w:t>
      </w:r>
      <w:r w:rsidR="000D5EC5">
        <w:t>Rules adopted</w:t>
      </w:r>
      <w:r w:rsidRPr="009E1696">
        <w:t xml:space="preserve"> will enhance the safety of airline passengers and airport workers</w:t>
      </w:r>
      <w:r w:rsidR="000D5EC5">
        <w:t>,</w:t>
      </w:r>
      <w:r w:rsidRPr="009E1696">
        <w:t xml:space="preserve"> and reduce the costs associated with runway incursions (including direct costs due to collision damage and indirect costs such as delay, plane changes, and fuel inefficiencies)</w:t>
      </w:r>
      <w:r w:rsidR="00874844">
        <w:t>,</w:t>
      </w:r>
      <w:r w:rsidRPr="009E1696">
        <w:t xml:space="preserve"> without causing harmful interference to other uses of the frequency.  </w:t>
      </w:r>
    </w:p>
    <w:p w:rsidR="00875E5E" w:rsidRDefault="009E1696" w:rsidP="00B67F15">
      <w:pPr>
        <w:pStyle w:val="ParaNum"/>
        <w:numPr>
          <w:ilvl w:val="0"/>
          <w:numId w:val="0"/>
        </w:numPr>
        <w:spacing w:after="220"/>
        <w:ind w:firstLine="720"/>
        <w:jc w:val="both"/>
        <w:rPr>
          <w:snapToGrid/>
          <w:kern w:val="0"/>
          <w:szCs w:val="22"/>
        </w:rPr>
      </w:pPr>
      <w:r w:rsidRPr="009E1696">
        <w:t xml:space="preserve">The Commission will coordinate </w:t>
      </w:r>
      <w:r w:rsidR="008D33E5">
        <w:t xml:space="preserve">FCC-filed </w:t>
      </w:r>
      <w:r w:rsidRPr="009E1696">
        <w:t xml:space="preserve">applications with the FAA through the </w:t>
      </w:r>
      <w:r w:rsidR="00E07F1D">
        <w:t xml:space="preserve">National Telecommunications and Information Administration’s </w:t>
      </w:r>
      <w:r w:rsidRPr="009E1696">
        <w:t>I</w:t>
      </w:r>
      <w:r w:rsidR="00E07F1D">
        <w:t xml:space="preserve">nterdepartment </w:t>
      </w:r>
      <w:r w:rsidRPr="009E1696">
        <w:t>R</w:t>
      </w:r>
      <w:r w:rsidR="00E07F1D">
        <w:t xml:space="preserve">adio </w:t>
      </w:r>
      <w:r w:rsidRPr="009E1696">
        <w:t>A</w:t>
      </w:r>
      <w:r w:rsidR="00E07F1D">
        <w:t xml:space="preserve">dvisory </w:t>
      </w:r>
      <w:r w:rsidRPr="009E1696">
        <w:t>C</w:t>
      </w:r>
      <w:r w:rsidR="00E07F1D">
        <w:t>ommittee</w:t>
      </w:r>
      <w:r w:rsidR="0062631E">
        <w:t xml:space="preserve"> (IRAC)</w:t>
      </w:r>
      <w:r w:rsidR="00143033">
        <w:t xml:space="preserve">.  </w:t>
      </w:r>
      <w:r w:rsidR="008D33E5">
        <w:t>Before filing, however, prospective a</w:t>
      </w:r>
      <w:r w:rsidRPr="009E1696">
        <w:t xml:space="preserve">pplicants </w:t>
      </w:r>
      <w:r w:rsidR="008D33E5">
        <w:t xml:space="preserve">themselves </w:t>
      </w:r>
      <w:r w:rsidR="00143033">
        <w:t xml:space="preserve">will be required </w:t>
      </w:r>
      <w:r w:rsidRPr="009E1696">
        <w:t xml:space="preserve">to pre-coordinate with the relevant FAA Regional Office.  </w:t>
      </w:r>
      <w:r w:rsidR="00E07F1D">
        <w:t xml:space="preserve">(FAA Regional Offices are listed at </w:t>
      </w:r>
      <w:hyperlink r:id="rId9" w:history="1">
        <w:r w:rsidR="00E07F1D" w:rsidRPr="00FF275D">
          <w:rPr>
            <w:rStyle w:val="Hyperlink"/>
          </w:rPr>
          <w:t>http://www.faa.gov/about/office_org/headquarters_offices/arc/ro_center/</w:t>
        </w:r>
      </w:hyperlink>
      <w:r w:rsidR="00E07F1D">
        <w:t xml:space="preserve">.)  </w:t>
      </w:r>
      <w:r>
        <w:t>P</w:t>
      </w:r>
      <w:r w:rsidRPr="009E1696">
        <w:t>re-coordination will expedite the licensing process</w:t>
      </w:r>
      <w:r>
        <w:t>.</w:t>
      </w:r>
      <w:r w:rsidR="003F7439">
        <w:t xml:space="preserve"> </w:t>
      </w:r>
      <w:r w:rsidR="00194551">
        <w:t xml:space="preserve"> </w:t>
      </w:r>
      <w:r w:rsidR="00847224">
        <w:rPr>
          <w:snapToGrid/>
          <w:kern w:val="0"/>
          <w:szCs w:val="22"/>
        </w:rPr>
        <w:t xml:space="preserve">Vehicle squitters will be licensed as aeronautical mobility stations (station class of MOU), which by the Commission’s rules are limited to operation in </w:t>
      </w:r>
      <w:r w:rsidR="00111789">
        <w:rPr>
          <w:snapToGrid/>
          <w:kern w:val="0"/>
          <w:szCs w:val="22"/>
        </w:rPr>
        <w:t>the</w:t>
      </w:r>
      <w:r w:rsidR="00847224">
        <w:rPr>
          <w:snapToGrid/>
          <w:kern w:val="0"/>
          <w:szCs w:val="22"/>
        </w:rPr>
        <w:t xml:space="preserve"> airport movement area.</w:t>
      </w:r>
    </w:p>
    <w:p w:rsidR="00875E5E" w:rsidRDefault="00875E5E" w:rsidP="00875E5E">
      <w:pPr>
        <w:pStyle w:val="Heading2"/>
        <w:rPr>
          <w:szCs w:val="22"/>
        </w:rPr>
      </w:pPr>
      <w:bookmarkStart w:id="59" w:name="_Toc352138700"/>
      <w:bookmarkStart w:id="60" w:name="_Toc352149946"/>
      <w:bookmarkStart w:id="61" w:name="_Toc352230497"/>
      <w:r>
        <w:rPr>
          <w:szCs w:val="22"/>
        </w:rPr>
        <w:t>Audio Visual Warning Systems (AVWS)</w:t>
      </w:r>
      <w:bookmarkEnd w:id="59"/>
      <w:bookmarkEnd w:id="60"/>
      <w:bookmarkEnd w:id="61"/>
      <w:r>
        <w:rPr>
          <w:szCs w:val="22"/>
        </w:rPr>
        <w:t xml:space="preserve"> </w:t>
      </w:r>
    </w:p>
    <w:p w:rsidR="00722D79" w:rsidRDefault="0067559B" w:rsidP="00B67F15">
      <w:pPr>
        <w:pStyle w:val="ParaNum"/>
        <w:numPr>
          <w:ilvl w:val="0"/>
          <w:numId w:val="0"/>
        </w:numPr>
        <w:spacing w:after="220"/>
        <w:ind w:firstLine="720"/>
        <w:jc w:val="both"/>
      </w:pPr>
      <w:r>
        <w:rPr>
          <w:snapToGrid/>
          <w:kern w:val="0"/>
          <w:szCs w:val="22"/>
        </w:rPr>
        <w:t xml:space="preserve">An AVWS is an integrated air hazard notification system that activates obstruction lighting and transmits audible warnings to aircraft on a potential collision course with an obstacle such as a power line, wind turbine, or tower.  </w:t>
      </w:r>
      <w:r w:rsidR="008F67E7">
        <w:rPr>
          <w:snapToGrid/>
          <w:kern w:val="0"/>
          <w:szCs w:val="22"/>
        </w:rPr>
        <w:t xml:space="preserve">The Commission concluded that </w:t>
      </w:r>
      <w:r w:rsidR="008F67E7">
        <w:t xml:space="preserve">allowing the owners of antenna structure and other aviation obstacles to use AVWS stations to help aircraft avoid potential collisions will benefit the public by enhancing aviation safety, without causing harmful interference to other communications. </w:t>
      </w:r>
      <w:r w:rsidR="00874844">
        <w:t xml:space="preserve"> </w:t>
      </w:r>
      <w:r w:rsidR="008F67E7">
        <w:t>Other potential benefits of AVWS include lower energy consumption, reduced light pollution, and increased migratory bird population</w:t>
      </w:r>
      <w:r w:rsidR="00E36DA3" w:rsidRPr="00E36DA3">
        <w:t xml:space="preserve"> </w:t>
      </w:r>
      <w:r w:rsidR="00E36DA3">
        <w:t>protection</w:t>
      </w:r>
      <w:r w:rsidR="008F67E7">
        <w:t>.</w:t>
      </w:r>
      <w:r w:rsidR="00722D79">
        <w:t xml:space="preserve"> </w:t>
      </w:r>
    </w:p>
    <w:p w:rsidR="00896AD3" w:rsidRDefault="0067559B" w:rsidP="00B67F15">
      <w:pPr>
        <w:pStyle w:val="ParaNum"/>
        <w:numPr>
          <w:ilvl w:val="0"/>
          <w:numId w:val="0"/>
        </w:numPr>
        <w:spacing w:after="220"/>
        <w:ind w:firstLine="720"/>
        <w:jc w:val="both"/>
        <w:rPr>
          <w:snapToGrid/>
          <w:kern w:val="0"/>
          <w:szCs w:val="22"/>
        </w:rPr>
      </w:pPr>
      <w:r>
        <w:rPr>
          <w:snapToGrid/>
          <w:kern w:val="0"/>
        </w:rPr>
        <w:t xml:space="preserve">An AVWS includes a radar </w:t>
      </w:r>
      <w:r w:rsidR="00AF1406">
        <w:rPr>
          <w:snapToGrid/>
          <w:kern w:val="0"/>
        </w:rPr>
        <w:t xml:space="preserve">unit </w:t>
      </w:r>
      <w:r>
        <w:rPr>
          <w:snapToGrid/>
          <w:kern w:val="0"/>
        </w:rPr>
        <w:t xml:space="preserve">and a radio capable of transmitting in the VHF aeronautical band (118-136 MHz).  When the radar </w:t>
      </w:r>
      <w:r w:rsidR="00AF1406">
        <w:rPr>
          <w:snapToGrid/>
          <w:kern w:val="0"/>
        </w:rPr>
        <w:t xml:space="preserve">unit </w:t>
      </w:r>
      <w:r>
        <w:rPr>
          <w:snapToGrid/>
          <w:kern w:val="0"/>
        </w:rPr>
        <w:t xml:space="preserve">detects an aircraft in a pre-defined warning zone, the </w:t>
      </w:r>
      <w:r w:rsidR="00E36DA3">
        <w:rPr>
          <w:snapToGrid/>
          <w:kern w:val="0"/>
        </w:rPr>
        <w:t xml:space="preserve">AVWS </w:t>
      </w:r>
      <w:r>
        <w:rPr>
          <w:snapToGrid/>
          <w:kern w:val="0"/>
        </w:rPr>
        <w:t xml:space="preserve"> activates </w:t>
      </w:r>
      <w:r w:rsidR="00BC1D38">
        <w:rPr>
          <w:snapToGrid/>
          <w:kern w:val="0"/>
        </w:rPr>
        <w:t xml:space="preserve">an </w:t>
      </w:r>
      <w:r>
        <w:rPr>
          <w:snapToGrid/>
          <w:kern w:val="0"/>
        </w:rPr>
        <w:t>obstruction lighting</w:t>
      </w:r>
      <w:r w:rsidR="00BC1D38">
        <w:rPr>
          <w:snapToGrid/>
          <w:kern w:val="0"/>
        </w:rPr>
        <w:t xml:space="preserve"> visual warning</w:t>
      </w:r>
      <w:r w:rsidR="00E36DA3">
        <w:rPr>
          <w:snapToGrid/>
          <w:kern w:val="0"/>
        </w:rPr>
        <w:t>.  I</w:t>
      </w:r>
      <w:r>
        <w:rPr>
          <w:snapToGrid/>
          <w:kern w:val="0"/>
        </w:rPr>
        <w:t xml:space="preserve">f the aircraft continues into a second warning zone, the VHF radio transmits an audible warning.  </w:t>
      </w:r>
      <w:r w:rsidR="00722D79">
        <w:rPr>
          <w:snapToGrid/>
          <w:kern w:val="0"/>
        </w:rPr>
        <w:t>The radar unit</w:t>
      </w:r>
      <w:r w:rsidR="001E6AAA">
        <w:rPr>
          <w:snapToGrid/>
          <w:kern w:val="0"/>
        </w:rPr>
        <w:t xml:space="preserve"> and the VHF transmitter will be licensed under a single Part 87 authorization, as a form of radio</w:t>
      </w:r>
      <w:r w:rsidR="00E31002">
        <w:rPr>
          <w:snapToGrid/>
          <w:kern w:val="0"/>
        </w:rPr>
        <w:t xml:space="preserve"> </w:t>
      </w:r>
      <w:r w:rsidR="001E6AAA">
        <w:rPr>
          <w:snapToGrid/>
          <w:kern w:val="0"/>
        </w:rPr>
        <w:t xml:space="preserve">determination station. </w:t>
      </w:r>
      <w:r w:rsidR="00874844">
        <w:rPr>
          <w:snapToGrid/>
          <w:kern w:val="0"/>
        </w:rPr>
        <w:t xml:space="preserve"> </w:t>
      </w:r>
      <w:r w:rsidR="0062631E">
        <w:rPr>
          <w:snapToGrid/>
          <w:kern w:val="0"/>
        </w:rPr>
        <w:t xml:space="preserve">The 1300-1350 MHz radar band will be available for AVWS use.  </w:t>
      </w:r>
      <w:r w:rsidR="001E6AAA">
        <w:rPr>
          <w:snapToGrid/>
          <w:kern w:val="0"/>
        </w:rPr>
        <w:t>With respect to the VHF transmitter, the Commission will</w:t>
      </w:r>
      <w:r w:rsidR="001E6AAA">
        <w:rPr>
          <w:szCs w:val="22"/>
        </w:rPr>
        <w:t xml:space="preserve"> permit AVWS operation only on aeronautical advisory (unicom) frequencies, multicom frequencies, aviation support frequencies 123.300 MHz and 123.500 MHz, and air-to-air frequencies 122.75 MHz and 123.025 MHz.</w:t>
      </w:r>
      <w:r w:rsidR="0062631E">
        <w:rPr>
          <w:szCs w:val="22"/>
        </w:rPr>
        <w:t xml:space="preserve">  The Commission will coordinate </w:t>
      </w:r>
      <w:r w:rsidR="00AF1406">
        <w:rPr>
          <w:szCs w:val="22"/>
        </w:rPr>
        <w:t xml:space="preserve">FCC-filed </w:t>
      </w:r>
      <w:r w:rsidR="0062631E">
        <w:rPr>
          <w:szCs w:val="22"/>
        </w:rPr>
        <w:t>applications with the FAA through the IRAC.</w:t>
      </w:r>
      <w:r w:rsidR="00A34785">
        <w:rPr>
          <w:szCs w:val="22"/>
        </w:rPr>
        <w:t xml:space="preserve">  </w:t>
      </w:r>
    </w:p>
    <w:p w:rsidR="00D57046" w:rsidRDefault="00D57046" w:rsidP="00B67F15">
      <w:pPr>
        <w:pStyle w:val="ParaNum"/>
        <w:numPr>
          <w:ilvl w:val="0"/>
          <w:numId w:val="0"/>
        </w:numPr>
        <w:spacing w:after="220"/>
        <w:ind w:firstLine="720"/>
        <w:jc w:val="both"/>
        <w:rPr>
          <w:snapToGrid/>
          <w:kern w:val="0"/>
          <w:szCs w:val="22"/>
        </w:rPr>
      </w:pPr>
      <w:r w:rsidRPr="00D57046">
        <w:rPr>
          <w:snapToGrid/>
          <w:kern w:val="0"/>
          <w:szCs w:val="22"/>
        </w:rPr>
        <w:t xml:space="preserve">The Commission concluded that requiring automatic monitoring </w:t>
      </w:r>
      <w:r w:rsidR="00B67F15">
        <w:rPr>
          <w:snapToGrid/>
          <w:kern w:val="0"/>
          <w:szCs w:val="22"/>
        </w:rPr>
        <w:t xml:space="preserve">of the lighting of AVWS-equipped structures </w:t>
      </w:r>
      <w:r w:rsidRPr="00D57046">
        <w:rPr>
          <w:snapToGrid/>
          <w:kern w:val="0"/>
          <w:szCs w:val="22"/>
        </w:rPr>
        <w:t xml:space="preserve">could impose unnecessary costs with no commensurate benefit. </w:t>
      </w:r>
      <w:r w:rsidR="00874844">
        <w:rPr>
          <w:snapToGrid/>
          <w:kern w:val="0"/>
          <w:szCs w:val="22"/>
        </w:rPr>
        <w:t xml:space="preserve"> </w:t>
      </w:r>
      <w:r w:rsidR="009B7D60">
        <w:rPr>
          <w:snapToGrid/>
          <w:kern w:val="0"/>
          <w:szCs w:val="22"/>
        </w:rPr>
        <w:t>A</w:t>
      </w:r>
      <w:r w:rsidR="008F0A68">
        <w:rPr>
          <w:snapToGrid/>
          <w:kern w:val="0"/>
          <w:szCs w:val="22"/>
        </w:rPr>
        <w:t>V</w:t>
      </w:r>
      <w:r w:rsidR="009B7D60">
        <w:rPr>
          <w:snapToGrid/>
          <w:kern w:val="0"/>
          <w:szCs w:val="22"/>
        </w:rPr>
        <w:t>WS equipment monitoring requires monitoring obstacle light activation components: the radar and the radar-to-lights communication link</w:t>
      </w:r>
      <w:r w:rsidR="00874844">
        <w:rPr>
          <w:snapToGrid/>
          <w:kern w:val="0"/>
          <w:szCs w:val="22"/>
        </w:rPr>
        <w:t xml:space="preserve"> a</w:t>
      </w:r>
      <w:r w:rsidR="009B7D60">
        <w:rPr>
          <w:snapToGrid/>
          <w:kern w:val="0"/>
          <w:szCs w:val="22"/>
        </w:rPr>
        <w:t xml:space="preserve">s well as the monitoring of the lighting system itself. </w:t>
      </w:r>
      <w:r w:rsidRPr="00D57046">
        <w:rPr>
          <w:snapToGrid/>
          <w:kern w:val="0"/>
          <w:szCs w:val="22"/>
        </w:rPr>
        <w:t xml:space="preserve"> </w:t>
      </w:r>
      <w:r w:rsidR="009B7D60">
        <w:rPr>
          <w:snapToGrid/>
          <w:kern w:val="0"/>
          <w:szCs w:val="22"/>
        </w:rPr>
        <w:t>However, a</w:t>
      </w:r>
      <w:r w:rsidRPr="00D57046">
        <w:rPr>
          <w:snapToGrid/>
          <w:kern w:val="0"/>
          <w:szCs w:val="22"/>
        </w:rPr>
        <w:t>n owner that believes that it can visually monitor an AVWS-equipped antenna structure’s lighting without automatic monitoring (such as by flying an aircraft into the warning zone every day) may do so to comply with Section 17.47.  However, regardless of how an antenna structure owner carries out its inspections, the owner is responsible if the lights fail to function.</w:t>
      </w:r>
    </w:p>
    <w:p w:rsidR="004A6579" w:rsidRDefault="004A6579" w:rsidP="0096208E">
      <w:pPr>
        <w:pStyle w:val="Heading2"/>
      </w:pPr>
      <w:bookmarkStart w:id="62" w:name="_Toc352138701"/>
      <w:bookmarkStart w:id="63" w:name="_Toc352149947"/>
      <w:bookmarkStart w:id="64" w:name="_Toc352230498"/>
      <w:r>
        <w:t>Aircraft Data Link Test Equipment</w:t>
      </w:r>
      <w:bookmarkEnd w:id="62"/>
      <w:bookmarkEnd w:id="63"/>
      <w:bookmarkEnd w:id="64"/>
    </w:p>
    <w:p w:rsidR="00252540" w:rsidRDefault="00B67F15" w:rsidP="00B67F15">
      <w:pPr>
        <w:ind w:firstLine="720"/>
        <w:jc w:val="both"/>
      </w:pPr>
      <w:bookmarkStart w:id="65" w:name="_Toc351729990"/>
      <w:bookmarkStart w:id="66" w:name="_Toc352138702"/>
      <w:r>
        <w:t xml:space="preserve">Aviation data link systems transmit data automatically between ground personnel and aircraft, but the Commission’s rules did not authorize the use of equipment to test aircraft data link systems.  </w:t>
      </w:r>
      <w:r w:rsidR="008D33E5">
        <w:t xml:space="preserve">In the </w:t>
      </w:r>
      <w:r w:rsidR="008D33E5">
        <w:rPr>
          <w:i/>
        </w:rPr>
        <w:t>Report and Order</w:t>
      </w:r>
      <w:r w:rsidR="008D33E5">
        <w:t>,</w:t>
      </w:r>
      <w:r w:rsidR="008D33E5">
        <w:rPr>
          <w:i/>
        </w:rPr>
        <w:t xml:space="preserve"> </w:t>
      </w:r>
      <w:r w:rsidR="008D33E5">
        <w:t>t</w:t>
      </w:r>
      <w:r w:rsidR="00293149">
        <w:t xml:space="preserve">he Commission </w:t>
      </w:r>
      <w:r w:rsidR="00293149" w:rsidRPr="00293149">
        <w:t>conclude</w:t>
      </w:r>
      <w:r w:rsidR="00293149">
        <w:t>d</w:t>
      </w:r>
      <w:r w:rsidR="00293149" w:rsidRPr="00293149">
        <w:t xml:space="preserve"> that </w:t>
      </w:r>
      <w:r w:rsidR="007B5CB7">
        <w:t>licens</w:t>
      </w:r>
      <w:r w:rsidR="00293149" w:rsidRPr="00293149">
        <w:t xml:space="preserve">ing </w:t>
      </w:r>
      <w:r w:rsidR="0032159B">
        <w:t xml:space="preserve">the </w:t>
      </w:r>
      <w:r w:rsidR="00293149" w:rsidRPr="00293149">
        <w:t>ground testing of aviation data link test</w:t>
      </w:r>
      <w:r w:rsidR="0084391B">
        <w:t xml:space="preserve"> (DLT)</w:t>
      </w:r>
      <w:r w:rsidR="00293149" w:rsidRPr="00293149">
        <w:t xml:space="preserve"> systems will benefit the public by ensuring the reliability of </w:t>
      </w:r>
      <w:r w:rsidR="0032159B">
        <w:t>these</w:t>
      </w:r>
      <w:r w:rsidR="00293149" w:rsidRPr="00293149">
        <w:t xml:space="preserve"> test systems</w:t>
      </w:r>
      <w:r w:rsidR="0032159B">
        <w:t>,</w:t>
      </w:r>
      <w:r w:rsidR="00293149" w:rsidRPr="00293149">
        <w:t xml:space="preserve"> and will enhance aviation safety.</w:t>
      </w:r>
      <w:r w:rsidR="00665BB8">
        <w:t xml:space="preserve">  </w:t>
      </w:r>
      <w:bookmarkEnd w:id="65"/>
      <w:bookmarkEnd w:id="66"/>
      <w:r w:rsidR="0062631E">
        <w:t xml:space="preserve">Because aviation data link systems operate on aeronautical enroute frequencies, applicants must </w:t>
      </w:r>
      <w:r w:rsidR="007B5CB7">
        <w:t xml:space="preserve">obtain consent </w:t>
      </w:r>
      <w:r w:rsidR="0062631E">
        <w:t xml:space="preserve">to operate </w:t>
      </w:r>
      <w:r w:rsidR="007B5CB7">
        <w:t>from</w:t>
      </w:r>
      <w:r w:rsidR="0062631E">
        <w:t xml:space="preserve"> Aviation Spectrum Resources, Inc.</w:t>
      </w:r>
      <w:r w:rsidR="007B5CB7">
        <w:t xml:space="preserve"> (ASRI)</w:t>
      </w:r>
      <w:r w:rsidR="0062631E">
        <w:t>, which is the exclusive aeronautical enroute service licensee</w:t>
      </w:r>
      <w:r w:rsidR="007B5CB7">
        <w:t>, prior to filing an application with the Commission</w:t>
      </w:r>
      <w:r w:rsidR="0062631E">
        <w:t xml:space="preserve">.  </w:t>
      </w:r>
      <w:r w:rsidR="0084391B">
        <w:t xml:space="preserve">The Commission concluded that </w:t>
      </w:r>
      <w:r w:rsidR="0032159B">
        <w:t xml:space="preserve">DLT station </w:t>
      </w:r>
      <w:r w:rsidR="00E95014">
        <w:t>a</w:t>
      </w:r>
      <w:r w:rsidR="0062631E">
        <w:t>pplications</w:t>
      </w:r>
      <w:r w:rsidR="00E95014">
        <w:t xml:space="preserve"> </w:t>
      </w:r>
      <w:r w:rsidR="0062631E">
        <w:t>will not be coordinated with the FAA</w:t>
      </w:r>
      <w:r w:rsidR="0032159B">
        <w:t>.</w:t>
      </w:r>
    </w:p>
    <w:p w:rsidR="00D4603E" w:rsidRPr="00194551" w:rsidRDefault="00D4603E" w:rsidP="00194551">
      <w:pPr>
        <w:pStyle w:val="Heading2"/>
        <w:numPr>
          <w:ilvl w:val="0"/>
          <w:numId w:val="0"/>
        </w:numPr>
      </w:pPr>
    </w:p>
    <w:p w:rsidR="00584892" w:rsidRPr="004B1666" w:rsidRDefault="00584892" w:rsidP="001C40D7">
      <w:pPr>
        <w:pStyle w:val="Heading1"/>
        <w:spacing w:after="220"/>
        <w:jc w:val="both"/>
        <w:rPr>
          <w:rFonts w:ascii="Times New Roman" w:hAnsi="Times New Roman"/>
          <w:szCs w:val="22"/>
        </w:rPr>
      </w:pPr>
      <w:bookmarkStart w:id="67" w:name="_Toc103419990"/>
      <w:bookmarkStart w:id="68" w:name="_Toc103420614"/>
      <w:bookmarkStart w:id="69" w:name="_Toc103420756"/>
      <w:bookmarkStart w:id="70" w:name="_Toc103420800"/>
      <w:bookmarkStart w:id="71" w:name="_Toc103420860"/>
      <w:bookmarkStart w:id="72" w:name="_Toc103420907"/>
      <w:bookmarkStart w:id="73" w:name="_Toc103420995"/>
      <w:bookmarkStart w:id="74" w:name="_Toc103421334"/>
      <w:bookmarkStart w:id="75" w:name="_Toc103421422"/>
      <w:bookmarkStart w:id="76" w:name="_Toc103421546"/>
      <w:bookmarkStart w:id="77" w:name="_Toc103488303"/>
      <w:bookmarkStart w:id="78" w:name="_Toc125945586"/>
      <w:bookmarkStart w:id="79" w:name="_Toc176072636"/>
      <w:bookmarkStart w:id="80" w:name="_Toc176072762"/>
      <w:bookmarkStart w:id="81" w:name="_Toc176072788"/>
      <w:bookmarkStart w:id="82" w:name="_Toc176072812"/>
      <w:bookmarkStart w:id="83" w:name="_Toc179100598"/>
      <w:bookmarkStart w:id="84" w:name="_Toc179100963"/>
      <w:bookmarkStart w:id="85" w:name="_Toc216065693"/>
      <w:bookmarkStart w:id="86" w:name="_Toc326229723"/>
      <w:bookmarkStart w:id="87" w:name="_Toc326658333"/>
      <w:bookmarkStart w:id="88" w:name="_Toc326746789"/>
      <w:bookmarkStart w:id="89" w:name="_Toc326826055"/>
      <w:bookmarkStart w:id="90" w:name="_Toc352138705"/>
      <w:bookmarkStart w:id="91" w:name="_Toc352149949"/>
      <w:bookmarkStart w:id="92" w:name="_Toc352230500"/>
      <w:r w:rsidRPr="004B1666">
        <w:rPr>
          <w:rFonts w:ascii="Times New Roman" w:hAnsi="Times New Roman"/>
          <w:szCs w:val="22"/>
        </w:rPr>
        <w:t>Recordkeeping and Other Compliance Requirements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25A2B" w:rsidRDefault="00C61FF4" w:rsidP="001C40D7">
      <w:pPr>
        <w:spacing w:after="220"/>
        <w:ind w:firstLine="720"/>
        <w:jc w:val="both"/>
        <w:rPr>
          <w:szCs w:val="22"/>
        </w:rPr>
      </w:pPr>
      <w:r>
        <w:rPr>
          <w:szCs w:val="22"/>
        </w:rPr>
        <w:t>Some of the rules adopted in th</w:t>
      </w:r>
      <w:r w:rsidR="008D33E5">
        <w:rPr>
          <w:szCs w:val="22"/>
        </w:rPr>
        <w:t>e</w:t>
      </w:r>
      <w:r>
        <w:rPr>
          <w:szCs w:val="22"/>
        </w:rPr>
        <w:t xml:space="preserve"> </w:t>
      </w:r>
      <w:r w:rsidRPr="00C61FF4">
        <w:rPr>
          <w:i/>
          <w:szCs w:val="22"/>
        </w:rPr>
        <w:t>Report and Order</w:t>
      </w:r>
      <w:r w:rsidR="00B853EC">
        <w:rPr>
          <w:szCs w:val="22"/>
        </w:rPr>
        <w:t xml:space="preserve"> may</w:t>
      </w:r>
      <w:r>
        <w:rPr>
          <w:szCs w:val="22"/>
        </w:rPr>
        <w:t xml:space="preserve"> affect small businesses that manufacture aviation radio equipment</w:t>
      </w:r>
      <w:r w:rsidR="007B5CB7">
        <w:rPr>
          <w:szCs w:val="22"/>
        </w:rPr>
        <w:t>, if they choose to manufacture any of the new ground station technologies authorized by the rule changes in th</w:t>
      </w:r>
      <w:r w:rsidR="008D33E5">
        <w:rPr>
          <w:szCs w:val="22"/>
        </w:rPr>
        <w:t>e</w:t>
      </w:r>
      <w:r w:rsidR="007B5CB7">
        <w:rPr>
          <w:szCs w:val="22"/>
        </w:rPr>
        <w:t xml:space="preserve"> </w:t>
      </w:r>
      <w:r w:rsidR="007B5CB7" w:rsidRPr="00C61FF4">
        <w:rPr>
          <w:i/>
          <w:szCs w:val="22"/>
        </w:rPr>
        <w:t>Report and Order</w:t>
      </w:r>
      <w:r>
        <w:rPr>
          <w:szCs w:val="22"/>
        </w:rPr>
        <w:t xml:space="preserve">. </w:t>
      </w:r>
      <w:r w:rsidR="00ED1E5E">
        <w:rPr>
          <w:szCs w:val="22"/>
        </w:rPr>
        <w:t xml:space="preserve"> </w:t>
      </w:r>
      <w:r w:rsidR="00C229CC">
        <w:rPr>
          <w:szCs w:val="22"/>
        </w:rPr>
        <w:t>Also, t</w:t>
      </w:r>
      <w:r w:rsidR="00C229CC">
        <w:rPr>
          <w:spacing w:val="-2"/>
          <w:szCs w:val="22"/>
        </w:rPr>
        <w:t xml:space="preserve">he rule changes adopted in the </w:t>
      </w:r>
      <w:r w:rsidR="00C229CC">
        <w:rPr>
          <w:i/>
          <w:spacing w:val="-2"/>
          <w:szCs w:val="22"/>
        </w:rPr>
        <w:t xml:space="preserve">Report and Order </w:t>
      </w:r>
      <w:r w:rsidR="00C229CC" w:rsidRPr="00C229CC">
        <w:rPr>
          <w:spacing w:val="-2"/>
          <w:szCs w:val="22"/>
        </w:rPr>
        <w:t>will</w:t>
      </w:r>
      <w:r w:rsidR="00C229CC">
        <w:rPr>
          <w:i/>
          <w:spacing w:val="-2"/>
          <w:szCs w:val="22"/>
        </w:rPr>
        <w:t xml:space="preserve"> </w:t>
      </w:r>
      <w:r w:rsidR="00C229CC">
        <w:rPr>
          <w:spacing w:val="-2"/>
          <w:szCs w:val="22"/>
        </w:rPr>
        <w:t>require manufacturers to meet certain criteria</w:t>
      </w:r>
      <w:r w:rsidR="0084391B">
        <w:rPr>
          <w:spacing w:val="-2"/>
          <w:szCs w:val="22"/>
        </w:rPr>
        <w:t>,</w:t>
      </w:r>
      <w:r w:rsidR="00C229CC">
        <w:rPr>
          <w:spacing w:val="-2"/>
          <w:szCs w:val="22"/>
        </w:rPr>
        <w:t xml:space="preserve"> and</w:t>
      </w:r>
      <w:r w:rsidR="0084391B">
        <w:rPr>
          <w:spacing w:val="-2"/>
          <w:szCs w:val="22"/>
        </w:rPr>
        <w:t xml:space="preserve"> for</w:t>
      </w:r>
      <w:r w:rsidR="00C229CC">
        <w:rPr>
          <w:spacing w:val="-2"/>
          <w:szCs w:val="22"/>
        </w:rPr>
        <w:t xml:space="preserve"> potential licensees to operate the equipment as prescribed in the Rules, including prior coordination with the FAA and ASRI.  The other final rules will have no significant effect on the compliance burdens of regulatees.  </w:t>
      </w:r>
      <w:r w:rsidR="00C229CC">
        <w:rPr>
          <w:szCs w:val="22"/>
        </w:rPr>
        <w:t xml:space="preserve">The </w:t>
      </w:r>
      <w:r w:rsidR="00C229CC">
        <w:rPr>
          <w:i/>
          <w:szCs w:val="22"/>
        </w:rPr>
        <w:t>Report and Order</w:t>
      </w:r>
      <w:r w:rsidR="00C229CC">
        <w:rPr>
          <w:szCs w:val="22"/>
        </w:rPr>
        <w:t xml:space="preserve"> requires DLT system applicants to coordinate with the aeronautical enroute licensee for the frequencies on which the DLT applicant proposes to operate.  This requirement affects small and large companies equally.  The compliance requirement is no greater than the requirement to coordinate with the </w:t>
      </w:r>
      <w:r w:rsidR="00ED1E5E">
        <w:rPr>
          <w:szCs w:val="22"/>
        </w:rPr>
        <w:t>FAA</w:t>
      </w:r>
      <w:r w:rsidR="00C229CC">
        <w:rPr>
          <w:szCs w:val="22"/>
        </w:rPr>
        <w:t xml:space="preserve"> applications to operate analogous radio</w:t>
      </w:r>
      <w:r w:rsidR="00E31002">
        <w:rPr>
          <w:szCs w:val="22"/>
        </w:rPr>
        <w:t xml:space="preserve"> </w:t>
      </w:r>
      <w:r w:rsidR="00C229CC">
        <w:rPr>
          <w:szCs w:val="22"/>
        </w:rPr>
        <w:t xml:space="preserve">navigation land test system equipment. </w:t>
      </w:r>
    </w:p>
    <w:p w:rsidR="00C229CC" w:rsidRDefault="00C229CC" w:rsidP="001C40D7">
      <w:pPr>
        <w:spacing w:after="220"/>
        <w:ind w:firstLine="720"/>
        <w:jc w:val="both"/>
        <w:rPr>
          <w:szCs w:val="22"/>
        </w:rPr>
      </w:pPr>
      <w:r>
        <w:rPr>
          <w:szCs w:val="22"/>
        </w:rPr>
        <w:t xml:space="preserve">The Commission believes that the </w:t>
      </w:r>
      <w:r>
        <w:rPr>
          <w:i/>
          <w:szCs w:val="22"/>
        </w:rPr>
        <w:t>Report and Order</w:t>
      </w:r>
      <w:r>
        <w:rPr>
          <w:szCs w:val="22"/>
        </w:rPr>
        <w:t xml:space="preserve"> does not impose any significant additional reporting, recordkeeping, or other compliance requirements on small entities.  The rules adopted in the </w:t>
      </w:r>
      <w:r>
        <w:rPr>
          <w:i/>
          <w:szCs w:val="22"/>
        </w:rPr>
        <w:t xml:space="preserve">Report and Order </w:t>
      </w:r>
      <w:r>
        <w:rPr>
          <w:szCs w:val="22"/>
        </w:rPr>
        <w:t xml:space="preserve">authorize new ground station technologies that will promote </w:t>
      </w:r>
      <w:r>
        <w:t xml:space="preserve">the overriding issue of </w:t>
      </w:r>
      <w:r>
        <w:rPr>
          <w:szCs w:val="22"/>
        </w:rPr>
        <w:t xml:space="preserve">aviation safety.  </w:t>
      </w:r>
    </w:p>
    <w:p w:rsidR="00584892" w:rsidRPr="001C40D7" w:rsidRDefault="00584892" w:rsidP="001C40D7">
      <w:pPr>
        <w:spacing w:after="220"/>
        <w:ind w:firstLine="720"/>
        <w:jc w:val="both"/>
        <w:rPr>
          <w:i/>
          <w:szCs w:val="22"/>
        </w:rPr>
      </w:pPr>
      <w:r w:rsidRPr="007036A7">
        <w:rPr>
          <w:szCs w:val="22"/>
        </w:rPr>
        <w:t>For details of other compliance requirements refer to the</w:t>
      </w:r>
      <w:r>
        <w:rPr>
          <w:szCs w:val="22"/>
        </w:rPr>
        <w:t xml:space="preserve"> </w:t>
      </w:r>
      <w:r w:rsidRPr="007036A7">
        <w:rPr>
          <w:i/>
          <w:szCs w:val="22"/>
        </w:rPr>
        <w:t>Report and Order.</w:t>
      </w:r>
    </w:p>
    <w:p w:rsidR="00584892" w:rsidRPr="004B1666" w:rsidRDefault="00584892" w:rsidP="001C40D7">
      <w:pPr>
        <w:pStyle w:val="Heading1"/>
        <w:spacing w:after="220"/>
        <w:jc w:val="both"/>
        <w:rPr>
          <w:rFonts w:ascii="Times New Roman" w:hAnsi="Times New Roman"/>
          <w:szCs w:val="22"/>
        </w:rPr>
      </w:pPr>
      <w:bookmarkStart w:id="93" w:name="_Toc176072637"/>
      <w:bookmarkStart w:id="94" w:name="_Toc176072763"/>
      <w:bookmarkStart w:id="95" w:name="_Toc176072789"/>
      <w:bookmarkStart w:id="96" w:name="_Toc176072813"/>
      <w:bookmarkStart w:id="97" w:name="_Toc179100599"/>
      <w:bookmarkStart w:id="98" w:name="_Toc179100964"/>
      <w:bookmarkStart w:id="99" w:name="_Toc216065694"/>
      <w:bookmarkStart w:id="100" w:name="_Toc326229724"/>
      <w:bookmarkStart w:id="101" w:name="_Toc326658334"/>
      <w:bookmarkStart w:id="102" w:name="_Toc326746790"/>
      <w:bookmarkStart w:id="103" w:name="_Toc326826056"/>
      <w:bookmarkStart w:id="104" w:name="_Toc352138706"/>
      <w:bookmarkStart w:id="105" w:name="_Toc352149950"/>
      <w:bookmarkStart w:id="106" w:name="_Toc352230501"/>
      <w:r w:rsidRPr="004B1666">
        <w:rPr>
          <w:rFonts w:ascii="Times New Roman" w:hAnsi="Times New Roman"/>
          <w:szCs w:val="22"/>
        </w:rPr>
        <w:t>Weblink</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B5CB7" w:rsidRDefault="00584892" w:rsidP="007B5CB7">
      <w:pPr>
        <w:pStyle w:val="ParaNum"/>
        <w:widowControl/>
        <w:numPr>
          <w:ilvl w:val="0"/>
          <w:numId w:val="0"/>
        </w:numPr>
        <w:spacing w:after="220"/>
        <w:ind w:firstLine="720"/>
        <w:jc w:val="both"/>
      </w:pPr>
      <w:r w:rsidRPr="007036A7">
        <w:rPr>
          <w:szCs w:val="22"/>
        </w:rPr>
        <w:t>The</w:t>
      </w:r>
      <w:r>
        <w:rPr>
          <w:i/>
          <w:szCs w:val="22"/>
        </w:rPr>
        <w:t xml:space="preserve"> </w:t>
      </w:r>
      <w:r w:rsidRPr="007036A7">
        <w:rPr>
          <w:i/>
          <w:szCs w:val="22"/>
        </w:rPr>
        <w:t>Report and Order</w:t>
      </w:r>
      <w:r w:rsidRPr="007036A7">
        <w:rPr>
          <w:szCs w:val="22"/>
        </w:rPr>
        <w:t xml:space="preserve">, FCC </w:t>
      </w:r>
      <w:r>
        <w:rPr>
          <w:szCs w:val="22"/>
        </w:rPr>
        <w:t>1</w:t>
      </w:r>
      <w:r w:rsidR="0082493B">
        <w:rPr>
          <w:szCs w:val="22"/>
        </w:rPr>
        <w:t>3</w:t>
      </w:r>
      <w:r w:rsidRPr="007036A7">
        <w:rPr>
          <w:szCs w:val="22"/>
        </w:rPr>
        <w:t>-</w:t>
      </w:r>
      <w:r w:rsidR="00365A45">
        <w:rPr>
          <w:szCs w:val="22"/>
        </w:rPr>
        <w:t>30</w:t>
      </w:r>
      <w:r w:rsidRPr="007036A7">
        <w:rPr>
          <w:szCs w:val="22"/>
        </w:rPr>
        <w:t xml:space="preserve">, </w:t>
      </w:r>
      <w:r w:rsidR="00157484">
        <w:rPr>
          <w:szCs w:val="22"/>
        </w:rPr>
        <w:t xml:space="preserve">was </w:t>
      </w:r>
      <w:r w:rsidRPr="007036A7">
        <w:rPr>
          <w:szCs w:val="22"/>
        </w:rPr>
        <w:t xml:space="preserve">adopted </w:t>
      </w:r>
      <w:r w:rsidR="00365A45">
        <w:rPr>
          <w:szCs w:val="22"/>
        </w:rPr>
        <w:t>February 2</w:t>
      </w:r>
      <w:r w:rsidR="0082493B">
        <w:rPr>
          <w:szCs w:val="22"/>
        </w:rPr>
        <w:t>8</w:t>
      </w:r>
      <w:r>
        <w:rPr>
          <w:szCs w:val="22"/>
        </w:rPr>
        <w:t>,</w:t>
      </w:r>
      <w:r w:rsidRPr="007036A7">
        <w:rPr>
          <w:szCs w:val="22"/>
        </w:rPr>
        <w:t xml:space="preserve"> 20</w:t>
      </w:r>
      <w:r>
        <w:rPr>
          <w:szCs w:val="22"/>
        </w:rPr>
        <w:t>1</w:t>
      </w:r>
      <w:r w:rsidR="0082493B">
        <w:rPr>
          <w:szCs w:val="22"/>
        </w:rPr>
        <w:t>3</w:t>
      </w:r>
      <w:r>
        <w:rPr>
          <w:szCs w:val="22"/>
        </w:rPr>
        <w:t xml:space="preserve"> </w:t>
      </w:r>
      <w:r w:rsidRPr="007036A7">
        <w:rPr>
          <w:szCs w:val="22"/>
        </w:rPr>
        <w:t xml:space="preserve">and released </w:t>
      </w:r>
      <w:r w:rsidR="00365A45">
        <w:rPr>
          <w:szCs w:val="22"/>
        </w:rPr>
        <w:t>March 1</w:t>
      </w:r>
      <w:r>
        <w:rPr>
          <w:szCs w:val="22"/>
        </w:rPr>
        <w:t xml:space="preserve">, </w:t>
      </w:r>
      <w:r w:rsidRPr="007036A7">
        <w:rPr>
          <w:szCs w:val="22"/>
        </w:rPr>
        <w:t>20</w:t>
      </w:r>
      <w:r>
        <w:rPr>
          <w:szCs w:val="22"/>
        </w:rPr>
        <w:t>1</w:t>
      </w:r>
      <w:r w:rsidR="0082493B">
        <w:rPr>
          <w:szCs w:val="22"/>
        </w:rPr>
        <w:t>3</w:t>
      </w:r>
      <w:r w:rsidRPr="007036A7">
        <w:rPr>
          <w:szCs w:val="22"/>
        </w:rPr>
        <w:t xml:space="preserve">.  </w:t>
      </w:r>
      <w:r w:rsidR="00157484">
        <w:rPr>
          <w:szCs w:val="22"/>
        </w:rPr>
        <w:t xml:space="preserve">  </w:t>
      </w:r>
      <w:r w:rsidRPr="007036A7">
        <w:rPr>
          <w:szCs w:val="22"/>
        </w:rPr>
        <w:t xml:space="preserve">Final rules adopted in the </w:t>
      </w:r>
      <w:r w:rsidRPr="007036A7">
        <w:rPr>
          <w:i/>
          <w:szCs w:val="22"/>
        </w:rPr>
        <w:t>Report and Order</w:t>
      </w:r>
      <w:r w:rsidRPr="007036A7">
        <w:rPr>
          <w:szCs w:val="22"/>
        </w:rPr>
        <w:t xml:space="preserve"> </w:t>
      </w:r>
      <w:r>
        <w:rPr>
          <w:szCs w:val="22"/>
        </w:rPr>
        <w:t>are</w:t>
      </w:r>
      <w:r w:rsidRPr="007036A7">
        <w:rPr>
          <w:szCs w:val="22"/>
        </w:rPr>
        <w:t xml:space="preserve"> effective on</w:t>
      </w:r>
      <w:r w:rsidR="00194551">
        <w:rPr>
          <w:szCs w:val="22"/>
        </w:rPr>
        <w:t xml:space="preserve"> November 4, 2013</w:t>
      </w:r>
      <w:r w:rsidR="00365A45" w:rsidRPr="00365A45">
        <w:t>.</w:t>
      </w:r>
    </w:p>
    <w:p w:rsidR="001C40D7" w:rsidRDefault="004F6541" w:rsidP="004167B7">
      <w:pPr>
        <w:jc w:val="both"/>
        <w:rPr>
          <w:b/>
          <w:szCs w:val="22"/>
        </w:rPr>
      </w:pPr>
      <w:hyperlink r:id="rId10" w:history="1">
        <w:r w:rsidR="00F36A0D" w:rsidRPr="00CF0816">
          <w:rPr>
            <w:rStyle w:val="Hyperlink"/>
            <w:b/>
            <w:szCs w:val="22"/>
          </w:rPr>
          <w:t>http://hraunfoss.fcc.gov/edocs_public/attachmatch/FCC-13-30A1.doc</w:t>
        </w:r>
      </w:hyperlink>
    </w:p>
    <w:p w:rsidR="00584892" w:rsidRDefault="004F6541" w:rsidP="004167B7">
      <w:pPr>
        <w:jc w:val="both"/>
        <w:rPr>
          <w:b/>
          <w:szCs w:val="22"/>
        </w:rPr>
      </w:pPr>
      <w:hyperlink r:id="rId11" w:history="1">
        <w:r w:rsidR="00F36A0D" w:rsidRPr="00CF0816">
          <w:rPr>
            <w:rStyle w:val="Hyperlink"/>
            <w:b/>
            <w:szCs w:val="22"/>
          </w:rPr>
          <w:t>http://hraunfoss.fcc.gov/edocs_public/attachmatch/FCC-13-30A1.pdf</w:t>
        </w:r>
      </w:hyperlink>
    </w:p>
    <w:p w:rsidR="007B5CB7" w:rsidRPr="0091049D" w:rsidRDefault="004F6541" w:rsidP="0091049D">
      <w:pPr>
        <w:pStyle w:val="ParaNum"/>
        <w:widowControl/>
        <w:numPr>
          <w:ilvl w:val="0"/>
          <w:numId w:val="0"/>
        </w:numPr>
        <w:spacing w:after="220"/>
        <w:jc w:val="both"/>
      </w:pPr>
      <w:hyperlink r:id="rId12" w:history="1">
        <w:r w:rsidR="00F36A0D" w:rsidRPr="00CF0816">
          <w:rPr>
            <w:rStyle w:val="Hyperlink"/>
            <w:b/>
            <w:szCs w:val="22"/>
          </w:rPr>
          <w:t>http://hraunfoss.fcc.gov/edocs_public/attachmatch/FCC-13-30A1.txt</w:t>
        </w:r>
      </w:hyperlink>
      <w:r w:rsidR="007B5CB7" w:rsidRPr="0091049D">
        <w:t xml:space="preserve"> </w:t>
      </w:r>
    </w:p>
    <w:p w:rsidR="007B5CB7" w:rsidRDefault="007B5CB7" w:rsidP="007B5CB7">
      <w:pPr>
        <w:pStyle w:val="ParaNum"/>
        <w:widowControl/>
        <w:numPr>
          <w:ilvl w:val="0"/>
          <w:numId w:val="0"/>
        </w:numPr>
        <w:spacing w:after="220"/>
        <w:ind w:firstLine="720"/>
        <w:jc w:val="both"/>
      </w:pPr>
      <w:r>
        <w:t>For further information, contact Tim Maguire, Wireless Telecommunications Bureau</w:t>
      </w:r>
      <w:r w:rsidR="00DA2711">
        <w:t>, (202) 418-2155, tim.maguire@fcc.gov.</w:t>
      </w:r>
    </w:p>
    <w:p w:rsidR="00584892" w:rsidRDefault="00584892" w:rsidP="001C40D7">
      <w:pPr>
        <w:jc w:val="both"/>
        <w:rPr>
          <w:rStyle w:val="Hyperlink"/>
          <w:b/>
          <w:szCs w:val="22"/>
        </w:rPr>
      </w:pPr>
    </w:p>
    <w:p w:rsidR="007B5CB7" w:rsidRDefault="007B5CB7" w:rsidP="001C40D7">
      <w:pPr>
        <w:jc w:val="both"/>
        <w:rPr>
          <w:rStyle w:val="Hyperlink"/>
          <w:b/>
          <w:szCs w:val="22"/>
        </w:rPr>
      </w:pPr>
    </w:p>
    <w:p w:rsidR="007B5CB7" w:rsidRDefault="007B5CB7" w:rsidP="001C40D7">
      <w:pPr>
        <w:jc w:val="both"/>
        <w:rPr>
          <w:b/>
          <w:szCs w:val="22"/>
        </w:rPr>
      </w:pPr>
    </w:p>
    <w:sectPr w:rsidR="007B5CB7">
      <w:headerReference w:type="even" r:id="rId13"/>
      <w:headerReference w:type="default" r:id="rId14"/>
      <w:footerReference w:type="even" r:id="rId15"/>
      <w:footerReference w:type="default" r:id="rId16"/>
      <w:headerReference w:type="first" r:id="rId17"/>
      <w:footerReference w:type="first" r:id="rId18"/>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97" w:rsidRDefault="00602A97">
      <w:r>
        <w:separator/>
      </w:r>
    </w:p>
    <w:p w:rsidR="00602A97" w:rsidRDefault="00602A97"/>
    <w:p w:rsidR="00602A97" w:rsidRDefault="00602A97"/>
  </w:endnote>
  <w:endnote w:type="continuationSeparator" w:id="0">
    <w:p w:rsidR="00602A97" w:rsidRDefault="00602A97">
      <w:r>
        <w:continuationSeparator/>
      </w:r>
    </w:p>
    <w:p w:rsidR="00602A97" w:rsidRDefault="00602A97"/>
    <w:p w:rsidR="00602A97" w:rsidRDefault="00602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9D4">
      <w:rPr>
        <w:rStyle w:val="PageNumber"/>
        <w:noProof/>
      </w:rPr>
      <w:t>3</w:t>
    </w:r>
    <w:r>
      <w:rPr>
        <w:rStyle w:val="PageNumber"/>
      </w:rPr>
      <w:fldChar w:fldCharType="end"/>
    </w:r>
  </w:p>
  <w:p w:rsidR="00584892" w:rsidRDefault="00584892">
    <w:pPr>
      <w:pStyle w:val="Footer"/>
    </w:pPr>
  </w:p>
  <w:p w:rsidR="00584892" w:rsidRDefault="00584892"/>
  <w:p w:rsidR="00584892" w:rsidRDefault="00584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541">
      <w:rPr>
        <w:rStyle w:val="PageNumber"/>
        <w:noProof/>
      </w:rPr>
      <w:t>2</w:t>
    </w:r>
    <w:r>
      <w:rPr>
        <w:rStyle w:val="PageNumber"/>
      </w:rPr>
      <w:fldChar w:fldCharType="end"/>
    </w:r>
  </w:p>
  <w:p w:rsidR="00584892" w:rsidRDefault="00584892">
    <w:pPr>
      <w:pStyle w:val="Footer"/>
    </w:pPr>
  </w:p>
  <w:p w:rsidR="00584892" w:rsidRDefault="00584892"/>
  <w:p w:rsidR="00584892" w:rsidRDefault="005848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D4" w:rsidRDefault="0081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97" w:rsidRDefault="00602A97">
      <w:r>
        <w:separator/>
      </w:r>
    </w:p>
  </w:footnote>
  <w:footnote w:type="continuationSeparator" w:id="0">
    <w:p w:rsidR="00602A97" w:rsidRDefault="00602A97">
      <w:r>
        <w:continuationSeparator/>
      </w:r>
    </w:p>
    <w:p w:rsidR="00602A97" w:rsidRDefault="00602A97"/>
    <w:p w:rsidR="00602A97" w:rsidRDefault="00602A97"/>
  </w:footnote>
  <w:footnote w:id="1">
    <w:p w:rsidR="008D33E5" w:rsidRDefault="008D33E5">
      <w:pPr>
        <w:pStyle w:val="FootnoteText"/>
      </w:pPr>
      <w:r>
        <w:rPr>
          <w:rStyle w:val="FootnoteReference"/>
        </w:rPr>
        <w:footnoteRef/>
      </w:r>
      <w:r>
        <w:t xml:space="preserve"> </w:t>
      </w:r>
      <w:r w:rsidRPr="00D21EFA">
        <w:t>“</w:t>
      </w:r>
      <w:r>
        <w:t>S</w:t>
      </w:r>
      <w:r w:rsidRPr="00D21EFA">
        <w:t>quitter” refers to random output pulses from a transponder caused by ambient noise or by an intentional random triggering system, but not by the interrogation pulses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 w:rsidR="00584892" w:rsidRDefault="00584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D4" w:rsidRDefault="00815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4F6541">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57185920" r:id="rId2"/>
      </w:pict>
    </w:r>
    <w:r w:rsidR="00584892">
      <w:rPr>
        <w:rFonts w:ascii="CG Times (W1)" w:hAnsi="CG Times (W1)"/>
        <w:sz w:val="28"/>
      </w:rPr>
      <w:t>Federal Communications Commission</w:t>
    </w:r>
  </w:p>
  <w:p w:rsidR="00584892" w:rsidRDefault="00584892">
    <w:pPr>
      <w:jc w:val="center"/>
      <w:rPr>
        <w:rFonts w:ascii="CG Times (W1)" w:hAnsi="CG Times (W1)"/>
        <w:sz w:val="28"/>
      </w:rPr>
    </w:pPr>
    <w:r>
      <w:rPr>
        <w:rFonts w:ascii="CG Times (W1)" w:hAnsi="CG Times (W1)"/>
        <w:sz w:val="28"/>
      </w:rPr>
      <w:t>Washington, D.C. 20554</w:t>
    </w:r>
  </w:p>
  <w:p w:rsidR="00E31002" w:rsidRDefault="00E31002">
    <w:pPr>
      <w:jc w:val="center"/>
      <w:rPr>
        <w:rFonts w:ascii="CG Times (W1)" w:hAnsi="CG Times (W1)"/>
        <w:sz w:val="28"/>
      </w:rPr>
    </w:pPr>
  </w:p>
  <w:p w:rsidR="00E31002" w:rsidRPr="00C7011B" w:rsidRDefault="00E31002">
    <w:pPr>
      <w:jc w:val="center"/>
      <w:rPr>
        <w:sz w:val="24"/>
        <w:szCs w:val="24"/>
      </w:rPr>
    </w:pPr>
    <w:r w:rsidRPr="00C7011B">
      <w:rPr>
        <w:sz w:val="24"/>
        <w:szCs w:val="24"/>
      </w:rPr>
      <w:t>March 24,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C839D8"/>
    <w:lvl w:ilvl="0">
      <w:start w:val="1"/>
      <w:numFmt w:val="decimal"/>
      <w:lvlText w:val="%1."/>
      <w:lvlJc w:val="left"/>
      <w:pPr>
        <w:tabs>
          <w:tab w:val="num" w:pos="1800"/>
        </w:tabs>
        <w:ind w:left="1800" w:hanging="360"/>
      </w:pPr>
    </w:lvl>
  </w:abstractNum>
  <w:abstractNum w:abstractNumId="1">
    <w:nsid w:val="FFFFFF7D"/>
    <w:multiLevelType w:val="singleLevel"/>
    <w:tmpl w:val="58C27E7E"/>
    <w:lvl w:ilvl="0">
      <w:start w:val="1"/>
      <w:numFmt w:val="decimal"/>
      <w:lvlText w:val="%1."/>
      <w:lvlJc w:val="left"/>
      <w:pPr>
        <w:tabs>
          <w:tab w:val="num" w:pos="1440"/>
        </w:tabs>
        <w:ind w:left="1440" w:hanging="360"/>
      </w:pPr>
    </w:lvl>
  </w:abstractNum>
  <w:abstractNum w:abstractNumId="2">
    <w:nsid w:val="FFFFFF7E"/>
    <w:multiLevelType w:val="singleLevel"/>
    <w:tmpl w:val="E9726C1E"/>
    <w:lvl w:ilvl="0">
      <w:start w:val="1"/>
      <w:numFmt w:val="decimal"/>
      <w:lvlText w:val="%1."/>
      <w:lvlJc w:val="left"/>
      <w:pPr>
        <w:tabs>
          <w:tab w:val="num" w:pos="1080"/>
        </w:tabs>
        <w:ind w:left="1080" w:hanging="360"/>
      </w:pPr>
    </w:lvl>
  </w:abstractNum>
  <w:abstractNum w:abstractNumId="3">
    <w:nsid w:val="FFFFFF7F"/>
    <w:multiLevelType w:val="singleLevel"/>
    <w:tmpl w:val="AD4CBC56"/>
    <w:lvl w:ilvl="0">
      <w:start w:val="1"/>
      <w:numFmt w:val="decimal"/>
      <w:lvlText w:val="%1."/>
      <w:lvlJc w:val="left"/>
      <w:pPr>
        <w:tabs>
          <w:tab w:val="num" w:pos="720"/>
        </w:tabs>
        <w:ind w:left="720" w:hanging="360"/>
      </w:pPr>
    </w:lvl>
  </w:abstractNum>
  <w:abstractNum w:abstractNumId="4">
    <w:nsid w:val="FFFFFF80"/>
    <w:multiLevelType w:val="singleLevel"/>
    <w:tmpl w:val="97A039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943E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E2ED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067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D756"/>
    <w:lvl w:ilvl="0">
      <w:start w:val="1"/>
      <w:numFmt w:val="decimal"/>
      <w:lvlText w:val="%1."/>
      <w:lvlJc w:val="left"/>
      <w:pPr>
        <w:tabs>
          <w:tab w:val="num" w:pos="360"/>
        </w:tabs>
        <w:ind w:left="360" w:hanging="360"/>
      </w:pPr>
    </w:lvl>
  </w:abstractNum>
  <w:abstractNum w:abstractNumId="9">
    <w:nsid w:val="FFFFFF89"/>
    <w:multiLevelType w:val="singleLevel"/>
    <w:tmpl w:val="22C2BE20"/>
    <w:lvl w:ilvl="0">
      <w:start w:val="1"/>
      <w:numFmt w:val="bullet"/>
      <w:lvlText w:val=""/>
      <w:lvlJc w:val="left"/>
      <w:pPr>
        <w:tabs>
          <w:tab w:val="num" w:pos="360"/>
        </w:tabs>
        <w:ind w:left="360" w:hanging="360"/>
      </w:pPr>
      <w:rPr>
        <w:rFonts w:ascii="Symbol" w:hAnsi="Symbol" w:hint="default"/>
      </w:rPr>
    </w:lvl>
  </w:abstractNum>
  <w:abstractNum w:abstractNumId="10">
    <w:nsid w:val="01362579"/>
    <w:multiLevelType w:val="hybridMultilevel"/>
    <w:tmpl w:val="E90AA260"/>
    <w:lvl w:ilvl="0" w:tplc="04090001">
      <w:start w:val="1"/>
      <w:numFmt w:val="bullet"/>
      <w:lvlText w:val=""/>
      <w:lvlJc w:val="left"/>
      <w:pPr>
        <w:tabs>
          <w:tab w:val="num" w:pos="720"/>
        </w:tabs>
        <w:ind w:left="720" w:hanging="360"/>
      </w:pPr>
      <w:rPr>
        <w:rFonts w:ascii="Symbol" w:hAnsi="Symbol" w:hint="default"/>
      </w:rPr>
    </w:lvl>
    <w:lvl w:ilvl="1" w:tplc="45FC200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5A783C"/>
    <w:multiLevelType w:val="singleLevel"/>
    <w:tmpl w:val="C296ACF2"/>
    <w:lvl w:ilvl="0">
      <w:start w:val="1"/>
      <w:numFmt w:val="decimal"/>
      <w:lvlText w:val="%1."/>
      <w:lvlJc w:val="left"/>
      <w:pPr>
        <w:tabs>
          <w:tab w:val="num" w:pos="1080"/>
        </w:tabs>
        <w:ind w:left="0" w:firstLine="720"/>
      </w:pPr>
      <w:rPr>
        <w:b w:val="0"/>
        <w:i w:val="0"/>
        <w:sz w:val="22"/>
      </w:rPr>
    </w:lvl>
  </w:abstractNum>
  <w:abstractNum w:abstractNumId="13">
    <w:nsid w:val="084B453C"/>
    <w:multiLevelType w:val="singleLevel"/>
    <w:tmpl w:val="40A8E97A"/>
    <w:lvl w:ilvl="0">
      <w:start w:val="1"/>
      <w:numFmt w:val="decimal"/>
      <w:lvlText w:val="%1."/>
      <w:lvlJc w:val="left"/>
      <w:pPr>
        <w:tabs>
          <w:tab w:val="num" w:pos="1080"/>
        </w:tabs>
        <w:ind w:left="0" w:firstLine="720"/>
      </w:pPr>
    </w:lvl>
  </w:abstractNum>
  <w:abstractNum w:abstractNumId="14">
    <w:nsid w:val="09147823"/>
    <w:multiLevelType w:val="hybridMultilevel"/>
    <w:tmpl w:val="89B4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4F07CC"/>
    <w:multiLevelType w:val="hybridMultilevel"/>
    <w:tmpl w:val="A294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F667BE"/>
    <w:multiLevelType w:val="hybridMultilevel"/>
    <w:tmpl w:val="67627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8D3FAE"/>
    <w:multiLevelType w:val="hybridMultilevel"/>
    <w:tmpl w:val="D2E89DC6"/>
    <w:lvl w:ilvl="0" w:tplc="EE0C018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A2D42AD"/>
    <w:multiLevelType w:val="hybridMultilevel"/>
    <w:tmpl w:val="6C1012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0F1B3D"/>
    <w:multiLevelType w:val="singleLevel"/>
    <w:tmpl w:val="4DCCE696"/>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C69627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0"/>
  </w:num>
  <w:num w:numId="2">
    <w:abstractNumId w:val="25"/>
  </w:num>
  <w:num w:numId="3">
    <w:abstractNumId w:val="10"/>
  </w:num>
  <w:num w:numId="4">
    <w:abstractNumId w:val="11"/>
  </w:num>
  <w:num w:numId="5">
    <w:abstractNumId w:val="20"/>
    <w:lvlOverride w:ilvl="0">
      <w:startOverride w:val="1"/>
    </w:lvlOverride>
    <w:lvlOverride w:ilvl="1">
      <w:startOverride w:val="7"/>
    </w:lvlOverride>
  </w:num>
  <w:num w:numId="6">
    <w:abstractNumId w:val="24"/>
  </w:num>
  <w:num w:numId="7">
    <w:abstractNumId w:val="21"/>
  </w:num>
  <w:num w:numId="8">
    <w:abstractNumId w:val="22"/>
  </w:num>
  <w:num w:numId="9">
    <w:abstractNumId w:val="17"/>
  </w:num>
  <w:num w:numId="10">
    <w:abstractNumId w:val="25"/>
  </w:num>
  <w:num w:numId="11">
    <w:abstractNumId w:val="25"/>
  </w:num>
  <w:num w:numId="12">
    <w:abstractNumId w:val="18"/>
  </w:num>
  <w:num w:numId="13">
    <w:abstractNumId w:val="23"/>
  </w:num>
  <w:num w:numId="14">
    <w:abstractNumId w:val="19"/>
  </w:num>
  <w:num w:numId="15">
    <w:abstractNumId w:val="13"/>
  </w:num>
  <w:num w:numId="16">
    <w:abstractNumId w:val="20"/>
  </w:num>
  <w:num w:numId="17">
    <w:abstractNumId w:val="20"/>
  </w:num>
  <w:num w:numId="18">
    <w:abstractNumId w:val="20"/>
  </w:num>
  <w:num w:numId="19">
    <w:abstractNumId w:val="20"/>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3198"/>
    <w:rsid w:val="000513C5"/>
    <w:rsid w:val="00062635"/>
    <w:rsid w:val="00065D01"/>
    <w:rsid w:val="00066B48"/>
    <w:rsid w:val="00067683"/>
    <w:rsid w:val="0008131F"/>
    <w:rsid w:val="000845C0"/>
    <w:rsid w:val="000A0FF2"/>
    <w:rsid w:val="000A51ED"/>
    <w:rsid w:val="000D5EC5"/>
    <w:rsid w:val="000D6197"/>
    <w:rsid w:val="00100B71"/>
    <w:rsid w:val="00101090"/>
    <w:rsid w:val="00111789"/>
    <w:rsid w:val="001344F3"/>
    <w:rsid w:val="00143033"/>
    <w:rsid w:val="00153640"/>
    <w:rsid w:val="001558FB"/>
    <w:rsid w:val="0015702A"/>
    <w:rsid w:val="00157484"/>
    <w:rsid w:val="00167EAA"/>
    <w:rsid w:val="00170A48"/>
    <w:rsid w:val="001735DB"/>
    <w:rsid w:val="00181718"/>
    <w:rsid w:val="00184D2B"/>
    <w:rsid w:val="00194551"/>
    <w:rsid w:val="00195AD1"/>
    <w:rsid w:val="001A4D82"/>
    <w:rsid w:val="001A54AE"/>
    <w:rsid w:val="001C40D7"/>
    <w:rsid w:val="001E6AAA"/>
    <w:rsid w:val="001F67CA"/>
    <w:rsid w:val="00214E03"/>
    <w:rsid w:val="00222F1E"/>
    <w:rsid w:val="002254C6"/>
    <w:rsid w:val="00235F96"/>
    <w:rsid w:val="00251ED5"/>
    <w:rsid w:val="00252166"/>
    <w:rsid w:val="00252540"/>
    <w:rsid w:val="00254025"/>
    <w:rsid w:val="00277632"/>
    <w:rsid w:val="00293149"/>
    <w:rsid w:val="00295F74"/>
    <w:rsid w:val="002B545D"/>
    <w:rsid w:val="002C0684"/>
    <w:rsid w:val="002D05AC"/>
    <w:rsid w:val="002D4965"/>
    <w:rsid w:val="002D75E5"/>
    <w:rsid w:val="002E3FD0"/>
    <w:rsid w:val="0032159B"/>
    <w:rsid w:val="003318E0"/>
    <w:rsid w:val="00331B77"/>
    <w:rsid w:val="00365A45"/>
    <w:rsid w:val="00372F13"/>
    <w:rsid w:val="003857D9"/>
    <w:rsid w:val="003C28A6"/>
    <w:rsid w:val="003E6F4C"/>
    <w:rsid w:val="003F7439"/>
    <w:rsid w:val="004027F3"/>
    <w:rsid w:val="00407F6A"/>
    <w:rsid w:val="00411C3C"/>
    <w:rsid w:val="00414727"/>
    <w:rsid w:val="004167B7"/>
    <w:rsid w:val="00441049"/>
    <w:rsid w:val="00442757"/>
    <w:rsid w:val="0046662B"/>
    <w:rsid w:val="00477220"/>
    <w:rsid w:val="00492326"/>
    <w:rsid w:val="0049587E"/>
    <w:rsid w:val="004A068C"/>
    <w:rsid w:val="004A6117"/>
    <w:rsid w:val="004A6579"/>
    <w:rsid w:val="004A7493"/>
    <w:rsid w:val="004D653B"/>
    <w:rsid w:val="004F6541"/>
    <w:rsid w:val="00501A19"/>
    <w:rsid w:val="00505FAA"/>
    <w:rsid w:val="005129E5"/>
    <w:rsid w:val="005308BA"/>
    <w:rsid w:val="00533590"/>
    <w:rsid w:val="00534E88"/>
    <w:rsid w:val="005478BB"/>
    <w:rsid w:val="00584892"/>
    <w:rsid w:val="0058735C"/>
    <w:rsid w:val="00587A3E"/>
    <w:rsid w:val="00592591"/>
    <w:rsid w:val="005C7EA7"/>
    <w:rsid w:val="005D06B6"/>
    <w:rsid w:val="005D3DBB"/>
    <w:rsid w:val="005E5604"/>
    <w:rsid w:val="00601C87"/>
    <w:rsid w:val="00602A97"/>
    <w:rsid w:val="00606442"/>
    <w:rsid w:val="00610873"/>
    <w:rsid w:val="00620228"/>
    <w:rsid w:val="0062631E"/>
    <w:rsid w:val="0063693F"/>
    <w:rsid w:val="00640727"/>
    <w:rsid w:val="00665BB8"/>
    <w:rsid w:val="00667952"/>
    <w:rsid w:val="0067559B"/>
    <w:rsid w:val="006928C0"/>
    <w:rsid w:val="006B30B4"/>
    <w:rsid w:val="006B341A"/>
    <w:rsid w:val="006B4E6D"/>
    <w:rsid w:val="006B54D9"/>
    <w:rsid w:val="006E3F77"/>
    <w:rsid w:val="006F3F40"/>
    <w:rsid w:val="007148EA"/>
    <w:rsid w:val="00720868"/>
    <w:rsid w:val="00722D79"/>
    <w:rsid w:val="00733C7A"/>
    <w:rsid w:val="007354D5"/>
    <w:rsid w:val="0074132F"/>
    <w:rsid w:val="00762F89"/>
    <w:rsid w:val="00773244"/>
    <w:rsid w:val="007A6617"/>
    <w:rsid w:val="007A73FD"/>
    <w:rsid w:val="007B0BB5"/>
    <w:rsid w:val="007B12FB"/>
    <w:rsid w:val="007B3B74"/>
    <w:rsid w:val="007B599E"/>
    <w:rsid w:val="007B5CB7"/>
    <w:rsid w:val="007C741B"/>
    <w:rsid w:val="007C7AB6"/>
    <w:rsid w:val="007D1187"/>
    <w:rsid w:val="008047B1"/>
    <w:rsid w:val="00813D65"/>
    <w:rsid w:val="008159D4"/>
    <w:rsid w:val="0082493B"/>
    <w:rsid w:val="008318FC"/>
    <w:rsid w:val="0084391B"/>
    <w:rsid w:val="00847224"/>
    <w:rsid w:val="008540D8"/>
    <w:rsid w:val="00874844"/>
    <w:rsid w:val="00874846"/>
    <w:rsid w:val="008756BA"/>
    <w:rsid w:val="00875E5E"/>
    <w:rsid w:val="0089649F"/>
    <w:rsid w:val="00896AD3"/>
    <w:rsid w:val="008B69CA"/>
    <w:rsid w:val="008C5271"/>
    <w:rsid w:val="008C705C"/>
    <w:rsid w:val="008D33E5"/>
    <w:rsid w:val="008D3A6E"/>
    <w:rsid w:val="008E2C3A"/>
    <w:rsid w:val="008F0A68"/>
    <w:rsid w:val="008F67E7"/>
    <w:rsid w:val="009008F5"/>
    <w:rsid w:val="0090443D"/>
    <w:rsid w:val="0091049D"/>
    <w:rsid w:val="00936135"/>
    <w:rsid w:val="009422B4"/>
    <w:rsid w:val="009437CA"/>
    <w:rsid w:val="00945C5A"/>
    <w:rsid w:val="00955AE6"/>
    <w:rsid w:val="0096208E"/>
    <w:rsid w:val="00965229"/>
    <w:rsid w:val="00990E38"/>
    <w:rsid w:val="00996CE1"/>
    <w:rsid w:val="009A633E"/>
    <w:rsid w:val="009B0866"/>
    <w:rsid w:val="009B1AF0"/>
    <w:rsid w:val="009B7D60"/>
    <w:rsid w:val="009D1C59"/>
    <w:rsid w:val="009D7437"/>
    <w:rsid w:val="009D7632"/>
    <w:rsid w:val="009E1696"/>
    <w:rsid w:val="009E32B3"/>
    <w:rsid w:val="009F0AB8"/>
    <w:rsid w:val="009F4B83"/>
    <w:rsid w:val="00A07601"/>
    <w:rsid w:val="00A206A2"/>
    <w:rsid w:val="00A34785"/>
    <w:rsid w:val="00A73122"/>
    <w:rsid w:val="00A736E3"/>
    <w:rsid w:val="00AA0D10"/>
    <w:rsid w:val="00AA2527"/>
    <w:rsid w:val="00AA5CDE"/>
    <w:rsid w:val="00AA7FC3"/>
    <w:rsid w:val="00AB2854"/>
    <w:rsid w:val="00AB35C9"/>
    <w:rsid w:val="00AD5192"/>
    <w:rsid w:val="00AE1C63"/>
    <w:rsid w:val="00AE7C58"/>
    <w:rsid w:val="00AF1406"/>
    <w:rsid w:val="00AF7727"/>
    <w:rsid w:val="00B02510"/>
    <w:rsid w:val="00B10A54"/>
    <w:rsid w:val="00B25A2B"/>
    <w:rsid w:val="00B5034B"/>
    <w:rsid w:val="00B67F15"/>
    <w:rsid w:val="00B709E2"/>
    <w:rsid w:val="00B853EC"/>
    <w:rsid w:val="00B935D5"/>
    <w:rsid w:val="00BA1C75"/>
    <w:rsid w:val="00BA590D"/>
    <w:rsid w:val="00BA75E6"/>
    <w:rsid w:val="00BB6395"/>
    <w:rsid w:val="00BC00A0"/>
    <w:rsid w:val="00BC1D38"/>
    <w:rsid w:val="00BC5C6D"/>
    <w:rsid w:val="00BD6C33"/>
    <w:rsid w:val="00BE69DC"/>
    <w:rsid w:val="00C07F32"/>
    <w:rsid w:val="00C116D6"/>
    <w:rsid w:val="00C229CC"/>
    <w:rsid w:val="00C35C6D"/>
    <w:rsid w:val="00C41383"/>
    <w:rsid w:val="00C46FA1"/>
    <w:rsid w:val="00C5136C"/>
    <w:rsid w:val="00C61FF4"/>
    <w:rsid w:val="00C63BFE"/>
    <w:rsid w:val="00C7011B"/>
    <w:rsid w:val="00C92F09"/>
    <w:rsid w:val="00C94D0A"/>
    <w:rsid w:val="00C95CAE"/>
    <w:rsid w:val="00CB5115"/>
    <w:rsid w:val="00D167C3"/>
    <w:rsid w:val="00D21632"/>
    <w:rsid w:val="00D21EFA"/>
    <w:rsid w:val="00D4137C"/>
    <w:rsid w:val="00D4603E"/>
    <w:rsid w:val="00D57046"/>
    <w:rsid w:val="00D82592"/>
    <w:rsid w:val="00D97A18"/>
    <w:rsid w:val="00DA2711"/>
    <w:rsid w:val="00DA3DE2"/>
    <w:rsid w:val="00DB0B53"/>
    <w:rsid w:val="00DB6923"/>
    <w:rsid w:val="00DC4F37"/>
    <w:rsid w:val="00DD3106"/>
    <w:rsid w:val="00DD52F9"/>
    <w:rsid w:val="00DE331C"/>
    <w:rsid w:val="00E07F1D"/>
    <w:rsid w:val="00E12206"/>
    <w:rsid w:val="00E16A19"/>
    <w:rsid w:val="00E22573"/>
    <w:rsid w:val="00E25B76"/>
    <w:rsid w:val="00E26653"/>
    <w:rsid w:val="00E31002"/>
    <w:rsid w:val="00E31660"/>
    <w:rsid w:val="00E325A2"/>
    <w:rsid w:val="00E36DA3"/>
    <w:rsid w:val="00E74939"/>
    <w:rsid w:val="00E86DB2"/>
    <w:rsid w:val="00E94E18"/>
    <w:rsid w:val="00E95014"/>
    <w:rsid w:val="00EB74C9"/>
    <w:rsid w:val="00EC27C2"/>
    <w:rsid w:val="00EC4216"/>
    <w:rsid w:val="00ED1E5E"/>
    <w:rsid w:val="00EE5585"/>
    <w:rsid w:val="00EF034F"/>
    <w:rsid w:val="00F04E8F"/>
    <w:rsid w:val="00F22409"/>
    <w:rsid w:val="00F2521C"/>
    <w:rsid w:val="00F265B9"/>
    <w:rsid w:val="00F26CCE"/>
    <w:rsid w:val="00F36A0D"/>
    <w:rsid w:val="00F80240"/>
    <w:rsid w:val="00F86CCA"/>
    <w:rsid w:val="00FA36E9"/>
    <w:rsid w:val="00FA78A9"/>
    <w:rsid w:val="00FB2C2D"/>
    <w:rsid w:val="00FB6EB5"/>
    <w:rsid w:val="00FC2615"/>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w:basedOn w:val="Normal"/>
    <w:next w:val="ParaNum"/>
    <w:qFormat/>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pPr>
      <w:keepNext/>
      <w:numPr>
        <w:ilvl w:val="3"/>
        <w:numId w:val="1"/>
      </w:numPr>
      <w:tabs>
        <w:tab w:val="left" w:pos="2880"/>
      </w:tabs>
      <w:spacing w:after="120"/>
      <w:outlineLvl w:val="3"/>
    </w:pPr>
    <w:rPr>
      <w:b/>
    </w:rPr>
  </w:style>
  <w:style w:type="paragraph" w:styleId="Heading5">
    <w:name w:val="heading 5"/>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basedOn w:val="DefaultParagraphFont"/>
    <w:rsid w:val="00111789"/>
    <w:rPr>
      <w:sz w:val="16"/>
      <w:szCs w:val="16"/>
    </w:rPr>
  </w:style>
  <w:style w:type="paragraph" w:styleId="CommentText">
    <w:name w:val="annotation text"/>
    <w:basedOn w:val="Normal"/>
    <w:link w:val="CommentTextChar"/>
    <w:rsid w:val="00111789"/>
    <w:rPr>
      <w:sz w:val="20"/>
    </w:rPr>
  </w:style>
  <w:style w:type="character" w:customStyle="1" w:styleId="CommentTextChar">
    <w:name w:val="Comment Text Char"/>
    <w:basedOn w:val="DefaultParagraphFont"/>
    <w:link w:val="CommentText"/>
    <w:rsid w:val="00111789"/>
    <w:rPr>
      <w:snapToGrid w:val="0"/>
      <w:kern w:val="28"/>
    </w:rPr>
  </w:style>
  <w:style w:type="paragraph" w:styleId="CommentSubject">
    <w:name w:val="annotation subject"/>
    <w:basedOn w:val="CommentText"/>
    <w:next w:val="CommentText"/>
    <w:link w:val="CommentSubjectChar"/>
    <w:rsid w:val="00111789"/>
    <w:rPr>
      <w:b/>
      <w:bCs/>
    </w:rPr>
  </w:style>
  <w:style w:type="character" w:customStyle="1" w:styleId="CommentSubjectChar">
    <w:name w:val="Comment Subject Char"/>
    <w:basedOn w:val="CommentTextChar"/>
    <w:link w:val="CommentSubject"/>
    <w:rsid w:val="00111789"/>
    <w:rPr>
      <w:b/>
      <w:bCs/>
      <w:snapToGrid w:val="0"/>
      <w:kern w:val="28"/>
    </w:rPr>
  </w:style>
  <w:style w:type="paragraph" w:styleId="Revision">
    <w:name w:val="Revision"/>
    <w:hidden/>
    <w:uiPriority w:val="99"/>
    <w:semiHidden/>
    <w:rsid w:val="009B7D6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w:basedOn w:val="Normal"/>
    <w:next w:val="ParaNum"/>
    <w:qFormat/>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pPr>
      <w:keepNext/>
      <w:numPr>
        <w:ilvl w:val="3"/>
        <w:numId w:val="1"/>
      </w:numPr>
      <w:tabs>
        <w:tab w:val="left" w:pos="2880"/>
      </w:tabs>
      <w:spacing w:after="120"/>
      <w:outlineLvl w:val="3"/>
    </w:pPr>
    <w:rPr>
      <w:b/>
    </w:rPr>
  </w:style>
  <w:style w:type="paragraph" w:styleId="Heading5">
    <w:name w:val="heading 5"/>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basedOn w:val="DefaultParagraphFont"/>
    <w:rsid w:val="00111789"/>
    <w:rPr>
      <w:sz w:val="16"/>
      <w:szCs w:val="16"/>
    </w:rPr>
  </w:style>
  <w:style w:type="paragraph" w:styleId="CommentText">
    <w:name w:val="annotation text"/>
    <w:basedOn w:val="Normal"/>
    <w:link w:val="CommentTextChar"/>
    <w:rsid w:val="00111789"/>
    <w:rPr>
      <w:sz w:val="20"/>
    </w:rPr>
  </w:style>
  <w:style w:type="character" w:customStyle="1" w:styleId="CommentTextChar">
    <w:name w:val="Comment Text Char"/>
    <w:basedOn w:val="DefaultParagraphFont"/>
    <w:link w:val="CommentText"/>
    <w:rsid w:val="00111789"/>
    <w:rPr>
      <w:snapToGrid w:val="0"/>
      <w:kern w:val="28"/>
    </w:rPr>
  </w:style>
  <w:style w:type="paragraph" w:styleId="CommentSubject">
    <w:name w:val="annotation subject"/>
    <w:basedOn w:val="CommentText"/>
    <w:next w:val="CommentText"/>
    <w:link w:val="CommentSubjectChar"/>
    <w:rsid w:val="00111789"/>
    <w:rPr>
      <w:b/>
      <w:bCs/>
    </w:rPr>
  </w:style>
  <w:style w:type="character" w:customStyle="1" w:styleId="CommentSubjectChar">
    <w:name w:val="Comment Subject Char"/>
    <w:basedOn w:val="CommentTextChar"/>
    <w:link w:val="CommentSubject"/>
    <w:rsid w:val="00111789"/>
    <w:rPr>
      <w:b/>
      <w:bCs/>
      <w:snapToGrid w:val="0"/>
      <w:kern w:val="28"/>
    </w:rPr>
  </w:style>
  <w:style w:type="paragraph" w:styleId="Revision">
    <w:name w:val="Revision"/>
    <w:hidden/>
    <w:uiPriority w:val="99"/>
    <w:semiHidden/>
    <w:rsid w:val="009B7D6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raunfoss.fcc.gov/edocs_public/attachmatch/FCC-13-30A1.tx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30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unfoss.fcc.gov/edocs_public/attachmatch/FCC-13-30A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a.gov/about/office_org/headquarters_offices/arc/ro_cente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9685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11343</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2014-03-24T21:06:00Z</dcterms:created>
  <dcterms:modified xsi:type="dcterms:W3CDTF">2014-03-24T21:06:00Z</dcterms:modified>
  <cp:category> </cp:category>
  <cp:contentStatus> </cp:contentStatus>
</cp:coreProperties>
</file>