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0E" w:rsidRDefault="0082680E" w:rsidP="007F664B">
      <w:pPr>
        <w:tabs>
          <w:tab w:val="left" w:pos="2160"/>
        </w:tabs>
        <w:jc w:val="center"/>
        <w:rPr>
          <w:b/>
          <w:szCs w:val="24"/>
        </w:rPr>
      </w:pPr>
      <w:bookmarkStart w:id="0" w:name="_GoBack"/>
      <w:bookmarkEnd w:id="0"/>
      <w:r>
        <w:rPr>
          <w:b/>
          <w:szCs w:val="24"/>
        </w:rPr>
        <w:t>Before the</w:t>
      </w:r>
    </w:p>
    <w:p w:rsidR="0082680E" w:rsidRDefault="0082680E" w:rsidP="007F664B">
      <w:pPr>
        <w:jc w:val="center"/>
        <w:rPr>
          <w:b/>
          <w:szCs w:val="24"/>
        </w:rPr>
      </w:pPr>
      <w:r>
        <w:rPr>
          <w:b/>
          <w:szCs w:val="24"/>
        </w:rPr>
        <w:t>Federal Communications Commission</w:t>
      </w:r>
    </w:p>
    <w:p w:rsidR="0082680E" w:rsidRDefault="0082680E" w:rsidP="007F664B">
      <w:pPr>
        <w:jc w:val="center"/>
        <w:rPr>
          <w:b/>
          <w:szCs w:val="24"/>
        </w:rPr>
      </w:pPr>
      <w:r>
        <w:rPr>
          <w:b/>
          <w:szCs w:val="24"/>
        </w:rPr>
        <w:t>Washington, D.C. 20554</w:t>
      </w:r>
    </w:p>
    <w:p w:rsidR="0082680E" w:rsidRDefault="0082680E" w:rsidP="007F664B">
      <w:pPr>
        <w:rPr>
          <w:szCs w:val="24"/>
        </w:rPr>
      </w:pPr>
    </w:p>
    <w:p w:rsidR="0082680E" w:rsidRDefault="0082680E" w:rsidP="007F664B">
      <w:pPr>
        <w:rPr>
          <w:szCs w:val="24"/>
        </w:rPr>
      </w:pPr>
    </w:p>
    <w:tbl>
      <w:tblPr>
        <w:tblW w:w="0" w:type="auto"/>
        <w:tblLayout w:type="fixed"/>
        <w:tblLook w:val="0000" w:firstRow="0" w:lastRow="0" w:firstColumn="0" w:lastColumn="0" w:noHBand="0" w:noVBand="0"/>
      </w:tblPr>
      <w:tblGrid>
        <w:gridCol w:w="4698"/>
        <w:gridCol w:w="720"/>
        <w:gridCol w:w="4230"/>
      </w:tblGrid>
      <w:tr w:rsidR="0082680E">
        <w:tc>
          <w:tcPr>
            <w:tcW w:w="4698" w:type="dxa"/>
          </w:tcPr>
          <w:p w:rsidR="0082680E" w:rsidRDefault="0082680E" w:rsidP="007F664B">
            <w:pPr>
              <w:ind w:right="-18"/>
              <w:rPr>
                <w:szCs w:val="24"/>
              </w:rPr>
            </w:pPr>
            <w:r>
              <w:rPr>
                <w:szCs w:val="24"/>
              </w:rPr>
              <w:t>In the Matter of</w:t>
            </w:r>
          </w:p>
          <w:p w:rsidR="0082680E" w:rsidRDefault="0082680E" w:rsidP="007F664B">
            <w:pPr>
              <w:ind w:right="-18"/>
              <w:rPr>
                <w:szCs w:val="24"/>
              </w:rPr>
            </w:pPr>
          </w:p>
          <w:p w:rsidR="0082680E" w:rsidRDefault="0082680E" w:rsidP="007F664B">
            <w:pPr>
              <w:ind w:right="-18"/>
              <w:rPr>
                <w:szCs w:val="24"/>
              </w:rPr>
            </w:pPr>
            <w:r>
              <w:rPr>
                <w:szCs w:val="24"/>
              </w:rPr>
              <w:t xml:space="preserve">July </w:t>
            </w:r>
            <w:r w:rsidR="00840F41">
              <w:rPr>
                <w:szCs w:val="24"/>
              </w:rPr>
              <w:t>1</w:t>
            </w:r>
            <w:r>
              <w:rPr>
                <w:szCs w:val="24"/>
              </w:rPr>
              <w:t>, 201</w:t>
            </w:r>
            <w:r w:rsidR="00840F41">
              <w:rPr>
                <w:szCs w:val="24"/>
              </w:rPr>
              <w:t>4</w:t>
            </w:r>
          </w:p>
          <w:p w:rsidR="0082680E" w:rsidRDefault="0082680E" w:rsidP="007F664B">
            <w:pPr>
              <w:ind w:right="-18"/>
              <w:rPr>
                <w:szCs w:val="24"/>
              </w:rPr>
            </w:pPr>
            <w:r>
              <w:rPr>
                <w:szCs w:val="24"/>
              </w:rPr>
              <w:t>Annual Access Charge Tariff Filings</w:t>
            </w:r>
          </w:p>
          <w:p w:rsidR="0082680E" w:rsidRDefault="0082680E" w:rsidP="007F664B">
            <w:pPr>
              <w:ind w:right="-18"/>
              <w:rPr>
                <w:szCs w:val="24"/>
              </w:rPr>
            </w:pPr>
          </w:p>
          <w:p w:rsidR="0082680E" w:rsidRDefault="0082680E" w:rsidP="007F664B">
            <w:pPr>
              <w:ind w:right="-18"/>
              <w:rPr>
                <w:szCs w:val="24"/>
              </w:rPr>
            </w:pPr>
          </w:p>
          <w:p w:rsidR="0082680E" w:rsidRDefault="0082680E" w:rsidP="007F664B">
            <w:pPr>
              <w:ind w:right="-18"/>
              <w:rPr>
                <w:szCs w:val="24"/>
              </w:rPr>
            </w:pPr>
          </w:p>
        </w:tc>
        <w:tc>
          <w:tcPr>
            <w:tcW w:w="720" w:type="dxa"/>
          </w:tcPr>
          <w:p w:rsidR="0082680E" w:rsidRDefault="0082680E" w:rsidP="007F664B">
            <w:pPr>
              <w:rPr>
                <w:b/>
                <w:szCs w:val="24"/>
              </w:rPr>
            </w:pPr>
            <w:r>
              <w:rPr>
                <w:b/>
                <w:szCs w:val="24"/>
              </w:rPr>
              <w:t>)</w:t>
            </w:r>
          </w:p>
          <w:p w:rsidR="0082680E" w:rsidRDefault="0082680E" w:rsidP="007F664B">
            <w:pPr>
              <w:rPr>
                <w:b/>
                <w:szCs w:val="24"/>
              </w:rPr>
            </w:pPr>
            <w:r>
              <w:rPr>
                <w:b/>
                <w:szCs w:val="24"/>
              </w:rPr>
              <w:t>)</w:t>
            </w:r>
          </w:p>
          <w:p w:rsidR="0082680E" w:rsidRDefault="0082680E" w:rsidP="007F664B">
            <w:pPr>
              <w:rPr>
                <w:b/>
                <w:szCs w:val="24"/>
              </w:rPr>
            </w:pPr>
            <w:r>
              <w:rPr>
                <w:b/>
                <w:szCs w:val="24"/>
              </w:rPr>
              <w:t>)</w:t>
            </w:r>
          </w:p>
          <w:p w:rsidR="0082680E" w:rsidRDefault="0082680E" w:rsidP="007F664B">
            <w:pPr>
              <w:rPr>
                <w:b/>
                <w:szCs w:val="24"/>
              </w:rPr>
            </w:pPr>
            <w:r>
              <w:rPr>
                <w:b/>
                <w:szCs w:val="24"/>
              </w:rPr>
              <w:t>)</w:t>
            </w:r>
          </w:p>
          <w:p w:rsidR="0082680E" w:rsidRDefault="0082680E" w:rsidP="007F664B">
            <w:pPr>
              <w:rPr>
                <w:b/>
                <w:szCs w:val="24"/>
              </w:rPr>
            </w:pPr>
            <w:r>
              <w:rPr>
                <w:b/>
                <w:szCs w:val="24"/>
              </w:rPr>
              <w:t>)</w:t>
            </w:r>
          </w:p>
        </w:tc>
        <w:tc>
          <w:tcPr>
            <w:tcW w:w="4230" w:type="dxa"/>
          </w:tcPr>
          <w:p w:rsidR="0082680E" w:rsidRDefault="0082680E" w:rsidP="007F664B">
            <w:pPr>
              <w:rPr>
                <w:szCs w:val="24"/>
              </w:rPr>
            </w:pPr>
          </w:p>
          <w:p w:rsidR="0082680E" w:rsidRDefault="0082680E" w:rsidP="007F664B">
            <w:pPr>
              <w:rPr>
                <w:szCs w:val="24"/>
              </w:rPr>
            </w:pPr>
          </w:p>
          <w:p w:rsidR="0082680E" w:rsidRDefault="0082680E" w:rsidP="007F664B">
            <w:pPr>
              <w:rPr>
                <w:b/>
                <w:szCs w:val="24"/>
              </w:rPr>
            </w:pPr>
            <w:r>
              <w:rPr>
                <w:spacing w:val="-2"/>
                <w:szCs w:val="24"/>
              </w:rPr>
              <w:t>WC Docket No. 1</w:t>
            </w:r>
            <w:r w:rsidR="00840F41">
              <w:rPr>
                <w:spacing w:val="-2"/>
                <w:szCs w:val="24"/>
              </w:rPr>
              <w:t>4</w:t>
            </w:r>
            <w:r>
              <w:rPr>
                <w:spacing w:val="-2"/>
                <w:szCs w:val="24"/>
              </w:rPr>
              <w:t>-</w:t>
            </w:r>
            <w:r w:rsidR="00BE74BD">
              <w:rPr>
                <w:spacing w:val="-2"/>
                <w:szCs w:val="24"/>
              </w:rPr>
              <w:t>48</w:t>
            </w:r>
          </w:p>
          <w:p w:rsidR="0082680E" w:rsidRDefault="0082680E" w:rsidP="007F664B">
            <w:pPr>
              <w:rPr>
                <w:szCs w:val="24"/>
              </w:rPr>
            </w:pPr>
          </w:p>
          <w:p w:rsidR="0082680E" w:rsidRDefault="0082680E" w:rsidP="007F664B">
            <w:pPr>
              <w:rPr>
                <w:b/>
                <w:szCs w:val="24"/>
              </w:rPr>
            </w:pPr>
          </w:p>
        </w:tc>
      </w:tr>
    </w:tbl>
    <w:p w:rsidR="0082680E" w:rsidRDefault="0082680E" w:rsidP="007F664B">
      <w:pPr>
        <w:spacing w:before="120"/>
        <w:jc w:val="center"/>
        <w:rPr>
          <w:b/>
          <w:szCs w:val="24"/>
        </w:rPr>
      </w:pPr>
      <w:r>
        <w:rPr>
          <w:b/>
          <w:spacing w:val="-2"/>
          <w:szCs w:val="24"/>
        </w:rPr>
        <w:t>ORDER</w:t>
      </w:r>
    </w:p>
    <w:p w:rsidR="0082680E" w:rsidRDefault="0082680E" w:rsidP="007F664B">
      <w:pPr>
        <w:tabs>
          <w:tab w:val="left" w:pos="5760"/>
        </w:tabs>
        <w:rPr>
          <w:szCs w:val="24"/>
        </w:rPr>
      </w:pPr>
    </w:p>
    <w:p w:rsidR="0082680E" w:rsidRDefault="0082680E" w:rsidP="007F664B">
      <w:pPr>
        <w:tabs>
          <w:tab w:val="left" w:pos="5760"/>
        </w:tabs>
        <w:rPr>
          <w:b/>
          <w:szCs w:val="24"/>
        </w:rPr>
      </w:pPr>
      <w:r>
        <w:rPr>
          <w:b/>
          <w:szCs w:val="24"/>
        </w:rPr>
        <w:t xml:space="preserve">Adopted:  March </w:t>
      </w:r>
      <w:r w:rsidR="00097894">
        <w:rPr>
          <w:b/>
          <w:szCs w:val="24"/>
        </w:rPr>
        <w:t>25</w:t>
      </w:r>
      <w:r>
        <w:rPr>
          <w:b/>
          <w:szCs w:val="24"/>
        </w:rPr>
        <w:t>, 201</w:t>
      </w:r>
      <w:r w:rsidR="00840F41">
        <w:rPr>
          <w:b/>
          <w:szCs w:val="24"/>
        </w:rPr>
        <w:t>4</w:t>
      </w:r>
      <w:r>
        <w:rPr>
          <w:b/>
          <w:szCs w:val="24"/>
        </w:rPr>
        <w:tab/>
      </w:r>
      <w:r>
        <w:rPr>
          <w:b/>
          <w:szCs w:val="24"/>
        </w:rPr>
        <w:tab/>
        <w:t xml:space="preserve">Released:  March </w:t>
      </w:r>
      <w:r w:rsidR="00097894">
        <w:rPr>
          <w:b/>
          <w:szCs w:val="24"/>
        </w:rPr>
        <w:t>25</w:t>
      </w:r>
      <w:r>
        <w:rPr>
          <w:b/>
          <w:szCs w:val="24"/>
        </w:rPr>
        <w:t>, 201</w:t>
      </w:r>
      <w:r w:rsidR="00840F41">
        <w:rPr>
          <w:b/>
          <w:szCs w:val="24"/>
        </w:rPr>
        <w:t>4</w:t>
      </w:r>
    </w:p>
    <w:p w:rsidR="0082680E" w:rsidRDefault="0082680E" w:rsidP="007F664B">
      <w:pPr>
        <w:tabs>
          <w:tab w:val="left" w:pos="5760"/>
        </w:tabs>
        <w:rPr>
          <w:b/>
          <w:szCs w:val="24"/>
        </w:rPr>
      </w:pPr>
    </w:p>
    <w:p w:rsidR="0082680E" w:rsidRDefault="0082680E" w:rsidP="007F664B">
      <w:pPr>
        <w:tabs>
          <w:tab w:val="left" w:pos="5760"/>
        </w:tabs>
        <w:rPr>
          <w:spacing w:val="-2"/>
          <w:szCs w:val="24"/>
        </w:rPr>
      </w:pPr>
      <w:r>
        <w:rPr>
          <w:szCs w:val="24"/>
        </w:rPr>
        <w:t xml:space="preserve">By the </w:t>
      </w:r>
      <w:r w:rsidR="00840F41">
        <w:rPr>
          <w:szCs w:val="24"/>
        </w:rPr>
        <w:t>C</w:t>
      </w:r>
      <w:r>
        <w:rPr>
          <w:spacing w:val="-2"/>
          <w:szCs w:val="24"/>
        </w:rPr>
        <w:t>hief, Pricing Policy Division:</w:t>
      </w:r>
    </w:p>
    <w:p w:rsidR="0082680E" w:rsidRDefault="0082680E" w:rsidP="007F664B">
      <w:pPr>
        <w:tabs>
          <w:tab w:val="left" w:pos="5760"/>
        </w:tabs>
        <w:rPr>
          <w:spacing w:val="-2"/>
          <w:szCs w:val="24"/>
        </w:rPr>
      </w:pPr>
    </w:p>
    <w:p w:rsidR="0082680E" w:rsidRDefault="0082680E" w:rsidP="007F664B">
      <w:pPr>
        <w:tabs>
          <w:tab w:val="left" w:pos="2880"/>
          <w:tab w:val="left" w:pos="3600"/>
          <w:tab w:val="left" w:pos="5760"/>
        </w:tabs>
        <w:rPr>
          <w:spacing w:val="-2"/>
          <w:szCs w:val="24"/>
        </w:rPr>
      </w:pPr>
      <w:r>
        <w:rPr>
          <w:spacing w:val="-2"/>
          <w:szCs w:val="24"/>
        </w:rPr>
        <w:t xml:space="preserve">SHORT FORM Tariff Review Plan:  </w:t>
      </w:r>
      <w:r>
        <w:rPr>
          <w:spacing w:val="-2"/>
          <w:szCs w:val="24"/>
        </w:rPr>
        <w:tab/>
        <w:t>May 1</w:t>
      </w:r>
      <w:r w:rsidR="00840F41">
        <w:rPr>
          <w:spacing w:val="-2"/>
          <w:szCs w:val="24"/>
        </w:rPr>
        <w:t>9</w:t>
      </w:r>
      <w:r>
        <w:rPr>
          <w:spacing w:val="-2"/>
          <w:szCs w:val="24"/>
        </w:rPr>
        <w:t>, 201</w:t>
      </w:r>
      <w:r w:rsidR="00840F41">
        <w:rPr>
          <w:spacing w:val="-2"/>
          <w:szCs w:val="24"/>
        </w:rPr>
        <w:t>4</w:t>
      </w:r>
    </w:p>
    <w:p w:rsidR="0082680E" w:rsidRDefault="0082680E" w:rsidP="007F664B">
      <w:pPr>
        <w:tabs>
          <w:tab w:val="left" w:pos="2880"/>
          <w:tab w:val="left" w:pos="3600"/>
          <w:tab w:val="left" w:pos="5760"/>
        </w:tabs>
        <w:rPr>
          <w:spacing w:val="-2"/>
          <w:szCs w:val="24"/>
        </w:rPr>
      </w:pPr>
      <w:r>
        <w:rPr>
          <w:spacing w:val="-2"/>
          <w:szCs w:val="24"/>
        </w:rPr>
        <w:t>COMMENTS:</w:t>
      </w:r>
      <w:r>
        <w:rPr>
          <w:spacing w:val="-2"/>
          <w:szCs w:val="24"/>
        </w:rPr>
        <w:tab/>
      </w:r>
      <w:r>
        <w:rPr>
          <w:spacing w:val="-2"/>
          <w:szCs w:val="24"/>
        </w:rPr>
        <w:tab/>
        <w:t>May 2</w:t>
      </w:r>
      <w:r w:rsidR="007C460C">
        <w:rPr>
          <w:spacing w:val="-2"/>
          <w:szCs w:val="24"/>
        </w:rPr>
        <w:t>9</w:t>
      </w:r>
      <w:r>
        <w:rPr>
          <w:spacing w:val="-2"/>
          <w:szCs w:val="24"/>
        </w:rPr>
        <w:t>, 201</w:t>
      </w:r>
      <w:r w:rsidR="007C460C">
        <w:rPr>
          <w:spacing w:val="-2"/>
          <w:szCs w:val="24"/>
        </w:rPr>
        <w:t>4</w:t>
      </w:r>
    </w:p>
    <w:p w:rsidR="0082680E" w:rsidRDefault="007C460C" w:rsidP="007F664B">
      <w:pPr>
        <w:tabs>
          <w:tab w:val="left" w:pos="2880"/>
          <w:tab w:val="left" w:pos="3600"/>
          <w:tab w:val="left" w:pos="5760"/>
        </w:tabs>
        <w:rPr>
          <w:spacing w:val="-2"/>
          <w:szCs w:val="24"/>
        </w:rPr>
      </w:pPr>
      <w:r>
        <w:rPr>
          <w:spacing w:val="-2"/>
          <w:szCs w:val="24"/>
        </w:rPr>
        <w:t>REPLIES:</w:t>
      </w:r>
      <w:r>
        <w:rPr>
          <w:spacing w:val="-2"/>
          <w:szCs w:val="24"/>
        </w:rPr>
        <w:tab/>
      </w:r>
      <w:r>
        <w:rPr>
          <w:spacing w:val="-2"/>
          <w:szCs w:val="24"/>
        </w:rPr>
        <w:tab/>
        <w:t>June 5</w:t>
      </w:r>
      <w:r w:rsidR="0082680E">
        <w:rPr>
          <w:spacing w:val="-2"/>
          <w:szCs w:val="24"/>
        </w:rPr>
        <w:t>, 201</w:t>
      </w:r>
      <w:r>
        <w:rPr>
          <w:spacing w:val="-2"/>
          <w:szCs w:val="24"/>
        </w:rPr>
        <w:t>4</w:t>
      </w:r>
    </w:p>
    <w:p w:rsidR="0082680E" w:rsidRDefault="0082680E" w:rsidP="007F664B">
      <w:pPr>
        <w:tabs>
          <w:tab w:val="left" w:pos="2160"/>
          <w:tab w:val="left" w:pos="5760"/>
        </w:tabs>
        <w:rPr>
          <w:spacing w:val="-2"/>
          <w:szCs w:val="24"/>
        </w:rPr>
      </w:pPr>
    </w:p>
    <w:p w:rsidR="0082680E" w:rsidRDefault="0082680E" w:rsidP="007F664B">
      <w:pPr>
        <w:tabs>
          <w:tab w:val="left" w:pos="2880"/>
          <w:tab w:val="left" w:pos="3600"/>
          <w:tab w:val="left" w:pos="5760"/>
        </w:tabs>
        <w:rPr>
          <w:spacing w:val="-2"/>
          <w:szCs w:val="24"/>
        </w:rPr>
      </w:pPr>
      <w:r>
        <w:rPr>
          <w:spacing w:val="-2"/>
          <w:szCs w:val="24"/>
        </w:rPr>
        <w:t>15-DAY TARIFF FILINGS</w:t>
      </w:r>
      <w:r>
        <w:rPr>
          <w:spacing w:val="-2"/>
          <w:szCs w:val="24"/>
        </w:rPr>
        <w:tab/>
      </w:r>
      <w:r>
        <w:rPr>
          <w:spacing w:val="-2"/>
          <w:szCs w:val="24"/>
        </w:rPr>
        <w:tab/>
        <w:t>June 1</w:t>
      </w:r>
      <w:r w:rsidR="007C460C">
        <w:rPr>
          <w:spacing w:val="-2"/>
          <w:szCs w:val="24"/>
        </w:rPr>
        <w:t>6, 2014</w:t>
      </w:r>
    </w:p>
    <w:p w:rsidR="0082680E" w:rsidRDefault="0082680E" w:rsidP="007F664B">
      <w:pPr>
        <w:tabs>
          <w:tab w:val="left" w:pos="2880"/>
          <w:tab w:val="left" w:pos="3600"/>
          <w:tab w:val="left" w:pos="5760"/>
        </w:tabs>
        <w:rPr>
          <w:spacing w:val="-2"/>
          <w:szCs w:val="24"/>
        </w:rPr>
      </w:pPr>
      <w:r>
        <w:rPr>
          <w:spacing w:val="-2"/>
          <w:szCs w:val="24"/>
        </w:rPr>
        <w:t>PETITIONS:</w:t>
      </w:r>
      <w:r>
        <w:rPr>
          <w:spacing w:val="-2"/>
          <w:szCs w:val="24"/>
        </w:rPr>
        <w:tab/>
      </w:r>
      <w:r>
        <w:rPr>
          <w:spacing w:val="-2"/>
          <w:szCs w:val="24"/>
        </w:rPr>
        <w:tab/>
        <w:t>June 2</w:t>
      </w:r>
      <w:r w:rsidR="007C460C">
        <w:rPr>
          <w:spacing w:val="-2"/>
          <w:szCs w:val="24"/>
        </w:rPr>
        <w:t>3, 2014</w:t>
      </w:r>
    </w:p>
    <w:p w:rsidR="0082680E" w:rsidRDefault="0082680E" w:rsidP="007F664B">
      <w:pPr>
        <w:tabs>
          <w:tab w:val="left" w:pos="2880"/>
          <w:tab w:val="left" w:pos="5760"/>
        </w:tabs>
        <w:rPr>
          <w:spacing w:val="-2"/>
          <w:szCs w:val="24"/>
        </w:rPr>
      </w:pPr>
      <w:r>
        <w:rPr>
          <w:spacing w:val="-2"/>
          <w:szCs w:val="24"/>
        </w:rPr>
        <w:t>REPLIES:</w:t>
      </w:r>
      <w:r>
        <w:rPr>
          <w:spacing w:val="-2"/>
          <w:szCs w:val="24"/>
        </w:rPr>
        <w:tab/>
        <w:t xml:space="preserve">              June 2</w:t>
      </w:r>
      <w:r w:rsidR="007C460C">
        <w:rPr>
          <w:spacing w:val="-2"/>
          <w:szCs w:val="24"/>
        </w:rPr>
        <w:t>6, 2014</w:t>
      </w:r>
      <w:r>
        <w:rPr>
          <w:spacing w:val="-2"/>
          <w:szCs w:val="24"/>
        </w:rPr>
        <w:t xml:space="preserve"> </w:t>
      </w:r>
      <w:r w:rsidR="00B21B49">
        <w:rPr>
          <w:spacing w:val="-2"/>
          <w:szCs w:val="24"/>
        </w:rPr>
        <w:t>(due no later than 12:00 p.m. (noon) Eastern Time)</w:t>
      </w:r>
    </w:p>
    <w:p w:rsidR="0082680E" w:rsidRDefault="0082680E" w:rsidP="007F664B">
      <w:pPr>
        <w:tabs>
          <w:tab w:val="left" w:pos="2880"/>
          <w:tab w:val="left" w:pos="3600"/>
          <w:tab w:val="left" w:pos="5760"/>
        </w:tabs>
        <w:rPr>
          <w:spacing w:val="-2"/>
          <w:szCs w:val="24"/>
        </w:rPr>
      </w:pPr>
    </w:p>
    <w:p w:rsidR="0082680E" w:rsidRPr="006508B2" w:rsidRDefault="0082680E" w:rsidP="007F664B">
      <w:pPr>
        <w:tabs>
          <w:tab w:val="left" w:pos="2880"/>
          <w:tab w:val="left" w:pos="5760"/>
        </w:tabs>
        <w:rPr>
          <w:color w:val="FF0000"/>
          <w:spacing w:val="-2"/>
          <w:szCs w:val="24"/>
        </w:rPr>
      </w:pPr>
    </w:p>
    <w:p w:rsidR="0082680E" w:rsidRDefault="0082680E" w:rsidP="007F664B">
      <w:pPr>
        <w:tabs>
          <w:tab w:val="left" w:pos="2880"/>
          <w:tab w:val="left" w:pos="3600"/>
          <w:tab w:val="left" w:pos="5760"/>
        </w:tabs>
        <w:rPr>
          <w:spacing w:val="-2"/>
          <w:szCs w:val="24"/>
        </w:rPr>
      </w:pPr>
      <w:r>
        <w:rPr>
          <w:spacing w:val="-2"/>
          <w:szCs w:val="24"/>
        </w:rPr>
        <w:t>7-DAY TARIFF FILINGS:</w:t>
      </w:r>
      <w:r>
        <w:rPr>
          <w:spacing w:val="-2"/>
          <w:szCs w:val="24"/>
        </w:rPr>
        <w:tab/>
      </w:r>
      <w:r>
        <w:rPr>
          <w:spacing w:val="-2"/>
          <w:szCs w:val="24"/>
        </w:rPr>
        <w:tab/>
        <w:t>June 2</w:t>
      </w:r>
      <w:r w:rsidR="007C460C">
        <w:rPr>
          <w:spacing w:val="-2"/>
          <w:szCs w:val="24"/>
        </w:rPr>
        <w:t>4, 2014</w:t>
      </w:r>
    </w:p>
    <w:p w:rsidR="0082680E" w:rsidRPr="006508B2" w:rsidRDefault="0082680E" w:rsidP="007F664B">
      <w:pPr>
        <w:tabs>
          <w:tab w:val="left" w:pos="2880"/>
          <w:tab w:val="left" w:pos="5760"/>
        </w:tabs>
        <w:rPr>
          <w:color w:val="FF0000"/>
          <w:spacing w:val="-2"/>
          <w:szCs w:val="24"/>
        </w:rPr>
      </w:pPr>
      <w:r>
        <w:rPr>
          <w:spacing w:val="-2"/>
          <w:szCs w:val="24"/>
        </w:rPr>
        <w:t>PETITIONS:</w:t>
      </w:r>
      <w:r>
        <w:rPr>
          <w:spacing w:val="-2"/>
          <w:szCs w:val="24"/>
        </w:rPr>
        <w:tab/>
        <w:t xml:space="preserve">              June 2</w:t>
      </w:r>
      <w:r w:rsidR="007C460C">
        <w:rPr>
          <w:spacing w:val="-2"/>
          <w:szCs w:val="24"/>
        </w:rPr>
        <w:t>6, 2014</w:t>
      </w:r>
      <w:r>
        <w:rPr>
          <w:spacing w:val="-2"/>
          <w:szCs w:val="24"/>
        </w:rPr>
        <w:t xml:space="preserve"> (due no later than 12:00 p.m. (noon) Eastern Time)</w:t>
      </w:r>
    </w:p>
    <w:p w:rsidR="0082680E" w:rsidRDefault="0082680E" w:rsidP="007F664B">
      <w:pPr>
        <w:tabs>
          <w:tab w:val="left" w:pos="2880"/>
          <w:tab w:val="left" w:pos="5760"/>
        </w:tabs>
        <w:rPr>
          <w:spacing w:val="-2"/>
          <w:szCs w:val="24"/>
        </w:rPr>
      </w:pPr>
      <w:r>
        <w:rPr>
          <w:spacing w:val="-2"/>
          <w:szCs w:val="24"/>
        </w:rPr>
        <w:t>REPL</w:t>
      </w:r>
      <w:r w:rsidR="007C460C">
        <w:rPr>
          <w:spacing w:val="-2"/>
          <w:szCs w:val="24"/>
        </w:rPr>
        <w:t>IES:</w:t>
      </w:r>
      <w:r w:rsidR="007C460C">
        <w:rPr>
          <w:spacing w:val="-2"/>
          <w:szCs w:val="24"/>
        </w:rPr>
        <w:tab/>
        <w:t xml:space="preserve">              June 27, 2014</w:t>
      </w:r>
      <w:r>
        <w:rPr>
          <w:spacing w:val="-2"/>
          <w:szCs w:val="24"/>
        </w:rPr>
        <w:t xml:space="preserve"> (due no later than 12:00 p.m. (noon) Eastern Time)</w:t>
      </w:r>
    </w:p>
    <w:p w:rsidR="0082680E" w:rsidRPr="006508B2" w:rsidRDefault="0082680E" w:rsidP="007F664B">
      <w:pPr>
        <w:tabs>
          <w:tab w:val="left" w:pos="2880"/>
          <w:tab w:val="left" w:pos="3600"/>
          <w:tab w:val="left" w:pos="5760"/>
        </w:tabs>
        <w:rPr>
          <w:color w:val="FF0000"/>
          <w:spacing w:val="-2"/>
          <w:szCs w:val="24"/>
        </w:rPr>
      </w:pPr>
    </w:p>
    <w:p w:rsidR="0082680E" w:rsidRDefault="0082680E" w:rsidP="007F664B">
      <w:pPr>
        <w:tabs>
          <w:tab w:val="left" w:pos="2880"/>
          <w:tab w:val="left" w:pos="5760"/>
        </w:tabs>
        <w:rPr>
          <w:spacing w:val="-2"/>
          <w:szCs w:val="24"/>
        </w:rPr>
      </w:pPr>
    </w:p>
    <w:p w:rsidR="0082680E" w:rsidRPr="00782DA6" w:rsidRDefault="0082680E" w:rsidP="007F664B">
      <w:pPr>
        <w:pStyle w:val="Heading1"/>
        <w:widowControl/>
      </w:pPr>
      <w:r>
        <w:t>INTRODUCTION</w:t>
      </w:r>
    </w:p>
    <w:p w:rsidR="008452C9" w:rsidRDefault="0082680E" w:rsidP="007F664B">
      <w:pPr>
        <w:pStyle w:val="ParaNum"/>
        <w:widowControl/>
        <w:jc w:val="left"/>
      </w:pPr>
      <w:r w:rsidRPr="008452C9">
        <w:t>This order establishes procedures for the 201</w:t>
      </w:r>
      <w:r w:rsidR="007C460C" w:rsidRPr="008452C9">
        <w:t>4</w:t>
      </w:r>
      <w:r w:rsidRPr="008452C9">
        <w:t xml:space="preserve"> filing of annual access charge tariffs and Tariff Review Plans (TRPs) for incumbent local exchange carrie</w:t>
      </w:r>
      <w:r w:rsidR="008452C9">
        <w:t>rs (ILECs) subject to price cap regulation,</w:t>
      </w:r>
      <w:r w:rsidR="008452C9">
        <w:rPr>
          <w:rStyle w:val="FootnoteReference"/>
          <w:szCs w:val="24"/>
        </w:rPr>
        <w:footnoteReference w:id="2"/>
      </w:r>
      <w:r w:rsidRPr="008452C9">
        <w:t xml:space="preserve"> as well as rate of return ILECs subject to </w:t>
      </w:r>
      <w:r w:rsidR="00F56CF3" w:rsidRPr="008452C9">
        <w:t>s</w:t>
      </w:r>
      <w:r w:rsidRPr="008452C9">
        <w:t>ection</w:t>
      </w:r>
      <w:r w:rsidR="001C2635">
        <w:t>s</w:t>
      </w:r>
      <w:r w:rsidRPr="008452C9">
        <w:t xml:space="preserve"> 61.3</w:t>
      </w:r>
      <w:r w:rsidR="001C2635">
        <w:t>8</w:t>
      </w:r>
      <w:r w:rsidR="001C2635">
        <w:rPr>
          <w:rStyle w:val="FootnoteReference"/>
          <w:szCs w:val="24"/>
        </w:rPr>
        <w:footnoteReference w:id="3"/>
      </w:r>
      <w:r w:rsidR="001C2635">
        <w:t xml:space="preserve"> and 61.39</w:t>
      </w:r>
      <w:r w:rsidR="001C2635">
        <w:rPr>
          <w:rStyle w:val="FootnoteReference"/>
          <w:szCs w:val="24"/>
        </w:rPr>
        <w:footnoteReference w:id="4"/>
      </w:r>
      <w:r w:rsidR="001C2635" w:rsidRPr="008452C9">
        <w:t xml:space="preserve"> </w:t>
      </w:r>
      <w:r w:rsidR="001C2635">
        <w:t>of the Commission’s rules.</w:t>
      </w:r>
      <w:r w:rsidRPr="008452C9">
        <w:t xml:space="preserve"> </w:t>
      </w:r>
      <w:r w:rsidR="00465956" w:rsidRPr="008452C9">
        <w:t xml:space="preserve"> </w:t>
      </w:r>
    </w:p>
    <w:p w:rsidR="0082680E" w:rsidRPr="008452C9" w:rsidRDefault="0082680E" w:rsidP="007F664B">
      <w:pPr>
        <w:pStyle w:val="ParaNum"/>
        <w:widowControl/>
        <w:jc w:val="left"/>
      </w:pPr>
      <w:r w:rsidRPr="008452C9">
        <w:t xml:space="preserve">This order (1) sets an effective date of July </w:t>
      </w:r>
      <w:r w:rsidR="007C460C" w:rsidRPr="008452C9">
        <w:t>1</w:t>
      </w:r>
      <w:r w:rsidRPr="008452C9">
        <w:t>, 201</w:t>
      </w:r>
      <w:r w:rsidR="007C460C" w:rsidRPr="008452C9">
        <w:t>4,</w:t>
      </w:r>
      <w:r w:rsidRPr="008452C9">
        <w:t xml:space="preserve"> for the July 201</w:t>
      </w:r>
      <w:r w:rsidR="007C460C" w:rsidRPr="008452C9">
        <w:t>4</w:t>
      </w:r>
      <w:r w:rsidRPr="008452C9">
        <w:t xml:space="preserve"> annual access charge tariff filings; (2) establishes the dates for filing petitions to suspend or reject an ILEC tariff filing and replies to such petitions; and (3) addresses service of the petitions and replies.  </w:t>
      </w:r>
      <w:r w:rsidR="00F56CF3" w:rsidRPr="008452C9">
        <w:t>This order also establishes May 19, 2014 as the date that price cap ILECs must file the short form T</w:t>
      </w:r>
      <w:r w:rsidR="00465956" w:rsidRPr="008452C9">
        <w:t>RPs</w:t>
      </w:r>
      <w:r w:rsidR="00F56CF3" w:rsidRPr="008452C9">
        <w:t>.</w:t>
      </w:r>
      <w:r w:rsidR="00F56CF3">
        <w:rPr>
          <w:rStyle w:val="FootnoteReference"/>
          <w:szCs w:val="24"/>
        </w:rPr>
        <w:footnoteReference w:id="5"/>
      </w:r>
      <w:r w:rsidR="00F56CF3" w:rsidRPr="008452C9">
        <w:t xml:space="preserve">  </w:t>
      </w:r>
      <w:r w:rsidR="008452C9" w:rsidRPr="008452C9">
        <w:t xml:space="preserve">In the </w:t>
      </w:r>
      <w:r w:rsidR="008452C9" w:rsidRPr="008452C9">
        <w:rPr>
          <w:i/>
        </w:rPr>
        <w:t xml:space="preserve">USF/ICC </w:t>
      </w:r>
      <w:r w:rsidR="008452C9" w:rsidRPr="008452C9">
        <w:rPr>
          <w:i/>
        </w:rPr>
        <w:lastRenderedPageBreak/>
        <w:t xml:space="preserve">Transformation </w:t>
      </w:r>
      <w:r w:rsidR="008452C9" w:rsidRPr="008452C9">
        <w:t>Order</w:t>
      </w:r>
      <w:r w:rsidR="008452C9">
        <w:rPr>
          <w:rStyle w:val="FootnoteReference"/>
          <w:szCs w:val="24"/>
        </w:rPr>
        <w:footnoteReference w:id="6"/>
      </w:r>
      <w:r w:rsidR="008452C9" w:rsidRPr="008452C9">
        <w:t xml:space="preserve"> the Commission adopted new rules requiring ILECs to adjust, over a period of years, their switched access charges effective on July 1 of each of those years.  The TRPs also implement th</w:t>
      </w:r>
      <w:r w:rsidR="008452C9">
        <w:t>ese</w:t>
      </w:r>
      <w:r w:rsidR="008452C9" w:rsidRPr="008452C9">
        <w:t xml:space="preserve"> adjustments.  </w:t>
      </w:r>
      <w:r w:rsidRPr="008452C9">
        <w:t xml:space="preserve">All correspondence and comments in connection with these filings should refer to the caption of this proceeding, </w:t>
      </w:r>
      <w:r w:rsidRPr="008452C9">
        <w:rPr>
          <w:i/>
        </w:rPr>
        <w:t xml:space="preserve">July </w:t>
      </w:r>
      <w:r w:rsidR="007776D7" w:rsidRPr="008452C9">
        <w:rPr>
          <w:i/>
        </w:rPr>
        <w:t>1</w:t>
      </w:r>
      <w:r w:rsidRPr="008452C9">
        <w:rPr>
          <w:i/>
        </w:rPr>
        <w:t>, 201</w:t>
      </w:r>
      <w:r w:rsidR="007776D7" w:rsidRPr="008452C9">
        <w:rPr>
          <w:i/>
        </w:rPr>
        <w:t>4</w:t>
      </w:r>
      <w:r w:rsidRPr="008452C9">
        <w:rPr>
          <w:i/>
        </w:rPr>
        <w:t xml:space="preserve"> Annual Access Charge Tariff Filings</w:t>
      </w:r>
      <w:r w:rsidR="007776D7" w:rsidRPr="008452C9">
        <w:t>, WC Docket No. 14</w:t>
      </w:r>
      <w:r w:rsidRPr="008452C9">
        <w:t>-</w:t>
      </w:r>
      <w:r w:rsidR="00BE74BD">
        <w:t>48</w:t>
      </w:r>
      <w:r w:rsidR="005D4586" w:rsidRPr="008452C9">
        <w:t>.</w:t>
      </w:r>
    </w:p>
    <w:p w:rsidR="0082680E" w:rsidRDefault="0082680E" w:rsidP="007F664B">
      <w:pPr>
        <w:pStyle w:val="Heading1"/>
        <w:widowControl/>
      </w:pPr>
      <w:r>
        <w:t>DISCUSSION</w:t>
      </w:r>
    </w:p>
    <w:p w:rsidR="0082680E" w:rsidRDefault="0082680E" w:rsidP="007F664B">
      <w:pPr>
        <w:pStyle w:val="Heading2"/>
        <w:widowControl/>
      </w:pPr>
      <w:r>
        <w:t>Tariff Effective Date and Tariff Filing Dates</w:t>
      </w:r>
    </w:p>
    <w:p w:rsidR="0082680E" w:rsidRDefault="0082680E" w:rsidP="007F664B">
      <w:pPr>
        <w:pStyle w:val="ParaNum"/>
        <w:widowControl/>
        <w:jc w:val="left"/>
      </w:pPr>
      <w:r>
        <w:t>ILECS are permitted to make their tariff filings on either 15 or 7 days prior to the effective date of their tariffs, depending on the type of changes the tariffs propose.</w:t>
      </w:r>
      <w:r>
        <w:rPr>
          <w:rStyle w:val="FootnoteReference"/>
          <w:szCs w:val="24"/>
        </w:rPr>
        <w:footnoteReference w:id="7"/>
      </w:r>
      <w:r>
        <w:t xml:space="preserve">  The Commission’s rules require that annual access charge tariff filings must be filed with a scheduled effective date of July 1.</w:t>
      </w:r>
      <w:r>
        <w:rPr>
          <w:rStyle w:val="FootnoteReference"/>
          <w:szCs w:val="24"/>
        </w:rPr>
        <w:footnoteReference w:id="8"/>
      </w:r>
      <w:r>
        <w:t xml:space="preserve">  </w:t>
      </w:r>
      <w:r w:rsidR="00194B6B">
        <w:t>ILECs filing tariffs on 15 days’ notice must make their annual tariff filings on June 16, 2014 and ILECs filing tariffs on 7 days’ must make their annual tariff filings on June 24, 2014.</w:t>
      </w:r>
    </w:p>
    <w:p w:rsidR="00243513" w:rsidRPr="00782DA6" w:rsidRDefault="0082680E" w:rsidP="007F664B">
      <w:pPr>
        <w:pStyle w:val="ParaNum"/>
        <w:widowControl/>
        <w:jc w:val="left"/>
      </w:pPr>
      <w:r w:rsidRPr="00243513">
        <w:t>ILECs that file tariffs under the price cap ratemaking methodology are required to file revised annual access charge tariffs every year.</w:t>
      </w:r>
      <w:r>
        <w:rPr>
          <w:rStyle w:val="FootnoteReference"/>
          <w:szCs w:val="24"/>
        </w:rPr>
        <w:footnoteReference w:id="9"/>
      </w:r>
      <w:r w:rsidRPr="00243513">
        <w:t xml:space="preserve">  ILECs that file tariffs under rate-of-return ratemaking methodology are required to file every other year.  ILECs filing pursuant to the requirements of section 61.3</w:t>
      </w:r>
      <w:r w:rsidR="00AD142E" w:rsidRPr="00243513">
        <w:t>8</w:t>
      </w:r>
      <w:r w:rsidRPr="00243513">
        <w:t xml:space="preserve"> of the Commission’s rules are required to file annual access charge tariffs this year, an </w:t>
      </w:r>
      <w:r w:rsidR="00AD142E" w:rsidRPr="00243513">
        <w:t>even</w:t>
      </w:r>
      <w:r w:rsidRPr="00243513">
        <w:t>-numbered year.</w:t>
      </w:r>
      <w:r>
        <w:rPr>
          <w:rStyle w:val="FootnoteReference"/>
          <w:szCs w:val="24"/>
        </w:rPr>
        <w:footnoteReference w:id="10"/>
      </w:r>
      <w:r w:rsidRPr="00243513">
        <w:t xml:space="preserve">  </w:t>
      </w:r>
      <w:r w:rsidRPr="00243513">
        <w:rPr>
          <w:szCs w:val="22"/>
        </w:rPr>
        <w:t>Rate-of-return ILECs subject to section 61.3</w:t>
      </w:r>
      <w:r w:rsidR="00AD142E" w:rsidRPr="00243513">
        <w:rPr>
          <w:szCs w:val="22"/>
        </w:rPr>
        <w:t>9</w:t>
      </w:r>
      <w:r w:rsidRPr="00243513">
        <w:rPr>
          <w:szCs w:val="22"/>
        </w:rPr>
        <w:t xml:space="preserve"> of the Commission's rules</w:t>
      </w:r>
      <w:r w:rsidRPr="00D13741">
        <w:rPr>
          <w:szCs w:val="22"/>
          <w:vertAlign w:val="superscript"/>
        </w:rPr>
        <w:footnoteReference w:id="11"/>
      </w:r>
      <w:r w:rsidRPr="00243513">
        <w:rPr>
          <w:szCs w:val="22"/>
        </w:rPr>
        <w:t xml:space="preserve"> would not, absent requirements adopted in the </w:t>
      </w:r>
      <w:r w:rsidRPr="00243513">
        <w:rPr>
          <w:i/>
          <w:szCs w:val="22"/>
        </w:rPr>
        <w:t>USF / ICC Transformation Order</w:t>
      </w:r>
      <w:r w:rsidRPr="00243513">
        <w:rPr>
          <w:szCs w:val="22"/>
        </w:rPr>
        <w:t>,</w:t>
      </w:r>
      <w:r>
        <w:rPr>
          <w:rStyle w:val="FootnoteReference"/>
          <w:szCs w:val="22"/>
        </w:rPr>
        <w:footnoteReference w:id="12"/>
      </w:r>
      <w:r w:rsidRPr="00243513">
        <w:rPr>
          <w:szCs w:val="22"/>
        </w:rPr>
        <w:t xml:space="preserve"> be required to file annual access charge tariffs this year, since they file revisions in </w:t>
      </w:r>
      <w:r w:rsidR="00AD142E" w:rsidRPr="00243513">
        <w:rPr>
          <w:szCs w:val="22"/>
        </w:rPr>
        <w:t>odd</w:t>
      </w:r>
      <w:r w:rsidRPr="00243513">
        <w:rPr>
          <w:szCs w:val="22"/>
        </w:rPr>
        <w:t>-numbered years.</w:t>
      </w:r>
      <w:r w:rsidRPr="00D13741">
        <w:rPr>
          <w:rStyle w:val="FootnoteReference"/>
          <w:szCs w:val="22"/>
        </w:rPr>
        <w:footnoteReference w:id="13"/>
      </w:r>
      <w:r w:rsidRPr="00243513">
        <w:rPr>
          <w:szCs w:val="22"/>
        </w:rPr>
        <w:t xml:space="preserve">  Pursuant to the </w:t>
      </w:r>
      <w:r w:rsidRPr="00243513">
        <w:rPr>
          <w:i/>
          <w:szCs w:val="22"/>
        </w:rPr>
        <w:t>USF/ICC Transformation Order</w:t>
      </w:r>
      <w:r w:rsidRPr="00243513">
        <w:rPr>
          <w:szCs w:val="22"/>
        </w:rPr>
        <w:t>, however, rate-of-return ILEC</w:t>
      </w:r>
      <w:r w:rsidR="001C2635" w:rsidRPr="00243513">
        <w:rPr>
          <w:szCs w:val="22"/>
        </w:rPr>
        <w:t>s</w:t>
      </w:r>
      <w:r w:rsidRPr="00243513">
        <w:rPr>
          <w:szCs w:val="22"/>
        </w:rPr>
        <w:t xml:space="preserve"> subject to section 61.3</w:t>
      </w:r>
      <w:r w:rsidR="00AD142E" w:rsidRPr="00243513">
        <w:rPr>
          <w:szCs w:val="22"/>
        </w:rPr>
        <w:t>9</w:t>
      </w:r>
      <w:r w:rsidRPr="00243513">
        <w:rPr>
          <w:szCs w:val="22"/>
        </w:rPr>
        <w:t xml:space="preserve"> of the Commission’s rules </w:t>
      </w:r>
      <w:r w:rsidR="001C2635" w:rsidRPr="00243513">
        <w:rPr>
          <w:szCs w:val="22"/>
        </w:rPr>
        <w:t>must file a TRP this year to comply with the requirements of section</w:t>
      </w:r>
      <w:r w:rsidR="00D467ED" w:rsidRPr="00243513">
        <w:rPr>
          <w:szCs w:val="22"/>
        </w:rPr>
        <w:t>s</w:t>
      </w:r>
      <w:r w:rsidR="001C2635" w:rsidRPr="00243513">
        <w:rPr>
          <w:szCs w:val="22"/>
        </w:rPr>
        <w:t xml:space="preserve"> 51.909(d)</w:t>
      </w:r>
      <w:r w:rsidR="00243513" w:rsidRPr="00243513">
        <w:rPr>
          <w:szCs w:val="22"/>
        </w:rPr>
        <w:t>,</w:t>
      </w:r>
      <w:r w:rsidR="00D467ED" w:rsidRPr="00243513">
        <w:rPr>
          <w:szCs w:val="22"/>
        </w:rPr>
        <w:t xml:space="preserve"> 51.917(d)(iii)</w:t>
      </w:r>
      <w:r w:rsidR="00243513" w:rsidRPr="00243513">
        <w:rPr>
          <w:szCs w:val="22"/>
        </w:rPr>
        <w:t>, and 51.917(e)</w:t>
      </w:r>
      <w:r w:rsidR="00D467ED" w:rsidRPr="00243513">
        <w:rPr>
          <w:szCs w:val="22"/>
        </w:rPr>
        <w:t xml:space="preserve"> </w:t>
      </w:r>
      <w:r w:rsidR="001C2635" w:rsidRPr="00243513">
        <w:rPr>
          <w:szCs w:val="22"/>
        </w:rPr>
        <w:t>of the Commission’s rules.</w:t>
      </w:r>
      <w:r w:rsidR="001C2635">
        <w:rPr>
          <w:rStyle w:val="FootnoteReference"/>
          <w:szCs w:val="22"/>
        </w:rPr>
        <w:footnoteReference w:id="14"/>
      </w:r>
      <w:r w:rsidR="001C2635" w:rsidRPr="00243513">
        <w:rPr>
          <w:szCs w:val="22"/>
        </w:rPr>
        <w:t xml:space="preserve">  </w:t>
      </w:r>
    </w:p>
    <w:p w:rsidR="0082680E" w:rsidRPr="00782DA6" w:rsidRDefault="0082680E" w:rsidP="007F664B">
      <w:pPr>
        <w:pStyle w:val="Heading2"/>
        <w:widowControl/>
      </w:pPr>
      <w:r>
        <w:t>Tariff Review Plan Filing Dates</w:t>
      </w:r>
    </w:p>
    <w:p w:rsidR="00A23CFF" w:rsidRDefault="0082680E" w:rsidP="007F664B">
      <w:pPr>
        <w:pStyle w:val="ParaNum"/>
        <w:widowControl/>
        <w:tabs>
          <w:tab w:val="clear" w:pos="1080"/>
          <w:tab w:val="num" w:pos="360"/>
        </w:tabs>
        <w:jc w:val="left"/>
        <w:rPr>
          <w:szCs w:val="24"/>
        </w:rPr>
      </w:pPr>
      <w:r>
        <w:rPr>
          <w:szCs w:val="24"/>
        </w:rPr>
        <w:t>Price cap ILECs are required to submit both a short form TRP and a long</w:t>
      </w:r>
      <w:r w:rsidR="00A23CFF">
        <w:rPr>
          <w:szCs w:val="24"/>
        </w:rPr>
        <w:t xml:space="preserve"> </w:t>
      </w:r>
      <w:r>
        <w:rPr>
          <w:szCs w:val="24"/>
        </w:rPr>
        <w:t xml:space="preserve">form TRP.  Section 61.49(k) of the </w:t>
      </w:r>
      <w:r w:rsidRPr="00782DA6">
        <w:rPr>
          <w:szCs w:val="22"/>
        </w:rPr>
        <w:t>Commission’s</w:t>
      </w:r>
      <w:r>
        <w:rPr>
          <w:szCs w:val="24"/>
        </w:rPr>
        <w:t xml:space="preserve"> rules requires price cap ILECs to file a short form TRP without rate detail information 90 days prior to the usual effective date of July 1.</w:t>
      </w:r>
      <w:r>
        <w:rPr>
          <w:rStyle w:val="FootnoteReference"/>
          <w:szCs w:val="24"/>
        </w:rPr>
        <w:footnoteReference w:id="15"/>
      </w:r>
      <w:r>
        <w:rPr>
          <w:szCs w:val="24"/>
        </w:rPr>
        <w:t xml:space="preserve">  In previous years, we have waived section 61.49(k) and allowed price cap ILECs to file the short form TRP on May 1</w:t>
      </w:r>
      <w:r>
        <w:rPr>
          <w:szCs w:val="24"/>
          <w:vertAlign w:val="superscript"/>
        </w:rPr>
        <w:t>st</w:t>
      </w:r>
      <w:r>
        <w:rPr>
          <w:szCs w:val="24"/>
        </w:rPr>
        <w:t xml:space="preserve"> of the particular year.</w:t>
      </w:r>
      <w:r>
        <w:rPr>
          <w:rStyle w:val="FootnoteReference"/>
          <w:szCs w:val="24"/>
        </w:rPr>
        <w:footnoteReference w:id="16"/>
      </w:r>
      <w:r>
        <w:rPr>
          <w:szCs w:val="24"/>
        </w:rPr>
        <w:t xml:space="preserve">  In the past several years, the United States Telecom Association (USTelecom) filed a petition requesting that the Bureau issue a further extension of the deadline and permit price cap ILECs to file the short form TRP </w:t>
      </w:r>
      <w:r w:rsidR="00A23CFF">
        <w:rPr>
          <w:szCs w:val="24"/>
        </w:rPr>
        <w:t>in mid-May,</w:t>
      </w:r>
      <w:r>
        <w:rPr>
          <w:szCs w:val="24"/>
        </w:rPr>
        <w:t xml:space="preserve"> to allow for additional time to </w:t>
      </w:r>
      <w:r w:rsidR="00E84A76">
        <w:rPr>
          <w:szCs w:val="24"/>
        </w:rPr>
        <w:t>prepare</w:t>
      </w:r>
      <w:r>
        <w:rPr>
          <w:szCs w:val="24"/>
        </w:rPr>
        <w:t xml:space="preserve"> the exogenous cost data.</w:t>
      </w:r>
      <w:r>
        <w:rPr>
          <w:rStyle w:val="FootnoteReference"/>
          <w:szCs w:val="24"/>
        </w:rPr>
        <w:footnoteReference w:id="17"/>
      </w:r>
      <w:r>
        <w:rPr>
          <w:szCs w:val="24"/>
        </w:rPr>
        <w:t xml:space="preserve">  The Bureau granted the petition in past years, and waived Section 61.49(k) of the rules.</w:t>
      </w:r>
      <w:r>
        <w:rPr>
          <w:rStyle w:val="FootnoteReference"/>
          <w:szCs w:val="24"/>
        </w:rPr>
        <w:footnoteReference w:id="18"/>
      </w:r>
      <w:r>
        <w:rPr>
          <w:szCs w:val="24"/>
        </w:rPr>
        <w:t xml:space="preserve">  </w:t>
      </w:r>
    </w:p>
    <w:p w:rsidR="0082680E" w:rsidRPr="00E3797B" w:rsidRDefault="0082680E" w:rsidP="007F664B">
      <w:pPr>
        <w:pStyle w:val="ParaNum"/>
        <w:widowControl/>
        <w:tabs>
          <w:tab w:val="clear" w:pos="1080"/>
          <w:tab w:val="num" w:pos="360"/>
        </w:tabs>
        <w:jc w:val="left"/>
        <w:rPr>
          <w:szCs w:val="24"/>
        </w:rPr>
      </w:pPr>
      <w:r>
        <w:t xml:space="preserve">On </w:t>
      </w:r>
      <w:r w:rsidR="00F56CF3">
        <w:t>January 30, 2014</w:t>
      </w:r>
      <w:r w:rsidRPr="0038331E">
        <w:rPr>
          <w:b/>
        </w:rPr>
        <w:t xml:space="preserve">, </w:t>
      </w:r>
      <w:r w:rsidRPr="00883EC6">
        <w:t>USTelecom filed a request for a similar extension for 201</w:t>
      </w:r>
      <w:r w:rsidR="001E1063">
        <w:t>4</w:t>
      </w:r>
      <w:r w:rsidRPr="0038331E">
        <w:rPr>
          <w:b/>
        </w:rPr>
        <w:t xml:space="preserve">, </w:t>
      </w:r>
      <w:r w:rsidRPr="00883EC6">
        <w:t xml:space="preserve">arguing they need additional time to </w:t>
      </w:r>
      <w:r>
        <w:t>prepare their exogenous cost data</w:t>
      </w:r>
      <w:r w:rsidR="00F56CF3">
        <w:t>, and requesting the deadline for the short form TRP be moved to May 19, 2014</w:t>
      </w:r>
      <w:r>
        <w:t>.</w:t>
      </w:r>
      <w:r w:rsidRPr="00883EC6">
        <w:rPr>
          <w:rStyle w:val="FootnoteReference"/>
          <w:szCs w:val="22"/>
        </w:rPr>
        <w:footnoteReference w:id="19"/>
      </w:r>
      <w:r w:rsidRPr="00883EC6">
        <w:rPr>
          <w:szCs w:val="24"/>
        </w:rPr>
        <w:t xml:space="preserve"> </w:t>
      </w:r>
      <w:r>
        <w:t xml:space="preserve"> In </w:t>
      </w:r>
      <w:r w:rsidR="000B789F">
        <w:t xml:space="preserve">addition, as it has for the last several years, </w:t>
      </w:r>
      <w:r>
        <w:t xml:space="preserve">USTelecom seeks a waiver of the requirement that all price cap local exchange carriers submit their PCI-1, and IND-1 forms as part of the </w:t>
      </w:r>
      <w:r w:rsidR="00A23CFF">
        <w:t>s</w:t>
      </w:r>
      <w:r>
        <w:t xml:space="preserve">hort </w:t>
      </w:r>
      <w:r w:rsidR="00A23CFF">
        <w:t>f</w:t>
      </w:r>
      <w:r>
        <w:t>orm TRP.</w:t>
      </w:r>
      <w:r>
        <w:rPr>
          <w:rStyle w:val="FootnoteReference"/>
        </w:rPr>
        <w:footnoteReference w:id="20"/>
      </w:r>
      <w:r>
        <w:rPr>
          <w:szCs w:val="24"/>
        </w:rPr>
        <w:t xml:space="preserve">  </w:t>
      </w:r>
      <w:r w:rsidR="00243513">
        <w:t xml:space="preserve">The USTelecom </w:t>
      </w:r>
      <w:r w:rsidR="00FC7E8B">
        <w:t>p</w:t>
      </w:r>
      <w:r w:rsidR="00243513">
        <w:t>etition clarifies that all price cap ILECs would continue to file the EXG-1</w:t>
      </w:r>
      <w:r w:rsidR="00243513">
        <w:rPr>
          <w:rStyle w:val="FootnoteReference"/>
        </w:rPr>
        <w:footnoteReference w:id="21"/>
      </w:r>
      <w:r w:rsidR="00243513">
        <w:t xml:space="preserve"> spreadsheet and their exogenous work papers as part of their short form TRPs.</w:t>
      </w:r>
      <w:r w:rsidR="00243513">
        <w:rPr>
          <w:rStyle w:val="FootnoteReference"/>
        </w:rPr>
        <w:footnoteReference w:id="22"/>
      </w:r>
      <w:r w:rsidR="00243513">
        <w:t xml:space="preserve">  </w:t>
      </w:r>
      <w:r>
        <w:rPr>
          <w:szCs w:val="24"/>
        </w:rPr>
        <w:t xml:space="preserve">By Public Notice issued February </w:t>
      </w:r>
      <w:r w:rsidR="00F56CF3">
        <w:rPr>
          <w:szCs w:val="24"/>
        </w:rPr>
        <w:t>4</w:t>
      </w:r>
      <w:r>
        <w:rPr>
          <w:szCs w:val="24"/>
        </w:rPr>
        <w:t>, 201</w:t>
      </w:r>
      <w:r w:rsidR="00F56CF3">
        <w:rPr>
          <w:szCs w:val="24"/>
        </w:rPr>
        <w:t>4</w:t>
      </w:r>
      <w:r>
        <w:rPr>
          <w:szCs w:val="24"/>
        </w:rPr>
        <w:t xml:space="preserve">, we sought comment on the USTelecom </w:t>
      </w:r>
      <w:r w:rsidR="00FC7E8B">
        <w:rPr>
          <w:szCs w:val="24"/>
        </w:rPr>
        <w:t>p</w:t>
      </w:r>
      <w:r>
        <w:rPr>
          <w:szCs w:val="24"/>
        </w:rPr>
        <w:t>etition.</w:t>
      </w:r>
      <w:r>
        <w:rPr>
          <w:rStyle w:val="FootnoteReference"/>
          <w:szCs w:val="24"/>
        </w:rPr>
        <w:footnoteReference w:id="23"/>
      </w:r>
      <w:r>
        <w:rPr>
          <w:szCs w:val="24"/>
        </w:rPr>
        <w:t xml:space="preserve">  No comments were filed.  </w:t>
      </w:r>
      <w:r w:rsidR="00F56CF3">
        <w:rPr>
          <w:szCs w:val="24"/>
        </w:rPr>
        <w:t>We note that when we first granted this waiver in 2010</w:t>
      </w:r>
      <w:r w:rsidR="001E1063">
        <w:rPr>
          <w:szCs w:val="24"/>
        </w:rPr>
        <w:t>,</w:t>
      </w:r>
      <w:r w:rsidR="00F56CF3">
        <w:rPr>
          <w:szCs w:val="24"/>
        </w:rPr>
        <w:t xml:space="preserve"> we denied USTelecom’s request for a </w:t>
      </w:r>
      <w:r w:rsidR="0001288C">
        <w:rPr>
          <w:szCs w:val="24"/>
        </w:rPr>
        <w:t>longer term</w:t>
      </w:r>
      <w:r w:rsidR="00F56CF3">
        <w:rPr>
          <w:szCs w:val="24"/>
        </w:rPr>
        <w:t xml:space="preserve"> waiver, concluding that the USTelecom petition failed to provide sufficient justification</w:t>
      </w:r>
      <w:r w:rsidR="0001288C">
        <w:rPr>
          <w:szCs w:val="24"/>
        </w:rPr>
        <w:t xml:space="preserve"> for such a waiver</w:t>
      </w:r>
      <w:r w:rsidR="00F56CF3">
        <w:rPr>
          <w:szCs w:val="24"/>
        </w:rPr>
        <w:t>.</w:t>
      </w:r>
      <w:r w:rsidR="008452C9">
        <w:rPr>
          <w:rStyle w:val="FootnoteReference"/>
          <w:szCs w:val="24"/>
        </w:rPr>
        <w:footnoteReference w:id="24"/>
      </w:r>
      <w:r w:rsidR="00F56CF3">
        <w:rPr>
          <w:szCs w:val="24"/>
        </w:rPr>
        <w:t xml:space="preserve">  Since we first granted the waiver, however, several intervening factors have occurred.  First, the Commission adopted </w:t>
      </w:r>
      <w:r w:rsidR="00AF14A7">
        <w:t xml:space="preserve">specific reforms for switched access services in </w:t>
      </w:r>
      <w:r w:rsidR="00F56CF3">
        <w:rPr>
          <w:szCs w:val="24"/>
        </w:rPr>
        <w:t xml:space="preserve">the </w:t>
      </w:r>
      <w:r w:rsidR="00A23CFF" w:rsidRPr="001E1063">
        <w:rPr>
          <w:i/>
          <w:szCs w:val="24"/>
        </w:rPr>
        <w:t>USF/ICC Transformation Order</w:t>
      </w:r>
      <w:r w:rsidR="00A23CFF">
        <w:rPr>
          <w:szCs w:val="24"/>
        </w:rPr>
        <w:t xml:space="preserve">, which </w:t>
      </w:r>
      <w:r w:rsidR="00AF14A7">
        <w:t xml:space="preserve">rendered the short form TRP no longer applicable to such services and </w:t>
      </w:r>
      <w:r w:rsidR="001E1063">
        <w:rPr>
          <w:szCs w:val="24"/>
        </w:rPr>
        <w:t>limited the applicability of the s</w:t>
      </w:r>
      <w:r w:rsidR="00A23CFF">
        <w:rPr>
          <w:szCs w:val="24"/>
        </w:rPr>
        <w:t>hort form TRP</w:t>
      </w:r>
      <w:r w:rsidR="009D700B">
        <w:rPr>
          <w:szCs w:val="24"/>
        </w:rPr>
        <w:t xml:space="preserve"> </w:t>
      </w:r>
      <w:r w:rsidR="000B789F">
        <w:rPr>
          <w:szCs w:val="24"/>
        </w:rPr>
        <w:t>to common line and special access services</w:t>
      </w:r>
      <w:r w:rsidR="001E1063">
        <w:rPr>
          <w:szCs w:val="24"/>
        </w:rPr>
        <w:t>.</w:t>
      </w:r>
      <w:r w:rsidR="007920CF">
        <w:rPr>
          <w:rStyle w:val="FootnoteReference"/>
          <w:szCs w:val="24"/>
        </w:rPr>
        <w:footnoteReference w:id="25"/>
      </w:r>
      <w:r w:rsidR="00A23CFF">
        <w:rPr>
          <w:szCs w:val="24"/>
        </w:rPr>
        <w:t xml:space="preserve">  Second, we </w:t>
      </w:r>
      <w:r w:rsidR="00AF14A7">
        <w:rPr>
          <w:szCs w:val="24"/>
        </w:rPr>
        <w:t xml:space="preserve">now </w:t>
      </w:r>
      <w:r w:rsidR="001E1063">
        <w:rPr>
          <w:szCs w:val="24"/>
        </w:rPr>
        <w:t>have</w:t>
      </w:r>
      <w:r w:rsidR="00A23CFF">
        <w:rPr>
          <w:szCs w:val="24"/>
        </w:rPr>
        <w:t xml:space="preserve"> four years </w:t>
      </w:r>
      <w:r w:rsidR="00AF14A7">
        <w:rPr>
          <w:szCs w:val="24"/>
        </w:rPr>
        <w:t xml:space="preserve">of history with </w:t>
      </w:r>
      <w:r w:rsidR="00A23CFF">
        <w:rPr>
          <w:szCs w:val="24"/>
        </w:rPr>
        <w:t>Commission staff and the public hav</w:t>
      </w:r>
      <w:r w:rsidR="00AF14A7">
        <w:rPr>
          <w:szCs w:val="24"/>
        </w:rPr>
        <w:t>ing</w:t>
      </w:r>
      <w:r w:rsidR="00A23CFF">
        <w:rPr>
          <w:szCs w:val="24"/>
        </w:rPr>
        <w:t xml:space="preserve"> received access to ILEC short form TRPs approximately 45 days prior to the </w:t>
      </w:r>
      <w:r w:rsidR="00D035D7">
        <w:rPr>
          <w:szCs w:val="24"/>
        </w:rPr>
        <w:t xml:space="preserve">effective date of the </w:t>
      </w:r>
      <w:r w:rsidR="00A23CFF">
        <w:rPr>
          <w:szCs w:val="24"/>
        </w:rPr>
        <w:t>annual access charge filing</w:t>
      </w:r>
      <w:r w:rsidR="005C631C">
        <w:rPr>
          <w:szCs w:val="24"/>
        </w:rPr>
        <w:t xml:space="preserve"> and </w:t>
      </w:r>
      <w:r w:rsidR="00FA1181">
        <w:rPr>
          <w:szCs w:val="24"/>
        </w:rPr>
        <w:t>with</w:t>
      </w:r>
      <w:r w:rsidR="00AF14A7">
        <w:rPr>
          <w:szCs w:val="24"/>
        </w:rPr>
        <w:t>out</w:t>
      </w:r>
      <w:r w:rsidR="005C631C">
        <w:rPr>
          <w:szCs w:val="24"/>
        </w:rPr>
        <w:t xml:space="preserve"> the benefit of carriers’</w:t>
      </w:r>
      <w:r w:rsidR="005C631C">
        <w:t xml:space="preserve"> PCI-1, and IND-1 forms</w:t>
      </w:r>
      <w:r w:rsidR="009D700B">
        <w:t xml:space="preserve">, </w:t>
      </w:r>
      <w:r w:rsidR="000B789F">
        <w:t>and there have been no concerns raised with this arrangement</w:t>
      </w:r>
      <w:r w:rsidR="00A23CFF">
        <w:rPr>
          <w:szCs w:val="24"/>
        </w:rPr>
        <w:t xml:space="preserve">.  </w:t>
      </w:r>
      <w:r w:rsidR="00AF14A7">
        <w:rPr>
          <w:szCs w:val="24"/>
        </w:rPr>
        <w:t>We find</w:t>
      </w:r>
      <w:r w:rsidR="00A23CFF">
        <w:rPr>
          <w:szCs w:val="24"/>
        </w:rPr>
        <w:t xml:space="preserve"> that time period </w:t>
      </w:r>
      <w:r w:rsidR="005C631C">
        <w:rPr>
          <w:szCs w:val="24"/>
        </w:rPr>
        <w:t xml:space="preserve">and the quality and quantity of the information filed </w:t>
      </w:r>
      <w:r w:rsidR="00A23CFF">
        <w:rPr>
          <w:szCs w:val="24"/>
        </w:rPr>
        <w:t>has been sufficient</w:t>
      </w:r>
      <w:r w:rsidR="005C631C">
        <w:rPr>
          <w:szCs w:val="24"/>
        </w:rPr>
        <w:t xml:space="preserve"> for Commission and public review</w:t>
      </w:r>
      <w:r w:rsidR="00AF14A7">
        <w:rPr>
          <w:szCs w:val="24"/>
        </w:rPr>
        <w:t xml:space="preserve">.  </w:t>
      </w:r>
      <w:r w:rsidR="00FA1181">
        <w:rPr>
          <w:szCs w:val="24"/>
        </w:rPr>
        <w:t>The fact</w:t>
      </w:r>
      <w:r w:rsidR="00A23CFF">
        <w:rPr>
          <w:szCs w:val="24"/>
        </w:rPr>
        <w:t xml:space="preserve"> that no comments have been received</w:t>
      </w:r>
      <w:r w:rsidR="001E1063">
        <w:rPr>
          <w:szCs w:val="24"/>
        </w:rPr>
        <w:t xml:space="preserve"> </w:t>
      </w:r>
      <w:r w:rsidR="00FA1181">
        <w:rPr>
          <w:szCs w:val="24"/>
        </w:rPr>
        <w:t xml:space="preserve">either this year or </w:t>
      </w:r>
      <w:r w:rsidR="001E1063">
        <w:rPr>
          <w:szCs w:val="24"/>
        </w:rPr>
        <w:t>in the past several years opposing</w:t>
      </w:r>
      <w:r w:rsidR="00A23CFF">
        <w:rPr>
          <w:szCs w:val="24"/>
        </w:rPr>
        <w:t xml:space="preserve"> this waiver request</w:t>
      </w:r>
      <w:r w:rsidR="00AF14A7">
        <w:rPr>
          <w:szCs w:val="24"/>
        </w:rPr>
        <w:t xml:space="preserve"> supports our </w:t>
      </w:r>
      <w:r w:rsidR="00FA1181">
        <w:rPr>
          <w:szCs w:val="24"/>
        </w:rPr>
        <w:t>conclusion regarding the adequacy of this supporting information</w:t>
      </w:r>
      <w:r w:rsidR="00A23CFF">
        <w:rPr>
          <w:szCs w:val="24"/>
        </w:rPr>
        <w:t xml:space="preserve">.  </w:t>
      </w:r>
      <w:r w:rsidR="008217DF">
        <w:rPr>
          <w:szCs w:val="24"/>
        </w:rPr>
        <w:t xml:space="preserve">Based on these preceding factors we conclude there are sufficient grounds to grant a </w:t>
      </w:r>
      <w:r w:rsidR="008217DF" w:rsidRPr="008217DF">
        <w:rPr>
          <w:i/>
          <w:szCs w:val="24"/>
        </w:rPr>
        <w:t>sua sponte</w:t>
      </w:r>
      <w:r w:rsidR="008217DF">
        <w:rPr>
          <w:szCs w:val="24"/>
        </w:rPr>
        <w:t xml:space="preserve"> waiver </w:t>
      </w:r>
      <w:r w:rsidR="00FA1181">
        <w:rPr>
          <w:szCs w:val="24"/>
        </w:rPr>
        <w:t>of</w:t>
      </w:r>
      <w:r w:rsidR="00D035D7">
        <w:rPr>
          <w:szCs w:val="24"/>
        </w:rPr>
        <w:t xml:space="preserve"> section 61.49(k) of the Commission’s rules</w:t>
      </w:r>
      <w:r w:rsidR="00635D2A">
        <w:rPr>
          <w:szCs w:val="24"/>
        </w:rPr>
        <w:t xml:space="preserve"> </w:t>
      </w:r>
      <w:r w:rsidR="00FA1181">
        <w:rPr>
          <w:szCs w:val="24"/>
        </w:rPr>
        <w:t xml:space="preserve">beyond the </w:t>
      </w:r>
      <w:r w:rsidR="008217DF">
        <w:rPr>
          <w:szCs w:val="24"/>
        </w:rPr>
        <w:t>timeframe US</w:t>
      </w:r>
      <w:r w:rsidR="00E84A76">
        <w:rPr>
          <w:szCs w:val="24"/>
        </w:rPr>
        <w:t>T</w:t>
      </w:r>
      <w:r w:rsidR="008217DF">
        <w:rPr>
          <w:szCs w:val="24"/>
        </w:rPr>
        <w:t xml:space="preserve">elecom requested.  </w:t>
      </w:r>
      <w:r>
        <w:rPr>
          <w:szCs w:val="24"/>
        </w:rPr>
        <w:t xml:space="preserve">Accordingly, </w:t>
      </w:r>
      <w:r w:rsidR="00A23CFF">
        <w:rPr>
          <w:szCs w:val="24"/>
        </w:rPr>
        <w:t>until the Commission determines otherwise</w:t>
      </w:r>
      <w:r>
        <w:rPr>
          <w:szCs w:val="24"/>
        </w:rPr>
        <w:t xml:space="preserve">, we waive the 90-day requirement and permit the short form TRP to be filed </w:t>
      </w:r>
      <w:r w:rsidR="00A23CFF">
        <w:rPr>
          <w:szCs w:val="24"/>
        </w:rPr>
        <w:t>approximately 45 days prior to the annual access charge tariff effective date, which this year is May 19, 2014.</w:t>
      </w:r>
      <w:r w:rsidR="001C2635">
        <w:rPr>
          <w:rStyle w:val="FootnoteReference"/>
          <w:szCs w:val="24"/>
        </w:rPr>
        <w:footnoteReference w:id="26"/>
      </w:r>
      <w:r w:rsidR="00A23CFF">
        <w:rPr>
          <w:szCs w:val="24"/>
        </w:rPr>
        <w:t xml:space="preserve">  We will specify the exact </w:t>
      </w:r>
      <w:r w:rsidR="001E1063">
        <w:rPr>
          <w:szCs w:val="24"/>
        </w:rPr>
        <w:t xml:space="preserve">due </w:t>
      </w:r>
      <w:r w:rsidR="00A23CFF">
        <w:rPr>
          <w:szCs w:val="24"/>
        </w:rPr>
        <w:t xml:space="preserve">date </w:t>
      </w:r>
      <w:r w:rsidR="001E1063">
        <w:rPr>
          <w:szCs w:val="24"/>
        </w:rPr>
        <w:t xml:space="preserve">of </w:t>
      </w:r>
      <w:r w:rsidR="00A23CFF">
        <w:rPr>
          <w:szCs w:val="24"/>
        </w:rPr>
        <w:t>the short form TRP in our order each year that establishes the dates for the annual access charge tariff filing.</w:t>
      </w:r>
      <w:r>
        <w:rPr>
          <w:rStyle w:val="FootnoteReference"/>
          <w:szCs w:val="24"/>
        </w:rPr>
        <w:footnoteReference w:id="27"/>
      </w:r>
      <w:r>
        <w:rPr>
          <w:szCs w:val="24"/>
        </w:rPr>
        <w:t xml:space="preserve">  </w:t>
      </w:r>
      <w:r w:rsidR="005C631C">
        <w:rPr>
          <w:szCs w:val="24"/>
        </w:rPr>
        <w:t xml:space="preserve">In addition, until the Commission determines otherwise, </w:t>
      </w:r>
      <w:r w:rsidR="00575E3F">
        <w:rPr>
          <w:szCs w:val="24"/>
        </w:rPr>
        <w:t xml:space="preserve">we waive the requirement in section 61.49(k) of the Commission’s rules for </w:t>
      </w:r>
      <w:r w:rsidR="005C631C">
        <w:rPr>
          <w:szCs w:val="24"/>
        </w:rPr>
        <w:t>price cap ILECs to file the PCI-1 and IND-1 spreadsheets as part of the short form TRP</w:t>
      </w:r>
      <w:r w:rsidR="00FA1181">
        <w:rPr>
          <w:szCs w:val="24"/>
        </w:rPr>
        <w:t>.</w:t>
      </w:r>
      <w:r w:rsidR="005C631C">
        <w:rPr>
          <w:szCs w:val="24"/>
        </w:rPr>
        <w:t xml:space="preserve">  </w:t>
      </w:r>
      <w:r w:rsidR="00575E3F">
        <w:rPr>
          <w:szCs w:val="24"/>
        </w:rPr>
        <w:t>We continue to require a</w:t>
      </w:r>
      <w:r w:rsidR="005C631C">
        <w:rPr>
          <w:szCs w:val="24"/>
        </w:rPr>
        <w:t>ll price cap ILECs</w:t>
      </w:r>
      <w:r w:rsidR="00FA1181">
        <w:rPr>
          <w:szCs w:val="24"/>
        </w:rPr>
        <w:t xml:space="preserve">, </w:t>
      </w:r>
      <w:r w:rsidR="00575E3F">
        <w:rPr>
          <w:szCs w:val="24"/>
        </w:rPr>
        <w:t xml:space="preserve">this year and in the future </w:t>
      </w:r>
      <w:r w:rsidR="005C631C">
        <w:rPr>
          <w:szCs w:val="24"/>
        </w:rPr>
        <w:t xml:space="preserve">to file the EXG-1 spreadsheet and their exogenous work papers </w:t>
      </w:r>
      <w:r w:rsidR="00575E3F">
        <w:rPr>
          <w:szCs w:val="24"/>
        </w:rPr>
        <w:t>as part of their short form TRP.</w:t>
      </w:r>
      <w:r w:rsidR="00400305">
        <w:rPr>
          <w:szCs w:val="24"/>
        </w:rPr>
        <w:t xml:space="preserve"> </w:t>
      </w:r>
      <w:r>
        <w:rPr>
          <w:szCs w:val="24"/>
        </w:rPr>
        <w:t xml:space="preserve"> Comments on the short form TRP </w:t>
      </w:r>
      <w:r w:rsidR="0001288C">
        <w:rPr>
          <w:szCs w:val="24"/>
        </w:rPr>
        <w:t xml:space="preserve">this year </w:t>
      </w:r>
      <w:r>
        <w:rPr>
          <w:szCs w:val="24"/>
        </w:rPr>
        <w:t>will be due on May 2</w:t>
      </w:r>
      <w:r w:rsidR="00A23CFF">
        <w:rPr>
          <w:szCs w:val="24"/>
        </w:rPr>
        <w:t>9</w:t>
      </w:r>
      <w:r>
        <w:rPr>
          <w:szCs w:val="24"/>
        </w:rPr>
        <w:t>, 201</w:t>
      </w:r>
      <w:r w:rsidR="00A23CFF">
        <w:rPr>
          <w:szCs w:val="24"/>
        </w:rPr>
        <w:t>4</w:t>
      </w:r>
      <w:r>
        <w:rPr>
          <w:szCs w:val="24"/>
        </w:rPr>
        <w:t xml:space="preserve">.  Reply comments will be due June </w:t>
      </w:r>
      <w:r w:rsidR="00A23CFF">
        <w:rPr>
          <w:szCs w:val="24"/>
        </w:rPr>
        <w:t>5</w:t>
      </w:r>
      <w:r>
        <w:rPr>
          <w:szCs w:val="24"/>
        </w:rPr>
        <w:t>, 201</w:t>
      </w:r>
      <w:r w:rsidR="00A23CFF">
        <w:rPr>
          <w:szCs w:val="24"/>
        </w:rPr>
        <w:t>4</w:t>
      </w:r>
      <w:r>
        <w:rPr>
          <w:szCs w:val="24"/>
        </w:rPr>
        <w:t>.</w:t>
      </w:r>
    </w:p>
    <w:p w:rsidR="0082680E" w:rsidRPr="00E3797B" w:rsidRDefault="0082680E" w:rsidP="007F664B">
      <w:pPr>
        <w:pStyle w:val="Heading2"/>
        <w:widowControl/>
      </w:pPr>
      <w:r>
        <w:t>Tariff and Tariff Review Plan Filing Instructions</w:t>
      </w:r>
    </w:p>
    <w:p w:rsidR="0082680E" w:rsidRDefault="00782DA6" w:rsidP="007F664B">
      <w:pPr>
        <w:pStyle w:val="ParaNum"/>
        <w:widowControl/>
        <w:tabs>
          <w:tab w:val="clear" w:pos="1080"/>
          <w:tab w:val="num" w:pos="360"/>
        </w:tabs>
        <w:jc w:val="left"/>
        <w:rPr>
          <w:b/>
          <w:bCs/>
          <w:caps/>
          <w:szCs w:val="24"/>
        </w:rPr>
      </w:pPr>
      <w:r>
        <w:rPr>
          <w:szCs w:val="24"/>
        </w:rPr>
        <w:t>ILEC</w:t>
      </w:r>
      <w:r w:rsidR="0082680E">
        <w:rPr>
          <w:bCs/>
          <w:szCs w:val="24"/>
        </w:rPr>
        <w:t>s</w:t>
      </w:r>
      <w:r w:rsidR="0082680E">
        <w:rPr>
          <w:szCs w:val="24"/>
        </w:rPr>
        <w:t xml:space="preserve"> </w:t>
      </w:r>
      <w:r w:rsidR="0082680E">
        <w:rPr>
          <w:bCs/>
          <w:szCs w:val="24"/>
        </w:rPr>
        <w:t xml:space="preserve">must use the Commission’s </w:t>
      </w:r>
      <w:r w:rsidR="0082680E" w:rsidRPr="00782DA6">
        <w:rPr>
          <w:szCs w:val="24"/>
        </w:rPr>
        <w:t>Electronic</w:t>
      </w:r>
      <w:r w:rsidR="0082680E">
        <w:rPr>
          <w:bCs/>
          <w:szCs w:val="24"/>
        </w:rPr>
        <w:t xml:space="preserve"> Tariff Filing System (ETFS) to file all of their tariff material.</w:t>
      </w:r>
      <w:r w:rsidR="0082680E">
        <w:rPr>
          <w:rStyle w:val="FootnoteReference"/>
          <w:bCs/>
          <w:szCs w:val="24"/>
        </w:rPr>
        <w:footnoteReference w:id="28"/>
      </w:r>
      <w:r w:rsidR="0082680E">
        <w:rPr>
          <w:bCs/>
          <w:szCs w:val="24"/>
        </w:rPr>
        <w:t xml:space="preserve">  ILECs should make every effort to file as early in the day as possible to avoid any complications in meeting the May 1</w:t>
      </w:r>
      <w:r w:rsidR="00B21B49">
        <w:rPr>
          <w:bCs/>
          <w:szCs w:val="24"/>
        </w:rPr>
        <w:t>9</w:t>
      </w:r>
      <w:r w:rsidR="0082680E">
        <w:rPr>
          <w:bCs/>
          <w:szCs w:val="24"/>
        </w:rPr>
        <w:t>, 201</w:t>
      </w:r>
      <w:r w:rsidR="00B21B49">
        <w:rPr>
          <w:bCs/>
          <w:szCs w:val="24"/>
        </w:rPr>
        <w:t>4</w:t>
      </w:r>
      <w:r w:rsidR="0082680E">
        <w:rPr>
          <w:bCs/>
          <w:szCs w:val="24"/>
        </w:rPr>
        <w:t>, June 1</w:t>
      </w:r>
      <w:r w:rsidR="00B21B49">
        <w:rPr>
          <w:bCs/>
          <w:szCs w:val="24"/>
        </w:rPr>
        <w:t>6</w:t>
      </w:r>
      <w:r w:rsidR="0082680E">
        <w:rPr>
          <w:bCs/>
          <w:szCs w:val="24"/>
        </w:rPr>
        <w:t>, 201</w:t>
      </w:r>
      <w:r w:rsidR="00B21B49">
        <w:rPr>
          <w:bCs/>
          <w:szCs w:val="24"/>
        </w:rPr>
        <w:t>4</w:t>
      </w:r>
      <w:r w:rsidR="0082680E">
        <w:rPr>
          <w:bCs/>
          <w:szCs w:val="24"/>
        </w:rPr>
        <w:t xml:space="preserve"> and June 2</w:t>
      </w:r>
      <w:r w:rsidR="00B21B49">
        <w:rPr>
          <w:bCs/>
          <w:szCs w:val="24"/>
        </w:rPr>
        <w:t>4</w:t>
      </w:r>
      <w:r w:rsidR="0082680E">
        <w:rPr>
          <w:bCs/>
          <w:szCs w:val="24"/>
        </w:rPr>
        <w:t>, 201</w:t>
      </w:r>
      <w:r w:rsidR="00B21B49">
        <w:rPr>
          <w:bCs/>
          <w:szCs w:val="24"/>
        </w:rPr>
        <w:t>4</w:t>
      </w:r>
      <w:r w:rsidR="0082680E">
        <w:rPr>
          <w:bCs/>
          <w:szCs w:val="24"/>
        </w:rPr>
        <w:t>, pre-7:00 p.m. Eastern Time deadlines for filing in the ETFS.  Price cap ILEC short form TRP filings must be received by ETFS after 7:00 p.m. Eastern Time on May 16, 201</w:t>
      </w:r>
      <w:r w:rsidR="00B21B49">
        <w:rPr>
          <w:bCs/>
          <w:szCs w:val="24"/>
        </w:rPr>
        <w:t>4</w:t>
      </w:r>
      <w:r w:rsidR="0082680E">
        <w:rPr>
          <w:bCs/>
          <w:szCs w:val="24"/>
        </w:rPr>
        <w:t xml:space="preserve"> and before 7:00 p.m. Eastern Time on May 1</w:t>
      </w:r>
      <w:r w:rsidR="00B21B49">
        <w:rPr>
          <w:bCs/>
          <w:szCs w:val="24"/>
        </w:rPr>
        <w:t>9</w:t>
      </w:r>
      <w:r w:rsidR="0082680E">
        <w:rPr>
          <w:bCs/>
          <w:szCs w:val="24"/>
        </w:rPr>
        <w:t>, 201</w:t>
      </w:r>
      <w:r w:rsidR="00B21B49">
        <w:rPr>
          <w:bCs/>
          <w:szCs w:val="24"/>
        </w:rPr>
        <w:t>4</w:t>
      </w:r>
      <w:r w:rsidR="0082680E">
        <w:rPr>
          <w:bCs/>
          <w:szCs w:val="24"/>
        </w:rPr>
        <w:t xml:space="preserve"> for the filing to be considered officially received on May 1</w:t>
      </w:r>
      <w:r w:rsidR="00B21B49">
        <w:rPr>
          <w:bCs/>
          <w:szCs w:val="24"/>
        </w:rPr>
        <w:t>9</w:t>
      </w:r>
      <w:r w:rsidR="0082680E">
        <w:rPr>
          <w:bCs/>
          <w:szCs w:val="24"/>
        </w:rPr>
        <w:t>, 201</w:t>
      </w:r>
      <w:r w:rsidR="00B21B49">
        <w:rPr>
          <w:bCs/>
          <w:szCs w:val="24"/>
        </w:rPr>
        <w:t>4</w:t>
      </w:r>
      <w:r w:rsidR="0082680E">
        <w:rPr>
          <w:bCs/>
          <w:szCs w:val="24"/>
        </w:rPr>
        <w:t>.  ILEC tariff filings must be received by ETFS after 7:00 p.m. Eastern Time on June 1</w:t>
      </w:r>
      <w:r w:rsidR="00B21B49">
        <w:rPr>
          <w:bCs/>
          <w:szCs w:val="24"/>
        </w:rPr>
        <w:t>3</w:t>
      </w:r>
      <w:r w:rsidR="0082680E">
        <w:rPr>
          <w:bCs/>
          <w:szCs w:val="24"/>
        </w:rPr>
        <w:t>, 201</w:t>
      </w:r>
      <w:r w:rsidR="00B21B49">
        <w:rPr>
          <w:bCs/>
          <w:szCs w:val="24"/>
        </w:rPr>
        <w:t>4</w:t>
      </w:r>
      <w:r w:rsidR="0082680E">
        <w:rPr>
          <w:bCs/>
          <w:szCs w:val="24"/>
        </w:rPr>
        <w:t xml:space="preserve"> and before 7:00 p.m. Eastern Time on June 1</w:t>
      </w:r>
      <w:r w:rsidR="00B21B49">
        <w:rPr>
          <w:bCs/>
          <w:szCs w:val="24"/>
        </w:rPr>
        <w:t>6</w:t>
      </w:r>
      <w:r w:rsidR="0082680E">
        <w:rPr>
          <w:bCs/>
          <w:szCs w:val="24"/>
        </w:rPr>
        <w:t>, 201</w:t>
      </w:r>
      <w:r w:rsidR="00B21B49">
        <w:rPr>
          <w:bCs/>
          <w:szCs w:val="24"/>
        </w:rPr>
        <w:t>4</w:t>
      </w:r>
      <w:r w:rsidR="0082680E">
        <w:rPr>
          <w:bCs/>
          <w:szCs w:val="24"/>
        </w:rPr>
        <w:t xml:space="preserve"> for the filing to be considered officially received on June 1</w:t>
      </w:r>
      <w:r w:rsidR="00B21B49">
        <w:rPr>
          <w:bCs/>
          <w:szCs w:val="24"/>
        </w:rPr>
        <w:t>6</w:t>
      </w:r>
      <w:r w:rsidR="0082680E">
        <w:rPr>
          <w:bCs/>
          <w:szCs w:val="24"/>
        </w:rPr>
        <w:t>, 201</w:t>
      </w:r>
      <w:r w:rsidR="00B21B49">
        <w:rPr>
          <w:bCs/>
          <w:szCs w:val="24"/>
        </w:rPr>
        <w:t>4</w:t>
      </w:r>
      <w:r w:rsidR="0082680E">
        <w:rPr>
          <w:bCs/>
          <w:szCs w:val="24"/>
        </w:rPr>
        <w:t>.  ILEC tariff filings must be received after 7:00 p.m. Eastern Time on June 2</w:t>
      </w:r>
      <w:r w:rsidR="00B21B49">
        <w:rPr>
          <w:bCs/>
          <w:szCs w:val="24"/>
        </w:rPr>
        <w:t>3</w:t>
      </w:r>
      <w:r w:rsidR="0082680E">
        <w:rPr>
          <w:bCs/>
          <w:szCs w:val="24"/>
        </w:rPr>
        <w:t>, 201</w:t>
      </w:r>
      <w:r w:rsidR="00B21B49">
        <w:rPr>
          <w:bCs/>
          <w:szCs w:val="24"/>
        </w:rPr>
        <w:t>4</w:t>
      </w:r>
      <w:r w:rsidR="0082680E">
        <w:rPr>
          <w:bCs/>
          <w:szCs w:val="24"/>
        </w:rPr>
        <w:t xml:space="preserve"> and before 7:00 p.m. Eastern Time on June 2</w:t>
      </w:r>
      <w:r w:rsidR="00B21B49">
        <w:rPr>
          <w:bCs/>
          <w:szCs w:val="24"/>
        </w:rPr>
        <w:t>4</w:t>
      </w:r>
      <w:r w:rsidR="0082680E">
        <w:rPr>
          <w:bCs/>
          <w:szCs w:val="24"/>
        </w:rPr>
        <w:t>, 201</w:t>
      </w:r>
      <w:r w:rsidR="00B21B49">
        <w:rPr>
          <w:bCs/>
          <w:szCs w:val="24"/>
        </w:rPr>
        <w:t>4</w:t>
      </w:r>
      <w:r w:rsidR="0082680E">
        <w:rPr>
          <w:bCs/>
          <w:szCs w:val="24"/>
        </w:rPr>
        <w:t xml:space="preserve"> for the filing to be considered officially received on June 2</w:t>
      </w:r>
      <w:r w:rsidR="00B21B49">
        <w:rPr>
          <w:bCs/>
          <w:szCs w:val="24"/>
        </w:rPr>
        <w:t>4</w:t>
      </w:r>
      <w:r w:rsidR="0082680E">
        <w:rPr>
          <w:bCs/>
          <w:szCs w:val="24"/>
        </w:rPr>
        <w:t>, 201</w:t>
      </w:r>
      <w:r w:rsidR="00B21B49">
        <w:rPr>
          <w:bCs/>
          <w:szCs w:val="24"/>
        </w:rPr>
        <w:t>4</w:t>
      </w:r>
      <w:r w:rsidR="0082680E">
        <w:rPr>
          <w:bCs/>
          <w:szCs w:val="24"/>
        </w:rPr>
        <w:t>.</w:t>
      </w:r>
    </w:p>
    <w:p w:rsidR="0082680E" w:rsidRDefault="0082680E" w:rsidP="00241F38">
      <w:pPr>
        <w:pStyle w:val="ParaNum"/>
        <w:widowControl/>
        <w:tabs>
          <w:tab w:val="clear" w:pos="1080"/>
          <w:tab w:val="num" w:pos="360"/>
        </w:tabs>
        <w:jc w:val="left"/>
        <w:rPr>
          <w:szCs w:val="24"/>
        </w:rPr>
      </w:pPr>
      <w:r>
        <w:rPr>
          <w:szCs w:val="24"/>
        </w:rPr>
        <w:t xml:space="preserve">Copies of the information filed </w:t>
      </w:r>
      <w:r w:rsidRPr="00E3797B">
        <w:rPr>
          <w:bCs/>
          <w:szCs w:val="24"/>
        </w:rPr>
        <w:t>electronically</w:t>
      </w:r>
      <w:r>
        <w:rPr>
          <w:szCs w:val="24"/>
        </w:rPr>
        <w:t xml:space="preserve"> may be obtained via the Internet using the ETFS at </w:t>
      </w:r>
      <w:hyperlink r:id="rId8" w:history="1">
        <w:r>
          <w:rPr>
            <w:rStyle w:val="Hyperlink"/>
            <w:szCs w:val="24"/>
          </w:rPr>
          <w:t>http://svartifoss2.fcc.gov/prod/ccb/etfs</w:t>
        </w:r>
      </w:hyperlink>
      <w:r>
        <w:rPr>
          <w:szCs w:val="24"/>
          <w:u w:val="single"/>
        </w:rPr>
        <w:t>,</w:t>
      </w:r>
      <w:r>
        <w:rPr>
          <w:szCs w:val="24"/>
        </w:rPr>
        <w:t xml:space="preserve"> or from Best Copy and Printing, Inc., (202) 488-5300, Portals II, at 445 12</w:t>
      </w:r>
      <w:r>
        <w:rPr>
          <w:szCs w:val="24"/>
          <w:vertAlign w:val="superscript"/>
        </w:rPr>
        <w:t>th</w:t>
      </w:r>
      <w:r>
        <w:rPr>
          <w:szCs w:val="24"/>
        </w:rPr>
        <w:t xml:space="preserve"> Street, SW, Room CY-B402, Washington, DC 20554.  For more information contact either Pamela Arluk or Richard Kwiatkowski at (202) 418-1520, Pricing Policy Division, Wireline Competition Bureau.</w:t>
      </w:r>
    </w:p>
    <w:p w:rsidR="0082680E" w:rsidRDefault="0082680E" w:rsidP="007F664B">
      <w:pPr>
        <w:pStyle w:val="Heading2"/>
        <w:widowControl/>
      </w:pPr>
      <w:r>
        <w:t>Pleading Filing Dates and Procedures</w:t>
      </w:r>
    </w:p>
    <w:p w:rsidR="0082680E" w:rsidRPr="00235265" w:rsidRDefault="0082680E" w:rsidP="00241F38">
      <w:pPr>
        <w:pStyle w:val="ParaNum"/>
        <w:widowControl/>
        <w:tabs>
          <w:tab w:val="clear" w:pos="1080"/>
          <w:tab w:val="num" w:pos="360"/>
        </w:tabs>
        <w:jc w:val="left"/>
        <w:rPr>
          <w:rStyle w:val="FootnoteReference"/>
          <w:szCs w:val="24"/>
          <w:vertAlign w:val="baseline"/>
        </w:rPr>
      </w:pPr>
      <w:r>
        <w:rPr>
          <w:szCs w:val="24"/>
        </w:rPr>
        <w:t>In accordance with the tariff filing schedule, petitions to suspend or reject tariff filings made on 15 days’ notice will be due June 2</w:t>
      </w:r>
      <w:r w:rsidR="00B21B49">
        <w:rPr>
          <w:szCs w:val="24"/>
        </w:rPr>
        <w:t>3</w:t>
      </w:r>
      <w:r>
        <w:rPr>
          <w:szCs w:val="24"/>
        </w:rPr>
        <w:t>, 201</w:t>
      </w:r>
      <w:r w:rsidR="00B21B49">
        <w:rPr>
          <w:szCs w:val="24"/>
        </w:rPr>
        <w:t>4</w:t>
      </w:r>
      <w:r>
        <w:rPr>
          <w:szCs w:val="24"/>
        </w:rPr>
        <w:t xml:space="preserve"> and replies will be due no later than 12:00 p.m. (noon) Eastern Time June 2</w:t>
      </w:r>
      <w:r w:rsidR="00B21B49">
        <w:rPr>
          <w:szCs w:val="24"/>
        </w:rPr>
        <w:t>6</w:t>
      </w:r>
      <w:r>
        <w:rPr>
          <w:szCs w:val="24"/>
        </w:rPr>
        <w:t>, 201</w:t>
      </w:r>
      <w:r w:rsidR="00B21B49">
        <w:rPr>
          <w:szCs w:val="24"/>
        </w:rPr>
        <w:t>4</w:t>
      </w:r>
      <w:r>
        <w:rPr>
          <w:szCs w:val="24"/>
        </w:rPr>
        <w:t>.  Petitions to suspend or reject tariff filings made on seven days’ notice will be due no later than 12:00 p.m. (noon) Eastern Time on June 2</w:t>
      </w:r>
      <w:r w:rsidR="00B21B49">
        <w:rPr>
          <w:szCs w:val="24"/>
        </w:rPr>
        <w:t>6</w:t>
      </w:r>
      <w:r>
        <w:rPr>
          <w:szCs w:val="24"/>
        </w:rPr>
        <w:t>, 201</w:t>
      </w:r>
      <w:r w:rsidR="00B21B49">
        <w:rPr>
          <w:szCs w:val="24"/>
        </w:rPr>
        <w:t>4</w:t>
      </w:r>
      <w:r>
        <w:rPr>
          <w:szCs w:val="24"/>
        </w:rPr>
        <w:t xml:space="preserve"> and reply comments will be due no later than 12 p.m. (noon) Eastern Time on June 2</w:t>
      </w:r>
      <w:r w:rsidR="00B21B49">
        <w:rPr>
          <w:szCs w:val="24"/>
        </w:rPr>
        <w:t>7</w:t>
      </w:r>
      <w:r>
        <w:rPr>
          <w:szCs w:val="24"/>
        </w:rPr>
        <w:t>, 201</w:t>
      </w:r>
      <w:r w:rsidR="00B21B49">
        <w:rPr>
          <w:szCs w:val="24"/>
        </w:rPr>
        <w:t>4</w:t>
      </w:r>
      <w:r>
        <w:rPr>
          <w:szCs w:val="24"/>
        </w:rPr>
        <w:t>.</w:t>
      </w:r>
      <w:r w:rsidRPr="0056523E">
        <w:rPr>
          <w:rStyle w:val="FootnoteReference"/>
        </w:rPr>
        <w:t xml:space="preserve"> </w:t>
      </w:r>
      <w:r>
        <w:rPr>
          <w:rStyle w:val="FootnoteReference"/>
        </w:rPr>
        <w:footnoteReference w:id="29"/>
      </w:r>
    </w:p>
    <w:p w:rsidR="0082680E" w:rsidRPr="0001288C" w:rsidRDefault="0082680E" w:rsidP="00241F38">
      <w:pPr>
        <w:pStyle w:val="ParaNum"/>
        <w:widowControl/>
        <w:tabs>
          <w:tab w:val="clear" w:pos="1080"/>
          <w:tab w:val="num" w:pos="360"/>
        </w:tabs>
        <w:jc w:val="left"/>
        <w:rPr>
          <w:b/>
          <w:szCs w:val="24"/>
        </w:rPr>
      </w:pPr>
      <w:r>
        <w:rPr>
          <w:szCs w:val="24"/>
        </w:rPr>
        <w:t xml:space="preserve">Parties filing pleadings are encouraged to use the </w:t>
      </w:r>
      <w:r>
        <w:rPr>
          <w:szCs w:val="22"/>
        </w:rPr>
        <w:t xml:space="preserve">Electronic Comment Filing System (ECFS) </w:t>
      </w:r>
      <w:r>
        <w:rPr>
          <w:szCs w:val="24"/>
        </w:rPr>
        <w:t xml:space="preserve">in order to facilitate access to these documents.  Comments and reply comments should reference </w:t>
      </w:r>
      <w:r>
        <w:rPr>
          <w:b/>
          <w:szCs w:val="24"/>
        </w:rPr>
        <w:t>WC Docket No. 1</w:t>
      </w:r>
      <w:r w:rsidR="00B21B49">
        <w:rPr>
          <w:b/>
          <w:szCs w:val="24"/>
        </w:rPr>
        <w:t>4</w:t>
      </w:r>
      <w:r w:rsidRPr="003C25F4">
        <w:rPr>
          <w:b/>
          <w:szCs w:val="24"/>
        </w:rPr>
        <w:t>-</w:t>
      </w:r>
      <w:r w:rsidR="003C2127">
        <w:rPr>
          <w:b/>
          <w:szCs w:val="24"/>
        </w:rPr>
        <w:t>48</w:t>
      </w:r>
      <w:r>
        <w:rPr>
          <w:b/>
          <w:szCs w:val="24"/>
        </w:rPr>
        <w:t>.</w:t>
      </w:r>
      <w:r>
        <w:rPr>
          <w:szCs w:val="24"/>
        </w:rPr>
        <w:t xml:space="preserve">  Parties filing paper copies must file an original and four (4) copies of each filing.</w:t>
      </w:r>
    </w:p>
    <w:p w:rsidR="0001288C" w:rsidRDefault="0001288C" w:rsidP="00241F38">
      <w:pPr>
        <w:numPr>
          <w:ilvl w:val="0"/>
          <w:numId w:val="6"/>
        </w:numPr>
      </w:pPr>
      <w:r>
        <w:t xml:space="preserve">Electronic Filers:  Comments may be filed electronically using the Internet by accessing the ECFS:  </w:t>
      </w:r>
      <w:hyperlink r:id="rId9" w:history="1">
        <w:r>
          <w:rPr>
            <w:rStyle w:val="Hyperlink"/>
          </w:rPr>
          <w:t>http://fjallfoss.fcc.gov/ecfs2/</w:t>
        </w:r>
      </w:hyperlink>
      <w:r>
        <w:t xml:space="preserve">.  </w:t>
      </w:r>
    </w:p>
    <w:p w:rsidR="0001288C" w:rsidRDefault="0001288C" w:rsidP="007F664B"/>
    <w:p w:rsidR="0001288C" w:rsidRDefault="0001288C" w:rsidP="00241F38">
      <w:pPr>
        <w:numPr>
          <w:ilvl w:val="0"/>
          <w:numId w:val="6"/>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1288C" w:rsidRDefault="0001288C" w:rsidP="007F664B">
      <w:pPr>
        <w:ind w:left="360"/>
        <w:rPr>
          <w:szCs w:val="22"/>
        </w:rPr>
      </w:pPr>
    </w:p>
    <w:p w:rsidR="0001288C" w:rsidRDefault="0001288C" w:rsidP="007F664B">
      <w:pPr>
        <w:ind w:left="720"/>
        <w:rPr>
          <w:szCs w:val="22"/>
        </w:rPr>
      </w:pPr>
      <w:r>
        <w:rPr>
          <w:szCs w:val="22"/>
        </w:rPr>
        <w:t>Filings can be sent by hand or messenger delivery, by commercial overnight courier, or by first-class or overnight U.S. Postal Service mail (although we continue to experience delays in receiving U.S. Postal Service mail).  All filings must be addressed to the Commission’s Secretary, Marlene H. Dortch, Office of the Secretary, Federal Communications Commission.</w:t>
      </w:r>
    </w:p>
    <w:p w:rsidR="0001288C" w:rsidRDefault="0001288C" w:rsidP="007F664B">
      <w:pPr>
        <w:ind w:left="720"/>
        <w:rPr>
          <w:szCs w:val="22"/>
        </w:rPr>
      </w:pPr>
    </w:p>
    <w:p w:rsidR="0001288C" w:rsidRDefault="0001288C" w:rsidP="00241F38">
      <w:pPr>
        <w:numPr>
          <w:ilvl w:val="0"/>
          <w:numId w:val="7"/>
        </w:numPr>
        <w:rPr>
          <w:szCs w:val="22"/>
        </w:rPr>
      </w:pPr>
      <w:r>
        <w:t>All hand-delivered or messenger-delivered paper filings for the Commission’s Secretary must be delivered to FCC Headquarters at 445 12</w:t>
      </w:r>
      <w:r>
        <w:rPr>
          <w:vertAlign w:val="superscript"/>
        </w:rPr>
        <w:t>th</w:t>
      </w:r>
      <w:r>
        <w:t xml:space="preserve"> St., SW, Room TW-A325, Washington, DC 20554.  All hand deliveries must be held together with rubber bands or fasteners.  Any envelopes must be disposed of </w:t>
      </w:r>
      <w:r>
        <w:rPr>
          <w:u w:val="single"/>
        </w:rPr>
        <w:t>before</w:t>
      </w:r>
      <w:r>
        <w:t xml:space="preserve"> entering the building.  The filing hours at both locations are 8:00 a.m. to 7:00 p.m.</w:t>
      </w:r>
      <w:r>
        <w:rPr>
          <w:szCs w:val="22"/>
        </w:rPr>
        <w:t xml:space="preserve">  </w:t>
      </w:r>
    </w:p>
    <w:p w:rsidR="0001288C" w:rsidRDefault="0001288C" w:rsidP="007F664B">
      <w:pPr>
        <w:ind w:left="360"/>
        <w:rPr>
          <w:szCs w:val="22"/>
        </w:rPr>
      </w:pPr>
    </w:p>
    <w:p w:rsidR="0001288C" w:rsidRDefault="0001288C" w:rsidP="00241F38">
      <w:pPr>
        <w:numPr>
          <w:ilvl w:val="0"/>
          <w:numId w:val="7"/>
        </w:numPr>
        <w:rPr>
          <w:szCs w:val="22"/>
        </w:rPr>
      </w:pPr>
      <w:r>
        <w:rPr>
          <w:szCs w:val="22"/>
        </w:rPr>
        <w:t xml:space="preserve">Commercial </w:t>
      </w:r>
      <w:r>
        <w:t xml:space="preserve">overnight mail (other than U.S. Postal Service Express Mail and Priority Mail) must be sent to 9300 East Hampton Drive, Capitol Heights, MD 20743.  </w:t>
      </w:r>
    </w:p>
    <w:p w:rsidR="0001288C" w:rsidRDefault="0001288C" w:rsidP="007F664B">
      <w:pPr>
        <w:rPr>
          <w:szCs w:val="22"/>
        </w:rPr>
      </w:pPr>
    </w:p>
    <w:p w:rsidR="0001288C" w:rsidRDefault="0001288C" w:rsidP="00241F38">
      <w:pPr>
        <w:numPr>
          <w:ilvl w:val="0"/>
          <w:numId w:val="7"/>
        </w:numPr>
        <w:rPr>
          <w:szCs w:val="22"/>
        </w:rPr>
      </w:pPr>
      <w:r>
        <w:t>U.S. Postal Service first-class, Express, and Priority mail must be addressed to 445 12</w:t>
      </w:r>
      <w:r>
        <w:rPr>
          <w:vertAlign w:val="superscript"/>
        </w:rPr>
        <w:t>th</w:t>
      </w:r>
      <w:r>
        <w:t xml:space="preserve"> Street, SW, Washington DC  20554.</w:t>
      </w:r>
    </w:p>
    <w:p w:rsidR="0001288C" w:rsidRDefault="0001288C" w:rsidP="007F664B">
      <w:pPr>
        <w:rPr>
          <w:szCs w:val="22"/>
        </w:rPr>
      </w:pPr>
    </w:p>
    <w:p w:rsidR="0001288C" w:rsidRDefault="0001288C" w:rsidP="007F664B">
      <w:pPr>
        <w:spacing w:after="220"/>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A73480" w:rsidRDefault="0082680E" w:rsidP="007F664B">
      <w:pPr>
        <w:pStyle w:val="ParaNum"/>
        <w:widowControl/>
        <w:tabs>
          <w:tab w:val="clear" w:pos="1080"/>
          <w:tab w:val="num" w:pos="360"/>
        </w:tabs>
        <w:jc w:val="left"/>
        <w:rPr>
          <w:szCs w:val="24"/>
          <w:u w:val="single"/>
        </w:rPr>
      </w:pPr>
      <w:r>
        <w:rPr>
          <w:szCs w:val="24"/>
        </w:rPr>
        <w:t>Three (3) paper copies and one e-mail copy of the comments and reply comments must also be sent to Richard Kwiatkowski, Pricing Policy Division, Wireline Competition Bureau, Federal Communications Commission, 445 12</w:t>
      </w:r>
      <w:r>
        <w:rPr>
          <w:szCs w:val="24"/>
          <w:vertAlign w:val="superscript"/>
        </w:rPr>
        <w:t>th</w:t>
      </w:r>
      <w:r>
        <w:rPr>
          <w:szCs w:val="24"/>
        </w:rPr>
        <w:t xml:space="preserve"> Street, SW, Room 5-A460, Washington, DC 20554, </w:t>
      </w:r>
      <w:hyperlink r:id="rId10" w:history="1">
        <w:r>
          <w:rPr>
            <w:rStyle w:val="Hyperlink"/>
            <w:szCs w:val="24"/>
          </w:rPr>
          <w:t>Richard.Kwiatkowski@fcc.gov</w:t>
        </w:r>
      </w:hyperlink>
      <w:r>
        <w:rPr>
          <w:szCs w:val="24"/>
        </w:rPr>
        <w:t>.  A courtesy copy must be addressed to the Chief, Pricing Policy Division, Wireline Competition Bureau, 445 12</w:t>
      </w:r>
      <w:r>
        <w:rPr>
          <w:szCs w:val="24"/>
          <w:vertAlign w:val="superscript"/>
        </w:rPr>
        <w:t>th</w:t>
      </w:r>
      <w:r>
        <w:rPr>
          <w:szCs w:val="24"/>
        </w:rPr>
        <w:t xml:space="preserve"> Street, SW, Room 5-A225, Washington, DC 20554 and e-mailed to </w:t>
      </w:r>
      <w:hyperlink r:id="rId11" w:history="1">
        <w:r>
          <w:rPr>
            <w:rStyle w:val="Hyperlink"/>
            <w:szCs w:val="24"/>
          </w:rPr>
          <w:t>Pamela.Arluk@fcc.gov</w:t>
        </w:r>
      </w:hyperlink>
      <w:r>
        <w:rPr>
          <w:szCs w:val="24"/>
          <w:u w:val="single"/>
        </w:rPr>
        <w:t xml:space="preserve">. </w:t>
      </w:r>
      <w:r>
        <w:rPr>
          <w:szCs w:val="24"/>
        </w:rPr>
        <w:t xml:space="preserve"> Parties shall also serve one copy with Best Copy and Printing, Inc., Portals II, 445 12</w:t>
      </w:r>
      <w:r>
        <w:rPr>
          <w:szCs w:val="24"/>
          <w:vertAlign w:val="superscript"/>
        </w:rPr>
        <w:t>th</w:t>
      </w:r>
      <w:r>
        <w:rPr>
          <w:szCs w:val="24"/>
        </w:rPr>
        <w:t xml:space="preserve"> Street, SW, Room CY-B402, Washington, DC 20554, (202) 488-5300, or via e-mail to </w:t>
      </w:r>
      <w:hyperlink r:id="rId12" w:history="1">
        <w:r>
          <w:rPr>
            <w:rStyle w:val="Hyperlink"/>
            <w:szCs w:val="24"/>
          </w:rPr>
          <w:t>FCC@BCPIWEB.COM</w:t>
        </w:r>
      </w:hyperlink>
      <w:r>
        <w:rPr>
          <w:szCs w:val="24"/>
          <w:u w:val="single"/>
        </w:rPr>
        <w:t xml:space="preserve">. </w:t>
      </w:r>
    </w:p>
    <w:p w:rsidR="00A50129" w:rsidRDefault="00A50129" w:rsidP="007F664B">
      <w:pPr>
        <w:pStyle w:val="ParaNum"/>
        <w:widowControl/>
        <w:tabs>
          <w:tab w:val="clear" w:pos="1080"/>
          <w:tab w:val="num" w:pos="360"/>
        </w:tabs>
        <w:jc w:val="left"/>
        <w:rPr>
          <w:szCs w:val="24"/>
          <w:u w:val="single"/>
        </w:rPr>
      </w:pPr>
      <w:r>
        <w:t xml:space="preserve">The proceeding this Notice </w:t>
      </w:r>
      <w:r w:rsidRPr="00D0713D">
        <w:rPr>
          <w:szCs w:val="24"/>
        </w:rPr>
        <w:t>initiates</w:t>
      </w:r>
      <w:r>
        <w:t xml:space="preserve"> shall be treated as a “permit-but-disclose” proceeding in accordance with the Commission’s </w:t>
      </w:r>
      <w:r>
        <w:rPr>
          <w:i/>
          <w:iCs/>
        </w:rPr>
        <w:t xml:space="preserve">ex parte </w:t>
      </w:r>
      <w:r>
        <w:t>rules.</w:t>
      </w:r>
      <w:r>
        <w:rPr>
          <w:rStyle w:val="FootnoteReference"/>
        </w:rPr>
        <w:footnoteReference w:id="30"/>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ex parte</w:t>
      </w:r>
      <w:r>
        <w:rPr>
          <w:iCs/>
        </w:rPr>
        <w:t xml:space="preserve"> rules.</w:t>
      </w:r>
    </w:p>
    <w:p w:rsidR="0082680E" w:rsidRPr="00A50129" w:rsidRDefault="0082680E" w:rsidP="007F664B">
      <w:pPr>
        <w:pStyle w:val="Heading2"/>
        <w:widowControl/>
      </w:pPr>
      <w:r>
        <w:t>SERVICE</w:t>
      </w:r>
    </w:p>
    <w:p w:rsidR="0082680E" w:rsidRPr="00D0713D" w:rsidRDefault="0082680E" w:rsidP="007F664B">
      <w:pPr>
        <w:pStyle w:val="ParaNum"/>
        <w:widowControl/>
        <w:tabs>
          <w:tab w:val="clear" w:pos="1080"/>
          <w:tab w:val="num" w:pos="360"/>
        </w:tabs>
        <w:jc w:val="left"/>
        <w:rPr>
          <w:szCs w:val="24"/>
        </w:rPr>
      </w:pPr>
      <w:r>
        <w:rPr>
          <w:szCs w:val="24"/>
        </w:rPr>
        <w:t xml:space="preserve">Because there is limited time </w:t>
      </w:r>
      <w:r w:rsidRPr="00D0713D">
        <w:t>available</w:t>
      </w:r>
      <w:r>
        <w:rPr>
          <w:szCs w:val="24"/>
        </w:rPr>
        <w:t xml:space="preserve"> for review of the petitions and replies, we establish the following service requirements for these filings.  On the date a filing is submitted to the Commission, it shall also be served upon the filing local exchange carrier or the petitioner to which it responds, respectively, or its attorney or other duly constituted agent, by personal delivery, by facsimile transmission, or e-mail.</w:t>
      </w:r>
      <w:r>
        <w:rPr>
          <w:rStyle w:val="FootnoteReference"/>
          <w:szCs w:val="24"/>
        </w:rPr>
        <w:footnoteReference w:id="31"/>
      </w:r>
      <w:r>
        <w:rPr>
          <w:szCs w:val="24"/>
        </w:rPr>
        <w:t xml:space="preserve">  Parties are instructed to provide contact persons and facsimile numbers in their filings.  Parties filing petitions and replies electronically are reminded they are still required to serve copies in accordance with the requirements stated in this paragraph.</w:t>
      </w:r>
    </w:p>
    <w:p w:rsidR="0082680E" w:rsidRDefault="0082680E" w:rsidP="007F664B">
      <w:pPr>
        <w:pStyle w:val="Heading1"/>
        <w:widowControl/>
      </w:pPr>
      <w:r>
        <w:t>ORDERING CLAUSEs</w:t>
      </w:r>
    </w:p>
    <w:p w:rsidR="0082680E" w:rsidRPr="00D0713D" w:rsidRDefault="0082680E" w:rsidP="007F664B">
      <w:pPr>
        <w:pStyle w:val="ParaNum"/>
        <w:widowControl/>
        <w:tabs>
          <w:tab w:val="clear" w:pos="1080"/>
          <w:tab w:val="num" w:pos="360"/>
        </w:tabs>
        <w:jc w:val="left"/>
        <w:rPr>
          <w:szCs w:val="24"/>
        </w:rPr>
      </w:pPr>
      <w:r>
        <w:rPr>
          <w:szCs w:val="24"/>
        </w:rPr>
        <w:t xml:space="preserve">Accordingly, IT IS ORDERED </w:t>
      </w:r>
      <w:r w:rsidR="0046498E">
        <w:rPr>
          <w:szCs w:val="24"/>
        </w:rPr>
        <w:t>that, pursuant to sections 1, 4</w:t>
      </w:r>
      <w:r>
        <w:rPr>
          <w:szCs w:val="24"/>
        </w:rPr>
        <w:t>(i) and (j), 201-209, of the Communications Act, as amended, 47 U.S.C. §§ 151, 154(i), (j), 201-209, and pursuant to authority delegated in sections 0.91 and 0.291 of the Commission’s rules, 47 C.F.R. §§ 0.91, 0.291, this order IS HEREBY ADOPTED as described above.</w:t>
      </w:r>
    </w:p>
    <w:p w:rsidR="0082680E" w:rsidRPr="00D0713D" w:rsidRDefault="0082680E" w:rsidP="007F664B">
      <w:pPr>
        <w:pStyle w:val="ParaNum"/>
        <w:widowControl/>
        <w:tabs>
          <w:tab w:val="clear" w:pos="1080"/>
          <w:tab w:val="num" w:pos="360"/>
        </w:tabs>
        <w:jc w:val="left"/>
        <w:rPr>
          <w:i/>
          <w:szCs w:val="24"/>
        </w:rPr>
      </w:pPr>
      <w:r>
        <w:rPr>
          <w:szCs w:val="24"/>
        </w:rPr>
        <w:t>IT IS FURTHER ORDERED that, pursuant to section 1.3 of the Commission</w:t>
      </w:r>
      <w:r w:rsidR="00A50129">
        <w:rPr>
          <w:szCs w:val="24"/>
        </w:rPr>
        <w:t>’</w:t>
      </w:r>
      <w:r>
        <w:rPr>
          <w:szCs w:val="24"/>
        </w:rPr>
        <w:t xml:space="preserve">s rules, 47 C.F.R. § 1.3, and pursuant to authority delegated in sections 0.91 and 0.291 of the Commission’s rules, 47 C.F.R. §§ 0.91, 0.291, section 61.49(k) of the Commission’s rules, 47 C.F.R. § 61.49(k), IS WAIVED for the limited purpose specified in </w:t>
      </w:r>
      <w:r w:rsidR="000C1012">
        <w:rPr>
          <w:i/>
          <w:szCs w:val="24"/>
        </w:rPr>
        <w:t>supra</w:t>
      </w:r>
      <w:r w:rsidR="000C1012">
        <w:rPr>
          <w:szCs w:val="24"/>
        </w:rPr>
        <w:t xml:space="preserve"> </w:t>
      </w:r>
      <w:r>
        <w:rPr>
          <w:szCs w:val="24"/>
        </w:rPr>
        <w:t>paragraph</w:t>
      </w:r>
      <w:r w:rsidR="000C1012">
        <w:rPr>
          <w:szCs w:val="24"/>
        </w:rPr>
        <w:t>s</w:t>
      </w:r>
      <w:r>
        <w:rPr>
          <w:szCs w:val="24"/>
        </w:rPr>
        <w:t xml:space="preserve"> 5</w:t>
      </w:r>
      <w:r w:rsidR="001C2635">
        <w:rPr>
          <w:szCs w:val="24"/>
        </w:rPr>
        <w:t>-6</w:t>
      </w:r>
      <w:r>
        <w:rPr>
          <w:i/>
          <w:szCs w:val="24"/>
        </w:rPr>
        <w:t>.</w:t>
      </w:r>
    </w:p>
    <w:p w:rsidR="0082680E" w:rsidRPr="00D0713D" w:rsidRDefault="0082680E" w:rsidP="007F664B">
      <w:pPr>
        <w:pStyle w:val="ParaNum"/>
        <w:widowControl/>
        <w:tabs>
          <w:tab w:val="clear" w:pos="1080"/>
          <w:tab w:val="num" w:pos="360"/>
        </w:tabs>
        <w:jc w:val="left"/>
        <w:rPr>
          <w:i/>
          <w:szCs w:val="24"/>
        </w:rPr>
      </w:pPr>
      <w:r>
        <w:rPr>
          <w:szCs w:val="24"/>
        </w:rPr>
        <w:t xml:space="preserve">IT IS FURTHER ORDERED that, pursuant to section 1.3 of the Commission’s rules, 47 C.F.R. § 1.3, and pursuant to authority delegated in sections 0.91 and 0.291 of the Commission’s rules, 47 C.F.R. §§ 0.91, 0.291, sections 1.4(f) and 1.773(b) of the Commission’s rules, 47 C.F.R. §§ 1.4(f), 1.773(b), ARE WAIVED for the limited purpose specified in </w:t>
      </w:r>
      <w:r w:rsidR="000C1012">
        <w:rPr>
          <w:i/>
          <w:szCs w:val="24"/>
        </w:rPr>
        <w:t>supra</w:t>
      </w:r>
      <w:r w:rsidR="000C1012">
        <w:rPr>
          <w:szCs w:val="24"/>
        </w:rPr>
        <w:t xml:space="preserve"> </w:t>
      </w:r>
      <w:r>
        <w:rPr>
          <w:szCs w:val="24"/>
        </w:rPr>
        <w:t xml:space="preserve">paragraph </w:t>
      </w:r>
      <w:r w:rsidR="00A50129">
        <w:rPr>
          <w:szCs w:val="24"/>
        </w:rPr>
        <w:t>9</w:t>
      </w:r>
      <w:r>
        <w:rPr>
          <w:szCs w:val="24"/>
        </w:rPr>
        <w:t>, note 2</w:t>
      </w:r>
      <w:r w:rsidR="00BE74BD">
        <w:rPr>
          <w:szCs w:val="24"/>
        </w:rPr>
        <w:t>8</w:t>
      </w:r>
      <w:r>
        <w:rPr>
          <w:i/>
          <w:szCs w:val="24"/>
        </w:rPr>
        <w:t xml:space="preserve">. </w:t>
      </w:r>
    </w:p>
    <w:p w:rsidR="0082680E" w:rsidRDefault="0082680E" w:rsidP="007F664B">
      <w:pPr>
        <w:pStyle w:val="ParaNum"/>
        <w:pageBreakBefore/>
        <w:widowControl/>
        <w:tabs>
          <w:tab w:val="clear" w:pos="1080"/>
          <w:tab w:val="num" w:pos="360"/>
        </w:tabs>
        <w:jc w:val="left"/>
        <w:rPr>
          <w:b/>
          <w:i/>
          <w:szCs w:val="24"/>
        </w:rPr>
      </w:pPr>
      <w:r>
        <w:rPr>
          <w:szCs w:val="24"/>
        </w:rPr>
        <w:t xml:space="preserve">IT IS FURTHER ORDERED that, pursuant to section 1.3 of the Commission’s rules, 47 C.F.R. § 1.3, and pursuant to authority delegated in sections 0.91 and 0.291 of the Commission’s rules, 47 C.F.R. §§ 0.91, 0.291, section 1.47(d) of the Commission’s rules, 47 C.F.R. § 1.47(d), IS WAIVED for the limited purpose specified in </w:t>
      </w:r>
      <w:r w:rsidR="00711F35">
        <w:rPr>
          <w:i/>
          <w:szCs w:val="24"/>
        </w:rPr>
        <w:t>supra</w:t>
      </w:r>
      <w:r w:rsidR="00711F35">
        <w:rPr>
          <w:szCs w:val="24"/>
        </w:rPr>
        <w:t xml:space="preserve"> </w:t>
      </w:r>
      <w:r>
        <w:rPr>
          <w:szCs w:val="24"/>
        </w:rPr>
        <w:t>paragraph 1</w:t>
      </w:r>
      <w:r w:rsidR="00A50129">
        <w:rPr>
          <w:szCs w:val="24"/>
        </w:rPr>
        <w:t>3</w:t>
      </w:r>
      <w:r>
        <w:rPr>
          <w:szCs w:val="24"/>
        </w:rPr>
        <w:t xml:space="preserve">, note </w:t>
      </w:r>
      <w:r w:rsidR="00BE74BD">
        <w:rPr>
          <w:szCs w:val="24"/>
        </w:rPr>
        <w:t>30</w:t>
      </w:r>
      <w:r>
        <w:rPr>
          <w:i/>
          <w:szCs w:val="24"/>
        </w:rPr>
        <w:t>.</w:t>
      </w:r>
    </w:p>
    <w:p w:rsidR="0082680E" w:rsidRDefault="0082680E" w:rsidP="007F664B">
      <w:pPr>
        <w:pStyle w:val="Heading3"/>
        <w:widowControl/>
        <w:numPr>
          <w:ilvl w:val="0"/>
          <w:numId w:val="0"/>
        </w:numPr>
        <w:ind w:firstLine="720"/>
        <w:jc w:val="left"/>
        <w:rPr>
          <w:b w:val="0"/>
          <w:i/>
          <w:szCs w:val="24"/>
        </w:rPr>
      </w:pPr>
    </w:p>
    <w:p w:rsidR="0082680E" w:rsidRDefault="0082680E" w:rsidP="007F664B">
      <w:pPr>
        <w:ind w:left="2880" w:firstLine="720"/>
        <w:rPr>
          <w:szCs w:val="24"/>
        </w:rPr>
      </w:pPr>
      <w:r>
        <w:rPr>
          <w:szCs w:val="24"/>
        </w:rPr>
        <w:t>FEDERAL COMMUNICATIONS COMMISSION</w:t>
      </w:r>
    </w:p>
    <w:p w:rsidR="0082680E" w:rsidRDefault="0082680E" w:rsidP="007F664B">
      <w:pPr>
        <w:ind w:firstLine="720"/>
        <w:rPr>
          <w:szCs w:val="24"/>
        </w:rPr>
      </w:pPr>
    </w:p>
    <w:p w:rsidR="0082680E" w:rsidRDefault="0082680E" w:rsidP="007F664B">
      <w:pPr>
        <w:ind w:firstLine="720"/>
        <w:rPr>
          <w:szCs w:val="24"/>
        </w:rPr>
      </w:pPr>
    </w:p>
    <w:p w:rsidR="0082680E" w:rsidRDefault="0082680E" w:rsidP="007F664B">
      <w:pPr>
        <w:ind w:firstLine="720"/>
        <w:rPr>
          <w:szCs w:val="24"/>
        </w:rPr>
      </w:pPr>
    </w:p>
    <w:p w:rsidR="00A50129" w:rsidRDefault="00A50129" w:rsidP="007F664B">
      <w:pPr>
        <w:pStyle w:val="BodyTextIndent2"/>
        <w:spacing w:after="0" w:line="240" w:lineRule="auto"/>
        <w:ind w:left="3600"/>
        <w:rPr>
          <w:szCs w:val="24"/>
        </w:rPr>
      </w:pPr>
      <w:r>
        <w:rPr>
          <w:szCs w:val="24"/>
        </w:rPr>
        <w:t>Kalpak</w:t>
      </w:r>
      <w:r w:rsidR="0082680E">
        <w:rPr>
          <w:szCs w:val="24"/>
        </w:rPr>
        <w:t xml:space="preserve"> S. G</w:t>
      </w:r>
      <w:r>
        <w:rPr>
          <w:szCs w:val="24"/>
        </w:rPr>
        <w:t>ude</w:t>
      </w:r>
    </w:p>
    <w:p w:rsidR="0082680E" w:rsidRDefault="0082680E" w:rsidP="007F664B">
      <w:pPr>
        <w:pStyle w:val="BodyTextIndent2"/>
        <w:spacing w:after="0" w:line="240" w:lineRule="auto"/>
        <w:ind w:left="3600"/>
        <w:rPr>
          <w:szCs w:val="24"/>
        </w:rPr>
      </w:pPr>
      <w:r>
        <w:rPr>
          <w:szCs w:val="24"/>
        </w:rPr>
        <w:t>Chief, Pricing Policy Division</w:t>
      </w:r>
    </w:p>
    <w:p w:rsidR="0082680E" w:rsidRDefault="0082680E" w:rsidP="007F664B">
      <w:pPr>
        <w:spacing w:after="240"/>
        <w:ind w:left="2880" w:firstLine="720"/>
        <w:rPr>
          <w:szCs w:val="24"/>
        </w:rPr>
      </w:pPr>
      <w:r>
        <w:t>Wireline Competition Bureau</w:t>
      </w:r>
    </w:p>
    <w:sectPr w:rsidR="0082680E" w:rsidSect="008452C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A7" w:rsidRDefault="009405A7">
      <w:r>
        <w:separator/>
      </w:r>
    </w:p>
  </w:endnote>
  <w:endnote w:type="continuationSeparator" w:id="0">
    <w:p w:rsidR="009405A7" w:rsidRDefault="0094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99" w:rsidRDefault="00882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0E" w:rsidRDefault="0082680E">
    <w:pPr>
      <w:pStyle w:val="Footer"/>
      <w:jc w:val="center"/>
    </w:pPr>
    <w:r>
      <w:rPr>
        <w:rStyle w:val="PageNumber"/>
      </w:rPr>
      <w:fldChar w:fldCharType="begin"/>
    </w:r>
    <w:r>
      <w:rPr>
        <w:rStyle w:val="PageNumber"/>
      </w:rPr>
      <w:instrText xml:space="preserve"> PAGE </w:instrText>
    </w:r>
    <w:r>
      <w:rPr>
        <w:rStyle w:val="PageNumber"/>
      </w:rPr>
      <w:fldChar w:fldCharType="separate"/>
    </w:r>
    <w:r w:rsidR="00F45D97">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99" w:rsidRDefault="00882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A7" w:rsidRDefault="009405A7">
      <w:pPr>
        <w:rPr>
          <w:sz w:val="20"/>
        </w:rPr>
      </w:pPr>
      <w:r>
        <w:rPr>
          <w:sz w:val="20"/>
        </w:rPr>
        <w:separator/>
      </w:r>
    </w:p>
  </w:footnote>
  <w:footnote w:type="continuationSeparator" w:id="0">
    <w:p w:rsidR="009405A7" w:rsidRDefault="009405A7">
      <w:pPr>
        <w:rPr>
          <w:sz w:val="20"/>
        </w:rPr>
      </w:pPr>
      <w:r>
        <w:rPr>
          <w:sz w:val="20"/>
        </w:rPr>
        <w:separator/>
      </w:r>
    </w:p>
    <w:p w:rsidR="009405A7" w:rsidRDefault="009405A7">
      <w:pPr>
        <w:rPr>
          <w:sz w:val="20"/>
        </w:rPr>
      </w:pPr>
      <w:r>
        <w:rPr>
          <w:sz w:val="20"/>
        </w:rPr>
        <w:t>(...continued from previous page)</w:t>
      </w:r>
    </w:p>
  </w:footnote>
  <w:footnote w:type="continuationNotice" w:id="1">
    <w:p w:rsidR="009405A7" w:rsidRDefault="009405A7">
      <w:pPr>
        <w:jc w:val="right"/>
        <w:rPr>
          <w:sz w:val="20"/>
        </w:rPr>
      </w:pPr>
      <w:r>
        <w:rPr>
          <w:sz w:val="20"/>
        </w:rPr>
        <w:t>(continued....)</w:t>
      </w:r>
    </w:p>
  </w:footnote>
  <w:footnote w:id="2">
    <w:p w:rsidR="008452C9" w:rsidRPr="003B7A9E" w:rsidRDefault="008452C9">
      <w:pPr>
        <w:pStyle w:val="FootnoteText"/>
      </w:pPr>
      <w:r w:rsidRPr="003B7A9E">
        <w:rPr>
          <w:rStyle w:val="FootnoteReference"/>
        </w:rPr>
        <w:footnoteRef/>
      </w:r>
      <w:r w:rsidRPr="003B7A9E">
        <w:t xml:space="preserve"> 47 C.F.R. §</w:t>
      </w:r>
      <w:r w:rsidR="00124E6D" w:rsidRPr="003B7A9E">
        <w:t xml:space="preserve"> </w:t>
      </w:r>
      <w:r w:rsidRPr="003B7A9E">
        <w:t>61.43.</w:t>
      </w:r>
    </w:p>
  </w:footnote>
  <w:footnote w:id="3">
    <w:p w:rsidR="001C2635" w:rsidRPr="003B7A9E" w:rsidRDefault="001C2635" w:rsidP="001C2635">
      <w:pPr>
        <w:pStyle w:val="FootnoteText"/>
      </w:pPr>
      <w:r w:rsidRPr="003B7A9E">
        <w:rPr>
          <w:rStyle w:val="FootnoteReference"/>
        </w:rPr>
        <w:footnoteRef/>
      </w:r>
      <w:r w:rsidRPr="003B7A9E">
        <w:t xml:space="preserve"> 47 C.F.R. § 61.38 (rate of return carriers that file tariffs based on projected costs and demand).</w:t>
      </w:r>
    </w:p>
  </w:footnote>
  <w:footnote w:id="4">
    <w:p w:rsidR="001C2635" w:rsidRPr="003B7A9E" w:rsidRDefault="001C2635" w:rsidP="001C2635">
      <w:pPr>
        <w:pStyle w:val="FootnoteText"/>
      </w:pPr>
      <w:r w:rsidRPr="003B7A9E">
        <w:rPr>
          <w:rStyle w:val="FootnoteReference"/>
        </w:rPr>
        <w:footnoteRef/>
      </w:r>
      <w:r w:rsidRPr="003B7A9E">
        <w:t xml:space="preserve"> 47 C.F.R. § 61.39 (rate of return carriers that file tariffs based on historical costs and demand).</w:t>
      </w:r>
    </w:p>
  </w:footnote>
  <w:footnote w:id="5">
    <w:p w:rsidR="00F56CF3" w:rsidRPr="003B7A9E" w:rsidRDefault="00F56CF3" w:rsidP="00F56CF3">
      <w:pPr>
        <w:pStyle w:val="FootnoteText"/>
        <w:jc w:val="left"/>
      </w:pPr>
      <w:r w:rsidRPr="003B7A9E">
        <w:rPr>
          <w:rStyle w:val="FootnoteReference"/>
        </w:rPr>
        <w:footnoteRef/>
      </w:r>
      <w:r w:rsidRPr="003B7A9E">
        <w:t xml:space="preserve"> The price cap ILECs that must file a short form TRP on May 17, 2013, are the ACS Companies; the Ameritech Operating Companies; BellSouth Telecommunications, Inc.; CenturyTel Operating Companies; Cincinnati Bell Telephone; Consolidated Communications; Embarq Local Telephone Companies; Frontier Telephone Companies; Hawaiian Telecom, Inc.; Illinois Consolidated Telephone Company;  Micronesian Telecommunications, Corp.; Nevada Bell Telephone Company; Pacific Bell Telephone Company; Puerto Rico Telephone Company; Qwest Corporation; Southern New England Telephone; Southwestern Bell Telephone; </w:t>
      </w:r>
      <w:r w:rsidR="009840E5" w:rsidRPr="003B7A9E">
        <w:t xml:space="preserve">SureWest Telephone; </w:t>
      </w:r>
      <w:r w:rsidRPr="003B7A9E">
        <w:t xml:space="preserve">The Fairpoint Telephone Companies; The Verizon Telephone Companies; Virgin Islands Telephone Company and Windstream Telephone System. </w:t>
      </w:r>
    </w:p>
  </w:footnote>
  <w:footnote w:id="6">
    <w:p w:rsidR="008452C9" w:rsidRPr="003B7A9E" w:rsidRDefault="008452C9" w:rsidP="008452C9">
      <w:pPr>
        <w:pStyle w:val="FootnoteText"/>
      </w:pPr>
      <w:r w:rsidRPr="003B7A9E">
        <w:rPr>
          <w:rStyle w:val="FootnoteReference"/>
        </w:rPr>
        <w:footnoteRef/>
      </w:r>
      <w:r w:rsidRPr="003B7A9E">
        <w:t xml:space="preserve"> </w:t>
      </w:r>
      <w:r w:rsidRPr="003B7A9E">
        <w:rPr>
          <w:i/>
        </w:rPr>
        <w:t xml:space="preserve">See Connect America Fund et al., </w:t>
      </w:r>
      <w:r w:rsidRPr="003B7A9E">
        <w:t xml:space="preserve">WC Docket No. 10-90 et al., Report and Order and Further Notice of Proposed Rulemaking, </w:t>
      </w:r>
      <w:r w:rsidR="00AA60FF" w:rsidRPr="003B7A9E">
        <w:t xml:space="preserve">26 FCC Rcd 17663 </w:t>
      </w:r>
      <w:r w:rsidRPr="003B7A9E">
        <w:t>(rel. Nov. 18, 2011)</w:t>
      </w:r>
      <w:r w:rsidR="00124E6D" w:rsidRPr="003B7A9E">
        <w:t xml:space="preserve"> </w:t>
      </w:r>
      <w:r w:rsidRPr="003B7A9E">
        <w:t>(</w:t>
      </w:r>
      <w:r w:rsidRPr="003B7A9E">
        <w:rPr>
          <w:i/>
        </w:rPr>
        <w:t>USF/ICC Transformation Order</w:t>
      </w:r>
      <w:r w:rsidRPr="003B7A9E">
        <w:t xml:space="preserve">), </w:t>
      </w:r>
      <w:r w:rsidRPr="003B7A9E">
        <w:rPr>
          <w:i/>
        </w:rPr>
        <w:t>pets. for review pending, Direct Commc’ns Cedar Valley, LLC v FCC</w:t>
      </w:r>
      <w:r w:rsidRPr="003B7A9E">
        <w:t>, No. 11-9581 (10</w:t>
      </w:r>
      <w:r w:rsidRPr="003B7A9E">
        <w:rPr>
          <w:vertAlign w:val="superscript"/>
        </w:rPr>
        <w:t>th</w:t>
      </w:r>
      <w:r w:rsidRPr="003B7A9E">
        <w:t xml:space="preserve"> Cir. Filed Dec. 18, 2011)</w:t>
      </w:r>
      <w:r w:rsidR="00124E6D" w:rsidRPr="003B7A9E">
        <w:t xml:space="preserve"> </w:t>
      </w:r>
      <w:r w:rsidRPr="003B7A9E">
        <w:t>(and consolidated cases).</w:t>
      </w:r>
    </w:p>
  </w:footnote>
  <w:footnote w:id="7">
    <w:p w:rsidR="0082680E" w:rsidRPr="003B7A9E" w:rsidRDefault="0082680E" w:rsidP="0082680E">
      <w:pPr>
        <w:pStyle w:val="FootnoteText"/>
      </w:pPr>
      <w:r w:rsidRPr="003B7A9E">
        <w:rPr>
          <w:rStyle w:val="FootnoteReference"/>
        </w:rPr>
        <w:footnoteRef/>
      </w:r>
      <w:r w:rsidRPr="003B7A9E">
        <w:t xml:space="preserve"> 47 U.S.C. § 204(a)(3).</w:t>
      </w:r>
    </w:p>
  </w:footnote>
  <w:footnote w:id="8">
    <w:p w:rsidR="0082680E" w:rsidRPr="003B7A9E" w:rsidRDefault="0082680E" w:rsidP="0082680E">
      <w:pPr>
        <w:pStyle w:val="FootnoteText"/>
      </w:pPr>
      <w:r w:rsidRPr="003B7A9E">
        <w:rPr>
          <w:rStyle w:val="FootnoteReference"/>
        </w:rPr>
        <w:footnoteRef/>
      </w:r>
      <w:r w:rsidRPr="003B7A9E">
        <w:t xml:space="preserve"> </w:t>
      </w:r>
      <w:r w:rsidRPr="003B7A9E">
        <w:rPr>
          <w:i/>
        </w:rPr>
        <w:t>See</w:t>
      </w:r>
      <w:r w:rsidRPr="003B7A9E">
        <w:t xml:space="preserve"> 47 C.F.R. §§ 69.3(a) </w:t>
      </w:r>
      <w:r w:rsidR="00124E6D" w:rsidRPr="003B7A9E">
        <w:t xml:space="preserve">51.705, 51.907, 51.909; </w:t>
      </w:r>
      <w:r w:rsidR="00124E6D" w:rsidRPr="003B7A9E">
        <w:rPr>
          <w:i/>
        </w:rPr>
        <w:t>s</w:t>
      </w:r>
      <w:r w:rsidRPr="003B7A9E">
        <w:rPr>
          <w:i/>
        </w:rPr>
        <w:t xml:space="preserve">ee also supra </w:t>
      </w:r>
      <w:r w:rsidRPr="003B7A9E">
        <w:t>note 3.</w:t>
      </w:r>
    </w:p>
  </w:footnote>
  <w:footnote w:id="9">
    <w:p w:rsidR="0082680E" w:rsidRPr="003B7A9E" w:rsidRDefault="0082680E">
      <w:pPr>
        <w:pStyle w:val="FootnoteText"/>
      </w:pPr>
      <w:r w:rsidRPr="003B7A9E">
        <w:rPr>
          <w:rStyle w:val="FootnoteReference"/>
        </w:rPr>
        <w:footnoteRef/>
      </w:r>
      <w:r w:rsidRPr="003B7A9E">
        <w:t xml:space="preserve"> 47 C.F.R. § 61.43.</w:t>
      </w:r>
    </w:p>
  </w:footnote>
  <w:footnote w:id="10">
    <w:p w:rsidR="0082680E" w:rsidRPr="003B7A9E" w:rsidRDefault="0082680E">
      <w:pPr>
        <w:pStyle w:val="FootnoteText"/>
      </w:pPr>
      <w:r w:rsidRPr="003B7A9E">
        <w:rPr>
          <w:rStyle w:val="FootnoteReference"/>
        </w:rPr>
        <w:footnoteRef/>
      </w:r>
      <w:r w:rsidRPr="003B7A9E">
        <w:t xml:space="preserve"> 47 C.F.R. § 61.3</w:t>
      </w:r>
      <w:r w:rsidR="00AD142E" w:rsidRPr="003B7A9E">
        <w:t>8</w:t>
      </w:r>
      <w:r w:rsidRPr="003B7A9E">
        <w:t>; 47 C.F.R. § 69.3(f)(</w:t>
      </w:r>
      <w:r w:rsidR="00AD142E" w:rsidRPr="003B7A9E">
        <w:t>1</w:t>
      </w:r>
      <w:r w:rsidRPr="003B7A9E">
        <w:t>).</w:t>
      </w:r>
    </w:p>
  </w:footnote>
  <w:footnote w:id="11">
    <w:p w:rsidR="0082680E" w:rsidRPr="003B7A9E" w:rsidRDefault="0082680E" w:rsidP="0082680E">
      <w:pPr>
        <w:pStyle w:val="FootnoteText"/>
      </w:pPr>
      <w:r w:rsidRPr="003B7A9E">
        <w:rPr>
          <w:rStyle w:val="FootnoteReference"/>
        </w:rPr>
        <w:footnoteRef/>
      </w:r>
      <w:r w:rsidRPr="003B7A9E">
        <w:t xml:space="preserve"> 47 C.F.R. § 61.3</w:t>
      </w:r>
      <w:r w:rsidR="00AD142E" w:rsidRPr="003B7A9E">
        <w:t>9</w:t>
      </w:r>
      <w:r w:rsidRPr="003B7A9E">
        <w:t xml:space="preserve">.  </w:t>
      </w:r>
    </w:p>
  </w:footnote>
  <w:footnote w:id="12">
    <w:p w:rsidR="0082680E" w:rsidRPr="003B7A9E" w:rsidRDefault="0082680E">
      <w:pPr>
        <w:pStyle w:val="FootnoteText"/>
      </w:pPr>
      <w:r w:rsidRPr="003B7A9E">
        <w:rPr>
          <w:rStyle w:val="FootnoteReference"/>
        </w:rPr>
        <w:footnoteRef/>
      </w:r>
      <w:r w:rsidRPr="003B7A9E">
        <w:t xml:space="preserve"> </w:t>
      </w:r>
      <w:r w:rsidRPr="003B7A9E">
        <w:rPr>
          <w:i/>
        </w:rPr>
        <w:t>See USF/ICC Transformation Order</w:t>
      </w:r>
      <w:r w:rsidR="0026625B" w:rsidRPr="003B7A9E">
        <w:t>, 26 FCC Rcd at 17981-83, paras. 897-</w:t>
      </w:r>
      <w:r w:rsidRPr="003B7A9E">
        <w:t xml:space="preserve">99.  </w:t>
      </w:r>
    </w:p>
  </w:footnote>
  <w:footnote w:id="13">
    <w:p w:rsidR="0082680E" w:rsidRPr="003B7A9E" w:rsidRDefault="0082680E" w:rsidP="0082680E">
      <w:pPr>
        <w:pStyle w:val="FootnoteText"/>
      </w:pPr>
      <w:r w:rsidRPr="003B7A9E">
        <w:rPr>
          <w:rStyle w:val="FootnoteReference"/>
        </w:rPr>
        <w:footnoteRef/>
      </w:r>
      <w:r w:rsidRPr="003B7A9E">
        <w:t xml:space="preserve"> 47 C.F.R. § 69.3(f)(</w:t>
      </w:r>
      <w:r w:rsidR="00AD142E" w:rsidRPr="003B7A9E">
        <w:t>2</w:t>
      </w:r>
      <w:r w:rsidRPr="003B7A9E">
        <w:t>).</w:t>
      </w:r>
    </w:p>
  </w:footnote>
  <w:footnote w:id="14">
    <w:p w:rsidR="001C2635" w:rsidRPr="003B7A9E" w:rsidRDefault="001C2635">
      <w:pPr>
        <w:pStyle w:val="FootnoteText"/>
      </w:pPr>
      <w:r w:rsidRPr="003B7A9E">
        <w:rPr>
          <w:rStyle w:val="FootnoteReference"/>
        </w:rPr>
        <w:footnoteRef/>
      </w:r>
      <w:r w:rsidRPr="003B7A9E">
        <w:t xml:space="preserve"> 47 C.F.R. §</w:t>
      </w:r>
      <w:r w:rsidR="00243513" w:rsidRPr="003B7A9E">
        <w:t xml:space="preserve">§ </w:t>
      </w:r>
      <w:r w:rsidRPr="003B7A9E">
        <w:t xml:space="preserve"> 51.909(d)</w:t>
      </w:r>
      <w:r w:rsidR="00243513" w:rsidRPr="003B7A9E">
        <w:t>,</w:t>
      </w:r>
      <w:r w:rsidR="00D467ED" w:rsidRPr="003B7A9E">
        <w:t xml:space="preserve"> 51.917(d)(iii)</w:t>
      </w:r>
      <w:r w:rsidR="00243513" w:rsidRPr="003B7A9E">
        <w:t xml:space="preserve">, 51.917(e) </w:t>
      </w:r>
      <w:r w:rsidRPr="003B7A9E">
        <w:t>.</w:t>
      </w:r>
    </w:p>
  </w:footnote>
  <w:footnote w:id="15">
    <w:p w:rsidR="0082680E" w:rsidRPr="003B7A9E" w:rsidRDefault="0082680E">
      <w:pPr>
        <w:pStyle w:val="FootnoteText"/>
      </w:pPr>
      <w:r w:rsidRPr="003B7A9E">
        <w:rPr>
          <w:rStyle w:val="FootnoteReference"/>
        </w:rPr>
        <w:footnoteRef/>
      </w:r>
      <w:r w:rsidRPr="003B7A9E">
        <w:t xml:space="preserve"> 47 C.F.R. § 61.49(k).</w:t>
      </w:r>
    </w:p>
  </w:footnote>
  <w:footnote w:id="16">
    <w:p w:rsidR="0082680E" w:rsidRPr="003B7A9E" w:rsidRDefault="0082680E">
      <w:pPr>
        <w:pStyle w:val="FootnoteText"/>
        <w:jc w:val="left"/>
      </w:pPr>
      <w:r w:rsidRPr="003B7A9E">
        <w:rPr>
          <w:rStyle w:val="FootnoteReference"/>
        </w:rPr>
        <w:footnoteRef/>
      </w:r>
      <w:r w:rsidRPr="003B7A9E">
        <w:t xml:space="preserve"> </w:t>
      </w:r>
      <w:r w:rsidRPr="003B7A9E">
        <w:rPr>
          <w:i/>
        </w:rPr>
        <w:t xml:space="preserve">See, e.g., </w:t>
      </w:r>
      <w:bookmarkStart w:id="1" w:name="OLE_LINK1"/>
      <w:bookmarkStart w:id="2" w:name="OLE_LINK2"/>
      <w:r w:rsidRPr="003B7A9E">
        <w:rPr>
          <w:i/>
        </w:rPr>
        <w:t>July 1, 2009 Annual Access Charge Tariff Filings</w:t>
      </w:r>
      <w:r w:rsidRPr="003B7A9E">
        <w:t>, WCB/Pricing File No. 09-02, Order, 24 FC</w:t>
      </w:r>
      <w:r w:rsidR="003B7A9E" w:rsidRPr="003B7A9E">
        <w:t>C Rcd 3664 (Wireline Comp. Bur.</w:t>
      </w:r>
      <w:r w:rsidRPr="003B7A9E">
        <w:t xml:space="preserve"> 2009).</w:t>
      </w:r>
    </w:p>
    <w:bookmarkEnd w:id="1"/>
    <w:bookmarkEnd w:id="2"/>
  </w:footnote>
  <w:footnote w:id="17">
    <w:p w:rsidR="0082680E" w:rsidRPr="003B7A9E" w:rsidRDefault="0082680E">
      <w:pPr>
        <w:pStyle w:val="FootnoteText"/>
        <w:jc w:val="left"/>
      </w:pPr>
      <w:r w:rsidRPr="003B7A9E">
        <w:rPr>
          <w:rStyle w:val="FootnoteReference"/>
        </w:rPr>
        <w:footnoteRef/>
      </w:r>
      <w:r w:rsidRPr="003B7A9E">
        <w:t xml:space="preserve"> </w:t>
      </w:r>
      <w:r w:rsidRPr="003B7A9E">
        <w:rPr>
          <w:i/>
        </w:rPr>
        <w:t>See, e.g.,</w:t>
      </w:r>
      <w:r w:rsidRPr="003B7A9E">
        <w:t xml:space="preserve"> Petition of the United States Telecom Association for Waiver of Rule 61.49(k)’s Non-Exogenous Cost Data Requirements for the Short Form Tariff Review Plan and for Waiver of Rule 61.49(k)’s Deadline for Filing the Exogenous Cost Data Requirements of the Short Form Tariff Review Plan, WC Docket No. 10-46</w:t>
      </w:r>
      <w:r w:rsidR="003B7A9E" w:rsidRPr="003B7A9E">
        <w:t>,</w:t>
      </w:r>
      <w:r w:rsidRPr="003B7A9E">
        <w:t xml:space="preserve"> at 1 (filed Feb. 4, 2010).</w:t>
      </w:r>
    </w:p>
  </w:footnote>
  <w:footnote w:id="18">
    <w:p w:rsidR="0082680E" w:rsidRPr="003B7A9E" w:rsidRDefault="0082680E" w:rsidP="0082680E">
      <w:pPr>
        <w:pStyle w:val="FootnoteText"/>
        <w:jc w:val="left"/>
      </w:pPr>
      <w:r w:rsidRPr="003B7A9E">
        <w:rPr>
          <w:rStyle w:val="FootnoteReference"/>
        </w:rPr>
        <w:footnoteRef/>
      </w:r>
      <w:r w:rsidRPr="003B7A9E">
        <w:t xml:space="preserve"> </w:t>
      </w:r>
      <w:r w:rsidRPr="003B7A9E">
        <w:rPr>
          <w:i/>
        </w:rPr>
        <w:t>See</w:t>
      </w:r>
      <w:r w:rsidRPr="003B7A9E">
        <w:t xml:space="preserve"> </w:t>
      </w:r>
      <w:r w:rsidRPr="003B7A9E">
        <w:rPr>
          <w:i/>
        </w:rPr>
        <w:t>July 1, 2010 Annual Access Charge Tariff Filings</w:t>
      </w:r>
      <w:r w:rsidRPr="003B7A9E">
        <w:t>, WCB/Pricing File No. 10-03, Order, 25 FCC Rcd 2867, 2868-69, para</w:t>
      </w:r>
      <w:r w:rsidR="003B7A9E" w:rsidRPr="003B7A9E">
        <w:t>. 4 (Wireline Comp. Bur.</w:t>
      </w:r>
      <w:r w:rsidRPr="003B7A9E">
        <w:t xml:space="preserve"> 2010)</w:t>
      </w:r>
      <w:r w:rsidR="0001288C" w:rsidRPr="003B7A9E">
        <w:t xml:space="preserve"> (</w:t>
      </w:r>
      <w:r w:rsidR="0001288C" w:rsidRPr="003B7A9E">
        <w:rPr>
          <w:i/>
        </w:rPr>
        <w:t>2010 Procedures Order</w:t>
      </w:r>
      <w:r w:rsidR="0001288C" w:rsidRPr="003B7A9E">
        <w:t>)</w:t>
      </w:r>
      <w:r w:rsidRPr="003B7A9E">
        <w:t xml:space="preserve">; </w:t>
      </w:r>
      <w:r w:rsidRPr="003B7A9E">
        <w:rPr>
          <w:i/>
        </w:rPr>
        <w:t>July 1, 2011 Annual Access Charge Tariff Filings</w:t>
      </w:r>
      <w:r w:rsidRPr="003B7A9E">
        <w:t>, WCB/Pricing File No. 11-04, Order, 26 FCC Rcd 4933, 4934-35, para</w:t>
      </w:r>
      <w:r w:rsidR="003B7A9E" w:rsidRPr="003B7A9E">
        <w:t>.</w:t>
      </w:r>
      <w:r w:rsidRPr="003B7A9E">
        <w:t xml:space="preserve"> 4 (Wireline Comp. Bur., 2011); </w:t>
      </w:r>
      <w:r w:rsidR="003B7A9E" w:rsidRPr="003B7A9E">
        <w:rPr>
          <w:i/>
        </w:rPr>
        <w:t>s</w:t>
      </w:r>
      <w:r w:rsidRPr="003B7A9E">
        <w:rPr>
          <w:i/>
        </w:rPr>
        <w:t>ee</w:t>
      </w:r>
      <w:r w:rsidRPr="003B7A9E">
        <w:t xml:space="preserve"> </w:t>
      </w:r>
      <w:r w:rsidRPr="003B7A9E">
        <w:rPr>
          <w:i/>
        </w:rPr>
        <w:t>July 3, 2012 Annual Access Charge Tariff Filings</w:t>
      </w:r>
      <w:r w:rsidRPr="003B7A9E">
        <w:t>, WCB/Pricing File No. 12-07, Order, 27 FCC Rcd 2981, 29</w:t>
      </w:r>
      <w:r w:rsidR="003B7A9E" w:rsidRPr="003B7A9E">
        <w:t>83, para 5 (Wireline Comp. Bur.</w:t>
      </w:r>
      <w:r w:rsidRPr="003B7A9E">
        <w:t xml:space="preserve"> 2012) </w:t>
      </w:r>
      <w:r w:rsidR="003B7A9E" w:rsidRPr="003B7A9E">
        <w:t>;</w:t>
      </w:r>
      <w:r w:rsidR="001E1063" w:rsidRPr="003B7A9E">
        <w:t xml:space="preserve"> </w:t>
      </w:r>
      <w:r w:rsidR="001E1063" w:rsidRPr="003B7A9E">
        <w:rPr>
          <w:i/>
        </w:rPr>
        <w:t>July 2, 2013 Annual Access Charge Tariff Filings</w:t>
      </w:r>
      <w:r w:rsidR="001E1063" w:rsidRPr="003B7A9E">
        <w:t>, WC Docket No. 13-76, Order, 28 FCC Rcd 3265, 29</w:t>
      </w:r>
      <w:r w:rsidR="003B7A9E" w:rsidRPr="003B7A9E">
        <w:t>83, para. 5 (Wireline Comp. Bur.</w:t>
      </w:r>
      <w:r w:rsidR="001E1063" w:rsidRPr="003B7A9E">
        <w:t xml:space="preserve"> 2013).</w:t>
      </w:r>
    </w:p>
  </w:footnote>
  <w:footnote w:id="19">
    <w:p w:rsidR="0082680E" w:rsidRPr="003B7A9E" w:rsidRDefault="0082680E" w:rsidP="0082680E">
      <w:pPr>
        <w:pStyle w:val="FootnoteText"/>
        <w:jc w:val="left"/>
      </w:pPr>
      <w:r w:rsidRPr="003B7A9E">
        <w:rPr>
          <w:rStyle w:val="FootnoteReference"/>
        </w:rPr>
        <w:footnoteRef/>
      </w:r>
      <w:r w:rsidRPr="003B7A9E">
        <w:t xml:space="preserve"> </w:t>
      </w:r>
      <w:r w:rsidRPr="003B7A9E">
        <w:rPr>
          <w:i/>
        </w:rPr>
        <w:t>See</w:t>
      </w:r>
      <w:r w:rsidRPr="003B7A9E">
        <w:t xml:space="preserve"> Petition of the United States Telecom Association for Waiver of Rule 61.49(k)’s Non-Exogenous Cost Data Requirements for the Short Form Tariff Review Plan and for Waiver of Rule 61.49(k)’s Deadline for Filing the Exogenous Cost Data Requirements of the Short Form Tariff Review Plan, WC Docket No. 1</w:t>
      </w:r>
      <w:r w:rsidR="00B25428" w:rsidRPr="003B7A9E">
        <w:t>4</w:t>
      </w:r>
      <w:r w:rsidRPr="003B7A9E">
        <w:t>-</w:t>
      </w:r>
      <w:r w:rsidR="00B25428" w:rsidRPr="003B7A9E">
        <w:t>18</w:t>
      </w:r>
      <w:r w:rsidRPr="003B7A9E">
        <w:t xml:space="preserve"> (filed </w:t>
      </w:r>
      <w:r w:rsidR="00B25428" w:rsidRPr="003B7A9E">
        <w:t>Jan.</w:t>
      </w:r>
      <w:r w:rsidRPr="003B7A9E">
        <w:t xml:space="preserve"> </w:t>
      </w:r>
      <w:r w:rsidR="00B25428" w:rsidRPr="003B7A9E">
        <w:t>30</w:t>
      </w:r>
      <w:r w:rsidRPr="003B7A9E">
        <w:t>, 201</w:t>
      </w:r>
      <w:r w:rsidR="00B25428" w:rsidRPr="003B7A9E">
        <w:t>4</w:t>
      </w:r>
      <w:r w:rsidRPr="003B7A9E">
        <w:t>) (USTelecom Petition).</w:t>
      </w:r>
    </w:p>
  </w:footnote>
  <w:footnote w:id="20">
    <w:p w:rsidR="0082680E" w:rsidRPr="003B7A9E" w:rsidRDefault="0082680E">
      <w:pPr>
        <w:pStyle w:val="FootnoteText"/>
      </w:pPr>
      <w:r w:rsidRPr="003B7A9E">
        <w:rPr>
          <w:rStyle w:val="FootnoteReference"/>
        </w:rPr>
        <w:footnoteRef/>
      </w:r>
      <w:r w:rsidRPr="003B7A9E">
        <w:t xml:space="preserve"> </w:t>
      </w:r>
      <w:r w:rsidRPr="003B7A9E">
        <w:rPr>
          <w:i/>
        </w:rPr>
        <w:t>Id</w:t>
      </w:r>
      <w:r w:rsidRPr="003B7A9E">
        <w:t xml:space="preserve">. at 2.  </w:t>
      </w:r>
    </w:p>
  </w:footnote>
  <w:footnote w:id="21">
    <w:p w:rsidR="00243513" w:rsidRPr="003B7A9E" w:rsidRDefault="00243513" w:rsidP="00243513">
      <w:pPr>
        <w:pStyle w:val="FootnoteText"/>
      </w:pPr>
      <w:r w:rsidRPr="003B7A9E">
        <w:rPr>
          <w:rStyle w:val="FootnoteReference"/>
        </w:rPr>
        <w:footnoteRef/>
      </w:r>
      <w:r w:rsidRPr="003B7A9E">
        <w:t xml:space="preserve"> </w:t>
      </w:r>
      <w:r w:rsidRPr="003B7A9E">
        <w:rPr>
          <w:szCs w:val="22"/>
        </w:rPr>
        <w:t xml:space="preserve">The EXG1 spreadsheet displays various exogenous cost changes to the PCIs.  </w:t>
      </w:r>
    </w:p>
  </w:footnote>
  <w:footnote w:id="22">
    <w:p w:rsidR="00243513" w:rsidRPr="003B7A9E" w:rsidRDefault="00243513" w:rsidP="00243513">
      <w:pPr>
        <w:pStyle w:val="FootnoteText"/>
      </w:pPr>
      <w:r w:rsidRPr="003B7A9E">
        <w:rPr>
          <w:rStyle w:val="FootnoteReference"/>
        </w:rPr>
        <w:footnoteRef/>
      </w:r>
      <w:r w:rsidRPr="003B7A9E">
        <w:t xml:space="preserve"> USTelecom Petition at 2.</w:t>
      </w:r>
    </w:p>
  </w:footnote>
  <w:footnote w:id="23">
    <w:p w:rsidR="0082680E" w:rsidRPr="003B7A9E" w:rsidRDefault="0082680E">
      <w:pPr>
        <w:pStyle w:val="FootnoteText"/>
        <w:tabs>
          <w:tab w:val="clear" w:pos="720"/>
          <w:tab w:val="clear" w:pos="1440"/>
          <w:tab w:val="left" w:pos="360"/>
        </w:tabs>
        <w:jc w:val="left"/>
      </w:pPr>
      <w:r w:rsidRPr="003B7A9E">
        <w:rPr>
          <w:rStyle w:val="FootnoteReference"/>
        </w:rPr>
        <w:footnoteRef/>
      </w:r>
      <w:r w:rsidRPr="003B7A9E">
        <w:t xml:space="preserve"> </w:t>
      </w:r>
      <w:r w:rsidRPr="003B7A9E">
        <w:rPr>
          <w:i/>
        </w:rPr>
        <w:t>United States Telecom Association Petition for Waiver of Requirements in Section 61.49(k) of the Commission’s Rules for the Short Form Tariff Review Plan</w:t>
      </w:r>
      <w:r w:rsidRPr="003B7A9E">
        <w:t>, WC Docket No. 1</w:t>
      </w:r>
      <w:r w:rsidR="00B25428" w:rsidRPr="003B7A9E">
        <w:t>4</w:t>
      </w:r>
      <w:r w:rsidRPr="003B7A9E">
        <w:t>-</w:t>
      </w:r>
      <w:r w:rsidR="00B25428" w:rsidRPr="003B7A9E">
        <w:t>18</w:t>
      </w:r>
      <w:r w:rsidRPr="003B7A9E">
        <w:t>, Public Notice, DA 1</w:t>
      </w:r>
      <w:r w:rsidR="00B25428" w:rsidRPr="003B7A9E">
        <w:t>4</w:t>
      </w:r>
      <w:r w:rsidRPr="003B7A9E">
        <w:t>-1</w:t>
      </w:r>
      <w:r w:rsidR="00B25428" w:rsidRPr="003B7A9E">
        <w:t>32</w:t>
      </w:r>
      <w:r w:rsidR="003B7A9E" w:rsidRPr="003B7A9E">
        <w:t xml:space="preserve"> (Pricing Pol. Div.</w:t>
      </w:r>
      <w:r w:rsidRPr="003B7A9E">
        <w:t xml:space="preserve"> rel. Feb. </w:t>
      </w:r>
      <w:r w:rsidR="00B25428" w:rsidRPr="003B7A9E">
        <w:t>4</w:t>
      </w:r>
      <w:r w:rsidRPr="003B7A9E">
        <w:t>, 201</w:t>
      </w:r>
      <w:r w:rsidR="00B25428" w:rsidRPr="003B7A9E">
        <w:t>4</w:t>
      </w:r>
      <w:r w:rsidRPr="003B7A9E">
        <w:t>).</w:t>
      </w:r>
    </w:p>
  </w:footnote>
  <w:footnote w:id="24">
    <w:p w:rsidR="008452C9" w:rsidRPr="003B7A9E" w:rsidRDefault="008452C9">
      <w:pPr>
        <w:pStyle w:val="FootnoteText"/>
      </w:pPr>
      <w:r w:rsidRPr="003B7A9E">
        <w:rPr>
          <w:rStyle w:val="FootnoteReference"/>
        </w:rPr>
        <w:footnoteRef/>
      </w:r>
      <w:r w:rsidRPr="003B7A9E">
        <w:t xml:space="preserve"> </w:t>
      </w:r>
      <w:r w:rsidR="0001288C" w:rsidRPr="003B7A9E">
        <w:rPr>
          <w:i/>
        </w:rPr>
        <w:t>See</w:t>
      </w:r>
      <w:r w:rsidR="0001288C" w:rsidRPr="003B7A9E">
        <w:t xml:space="preserve"> </w:t>
      </w:r>
      <w:r w:rsidR="0001288C" w:rsidRPr="003B7A9E">
        <w:rPr>
          <w:i/>
        </w:rPr>
        <w:t>2010 Procedures Order</w:t>
      </w:r>
      <w:r w:rsidR="0001288C" w:rsidRPr="003B7A9E">
        <w:t>, 25 FCC Rcd at 2868-69, para 4 n.12.</w:t>
      </w:r>
    </w:p>
  </w:footnote>
  <w:footnote w:id="25">
    <w:p w:rsidR="007920CF" w:rsidRPr="003B7A9E" w:rsidRDefault="007920CF" w:rsidP="008217DF">
      <w:pPr>
        <w:pStyle w:val="FootnoteText"/>
        <w:jc w:val="left"/>
      </w:pPr>
      <w:r w:rsidRPr="003B7A9E">
        <w:rPr>
          <w:rStyle w:val="FootnoteReference"/>
        </w:rPr>
        <w:footnoteRef/>
      </w:r>
      <w:r w:rsidRPr="003B7A9E">
        <w:t xml:space="preserve"> </w:t>
      </w:r>
      <w:r w:rsidR="0001288C" w:rsidRPr="003B7A9E">
        <w:rPr>
          <w:i/>
        </w:rPr>
        <w:t>See generally</w:t>
      </w:r>
      <w:r w:rsidR="0001288C" w:rsidRPr="003B7A9E">
        <w:t xml:space="preserve"> </w:t>
      </w:r>
      <w:r w:rsidR="0001288C" w:rsidRPr="003B7A9E">
        <w:rPr>
          <w:i/>
        </w:rPr>
        <w:t>USF/ICC Transformation Order</w:t>
      </w:r>
      <w:r w:rsidR="008217DF" w:rsidRPr="003B7A9E">
        <w:rPr>
          <w:i/>
        </w:rPr>
        <w:t xml:space="preserve"> </w:t>
      </w:r>
      <w:r w:rsidR="008217DF" w:rsidRPr="003B7A9E">
        <w:t>(adopting specific reforms for switched access services rendering the short form TRP no longer applicable to switched access services—the short TRP is still applicable for common line and special access services).</w:t>
      </w:r>
    </w:p>
  </w:footnote>
  <w:footnote w:id="26">
    <w:p w:rsidR="001C2635" w:rsidRPr="003B7A9E" w:rsidRDefault="001C2635">
      <w:pPr>
        <w:pStyle w:val="FootnoteText"/>
      </w:pPr>
      <w:r w:rsidRPr="003B7A9E">
        <w:rPr>
          <w:rStyle w:val="FootnoteReference"/>
        </w:rPr>
        <w:footnoteRef/>
      </w:r>
      <w:r w:rsidRPr="003B7A9E">
        <w:t xml:space="preserve"> This year, forty-five days prior to the annual access charge tariff filing is May 17, 2014, which is a Saturday.  Accordingly, the short form TRPs will be filed forty-three days prior to the annual access charge tariff filing in 2014.</w:t>
      </w:r>
    </w:p>
  </w:footnote>
  <w:footnote w:id="27">
    <w:p w:rsidR="0082680E" w:rsidRPr="003B7A9E" w:rsidRDefault="0082680E">
      <w:pPr>
        <w:pStyle w:val="FootnoteText"/>
        <w:jc w:val="left"/>
      </w:pPr>
      <w:r w:rsidRPr="003B7A9E">
        <w:rPr>
          <w:rStyle w:val="FootnoteReference"/>
        </w:rPr>
        <w:footnoteRef/>
      </w:r>
      <w:r w:rsidRPr="003B7A9E">
        <w:t xml:space="preserve"> </w:t>
      </w:r>
      <w:r w:rsidRPr="003B7A9E">
        <w:rPr>
          <w:i/>
        </w:rPr>
        <w:t>See</w:t>
      </w:r>
      <w:r w:rsidRPr="003B7A9E">
        <w:t xml:space="preserve"> 47 C.F.R. § 61.49(k).  </w:t>
      </w:r>
      <w:r w:rsidR="007920CF" w:rsidRPr="003B7A9E">
        <w:t xml:space="preserve">If there are regulatory changes in the future that require the Bureau to </w:t>
      </w:r>
      <w:r w:rsidR="0001288C" w:rsidRPr="003B7A9E">
        <w:t>require</w:t>
      </w:r>
      <w:r w:rsidR="007920CF" w:rsidRPr="003B7A9E">
        <w:t xml:space="preserve"> more time to evaluate the short form TRP, we reserve the right to revisit this waiver at a later date.  </w:t>
      </w:r>
    </w:p>
  </w:footnote>
  <w:footnote w:id="28">
    <w:p w:rsidR="0082680E" w:rsidRPr="003B7A9E" w:rsidRDefault="0082680E">
      <w:pPr>
        <w:pStyle w:val="FootnoteText"/>
      </w:pPr>
      <w:r w:rsidRPr="003B7A9E">
        <w:rPr>
          <w:rStyle w:val="FootnoteReference"/>
        </w:rPr>
        <w:footnoteRef/>
      </w:r>
      <w:r w:rsidRPr="003B7A9E">
        <w:t xml:space="preserve"> 47 C.F.R. § 61.13(b).</w:t>
      </w:r>
    </w:p>
  </w:footnote>
  <w:footnote w:id="29">
    <w:p w:rsidR="0082680E" w:rsidRPr="003B7A9E" w:rsidRDefault="0082680E" w:rsidP="0082680E">
      <w:pPr>
        <w:pStyle w:val="FootnoteText"/>
      </w:pPr>
      <w:r w:rsidRPr="003B7A9E">
        <w:rPr>
          <w:rStyle w:val="FootnoteReference"/>
        </w:rPr>
        <w:footnoteRef/>
      </w:r>
      <w:r w:rsidRPr="003B7A9E">
        <w:t xml:space="preserve"> We waive any inconsistent portions of sections 1.4(f) and 1.773(b) of the Commission’s rules. </w:t>
      </w:r>
    </w:p>
  </w:footnote>
  <w:footnote w:id="30">
    <w:p w:rsidR="00A50129" w:rsidRPr="003B7A9E" w:rsidRDefault="00A50129" w:rsidP="00A50129">
      <w:pPr>
        <w:pStyle w:val="FootnoteText"/>
        <w:rPr>
          <w:i/>
          <w:iCs/>
        </w:rPr>
      </w:pPr>
      <w:r w:rsidRPr="003B7A9E">
        <w:rPr>
          <w:rStyle w:val="FootnoteReference"/>
        </w:rPr>
        <w:footnoteRef/>
      </w:r>
      <w:r w:rsidRPr="003B7A9E">
        <w:t xml:space="preserve"> 47 C.F.R. §§ 1.1200 </w:t>
      </w:r>
      <w:r w:rsidRPr="003B7A9E">
        <w:rPr>
          <w:i/>
          <w:iCs/>
        </w:rPr>
        <w:t>et seq.</w:t>
      </w:r>
    </w:p>
    <w:p w:rsidR="00A50129" w:rsidRPr="003B7A9E" w:rsidRDefault="00A50129" w:rsidP="00A50129">
      <w:pPr>
        <w:pStyle w:val="FootnoteText"/>
        <w:rPr>
          <w:i/>
          <w:iCs/>
        </w:rPr>
      </w:pPr>
    </w:p>
  </w:footnote>
  <w:footnote w:id="31">
    <w:p w:rsidR="0082680E" w:rsidRPr="003B7A9E" w:rsidRDefault="0082680E">
      <w:pPr>
        <w:pStyle w:val="FootnoteText"/>
        <w:jc w:val="left"/>
      </w:pPr>
      <w:r w:rsidRPr="003B7A9E">
        <w:rPr>
          <w:rStyle w:val="FootnoteReference"/>
        </w:rPr>
        <w:footnoteRef/>
      </w:r>
      <w:r w:rsidRPr="003B7A9E">
        <w:t xml:space="preserve"> 47 C.F.R. §§ 1.773(a)(4), (b)(3).  We waive any inconsistent portions of section 1.47(d) of the Commission’s rules.  47 C.F.R. § 1.47(d).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99" w:rsidRDefault="00882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0E" w:rsidRDefault="0082680E">
    <w:pPr>
      <w:pStyle w:val="Header"/>
      <w:tabs>
        <w:tab w:val="clear" w:pos="4320"/>
        <w:tab w:val="clear" w:pos="8640"/>
        <w:tab w:val="center" w:pos="4680"/>
        <w:tab w:val="right" w:pos="9360"/>
      </w:tabs>
      <w:rPr>
        <w:b/>
      </w:rPr>
    </w:pPr>
    <w:r>
      <w:rPr>
        <w:b/>
      </w:rPr>
      <w:tab/>
      <w:t>Federal Communications Commission</w:t>
    </w:r>
    <w:r>
      <w:rPr>
        <w:b/>
      </w:rPr>
      <w:tab/>
      <w:t>DA 1</w:t>
    </w:r>
    <w:r w:rsidR="002B1057">
      <w:rPr>
        <w:b/>
      </w:rPr>
      <w:t>4</w:t>
    </w:r>
    <w:r>
      <w:rPr>
        <w:b/>
      </w:rPr>
      <w:t>-</w:t>
    </w:r>
    <w:r w:rsidR="00BE74BD">
      <w:rPr>
        <w:b/>
      </w:rPr>
      <w:t>404</w:t>
    </w:r>
  </w:p>
  <w:p w:rsidR="0082680E" w:rsidRDefault="00775333" w:rsidP="00EA5A3C">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AE7B6BD" wp14:editId="065A5E6F">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0E" w:rsidRDefault="0082680E">
    <w:pPr>
      <w:pStyle w:val="Header"/>
      <w:tabs>
        <w:tab w:val="clear" w:pos="4320"/>
        <w:tab w:val="clear" w:pos="8640"/>
        <w:tab w:val="center" w:pos="4680"/>
        <w:tab w:val="right" w:pos="9360"/>
      </w:tabs>
      <w:rPr>
        <w:b/>
      </w:rPr>
    </w:pPr>
    <w:r>
      <w:rPr>
        <w:b/>
      </w:rPr>
      <w:tab/>
      <w:t>Federal Communications Commission</w:t>
    </w:r>
    <w:r>
      <w:rPr>
        <w:b/>
      </w:rPr>
      <w:tab/>
      <w:t xml:space="preserve">DA </w:t>
    </w:r>
    <w:r w:rsidR="002B1057">
      <w:rPr>
        <w:b/>
      </w:rPr>
      <w:t>14</w:t>
    </w:r>
    <w:r>
      <w:rPr>
        <w:b/>
      </w:rPr>
      <w:t>-</w:t>
    </w:r>
    <w:r w:rsidR="00BE74BD">
      <w:rPr>
        <w:b/>
      </w:rPr>
      <w:t>404</w:t>
    </w:r>
  </w:p>
  <w:p w:rsidR="0082680E" w:rsidRDefault="0077533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47742019" wp14:editId="4D003CD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5A49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TimesNew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TimesNewRoman"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TimesNewRoman"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F2"/>
    <w:rsid w:val="0001288C"/>
    <w:rsid w:val="00076FE7"/>
    <w:rsid w:val="00092282"/>
    <w:rsid w:val="00097894"/>
    <w:rsid w:val="000B789F"/>
    <w:rsid w:val="000C1012"/>
    <w:rsid w:val="00124E6D"/>
    <w:rsid w:val="00194B6B"/>
    <w:rsid w:val="001B57B3"/>
    <w:rsid w:val="001C2635"/>
    <w:rsid w:val="001D2858"/>
    <w:rsid w:val="001E1063"/>
    <w:rsid w:val="001F1AA6"/>
    <w:rsid w:val="002124D7"/>
    <w:rsid w:val="00235265"/>
    <w:rsid w:val="00241F38"/>
    <w:rsid w:val="00243513"/>
    <w:rsid w:val="0025624E"/>
    <w:rsid w:val="0026625B"/>
    <w:rsid w:val="002B1057"/>
    <w:rsid w:val="002E7091"/>
    <w:rsid w:val="0030218B"/>
    <w:rsid w:val="00325FFC"/>
    <w:rsid w:val="00360DD4"/>
    <w:rsid w:val="00370549"/>
    <w:rsid w:val="00372B9C"/>
    <w:rsid w:val="003B7A9E"/>
    <w:rsid w:val="003C2127"/>
    <w:rsid w:val="003E641A"/>
    <w:rsid w:val="00400305"/>
    <w:rsid w:val="0046498E"/>
    <w:rsid w:val="00465956"/>
    <w:rsid w:val="004A3B25"/>
    <w:rsid w:val="004B07A8"/>
    <w:rsid w:val="00575E3F"/>
    <w:rsid w:val="00593510"/>
    <w:rsid w:val="005C631C"/>
    <w:rsid w:val="005C7754"/>
    <w:rsid w:val="005D4586"/>
    <w:rsid w:val="00635D2A"/>
    <w:rsid w:val="00711F35"/>
    <w:rsid w:val="00730607"/>
    <w:rsid w:val="00770C1A"/>
    <w:rsid w:val="00775333"/>
    <w:rsid w:val="007776D7"/>
    <w:rsid w:val="00782DA6"/>
    <w:rsid w:val="007920CF"/>
    <w:rsid w:val="007A24DF"/>
    <w:rsid w:val="007C460C"/>
    <w:rsid w:val="007D3DF2"/>
    <w:rsid w:val="007F664B"/>
    <w:rsid w:val="008008A1"/>
    <w:rsid w:val="008217DF"/>
    <w:rsid w:val="0082680E"/>
    <w:rsid w:val="00837574"/>
    <w:rsid w:val="00840F41"/>
    <w:rsid w:val="008452C9"/>
    <w:rsid w:val="008665BB"/>
    <w:rsid w:val="00882399"/>
    <w:rsid w:val="009405A7"/>
    <w:rsid w:val="009840E5"/>
    <w:rsid w:val="009B442C"/>
    <w:rsid w:val="009D700B"/>
    <w:rsid w:val="009E0F84"/>
    <w:rsid w:val="009E6C40"/>
    <w:rsid w:val="00A23CFF"/>
    <w:rsid w:val="00A50129"/>
    <w:rsid w:val="00A73480"/>
    <w:rsid w:val="00A95FB0"/>
    <w:rsid w:val="00AA60FF"/>
    <w:rsid w:val="00AD142E"/>
    <w:rsid w:val="00AF14A7"/>
    <w:rsid w:val="00B21B49"/>
    <w:rsid w:val="00B25428"/>
    <w:rsid w:val="00B978CC"/>
    <w:rsid w:val="00BE74BD"/>
    <w:rsid w:val="00BF129A"/>
    <w:rsid w:val="00CC5280"/>
    <w:rsid w:val="00D035D7"/>
    <w:rsid w:val="00D0713D"/>
    <w:rsid w:val="00D467ED"/>
    <w:rsid w:val="00D7195E"/>
    <w:rsid w:val="00D76329"/>
    <w:rsid w:val="00DA3BF7"/>
    <w:rsid w:val="00E3797B"/>
    <w:rsid w:val="00E64893"/>
    <w:rsid w:val="00E84A76"/>
    <w:rsid w:val="00EA5A3C"/>
    <w:rsid w:val="00F45D97"/>
    <w:rsid w:val="00F56CF3"/>
    <w:rsid w:val="00FA1181"/>
    <w:rsid w:val="00FC7E8B"/>
    <w:rsid w:val="00FE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B4E"/>
    <w:rPr>
      <w:sz w:val="22"/>
    </w:rPr>
  </w:style>
  <w:style w:type="paragraph" w:styleId="Heading1">
    <w:name w:val="heading 1"/>
    <w:basedOn w:val="Normal"/>
    <w:next w:val="ParaNum"/>
    <w:qFormat/>
    <w:rsid w:val="003A0B4E"/>
    <w:pPr>
      <w:keepNext/>
      <w:widowControl w:val="0"/>
      <w:numPr>
        <w:numId w:val="5"/>
      </w:numPr>
      <w:suppressAutoHyphens/>
      <w:spacing w:after="220"/>
      <w:jc w:val="both"/>
      <w:outlineLvl w:val="0"/>
    </w:pPr>
    <w:rPr>
      <w:b/>
      <w:caps/>
    </w:rPr>
  </w:style>
  <w:style w:type="paragraph" w:styleId="Heading2">
    <w:name w:val="heading 2"/>
    <w:basedOn w:val="Normal"/>
    <w:next w:val="ParaNum"/>
    <w:qFormat/>
    <w:rsid w:val="003A0B4E"/>
    <w:pPr>
      <w:keepNext/>
      <w:widowControl w:val="0"/>
      <w:numPr>
        <w:ilvl w:val="1"/>
        <w:numId w:val="5"/>
      </w:numPr>
      <w:spacing w:after="220"/>
      <w:jc w:val="both"/>
      <w:outlineLvl w:val="1"/>
    </w:pPr>
    <w:rPr>
      <w:b/>
    </w:rPr>
  </w:style>
  <w:style w:type="paragraph" w:styleId="Heading3">
    <w:name w:val="heading 3"/>
    <w:basedOn w:val="Normal"/>
    <w:next w:val="ParaNum"/>
    <w:qFormat/>
    <w:rsid w:val="003A0B4E"/>
    <w:pPr>
      <w:keepNext/>
      <w:widowControl w:val="0"/>
      <w:numPr>
        <w:ilvl w:val="2"/>
        <w:numId w:val="5"/>
      </w:numPr>
      <w:spacing w:after="220"/>
      <w:jc w:val="both"/>
      <w:outlineLvl w:val="2"/>
    </w:pPr>
    <w:rPr>
      <w:b/>
    </w:rPr>
  </w:style>
  <w:style w:type="paragraph" w:styleId="Heading4">
    <w:name w:val="heading 4"/>
    <w:basedOn w:val="Normal"/>
    <w:next w:val="ParaNum"/>
    <w:qFormat/>
    <w:rsid w:val="003A0B4E"/>
    <w:pPr>
      <w:keepNext/>
      <w:widowControl w:val="0"/>
      <w:numPr>
        <w:ilvl w:val="3"/>
        <w:numId w:val="5"/>
      </w:numPr>
      <w:spacing w:after="220"/>
      <w:jc w:val="both"/>
      <w:outlineLvl w:val="3"/>
    </w:pPr>
    <w:rPr>
      <w:b/>
    </w:rPr>
  </w:style>
  <w:style w:type="paragraph" w:styleId="Heading5">
    <w:name w:val="heading 5"/>
    <w:basedOn w:val="Normal"/>
    <w:next w:val="ParaNum"/>
    <w:qFormat/>
    <w:rsid w:val="003A0B4E"/>
    <w:pPr>
      <w:keepNext/>
      <w:widowControl w:val="0"/>
      <w:numPr>
        <w:ilvl w:val="4"/>
        <w:numId w:val="5"/>
      </w:numPr>
      <w:suppressAutoHyphens/>
      <w:spacing w:after="220"/>
      <w:jc w:val="both"/>
      <w:outlineLvl w:val="4"/>
    </w:pPr>
    <w:rPr>
      <w:b/>
    </w:rPr>
  </w:style>
  <w:style w:type="paragraph" w:styleId="Heading6">
    <w:name w:val="heading 6"/>
    <w:basedOn w:val="Normal"/>
    <w:next w:val="ParaNum"/>
    <w:qFormat/>
    <w:rsid w:val="003A0B4E"/>
    <w:pPr>
      <w:widowControl w:val="0"/>
      <w:numPr>
        <w:ilvl w:val="5"/>
        <w:numId w:val="5"/>
      </w:numPr>
      <w:spacing w:after="220"/>
      <w:jc w:val="both"/>
      <w:outlineLvl w:val="5"/>
    </w:pPr>
    <w:rPr>
      <w:b/>
    </w:rPr>
  </w:style>
  <w:style w:type="paragraph" w:styleId="Heading7">
    <w:name w:val="heading 7"/>
    <w:basedOn w:val="Normal"/>
    <w:next w:val="ParaNum"/>
    <w:qFormat/>
    <w:rsid w:val="003A0B4E"/>
    <w:pPr>
      <w:widowControl w:val="0"/>
      <w:numPr>
        <w:ilvl w:val="6"/>
        <w:numId w:val="5"/>
      </w:numPr>
      <w:spacing w:after="220"/>
      <w:jc w:val="both"/>
      <w:outlineLvl w:val="6"/>
    </w:pPr>
    <w:rPr>
      <w:b/>
    </w:rPr>
  </w:style>
  <w:style w:type="paragraph" w:styleId="Heading8">
    <w:name w:val="heading 8"/>
    <w:basedOn w:val="Normal"/>
    <w:next w:val="ParaNum"/>
    <w:qFormat/>
    <w:rsid w:val="003A0B4E"/>
    <w:pPr>
      <w:widowControl w:val="0"/>
      <w:numPr>
        <w:ilvl w:val="7"/>
        <w:numId w:val="5"/>
      </w:numPr>
      <w:spacing w:after="220"/>
      <w:jc w:val="both"/>
      <w:outlineLvl w:val="7"/>
    </w:pPr>
    <w:rPr>
      <w:b/>
    </w:rPr>
  </w:style>
  <w:style w:type="paragraph" w:styleId="Heading9">
    <w:name w:val="heading 9"/>
    <w:basedOn w:val="Normal"/>
    <w:next w:val="ParaNum"/>
    <w:qFormat/>
    <w:rsid w:val="003A0B4E"/>
    <w:pPr>
      <w:widowControl w:val="0"/>
      <w:numPr>
        <w:ilvl w:val="8"/>
        <w:numId w:val="5"/>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A0B4E"/>
    <w:pPr>
      <w:spacing w:before="120" w:after="120"/>
    </w:pPr>
    <w:rPr>
      <w:b/>
    </w:rPr>
  </w:style>
  <w:style w:type="paragraph" w:customStyle="1" w:styleId="ParaNum">
    <w:name w:val="ParaNum"/>
    <w:basedOn w:val="Normal"/>
    <w:pPr>
      <w:widowControl w:val="0"/>
      <w:numPr>
        <w:numId w:val="2"/>
      </w:numPr>
      <w:tabs>
        <w:tab w:val="left" w:pos="1440"/>
      </w:tabs>
      <w:spacing w:after="220"/>
      <w:jc w:val="both"/>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3"/>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rsid w:val="003A0B4E"/>
    <w:pPr>
      <w:jc w:val="center"/>
    </w:pPr>
    <w:rPr>
      <w:b/>
    </w:rPr>
  </w:style>
  <w:style w:type="character" w:styleId="Hyperlink">
    <w:name w:val="Hyperlink"/>
    <w:rPr>
      <w:color w:val="0000FF"/>
      <w:u w:val="single"/>
    </w:rPr>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szCs w:val="16"/>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semiHidden/>
    <w:locked/>
    <w:rsid w:val="00E25281"/>
    <w:rPr>
      <w:lang w:val="en-US" w:eastAsia="en-US" w:bidi="ar-SA"/>
    </w:rPr>
  </w:style>
  <w:style w:type="character" w:styleId="CommentReference">
    <w:name w:val="annotation reference"/>
    <w:semiHidden/>
    <w:rsid w:val="007C2212"/>
    <w:rPr>
      <w:sz w:val="16"/>
      <w:szCs w:val="16"/>
    </w:rPr>
  </w:style>
  <w:style w:type="paragraph" w:styleId="CommentText">
    <w:name w:val="annotation text"/>
    <w:basedOn w:val="Normal"/>
    <w:semiHidden/>
    <w:rsid w:val="007C2212"/>
    <w:rPr>
      <w:sz w:val="20"/>
    </w:rPr>
  </w:style>
  <w:style w:type="paragraph" w:styleId="CommentSubject">
    <w:name w:val="annotation subject"/>
    <w:basedOn w:val="CommentText"/>
    <w:next w:val="CommentText"/>
    <w:semiHidden/>
    <w:rsid w:val="007C2212"/>
    <w:rPr>
      <w:b/>
      <w:bCs/>
    </w:rPr>
  </w:style>
  <w:style w:type="paragraph" w:styleId="ListBullet">
    <w:name w:val="List Bullet"/>
    <w:basedOn w:val="Normal"/>
    <w:rsid w:val="009352EA"/>
    <w:pPr>
      <w:widowControl w:val="0"/>
      <w:numPr>
        <w:numId w:val="4"/>
      </w:numPr>
    </w:pPr>
    <w:rPr>
      <w:snapToGrid w:val="0"/>
      <w:kern w:val="28"/>
      <w:sz w:val="24"/>
      <w:szCs w:val="24"/>
    </w:rPr>
  </w:style>
  <w:style w:type="character" w:styleId="Emphasis">
    <w:name w:val="Emphasis"/>
    <w:uiPriority w:val="20"/>
    <w:qFormat/>
    <w:rsid w:val="003A0B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B4E"/>
    <w:rPr>
      <w:sz w:val="22"/>
    </w:rPr>
  </w:style>
  <w:style w:type="paragraph" w:styleId="Heading1">
    <w:name w:val="heading 1"/>
    <w:basedOn w:val="Normal"/>
    <w:next w:val="ParaNum"/>
    <w:qFormat/>
    <w:rsid w:val="003A0B4E"/>
    <w:pPr>
      <w:keepNext/>
      <w:widowControl w:val="0"/>
      <w:numPr>
        <w:numId w:val="5"/>
      </w:numPr>
      <w:suppressAutoHyphens/>
      <w:spacing w:after="220"/>
      <w:jc w:val="both"/>
      <w:outlineLvl w:val="0"/>
    </w:pPr>
    <w:rPr>
      <w:b/>
      <w:caps/>
    </w:rPr>
  </w:style>
  <w:style w:type="paragraph" w:styleId="Heading2">
    <w:name w:val="heading 2"/>
    <w:basedOn w:val="Normal"/>
    <w:next w:val="ParaNum"/>
    <w:qFormat/>
    <w:rsid w:val="003A0B4E"/>
    <w:pPr>
      <w:keepNext/>
      <w:widowControl w:val="0"/>
      <w:numPr>
        <w:ilvl w:val="1"/>
        <w:numId w:val="5"/>
      </w:numPr>
      <w:spacing w:after="220"/>
      <w:jc w:val="both"/>
      <w:outlineLvl w:val="1"/>
    </w:pPr>
    <w:rPr>
      <w:b/>
    </w:rPr>
  </w:style>
  <w:style w:type="paragraph" w:styleId="Heading3">
    <w:name w:val="heading 3"/>
    <w:basedOn w:val="Normal"/>
    <w:next w:val="ParaNum"/>
    <w:qFormat/>
    <w:rsid w:val="003A0B4E"/>
    <w:pPr>
      <w:keepNext/>
      <w:widowControl w:val="0"/>
      <w:numPr>
        <w:ilvl w:val="2"/>
        <w:numId w:val="5"/>
      </w:numPr>
      <w:spacing w:after="220"/>
      <w:jc w:val="both"/>
      <w:outlineLvl w:val="2"/>
    </w:pPr>
    <w:rPr>
      <w:b/>
    </w:rPr>
  </w:style>
  <w:style w:type="paragraph" w:styleId="Heading4">
    <w:name w:val="heading 4"/>
    <w:basedOn w:val="Normal"/>
    <w:next w:val="ParaNum"/>
    <w:qFormat/>
    <w:rsid w:val="003A0B4E"/>
    <w:pPr>
      <w:keepNext/>
      <w:widowControl w:val="0"/>
      <w:numPr>
        <w:ilvl w:val="3"/>
        <w:numId w:val="5"/>
      </w:numPr>
      <w:spacing w:after="220"/>
      <w:jc w:val="both"/>
      <w:outlineLvl w:val="3"/>
    </w:pPr>
    <w:rPr>
      <w:b/>
    </w:rPr>
  </w:style>
  <w:style w:type="paragraph" w:styleId="Heading5">
    <w:name w:val="heading 5"/>
    <w:basedOn w:val="Normal"/>
    <w:next w:val="ParaNum"/>
    <w:qFormat/>
    <w:rsid w:val="003A0B4E"/>
    <w:pPr>
      <w:keepNext/>
      <w:widowControl w:val="0"/>
      <w:numPr>
        <w:ilvl w:val="4"/>
        <w:numId w:val="5"/>
      </w:numPr>
      <w:suppressAutoHyphens/>
      <w:spacing w:after="220"/>
      <w:jc w:val="both"/>
      <w:outlineLvl w:val="4"/>
    </w:pPr>
    <w:rPr>
      <w:b/>
    </w:rPr>
  </w:style>
  <w:style w:type="paragraph" w:styleId="Heading6">
    <w:name w:val="heading 6"/>
    <w:basedOn w:val="Normal"/>
    <w:next w:val="ParaNum"/>
    <w:qFormat/>
    <w:rsid w:val="003A0B4E"/>
    <w:pPr>
      <w:widowControl w:val="0"/>
      <w:numPr>
        <w:ilvl w:val="5"/>
        <w:numId w:val="5"/>
      </w:numPr>
      <w:spacing w:after="220"/>
      <w:jc w:val="both"/>
      <w:outlineLvl w:val="5"/>
    </w:pPr>
    <w:rPr>
      <w:b/>
    </w:rPr>
  </w:style>
  <w:style w:type="paragraph" w:styleId="Heading7">
    <w:name w:val="heading 7"/>
    <w:basedOn w:val="Normal"/>
    <w:next w:val="ParaNum"/>
    <w:qFormat/>
    <w:rsid w:val="003A0B4E"/>
    <w:pPr>
      <w:widowControl w:val="0"/>
      <w:numPr>
        <w:ilvl w:val="6"/>
        <w:numId w:val="5"/>
      </w:numPr>
      <w:spacing w:after="220"/>
      <w:jc w:val="both"/>
      <w:outlineLvl w:val="6"/>
    </w:pPr>
    <w:rPr>
      <w:b/>
    </w:rPr>
  </w:style>
  <w:style w:type="paragraph" w:styleId="Heading8">
    <w:name w:val="heading 8"/>
    <w:basedOn w:val="Normal"/>
    <w:next w:val="ParaNum"/>
    <w:qFormat/>
    <w:rsid w:val="003A0B4E"/>
    <w:pPr>
      <w:widowControl w:val="0"/>
      <w:numPr>
        <w:ilvl w:val="7"/>
        <w:numId w:val="5"/>
      </w:numPr>
      <w:spacing w:after="220"/>
      <w:jc w:val="both"/>
      <w:outlineLvl w:val="7"/>
    </w:pPr>
    <w:rPr>
      <w:b/>
    </w:rPr>
  </w:style>
  <w:style w:type="paragraph" w:styleId="Heading9">
    <w:name w:val="heading 9"/>
    <w:basedOn w:val="Normal"/>
    <w:next w:val="ParaNum"/>
    <w:qFormat/>
    <w:rsid w:val="003A0B4E"/>
    <w:pPr>
      <w:widowControl w:val="0"/>
      <w:numPr>
        <w:ilvl w:val="8"/>
        <w:numId w:val="5"/>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A0B4E"/>
    <w:pPr>
      <w:spacing w:before="120" w:after="120"/>
    </w:pPr>
    <w:rPr>
      <w:b/>
    </w:rPr>
  </w:style>
  <w:style w:type="paragraph" w:customStyle="1" w:styleId="ParaNum">
    <w:name w:val="ParaNum"/>
    <w:basedOn w:val="Normal"/>
    <w:pPr>
      <w:widowControl w:val="0"/>
      <w:numPr>
        <w:numId w:val="2"/>
      </w:numPr>
      <w:tabs>
        <w:tab w:val="left" w:pos="1440"/>
      </w:tabs>
      <w:spacing w:after="220"/>
      <w:jc w:val="both"/>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3"/>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rsid w:val="003A0B4E"/>
    <w:pPr>
      <w:jc w:val="center"/>
    </w:pPr>
    <w:rPr>
      <w:b/>
    </w:rPr>
  </w:style>
  <w:style w:type="character" w:styleId="Hyperlink">
    <w:name w:val="Hyperlink"/>
    <w:rPr>
      <w:color w:val="0000FF"/>
      <w:u w:val="single"/>
    </w:rPr>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szCs w:val="16"/>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semiHidden/>
    <w:locked/>
    <w:rsid w:val="00E25281"/>
    <w:rPr>
      <w:lang w:val="en-US" w:eastAsia="en-US" w:bidi="ar-SA"/>
    </w:rPr>
  </w:style>
  <w:style w:type="character" w:styleId="CommentReference">
    <w:name w:val="annotation reference"/>
    <w:semiHidden/>
    <w:rsid w:val="007C2212"/>
    <w:rPr>
      <w:sz w:val="16"/>
      <w:szCs w:val="16"/>
    </w:rPr>
  </w:style>
  <w:style w:type="paragraph" w:styleId="CommentText">
    <w:name w:val="annotation text"/>
    <w:basedOn w:val="Normal"/>
    <w:semiHidden/>
    <w:rsid w:val="007C2212"/>
    <w:rPr>
      <w:sz w:val="20"/>
    </w:rPr>
  </w:style>
  <w:style w:type="paragraph" w:styleId="CommentSubject">
    <w:name w:val="annotation subject"/>
    <w:basedOn w:val="CommentText"/>
    <w:next w:val="CommentText"/>
    <w:semiHidden/>
    <w:rsid w:val="007C2212"/>
    <w:rPr>
      <w:b/>
      <w:bCs/>
    </w:rPr>
  </w:style>
  <w:style w:type="paragraph" w:styleId="ListBullet">
    <w:name w:val="List Bullet"/>
    <w:basedOn w:val="Normal"/>
    <w:rsid w:val="009352EA"/>
    <w:pPr>
      <w:widowControl w:val="0"/>
      <w:numPr>
        <w:numId w:val="4"/>
      </w:numPr>
    </w:pPr>
    <w:rPr>
      <w:snapToGrid w:val="0"/>
      <w:kern w:val="28"/>
      <w:sz w:val="24"/>
      <w:szCs w:val="24"/>
    </w:rPr>
  </w:style>
  <w:style w:type="character" w:styleId="Emphasis">
    <w:name w:val="Emphasis"/>
    <w:uiPriority w:val="20"/>
    <w:qFormat/>
    <w:rsid w:val="003A0B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rtifoss2.fcc.gov/prod/ccb/et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CC@BCPIWEB.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mela.Arluk@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chard.Kwiatkowski@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2571</Words>
  <Characters>13355</Characters>
  <Application>Microsoft Office Word</Application>
  <DocSecurity>0</DocSecurity>
  <Lines>223</Lines>
  <Paragraphs>60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15993</CharactersWithSpaces>
  <SharedDoc>false</SharedDoc>
  <HyperlinkBase> </HyperlinkBase>
  <HLinks>
    <vt:vector size="30" baseType="variant">
      <vt:variant>
        <vt:i4>7209031</vt:i4>
      </vt:variant>
      <vt:variant>
        <vt:i4>12</vt:i4>
      </vt:variant>
      <vt:variant>
        <vt:i4>0</vt:i4>
      </vt:variant>
      <vt:variant>
        <vt:i4>5</vt:i4>
      </vt:variant>
      <vt:variant>
        <vt:lpwstr>mailto:FCC@BCPIWEB.COM</vt:lpwstr>
      </vt:variant>
      <vt:variant>
        <vt:lpwstr/>
      </vt:variant>
      <vt:variant>
        <vt:i4>5767211</vt:i4>
      </vt:variant>
      <vt:variant>
        <vt:i4>9</vt:i4>
      </vt:variant>
      <vt:variant>
        <vt:i4>0</vt:i4>
      </vt:variant>
      <vt:variant>
        <vt:i4>5</vt:i4>
      </vt:variant>
      <vt:variant>
        <vt:lpwstr>mailto:Pamela.Arluk@fcc.gov</vt:lpwstr>
      </vt:variant>
      <vt:variant>
        <vt:lpwstr/>
      </vt:variant>
      <vt:variant>
        <vt:i4>6357012</vt:i4>
      </vt:variant>
      <vt:variant>
        <vt:i4>6</vt:i4>
      </vt:variant>
      <vt:variant>
        <vt:i4>0</vt:i4>
      </vt:variant>
      <vt:variant>
        <vt:i4>5</vt:i4>
      </vt:variant>
      <vt:variant>
        <vt:lpwstr>mailto:Richard.Kwiatkowski@fcc.gov</vt:lpwstr>
      </vt:variant>
      <vt:variant>
        <vt:lpwstr/>
      </vt:variant>
      <vt:variant>
        <vt:i4>3473482</vt:i4>
      </vt:variant>
      <vt:variant>
        <vt:i4>3</vt:i4>
      </vt:variant>
      <vt:variant>
        <vt:i4>0</vt:i4>
      </vt:variant>
      <vt:variant>
        <vt:i4>5</vt:i4>
      </vt:variant>
      <vt:variant>
        <vt:lpwstr>mailto:fcc504@fcc.gov</vt:lpwstr>
      </vt:variant>
      <vt:variant>
        <vt:lpwstr/>
      </vt:variant>
      <vt:variant>
        <vt:i4>327759</vt:i4>
      </vt:variant>
      <vt:variant>
        <vt:i4>0</vt:i4>
      </vt:variant>
      <vt:variant>
        <vt:i4>0</vt:i4>
      </vt:variant>
      <vt:variant>
        <vt:i4>5</vt:i4>
      </vt:variant>
      <vt:variant>
        <vt:lpwstr>http://svartifoss2.fcc.gov/prod/ccb/etfs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2012-03-23T15:53:00Z</cp:lastPrinted>
  <dcterms:created xsi:type="dcterms:W3CDTF">2014-03-25T20:36:00Z</dcterms:created>
  <dcterms:modified xsi:type="dcterms:W3CDTF">2014-03-25T20:36:00Z</dcterms:modified>
  <cp:category> </cp:category>
  <cp:contentStatus> </cp:contentStatus>
</cp:coreProperties>
</file>