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84" w:rsidRDefault="000E5884" w:rsidP="00C82B6B">
      <w:pPr>
        <w:jc w:val="right"/>
        <w:rPr>
          <w:sz w:val="24"/>
        </w:rPr>
      </w:pPr>
      <w:bookmarkStart w:id="0" w:name="_GoBack"/>
      <w:bookmarkEnd w:id="0"/>
    </w:p>
    <w:p w:rsidR="00C82B6B" w:rsidRPr="00854B58" w:rsidRDefault="00350077" w:rsidP="00C82B6B">
      <w:pPr>
        <w:jc w:val="right"/>
        <w:rPr>
          <w:b/>
          <w:sz w:val="24"/>
        </w:rPr>
      </w:pPr>
      <w:r>
        <w:rPr>
          <w:b/>
          <w:sz w:val="24"/>
        </w:rPr>
        <w:t>DA 14-</w:t>
      </w:r>
      <w:r w:rsidR="00C72637">
        <w:rPr>
          <w:b/>
          <w:sz w:val="24"/>
        </w:rPr>
        <w:t>414</w:t>
      </w:r>
    </w:p>
    <w:p w:rsidR="00C82B6B" w:rsidRPr="00854B58" w:rsidRDefault="00350077" w:rsidP="00C82B6B">
      <w:pPr>
        <w:spacing w:before="60"/>
        <w:jc w:val="right"/>
        <w:rPr>
          <w:b/>
          <w:sz w:val="24"/>
        </w:rPr>
      </w:pPr>
      <w:r>
        <w:rPr>
          <w:b/>
          <w:sz w:val="24"/>
        </w:rPr>
        <w:t>Released:  March 27, 2014</w:t>
      </w:r>
    </w:p>
    <w:p w:rsidR="00C82B6B" w:rsidRPr="00854B58" w:rsidRDefault="00C82B6B" w:rsidP="00C82B6B">
      <w:pPr>
        <w:jc w:val="right"/>
        <w:rPr>
          <w:b/>
          <w:sz w:val="24"/>
        </w:rPr>
      </w:pPr>
    </w:p>
    <w:p w:rsidR="00350077" w:rsidRDefault="00350077" w:rsidP="00350077">
      <w:pPr>
        <w:suppressAutoHyphens/>
        <w:jc w:val="center"/>
        <w:rPr>
          <w:b/>
        </w:rPr>
      </w:pPr>
      <w:r>
        <w:rPr>
          <w:b/>
        </w:rPr>
        <w:t xml:space="preserve">WIRELESS TELECOMMUNICATIONS BUREAU SEEKS COMMENT ON </w:t>
      </w:r>
    </w:p>
    <w:p w:rsidR="00350077" w:rsidRDefault="00350077" w:rsidP="00350077">
      <w:pPr>
        <w:suppressAutoHyphens/>
        <w:jc w:val="center"/>
        <w:rPr>
          <w:b/>
        </w:rPr>
      </w:pPr>
      <w:r>
        <w:rPr>
          <w:b/>
        </w:rPr>
        <w:t xml:space="preserve">REQUEST FOR CLARIFICATION OR WAIVER OF THE COMMISSION’S </w:t>
      </w:r>
    </w:p>
    <w:p w:rsidR="00350077" w:rsidRDefault="00350077" w:rsidP="00350077">
      <w:pPr>
        <w:suppressAutoHyphens/>
        <w:jc w:val="center"/>
        <w:rPr>
          <w:b/>
        </w:rPr>
      </w:pPr>
      <w:r>
        <w:rPr>
          <w:b/>
        </w:rPr>
        <w:t>“ATTRIBUTABLE MATERIAL RELATIONSHIP” RULE</w:t>
      </w:r>
    </w:p>
    <w:p w:rsidR="00350077" w:rsidRDefault="00350077" w:rsidP="00350077">
      <w:pPr>
        <w:suppressAutoHyphens/>
        <w:jc w:val="center"/>
        <w:rPr>
          <w:b/>
        </w:rPr>
      </w:pPr>
    </w:p>
    <w:p w:rsidR="00350077" w:rsidRDefault="00350077" w:rsidP="00350077">
      <w:pPr>
        <w:suppressAutoHyphens/>
        <w:jc w:val="center"/>
        <w:rPr>
          <w:b/>
        </w:rPr>
      </w:pPr>
      <w:r>
        <w:rPr>
          <w:b/>
        </w:rPr>
        <w:t>WT Docket No. 05-211</w:t>
      </w:r>
    </w:p>
    <w:p w:rsidR="00350077" w:rsidRDefault="00350077" w:rsidP="00350077">
      <w:pPr>
        <w:suppressAutoHyphens/>
        <w:jc w:val="center"/>
        <w:rPr>
          <w:b/>
        </w:rPr>
      </w:pPr>
      <w:r>
        <w:rPr>
          <w:b/>
        </w:rPr>
        <w:t>GN Docket No. 12-268</w:t>
      </w:r>
    </w:p>
    <w:p w:rsidR="00350077" w:rsidRPr="00C41922" w:rsidRDefault="00350077" w:rsidP="00350077">
      <w:pPr>
        <w:suppressAutoHyphens/>
        <w:jc w:val="center"/>
        <w:rPr>
          <w:b/>
        </w:rPr>
      </w:pPr>
      <w:r>
        <w:rPr>
          <w:b/>
        </w:rPr>
        <w:t>GN Docket No. 13-185</w:t>
      </w:r>
    </w:p>
    <w:p w:rsidR="00350077" w:rsidRDefault="00350077" w:rsidP="00350077">
      <w:pPr>
        <w:rPr>
          <w:sz w:val="24"/>
        </w:rPr>
      </w:pPr>
    </w:p>
    <w:p w:rsidR="00350077" w:rsidRDefault="00350077" w:rsidP="00350077">
      <w:pPr>
        <w:suppressAutoHyphens/>
        <w:rPr>
          <w:b/>
        </w:rPr>
      </w:pPr>
      <w:r>
        <w:rPr>
          <w:b/>
        </w:rPr>
        <w:t xml:space="preserve">Comment Date: </w:t>
      </w:r>
      <w:r w:rsidR="0052697A">
        <w:rPr>
          <w:b/>
        </w:rPr>
        <w:t xml:space="preserve"> </w:t>
      </w:r>
      <w:r w:rsidRPr="00372DD8">
        <w:rPr>
          <w:b/>
        </w:rPr>
        <w:t xml:space="preserve">April </w:t>
      </w:r>
      <w:r>
        <w:rPr>
          <w:b/>
        </w:rPr>
        <w:t>25</w:t>
      </w:r>
      <w:r w:rsidRPr="00372DD8">
        <w:rPr>
          <w:b/>
        </w:rPr>
        <w:t>, 2014</w:t>
      </w:r>
      <w:r>
        <w:rPr>
          <w:b/>
        </w:rPr>
        <w:t xml:space="preserve"> </w:t>
      </w:r>
    </w:p>
    <w:p w:rsidR="00350077" w:rsidRDefault="00350077" w:rsidP="00350077">
      <w:pPr>
        <w:suppressAutoHyphens/>
        <w:rPr>
          <w:b/>
        </w:rPr>
      </w:pPr>
      <w:r>
        <w:rPr>
          <w:b/>
        </w:rPr>
        <w:t xml:space="preserve">Reply Comment Date: </w:t>
      </w:r>
      <w:r w:rsidR="0052697A">
        <w:rPr>
          <w:b/>
        </w:rPr>
        <w:t xml:space="preserve"> </w:t>
      </w:r>
      <w:r w:rsidRPr="00372DD8">
        <w:rPr>
          <w:b/>
        </w:rPr>
        <w:t xml:space="preserve">May </w:t>
      </w:r>
      <w:r>
        <w:rPr>
          <w:b/>
        </w:rPr>
        <w:t>9</w:t>
      </w:r>
      <w:r w:rsidRPr="00372DD8">
        <w:rPr>
          <w:b/>
        </w:rPr>
        <w:t>, 2014</w:t>
      </w:r>
    </w:p>
    <w:p w:rsidR="00350077" w:rsidRDefault="00350077" w:rsidP="00350077">
      <w:pPr>
        <w:rPr>
          <w:sz w:val="24"/>
        </w:rPr>
      </w:pPr>
    </w:p>
    <w:p w:rsidR="00350077" w:rsidRDefault="00350077" w:rsidP="00350077">
      <w:pPr>
        <w:ind w:firstLine="720"/>
      </w:pPr>
      <w:r>
        <w:t>On March 4, 2014, G</w:t>
      </w:r>
      <w:r w:rsidR="0052697A">
        <w:t>r</w:t>
      </w:r>
      <w:r>
        <w:t>ain Management, LLC (Grain) filed a request for clarification or waiver of the Commission’s “attributable material relationship” rule, 47 C.F.R</w:t>
      </w:r>
      <w:r w:rsidRPr="00AD6EB9">
        <w:t xml:space="preserve"> § 1.</w:t>
      </w:r>
      <w:r>
        <w:t>2110(b)(3)(iv)(A).</w:t>
      </w:r>
      <w:r>
        <w:rPr>
          <w:rStyle w:val="FootnoteReference"/>
        </w:rPr>
        <w:footnoteReference w:id="2"/>
      </w:r>
      <w:r w:rsidRPr="00AD6EB9">
        <w:t xml:space="preserve">  </w:t>
      </w:r>
    </w:p>
    <w:p w:rsidR="00350077" w:rsidRDefault="00350077" w:rsidP="00350077">
      <w:pPr>
        <w:ind w:firstLine="720"/>
      </w:pPr>
    </w:p>
    <w:p w:rsidR="00350077" w:rsidRDefault="00350077" w:rsidP="0052697A">
      <w:pPr>
        <w:ind w:firstLine="720"/>
      </w:pPr>
      <w:r>
        <w:t xml:space="preserve">By this Public Notice, we invite interested parties to file comments on the above Request for Clarification or Waiver filed by Grain.  A copy of the waiver request can be </w:t>
      </w:r>
      <w:r w:rsidRPr="00A7330B">
        <w:t>found in the docket file</w:t>
      </w:r>
      <w:r>
        <w:t xml:space="preserve">.  </w:t>
      </w:r>
      <w:r w:rsidRPr="00C93A94">
        <w:t>Pursuant to sections 1.415 and 1.419 of the Commission’s rules</w:t>
      </w:r>
      <w:r w:rsidRPr="00C93A94">
        <w:rPr>
          <w:rStyle w:val="FootnoteReference"/>
        </w:rPr>
        <w:footnoteReference w:id="3"/>
      </w:r>
      <w:r w:rsidRPr="00C93A94">
        <w:t xml:space="preserve"> interested parties may file comments and reply comments on or before the dates indicated above.  All such filings should refer to </w:t>
      </w:r>
      <w:r w:rsidRPr="00C93A94">
        <w:rPr>
          <w:b/>
        </w:rPr>
        <w:t xml:space="preserve">WT Docket No </w:t>
      </w:r>
      <w:r>
        <w:rPr>
          <w:b/>
        </w:rPr>
        <w:t>05-211, GN Docket No. 12-268 and GN Docket No. 13-185</w:t>
      </w:r>
      <w:r w:rsidRPr="00C93A94">
        <w:t>.</w:t>
      </w:r>
      <w:r>
        <w:t xml:space="preserve"> </w:t>
      </w:r>
      <w:r w:rsidR="0052697A">
        <w:t xml:space="preserve"> </w:t>
      </w:r>
      <w:r>
        <w:t xml:space="preserve">Comments may be filed using the Commission’s Electronic Comment Filing System (ECFS).  </w:t>
      </w:r>
      <w:r>
        <w:rPr>
          <w:i/>
        </w:rPr>
        <w:t>See Electronic Filing of Documents in Rulemaking Proceedings</w:t>
      </w:r>
      <w:r>
        <w:t>, 63 FR 24121 (1998).</w:t>
      </w:r>
    </w:p>
    <w:p w:rsidR="00350077" w:rsidRDefault="00350077" w:rsidP="00350077"/>
    <w:p w:rsidR="00350077" w:rsidRDefault="00350077" w:rsidP="00350077">
      <w:pPr>
        <w:widowControl/>
        <w:numPr>
          <w:ilvl w:val="0"/>
          <w:numId w:val="9"/>
        </w:numPr>
      </w:pPr>
      <w:r>
        <w:t xml:space="preserve">Electronic Filers:  Comments may be filed electronically using the Internet by accessing the ECFS:  </w:t>
      </w:r>
      <w:hyperlink r:id="rId8" w:history="1">
        <w:r>
          <w:rPr>
            <w:rStyle w:val="Hyperlink"/>
          </w:rPr>
          <w:t>http://fjallfoss.fcc.gov/ecfs2/</w:t>
        </w:r>
      </w:hyperlink>
      <w:r>
        <w:t xml:space="preserve">.  </w:t>
      </w:r>
    </w:p>
    <w:p w:rsidR="00350077" w:rsidRDefault="00350077" w:rsidP="00350077"/>
    <w:p w:rsidR="00350077" w:rsidRDefault="00350077" w:rsidP="00350077">
      <w:pPr>
        <w:widowControl/>
        <w:numPr>
          <w:ilvl w:val="0"/>
          <w:numId w:val="7"/>
        </w:numPr>
      </w:pPr>
      <w: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350077" w:rsidRDefault="00350077" w:rsidP="00350077"/>
    <w:p w:rsidR="00350077" w:rsidRDefault="00350077" w:rsidP="00350077">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350077" w:rsidRDefault="00350077" w:rsidP="00350077"/>
    <w:p w:rsidR="00350077" w:rsidRDefault="00350077" w:rsidP="00350077">
      <w:pPr>
        <w:widowControl/>
        <w:numPr>
          <w:ilvl w:val="0"/>
          <w:numId w:val="8"/>
        </w:numPr>
      </w:pPr>
      <w:r>
        <w:lastRenderedPageBreak/>
        <w:t>All hand-delivered or messenger-delivered paper filings for the Commission’s Secretary must be delivered to FCC Headquarters at 445 12</w:t>
      </w:r>
      <w:r>
        <w:rPr>
          <w:vertAlign w:val="superscript"/>
        </w:rPr>
        <w:t>th</w:t>
      </w:r>
      <w:r>
        <w:t xml:space="preserve"> St., SW, Room TW-A325, Washington, DC 20554.  The filing h</w:t>
      </w:r>
      <w:r w:rsidR="0052697A">
        <w:t>ours are 8:00 a.m. to 7:00 p.m.</w:t>
      </w:r>
      <w:r>
        <w:t xml:space="preserve">  All hand deliveries must be held together with rubber bands or fasteners.  Any envelopes and boxes must be disposed of </w:t>
      </w:r>
      <w:r>
        <w:rPr>
          <w:u w:val="single"/>
        </w:rPr>
        <w:t>before</w:t>
      </w:r>
      <w:r>
        <w:t xml:space="preserve"> entering the building.  </w:t>
      </w:r>
    </w:p>
    <w:p w:rsidR="00350077" w:rsidRDefault="00350077" w:rsidP="00350077">
      <w:pPr>
        <w:ind w:left="1080"/>
      </w:pPr>
    </w:p>
    <w:p w:rsidR="00350077" w:rsidRDefault="00350077" w:rsidP="00350077">
      <w:pPr>
        <w:widowControl/>
        <w:numPr>
          <w:ilvl w:val="0"/>
          <w:numId w:val="8"/>
        </w:numPr>
      </w:pPr>
      <w:r>
        <w:t>Commercial overnight mail (other than U.S. Postal Service Express Mail and Priority Mail) must be sent to 9300 East Hampton Drive, Capitol Heights, MD 20743.</w:t>
      </w:r>
    </w:p>
    <w:p w:rsidR="00350077" w:rsidRDefault="00350077" w:rsidP="00350077"/>
    <w:p w:rsidR="00350077" w:rsidRDefault="00350077" w:rsidP="0052697A">
      <w:pPr>
        <w:keepNext/>
        <w:widowControl/>
        <w:numPr>
          <w:ilvl w:val="0"/>
          <w:numId w:val="8"/>
        </w:numPr>
      </w:pPr>
      <w:r>
        <w:t>U.S. Postal Service first-class, Express, and Priority mail must be addressed to 445 12</w:t>
      </w:r>
      <w:r>
        <w:rPr>
          <w:vertAlign w:val="superscript"/>
        </w:rPr>
        <w:t>th</w:t>
      </w:r>
      <w:r>
        <w:t xml:space="preserve"> Street, SW, Washington DC  20554.</w:t>
      </w:r>
    </w:p>
    <w:p w:rsidR="00350077" w:rsidRDefault="00350077" w:rsidP="00350077"/>
    <w:p w:rsidR="00350077" w:rsidRDefault="00350077" w:rsidP="00350077">
      <w:r>
        <w:t xml:space="preserve">People with Disabilities:  To request materials in accessible formats for people with disabilities (braille, large print, electronic files, audio format), send an e-mail to </w:t>
      </w:r>
      <w:hyperlink r:id="rId9" w:history="1">
        <w:r>
          <w:rPr>
            <w:rStyle w:val="Hyperlink"/>
          </w:rPr>
          <w:t>fcc504@fcc.gov</w:t>
        </w:r>
      </w:hyperlink>
      <w:r>
        <w:t xml:space="preserve"> or call the Consumer &amp; Governmental Affairs Bureau at 202-418-0530 (voice), 202-418-0432 (tty).</w:t>
      </w:r>
    </w:p>
    <w:p w:rsidR="00350077" w:rsidRDefault="00350077" w:rsidP="00350077"/>
    <w:p w:rsidR="00350077" w:rsidRDefault="00350077" w:rsidP="00350077">
      <w:pPr>
        <w:ind w:firstLine="720"/>
      </w:pPr>
      <w:r>
        <w:t>All filings must be addressed to the Commission’s Secretary, Marlene H. Dortch, Office of the Secretary, Federal Communications Commission, 445 12th Street, SW, Washington, DC 20554.  Parties should also send a copy of their filings to Kelly A. Quinn, by e-mail to kelly.quinn@fcc.gov.  Parties must also serve one copy with the Commission’s copy contractor, Best Copy and Printing, Inc. (BCPI), Portals II, 445 12th Street, SW, Room CY-B402, Washington, DC 20554, (202) 488-5300, or via e-mail to fcc@bcpiweb.com.</w:t>
      </w:r>
    </w:p>
    <w:p w:rsidR="00350077" w:rsidRDefault="00350077" w:rsidP="00350077">
      <w:pPr>
        <w:ind w:firstLine="720"/>
      </w:pPr>
    </w:p>
    <w:p w:rsidR="00350077" w:rsidRDefault="00350077" w:rsidP="00350077">
      <w:pPr>
        <w:ind w:firstLine="720"/>
      </w:pPr>
      <w:r>
        <w:t>Documents are available for public inspection and copying during business hours at the FCC Reference Information Center, Portals II, 445 12th Street, SW, Room CY</w:t>
      </w:r>
      <w:r>
        <w:noBreakHyphen/>
        <w:t xml:space="preserve">A257, Washington, DC 20554. The documents may also be purchased from BCPI, telephone (202) 488-5300, facsimile (202) 488-5563, TTY (202) 488-5562, e-mail fcc@bcpiweb.com.  </w:t>
      </w:r>
    </w:p>
    <w:p w:rsidR="00350077" w:rsidRDefault="00350077" w:rsidP="00350077"/>
    <w:p w:rsidR="00350077" w:rsidRDefault="00350077" w:rsidP="00350077">
      <w:pPr>
        <w:rPr>
          <w:spacing w:val="-3"/>
          <w:szCs w:val="22"/>
        </w:rPr>
      </w:pPr>
      <w:r>
        <w:rPr>
          <w:spacing w:val="-3"/>
          <w:szCs w:val="22"/>
        </w:rPr>
        <w:t>Auctions and Spectrum Access Division, Wireless Telecommunications Bureau Contact:  Kelly A. Quinn at (202) 418-7384 or kelly.quinn@fcc.gov.</w:t>
      </w:r>
    </w:p>
    <w:p w:rsidR="00350077" w:rsidRDefault="00350077" w:rsidP="00350077">
      <w:pPr>
        <w:rPr>
          <w:spacing w:val="-3"/>
          <w:szCs w:val="22"/>
        </w:rPr>
      </w:pPr>
    </w:p>
    <w:p w:rsidR="00350077" w:rsidRDefault="00350077" w:rsidP="00350077">
      <w:pPr>
        <w:rPr>
          <w:spacing w:val="-3"/>
          <w:szCs w:val="22"/>
        </w:rPr>
      </w:pPr>
    </w:p>
    <w:p w:rsidR="00350077" w:rsidRPr="00350077" w:rsidRDefault="00350077" w:rsidP="00350077">
      <w:pPr>
        <w:ind w:left="3600" w:firstLine="720"/>
        <w:rPr>
          <w:b/>
        </w:rPr>
      </w:pPr>
      <w:r w:rsidRPr="00350077">
        <w:rPr>
          <w:b/>
          <w:spacing w:val="-3"/>
          <w:szCs w:val="22"/>
        </w:rPr>
        <w:t>-</w:t>
      </w:r>
      <w:r>
        <w:rPr>
          <w:b/>
          <w:spacing w:val="-3"/>
          <w:szCs w:val="22"/>
        </w:rPr>
        <w:t xml:space="preserve"> </w:t>
      </w:r>
      <w:r w:rsidRPr="00350077">
        <w:rPr>
          <w:b/>
          <w:spacing w:val="-3"/>
          <w:szCs w:val="22"/>
        </w:rPr>
        <w:t>FCC</w:t>
      </w:r>
      <w:r>
        <w:rPr>
          <w:b/>
          <w:spacing w:val="-3"/>
          <w:szCs w:val="22"/>
        </w:rPr>
        <w:t xml:space="preserve"> </w:t>
      </w:r>
      <w:r w:rsidRPr="00350077">
        <w:rPr>
          <w:b/>
          <w:spacing w:val="-3"/>
          <w:szCs w:val="22"/>
        </w:rPr>
        <w:t>-</w:t>
      </w:r>
    </w:p>
    <w:p w:rsidR="00350077" w:rsidRPr="00350077" w:rsidRDefault="00350077" w:rsidP="00350077">
      <w:pPr>
        <w:pStyle w:val="ParaNum"/>
        <w:numPr>
          <w:ilvl w:val="0"/>
          <w:numId w:val="0"/>
        </w:numPr>
      </w:pPr>
    </w:p>
    <w:sectPr w:rsidR="00350077" w:rsidRPr="00350077" w:rsidSect="000E588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22A" w:rsidRDefault="0050522A">
      <w:pPr>
        <w:spacing w:line="20" w:lineRule="exact"/>
      </w:pPr>
    </w:p>
  </w:endnote>
  <w:endnote w:type="continuationSeparator" w:id="0">
    <w:p w:rsidR="0050522A" w:rsidRDefault="0050522A">
      <w:r>
        <w:t xml:space="preserve"> </w:t>
      </w:r>
    </w:p>
  </w:endnote>
  <w:endnote w:type="continuationNotice" w:id="1">
    <w:p w:rsidR="0050522A" w:rsidRDefault="005052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rsidP="0055614C">
    <w:pPr>
      <w:pStyle w:val="Footer"/>
      <w:framePr w:wrap="around" w:vAnchor="text" w:hAnchor="margin" w:xAlign="center" w:y="1"/>
    </w:pPr>
    <w:r>
      <w:fldChar w:fldCharType="begin"/>
    </w:r>
    <w:r>
      <w:instrText xml:space="preserve">PAGE  </w:instrText>
    </w:r>
    <w:r>
      <w:fldChar w:fldCharType="end"/>
    </w:r>
  </w:p>
  <w:p w:rsidR="006F7393" w:rsidRDefault="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rsidP="0055614C">
    <w:pPr>
      <w:pStyle w:val="Footer"/>
      <w:framePr w:wrap="around" w:vAnchor="text" w:hAnchor="margin" w:xAlign="center" w:y="1"/>
    </w:pPr>
    <w:r>
      <w:fldChar w:fldCharType="begin"/>
    </w:r>
    <w:r>
      <w:instrText xml:space="preserve">PAGE  </w:instrText>
    </w:r>
    <w:r>
      <w:fldChar w:fldCharType="separate"/>
    </w:r>
    <w:r w:rsidR="001F57AC">
      <w:rPr>
        <w:noProof/>
      </w:rPr>
      <w:t>2</w:t>
    </w:r>
    <w:r>
      <w:fldChar w:fldCharType="end"/>
    </w:r>
  </w:p>
  <w:p w:rsidR="006F7393" w:rsidRDefault="006F7393">
    <w:pPr>
      <w:spacing w:before="140" w:line="100" w:lineRule="exact"/>
      <w:rPr>
        <w:sz w:val="10"/>
      </w:rPr>
    </w:pPr>
  </w:p>
  <w:p w:rsidR="006F7393" w:rsidRDefault="006F7393">
    <w:pPr>
      <w:suppressAutoHyphens/>
      <w:spacing w:line="227" w:lineRule="auto"/>
    </w:pPr>
  </w:p>
  <w:p w:rsidR="006F7393" w:rsidRDefault="006F7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22A" w:rsidRDefault="0050522A">
      <w:r>
        <w:separator/>
      </w:r>
    </w:p>
  </w:footnote>
  <w:footnote w:type="continuationSeparator" w:id="0">
    <w:p w:rsidR="0050522A" w:rsidRDefault="0050522A">
      <w:pPr>
        <w:rPr>
          <w:sz w:val="20"/>
        </w:rPr>
      </w:pPr>
      <w:r>
        <w:rPr>
          <w:sz w:val="20"/>
        </w:rPr>
        <w:t xml:space="preserve">(Continued from previous page)  </w:t>
      </w:r>
      <w:r>
        <w:rPr>
          <w:sz w:val="20"/>
        </w:rPr>
        <w:separator/>
      </w:r>
    </w:p>
  </w:footnote>
  <w:footnote w:type="continuationNotice" w:id="1">
    <w:p w:rsidR="0050522A" w:rsidRDefault="0050522A">
      <w:pPr>
        <w:rPr>
          <w:sz w:val="20"/>
        </w:rPr>
      </w:pPr>
      <w:r>
        <w:rPr>
          <w:sz w:val="20"/>
        </w:rPr>
        <w:t>(continued….)</w:t>
      </w:r>
    </w:p>
  </w:footnote>
  <w:footnote w:id="2">
    <w:p w:rsidR="00350077" w:rsidRDefault="00350077" w:rsidP="00350077">
      <w:pPr>
        <w:pStyle w:val="FootnoteText"/>
      </w:pPr>
      <w:r>
        <w:rPr>
          <w:rStyle w:val="FootnoteReference"/>
        </w:rPr>
        <w:footnoteRef/>
      </w:r>
      <w:r>
        <w:t xml:space="preserve"> </w:t>
      </w:r>
      <w:r w:rsidRPr="005E676A">
        <w:t xml:space="preserve">In the </w:t>
      </w:r>
      <w:r>
        <w:t>M</w:t>
      </w:r>
      <w:r w:rsidRPr="005E676A">
        <w:t xml:space="preserve">atter of </w:t>
      </w:r>
      <w:r>
        <w:t xml:space="preserve">Implementation of the Commercial Spectrum Enhancement Act and Modernization of the Commission’s Competitive Bidding Rules and Procedures </w:t>
      </w:r>
      <w:r>
        <w:rPr>
          <w:i/>
        </w:rPr>
        <w:t>et al.</w:t>
      </w:r>
      <w:r>
        <w:t>, Request for Clarification or Waiver, dated and filed March 4, 2014.  On March 18, 2013, Council Tree Investors, Inc. filed a letter in support of Grain’s request.  Letter to Marlene H. Dortch, Secretary, Federal Communications Commission, Office of the Secretary from Steve Hillard, Council Tree Investors, Inc. (Mar. 18, 2013).</w:t>
      </w:r>
    </w:p>
  </w:footnote>
  <w:footnote w:id="3">
    <w:p w:rsidR="00350077" w:rsidRDefault="00350077" w:rsidP="00350077">
      <w:pPr>
        <w:pStyle w:val="FootnoteText"/>
      </w:pPr>
      <w:r>
        <w:rPr>
          <w:rStyle w:val="FootnoteReference"/>
        </w:rPr>
        <w:footnoteRef/>
      </w:r>
      <w:r>
        <w:t xml:space="preserve"> 47 C.F.R §§ 1.415, 1.419.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C5" w:rsidRDefault="00085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Pr="0052697A" w:rsidRDefault="006F7393" w:rsidP="00837C62">
    <w:pPr>
      <w:pStyle w:val="Header"/>
      <w:rPr>
        <w:rFonts w:ascii="Times New Roman" w:hAnsi="Times New Roman" w:cs="Times New Roman"/>
      </w:rPr>
    </w:pPr>
    <w:r>
      <w:tab/>
    </w:r>
    <w:r w:rsidRPr="0052697A">
      <w:rPr>
        <w:rFonts w:ascii="Times New Roman" w:hAnsi="Times New Roman" w:cs="Times New Roman"/>
        <w:sz w:val="24"/>
        <w:szCs w:val="24"/>
      </w:rPr>
      <w:t>Federal Communications Commission</w:t>
    </w:r>
    <w:r w:rsidRPr="0052697A">
      <w:rPr>
        <w:rFonts w:ascii="Times New Roman" w:hAnsi="Times New Roman" w:cs="Times New Roman"/>
      </w:rPr>
      <w:tab/>
    </w:r>
    <w:r w:rsidR="00350077" w:rsidRPr="0052697A">
      <w:rPr>
        <w:rFonts w:ascii="Times New Roman" w:hAnsi="Times New Roman" w:cs="Times New Roman"/>
        <w:sz w:val="22"/>
        <w:szCs w:val="22"/>
      </w:rPr>
      <w:t>DA 14-</w:t>
    </w:r>
    <w:r w:rsidR="00C72637">
      <w:rPr>
        <w:rFonts w:ascii="Times New Roman" w:hAnsi="Times New Roman" w:cs="Times New Roman"/>
        <w:sz w:val="22"/>
        <w:szCs w:val="22"/>
      </w:rPr>
      <w:t>414</w:t>
    </w:r>
  </w:p>
  <w:p w:rsidR="006F7393" w:rsidRDefault="003500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5680" behindDoc="1" locked="0" layoutInCell="0" allowOverlap="1" wp14:anchorId="525403CA" wp14:editId="7C223971">
              <wp:simplePos x="0" y="0"/>
              <wp:positionH relativeFrom="margin">
                <wp:posOffset>0</wp:posOffset>
              </wp:positionH>
              <wp:positionV relativeFrom="paragraph">
                <wp:posOffset>0</wp:posOffset>
              </wp:positionV>
              <wp:extent cx="5943600" cy="1206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6F7393" w:rsidRDefault="006F739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6B" w:rsidRPr="00837C62" w:rsidRDefault="00350077" w:rsidP="00837C62">
    <w:pPr>
      <w:pStyle w:val="Header"/>
    </w:pPr>
    <w:r>
      <w:rPr>
        <w:noProof/>
        <w:snapToGrid/>
      </w:rPr>
      <w:drawing>
        <wp:anchor distT="0" distB="0" distL="114300" distR="114300" simplePos="0" relativeHeight="251659776" behindDoc="0" locked="0" layoutInCell="0" allowOverlap="1" wp14:anchorId="6FFFBE23" wp14:editId="412E3E8C">
          <wp:simplePos x="0" y="0"/>
          <wp:positionH relativeFrom="column">
            <wp:posOffset>30480</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2B6B" w:rsidRPr="00837C62">
      <w:t>PUBLIC NOTICE</w:t>
    </w:r>
  </w:p>
  <w:p w:rsidR="00C82B6B" w:rsidRDefault="00350077" w:rsidP="00837C62">
    <w:pPr>
      <w:pStyle w:val="Header"/>
      <w:rPr>
        <w:sz w:val="28"/>
      </w:rPr>
    </w:pPr>
    <w:r>
      <w:rPr>
        <w:noProof/>
        <w:snapToGrid/>
      </w:rPr>
      <mc:AlternateContent>
        <mc:Choice Requires="wps">
          <w:drawing>
            <wp:anchor distT="0" distB="0" distL="114300" distR="114300" simplePos="0" relativeHeight="251656704" behindDoc="0" locked="0" layoutInCell="0" allowOverlap="1" wp14:anchorId="2622680A" wp14:editId="10FDFFAF">
              <wp:simplePos x="0" y="0"/>
              <wp:positionH relativeFrom="column">
                <wp:posOffset>-34290</wp:posOffset>
              </wp:positionH>
              <wp:positionV relativeFrom="paragraph">
                <wp:posOffset>30480</wp:posOffset>
              </wp:positionV>
              <wp:extent cx="3108960" cy="640080"/>
              <wp:effectExtent l="3810" t="1905"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B6B" w:rsidRDefault="00C82B6B" w:rsidP="00C82B6B">
                          <w:pPr>
                            <w:rPr>
                              <w:rFonts w:ascii="Arial" w:hAnsi="Arial"/>
                              <w:b/>
                            </w:rPr>
                          </w:pPr>
                          <w:r>
                            <w:rPr>
                              <w:rFonts w:ascii="Arial" w:hAnsi="Arial"/>
                              <w:b/>
                            </w:rPr>
                            <w:t>Federal Communications Commission</w:t>
                          </w:r>
                        </w:p>
                        <w:p w:rsidR="00C82B6B" w:rsidRDefault="00C82B6B" w:rsidP="00C82B6B">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C82B6B" w:rsidRDefault="00C82B6B" w:rsidP="00C82B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4pt;width:244.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" o:allowincell="f" stroked="f">
              <v:textbox>
                <w:txbxContent>
                  <w:p w:rsidR="00C82B6B" w:rsidRDefault="00C82B6B" w:rsidP="00C82B6B">
                    <w:pPr>
                      <w:rPr>
                        <w:rFonts w:ascii="Arial" w:hAnsi="Arial"/>
                        <w:b/>
                      </w:rPr>
                    </w:pPr>
                    <w:r>
                      <w:rPr>
                        <w:rFonts w:ascii="Arial" w:hAnsi="Arial"/>
                        <w:b/>
                      </w:rPr>
                      <w:t>Federal Communications Commission</w:t>
                    </w:r>
                  </w:p>
                  <w:p w:rsidR="00C82B6B" w:rsidRDefault="00C82B6B" w:rsidP="00C82B6B">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C82B6B" w:rsidRDefault="00C82B6B" w:rsidP="00C82B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noProof/>
        <w:snapToGrid/>
        <w:sz w:val="24"/>
      </w:rPr>
      <mc:AlternateContent>
        <mc:Choice Requires="wps">
          <w:drawing>
            <wp:anchor distT="0" distB="0" distL="114300" distR="114300" simplePos="0" relativeHeight="251658752" behindDoc="0" locked="0" layoutInCell="0" allowOverlap="1" wp14:anchorId="7B468AF4" wp14:editId="5C4D9D30">
              <wp:simplePos x="0" y="0"/>
              <wp:positionH relativeFrom="column">
                <wp:posOffset>3362960</wp:posOffset>
              </wp:positionH>
              <wp:positionV relativeFrom="paragraph">
                <wp:posOffset>130175</wp:posOffset>
              </wp:positionV>
              <wp:extent cx="2640965" cy="548640"/>
              <wp:effectExtent l="63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B6B" w:rsidRDefault="00C82B6B" w:rsidP="00C82B6B">
                          <w:pPr>
                            <w:spacing w:before="40"/>
                            <w:jc w:val="right"/>
                            <w:rPr>
                              <w:rFonts w:ascii="Arial" w:hAnsi="Arial"/>
                              <w:b/>
                              <w:sz w:val="16"/>
                            </w:rPr>
                          </w:pPr>
                          <w:r>
                            <w:rPr>
                              <w:rFonts w:ascii="Arial" w:hAnsi="Arial"/>
                              <w:b/>
                              <w:sz w:val="16"/>
                            </w:rPr>
                            <w:t>News Media Information 202 / 418-0500</w:t>
                          </w:r>
                        </w:p>
                        <w:p w:rsidR="00C82B6B" w:rsidRDefault="00C82B6B" w:rsidP="00C82B6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82B6B" w:rsidRDefault="00C82B6B" w:rsidP="00C82B6B">
                          <w:pPr>
                            <w:jc w:val="right"/>
                            <w:rPr>
                              <w:rFonts w:ascii="Arial" w:hAnsi="Arial"/>
                              <w:b/>
                              <w:sz w:val="16"/>
                            </w:rPr>
                          </w:pPr>
                          <w:r>
                            <w:rPr>
                              <w:rFonts w:ascii="Arial" w:hAnsi="Arial"/>
                              <w:b/>
                              <w:sz w:val="16"/>
                            </w:rPr>
                            <w:t>TTY: 1-888-835-5322</w:t>
                          </w:r>
                        </w:p>
                        <w:p w:rsidR="00C82B6B" w:rsidRDefault="00C82B6B" w:rsidP="00C82B6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4.8pt;margin-top:10.25pt;width:207.95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g4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" o:allowincell="f" stroked="f">
              <v:textbox inset=",0,,0">
                <w:txbxContent>
                  <w:p w:rsidR="00C82B6B" w:rsidRDefault="00C82B6B" w:rsidP="00C82B6B">
                    <w:pPr>
                      <w:spacing w:before="40"/>
                      <w:jc w:val="right"/>
                      <w:rPr>
                        <w:rFonts w:ascii="Arial" w:hAnsi="Arial"/>
                        <w:b/>
                        <w:sz w:val="16"/>
                      </w:rPr>
                    </w:pPr>
                    <w:r>
                      <w:rPr>
                        <w:rFonts w:ascii="Arial" w:hAnsi="Arial"/>
                        <w:b/>
                        <w:sz w:val="16"/>
                      </w:rPr>
                      <w:t>News Media Information 202 / 418-0500</w:t>
                    </w:r>
                  </w:p>
                  <w:p w:rsidR="00C82B6B" w:rsidRDefault="00C82B6B" w:rsidP="00C82B6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C82B6B" w:rsidRDefault="00C82B6B" w:rsidP="00C82B6B">
                    <w:pPr>
                      <w:jc w:val="right"/>
                      <w:rPr>
                        <w:rFonts w:ascii="Arial" w:hAnsi="Arial"/>
                        <w:b/>
                        <w:sz w:val="16"/>
                      </w:rPr>
                    </w:pPr>
                    <w:r>
                      <w:rPr>
                        <w:rFonts w:ascii="Arial" w:hAnsi="Arial"/>
                        <w:b/>
                        <w:sz w:val="16"/>
                      </w:rPr>
                      <w:t>TTY: 1-888-835-5322</w:t>
                    </w:r>
                  </w:p>
                  <w:p w:rsidR="00C82B6B" w:rsidRDefault="00C82B6B" w:rsidP="00C82B6B">
                    <w:pPr>
                      <w:jc w:val="right"/>
                    </w:pPr>
                  </w:p>
                </w:txbxContent>
              </v:textbox>
            </v:shape>
          </w:pict>
        </mc:Fallback>
      </mc:AlternateContent>
    </w:r>
  </w:p>
  <w:p w:rsidR="006F7393" w:rsidRPr="00C82B6B" w:rsidRDefault="00350077" w:rsidP="00837C62">
    <w:pPr>
      <w:pStyle w:val="Header"/>
    </w:pPr>
    <w:r>
      <w:rPr>
        <w:noProof/>
        <w:snapToGrid/>
      </w:rPr>
      <mc:AlternateContent>
        <mc:Choice Requires="wps">
          <w:drawing>
            <wp:anchor distT="0" distB="0" distL="114300" distR="114300" simplePos="0" relativeHeight="251657728" behindDoc="0" locked="0" layoutInCell="0" allowOverlap="1" wp14:anchorId="28941F84" wp14:editId="5589E611">
              <wp:simplePos x="0" y="0"/>
              <wp:positionH relativeFrom="column">
                <wp:posOffset>30480</wp:posOffset>
              </wp:positionH>
              <wp:positionV relativeFrom="paragraph">
                <wp:posOffset>493395</wp:posOffset>
              </wp:positionV>
              <wp:extent cx="5913120" cy="0"/>
              <wp:effectExtent l="11430"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8.85pt" to="468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v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77"/>
    <w:rsid w:val="00022613"/>
    <w:rsid w:val="00036039"/>
    <w:rsid w:val="00037F90"/>
    <w:rsid w:val="000852C5"/>
    <w:rsid w:val="000875BF"/>
    <w:rsid w:val="00096D8C"/>
    <w:rsid w:val="000C0B65"/>
    <w:rsid w:val="000E3D42"/>
    <w:rsid w:val="000E5884"/>
    <w:rsid w:val="00122BD5"/>
    <w:rsid w:val="001D6BCF"/>
    <w:rsid w:val="001E01CA"/>
    <w:rsid w:val="001F57AC"/>
    <w:rsid w:val="00226822"/>
    <w:rsid w:val="00285017"/>
    <w:rsid w:val="002A2D2E"/>
    <w:rsid w:val="00343749"/>
    <w:rsid w:val="00350077"/>
    <w:rsid w:val="003B0550"/>
    <w:rsid w:val="003B694F"/>
    <w:rsid w:val="003F171C"/>
    <w:rsid w:val="0041223B"/>
    <w:rsid w:val="00412FC5"/>
    <w:rsid w:val="00422276"/>
    <w:rsid w:val="004242F1"/>
    <w:rsid w:val="00445A00"/>
    <w:rsid w:val="00451B0F"/>
    <w:rsid w:val="00496106"/>
    <w:rsid w:val="004C12D0"/>
    <w:rsid w:val="004C2EE3"/>
    <w:rsid w:val="004E4A22"/>
    <w:rsid w:val="0050522A"/>
    <w:rsid w:val="00511968"/>
    <w:rsid w:val="0052697A"/>
    <w:rsid w:val="0055614C"/>
    <w:rsid w:val="00607BA5"/>
    <w:rsid w:val="00626EB6"/>
    <w:rsid w:val="00655D03"/>
    <w:rsid w:val="00683F84"/>
    <w:rsid w:val="006A6A81"/>
    <w:rsid w:val="006E26AF"/>
    <w:rsid w:val="006F7393"/>
    <w:rsid w:val="0070224F"/>
    <w:rsid w:val="007115F7"/>
    <w:rsid w:val="00785689"/>
    <w:rsid w:val="0079754B"/>
    <w:rsid w:val="007A1E6D"/>
    <w:rsid w:val="00822CE0"/>
    <w:rsid w:val="00837C62"/>
    <w:rsid w:val="00841AB1"/>
    <w:rsid w:val="00854B58"/>
    <w:rsid w:val="00926503"/>
    <w:rsid w:val="00A45F4F"/>
    <w:rsid w:val="00A600A9"/>
    <w:rsid w:val="00AA55B7"/>
    <w:rsid w:val="00AA5B9E"/>
    <w:rsid w:val="00AB2407"/>
    <w:rsid w:val="00AB53DF"/>
    <w:rsid w:val="00B07E5C"/>
    <w:rsid w:val="00B811F7"/>
    <w:rsid w:val="00BA5DC6"/>
    <w:rsid w:val="00BA6196"/>
    <w:rsid w:val="00BC6D8C"/>
    <w:rsid w:val="00C34006"/>
    <w:rsid w:val="00C426B1"/>
    <w:rsid w:val="00C72637"/>
    <w:rsid w:val="00C82B6B"/>
    <w:rsid w:val="00C90D6A"/>
    <w:rsid w:val="00CB7FEA"/>
    <w:rsid w:val="00CC72B6"/>
    <w:rsid w:val="00D0218D"/>
    <w:rsid w:val="00DA2529"/>
    <w:rsid w:val="00DB130A"/>
    <w:rsid w:val="00DC10A1"/>
    <w:rsid w:val="00DC655F"/>
    <w:rsid w:val="00DD7EBD"/>
    <w:rsid w:val="00DF62B6"/>
    <w:rsid w:val="00E07225"/>
    <w:rsid w:val="00E5409F"/>
    <w:rsid w:val="00F021FA"/>
    <w:rsid w:val="00F57ACA"/>
    <w:rsid w:val="00F62E97"/>
    <w:rsid w:val="00F64209"/>
    <w:rsid w:val="00F93BF5"/>
    <w:rsid w:val="00FD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uiPriority w:val="99"/>
    <w:semiHidden/>
    <w:rsid w:val="000E3D42"/>
    <w:pPr>
      <w:spacing w:after="120"/>
    </w:pPr>
  </w:style>
  <w:style w:type="character" w:styleId="FootnoteReference">
    <w:name w:val="footnote reference"/>
    <w:aliases w:val="Style 13,Appel note de bas de p,Style 12,(NECG) Footnote Reference,Style 124,o,fr,Style 3"/>
    <w:uiPriority w:val="99"/>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uiPriority w:val="99"/>
    <w:semiHidden/>
    <w:rsid w:val="00350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uiPriority w:val="99"/>
    <w:semiHidden/>
    <w:rsid w:val="000E3D42"/>
    <w:pPr>
      <w:spacing w:after="120"/>
    </w:pPr>
  </w:style>
  <w:style w:type="character" w:styleId="FootnoteReference">
    <w:name w:val="footnote reference"/>
    <w:aliases w:val="Style 13,Appel note de bas de p,Style 12,(NECG) Footnote Reference,Style 124,o,fr,Style 3"/>
    <w:uiPriority w:val="99"/>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uiPriority w:val="99"/>
    <w:semiHidden/>
    <w:rsid w:val="00350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567</Words>
  <Characters>3170</Characters>
  <Application>Microsoft Office Word</Application>
  <DocSecurity>0</DocSecurity>
  <Lines>70</Lines>
  <Paragraphs>23</Paragraphs>
  <ScaleCrop>false</ScaleCrop>
  <HeadingPairs>
    <vt:vector size="2" baseType="variant">
      <vt:variant>
        <vt:lpstr>Title</vt:lpstr>
      </vt:variant>
      <vt:variant>
        <vt:i4>1</vt:i4>
      </vt:variant>
    </vt:vector>
  </HeadingPairs>
  <TitlesOfParts>
    <vt:vector size="1" baseType="lpstr">
      <vt:lpstr>Public Notice Paragraph TOC.dot</vt:lpstr>
    </vt:vector>
  </TitlesOfParts>
  <Manager/>
  <Company/>
  <LinksUpToDate>false</LinksUpToDate>
  <CharactersWithSpaces>3745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2014-03-27T16:49:00Z</dcterms:created>
  <dcterms:modified xsi:type="dcterms:W3CDTF">2014-03-27T16:49:00Z</dcterms:modified>
  <cp:category> </cp:category>
  <cp:contentStatus> </cp:contentStatus>
</cp:coreProperties>
</file>