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1E68FC" w:rsidRPr="001E68FC">
        <w:rPr>
          <w:b/>
          <w:sz w:val="24"/>
        </w:rPr>
        <w:t xml:space="preserve"> 14-</w:t>
      </w:r>
      <w:r w:rsidR="00187591">
        <w:rPr>
          <w:b/>
          <w:sz w:val="24"/>
        </w:rPr>
        <w:t>416</w:t>
      </w:r>
    </w:p>
    <w:p w:rsidR="000F69DF" w:rsidRPr="001E68FC" w:rsidRDefault="009C5DC2">
      <w:pPr>
        <w:spacing w:before="60"/>
        <w:jc w:val="right"/>
        <w:rPr>
          <w:b/>
          <w:sz w:val="24"/>
        </w:rPr>
      </w:pPr>
      <w:r>
        <w:rPr>
          <w:b/>
          <w:sz w:val="24"/>
        </w:rPr>
        <w:t>March 28</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Crown mortgage company PETITION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F7186E">
        <w:rPr>
          <w:szCs w:val="22"/>
        </w:rPr>
        <w:t xml:space="preserve">  April 11</w:t>
      </w:r>
      <w:r>
        <w:rPr>
          <w:szCs w:val="22"/>
        </w:rPr>
        <w:t>, 2014</w:t>
      </w:r>
    </w:p>
    <w:p w:rsidR="001E68FC" w:rsidRPr="00555C75" w:rsidRDefault="001E68FC" w:rsidP="001E68FC">
      <w:pPr>
        <w:rPr>
          <w:b/>
        </w:rPr>
      </w:pPr>
      <w:r>
        <w:rPr>
          <w:b/>
        </w:rPr>
        <w:t>Reply Comment Date</w:t>
      </w:r>
      <w:r>
        <w:t xml:space="preserve">:  </w:t>
      </w:r>
      <w:r w:rsidR="00F7186E">
        <w:rPr>
          <w:b/>
        </w:rPr>
        <w:t>April 18</w:t>
      </w:r>
      <w:r>
        <w:t xml:space="preserve">, </w:t>
      </w:r>
      <w:r>
        <w:rPr>
          <w:b/>
        </w:rPr>
        <w:t>2014</w:t>
      </w:r>
    </w:p>
    <w:p w:rsidR="000F69DF" w:rsidRDefault="000F69DF">
      <w:pPr>
        <w:spacing w:before="120" w:after="240"/>
        <w:rPr>
          <w:sz w:val="24"/>
        </w:rPr>
      </w:pPr>
    </w:p>
    <w:p w:rsidR="001E68FC" w:rsidRDefault="001E68FC">
      <w:pPr>
        <w:spacing w:before="120" w:after="240"/>
        <w:rPr>
          <w:szCs w:val="22"/>
        </w:rPr>
      </w:pPr>
      <w:r>
        <w:rPr>
          <w:sz w:val="24"/>
        </w:rPr>
        <w:tab/>
      </w:r>
      <w:r w:rsidRPr="00BC51CD">
        <w:rPr>
          <w:szCs w:val="22"/>
        </w:rPr>
        <w:t>On February 24, 2014, Crown Mortgage Company (Crown)</w:t>
      </w:r>
      <w:r w:rsidR="00BC51CD" w:rsidRPr="00BC51CD">
        <w:rPr>
          <w:szCs w:val="22"/>
        </w:rPr>
        <w:t xml:space="preserve"> </w:t>
      </w:r>
      <w:r w:rsidRPr="00BC51CD">
        <w:rPr>
          <w:szCs w:val="22"/>
        </w:rPr>
        <w:t>filed a petition seeking a declaratory ruling and/or waiver concerning section 64.1200(a)(4)(iv) of the Commission’s rules, which requires fax advertisements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BC51CD" w:rsidRPr="00BC51CD">
        <w:rPr>
          <w:szCs w:val="22"/>
        </w:rPr>
        <w:t>Notice, we seek comment on this</w:t>
      </w:r>
      <w:r w:rsidRPr="00BC51CD">
        <w:rPr>
          <w:szCs w:val="22"/>
        </w:rPr>
        <w:t xml:space="preserve"> petition as described below.  </w:t>
      </w:r>
    </w:p>
    <w:p w:rsidR="00BC51CD" w:rsidRDefault="00BC51CD">
      <w:pPr>
        <w:spacing w:before="120" w:after="240"/>
        <w:rPr>
          <w:szCs w:val="22"/>
        </w:rPr>
      </w:pPr>
      <w:r>
        <w:rPr>
          <w:szCs w:val="22"/>
        </w:rPr>
        <w:tab/>
        <w:t>Crown seeks a declaratory ruling clarifying that section 64.1200(a)(4)(iv) of the Commission’s rules does not apply to fax advertisements sent with the prior express consent or permission of the recipient because such faxes constitute “solicited”</w:t>
      </w:r>
      <w:r w:rsidR="00DA3FCE">
        <w:rPr>
          <w:szCs w:val="22"/>
        </w:rPr>
        <w:t xml:space="preserve"> faxes that </w:t>
      </w:r>
      <w:r w:rsidR="00170DCF">
        <w:rPr>
          <w:szCs w:val="22"/>
        </w:rPr>
        <w:t xml:space="preserve">Crown contends </w:t>
      </w:r>
      <w:r w:rsidR="00DA3FCE">
        <w:rPr>
          <w:szCs w:val="22"/>
        </w:rPr>
        <w:t>are not required to include opt-out notices.</w:t>
      </w:r>
      <w:r w:rsidR="00DA3FCE">
        <w:rPr>
          <w:rStyle w:val="FootnoteReference"/>
          <w:szCs w:val="22"/>
        </w:rPr>
        <w:footnoteReference w:id="2"/>
      </w:r>
      <w:r w:rsidR="00170DCF">
        <w:rPr>
          <w:szCs w:val="22"/>
        </w:rPr>
        <w:t xml:space="preserve">  Specifically, Crown argues</w:t>
      </w:r>
      <w:r w:rsidR="00DA3FCE">
        <w:rPr>
          <w:szCs w:val="22"/>
        </w:rPr>
        <w:t xml:space="preserve"> that application of the opt-out requirements to solicited faxes exceeds the Commission’s statutory authority and violates the First Amendment.</w:t>
      </w:r>
      <w:r w:rsidR="00DA3FCE">
        <w:rPr>
          <w:rStyle w:val="FootnoteReference"/>
          <w:szCs w:val="22"/>
        </w:rPr>
        <w:footnoteReference w:id="3"/>
      </w:r>
      <w:r w:rsidR="00DA3FCE">
        <w:rPr>
          <w:szCs w:val="22"/>
        </w:rPr>
        <w:t xml:space="preserve">  Alternatively, Crown requests that the Commission clarify that the statutory basis for this rule is not section 227 of the Communications Act, as amended.</w:t>
      </w:r>
      <w:r w:rsidR="00DA3FCE">
        <w:rPr>
          <w:rStyle w:val="FootnoteReference"/>
          <w:szCs w:val="22"/>
        </w:rPr>
        <w:footnoteReference w:id="4"/>
      </w:r>
      <w:r w:rsidR="00732B25">
        <w:rPr>
          <w:szCs w:val="22"/>
        </w:rPr>
        <w:t xml:space="preserve">  Should the Commission decline </w:t>
      </w:r>
      <w:r w:rsidR="007C584A">
        <w:rPr>
          <w:szCs w:val="22"/>
        </w:rPr>
        <w:t>its</w:t>
      </w:r>
      <w:r w:rsidR="00732B25">
        <w:rPr>
          <w:szCs w:val="22"/>
        </w:rPr>
        <w:t xml:space="preserve"> </w:t>
      </w:r>
      <w:r w:rsidR="00DA3FCE">
        <w:rPr>
          <w:szCs w:val="22"/>
        </w:rPr>
        <w:t>request for declaratory ruling,</w:t>
      </w:r>
      <w:r w:rsidR="00170DCF">
        <w:rPr>
          <w:szCs w:val="22"/>
        </w:rPr>
        <w:t xml:space="preserve"> </w:t>
      </w:r>
      <w:r w:rsidR="00DA3FCE">
        <w:rPr>
          <w:szCs w:val="22"/>
        </w:rPr>
        <w:t>Crown seeks a retroactive waiver for fax advertisements sent where prior express consent has been obtained from the recipient.</w:t>
      </w:r>
      <w:r w:rsidR="00DA3FCE">
        <w:rPr>
          <w:rStyle w:val="FootnoteReference"/>
          <w:szCs w:val="22"/>
        </w:rPr>
        <w:footnoteReference w:id="5"/>
      </w:r>
      <w:r w:rsidR="00170DCF">
        <w:rPr>
          <w:szCs w:val="22"/>
        </w:rPr>
        <w:t xml:space="preserve"> </w:t>
      </w:r>
      <w:r w:rsidR="00DA3FCE">
        <w:rPr>
          <w:szCs w:val="22"/>
        </w:rPr>
        <w:t xml:space="preserve"> </w:t>
      </w:r>
      <w:r w:rsidR="006D0730">
        <w:rPr>
          <w:szCs w:val="22"/>
        </w:rPr>
        <w:t xml:space="preserve">In support of this request, Crown contends that strict compliance with </w:t>
      </w:r>
      <w:r w:rsidR="006D0730">
        <w:rPr>
          <w:szCs w:val="22"/>
        </w:rPr>
        <w:lastRenderedPageBreak/>
        <w:t>section 64.1200(a)(4)(iv) with respect to solicited faxes would be “inequitable, unduly burdensome, and contrary to the public interest.”</w:t>
      </w:r>
      <w:r w:rsidR="006D0730">
        <w:rPr>
          <w:rStyle w:val="FootnoteReference"/>
          <w:szCs w:val="22"/>
        </w:rPr>
        <w:footnoteReference w:id="6"/>
      </w:r>
      <w:r w:rsidR="00DA3FCE">
        <w:rPr>
          <w:szCs w:val="22"/>
        </w:rPr>
        <w:t xml:space="preserve"> </w:t>
      </w:r>
    </w:p>
    <w:p w:rsidR="00F716C5" w:rsidRPr="00BC51CD" w:rsidRDefault="00F716C5">
      <w:pPr>
        <w:spacing w:before="120" w:after="240"/>
        <w:rPr>
          <w:szCs w:val="22"/>
        </w:rPr>
      </w:pPr>
      <w:r>
        <w:rPr>
          <w:szCs w:val="22"/>
        </w:rPr>
        <w:tab/>
      </w:r>
      <w:r w:rsidR="00C2369C" w:rsidRPr="00C2369C">
        <w:rPr>
          <w:szCs w:val="22"/>
        </w:rPr>
        <w:t>We note that the Commission has recently sought comment on several related petitions that raise similar issues to those set forth in the Crow</w:t>
      </w:r>
      <w:r w:rsidR="00C2369C">
        <w:rPr>
          <w:szCs w:val="22"/>
        </w:rPr>
        <w:t>n Petition.</w:t>
      </w:r>
      <w:r w:rsidR="00C2369C">
        <w:rPr>
          <w:rStyle w:val="FootnoteReference"/>
          <w:szCs w:val="22"/>
        </w:rPr>
        <w:footnoteReference w:id="7"/>
      </w:r>
      <w:r w:rsidR="00C2369C">
        <w:rPr>
          <w:szCs w:val="22"/>
        </w:rPr>
        <w:t xml:space="preserve"> </w:t>
      </w:r>
      <w:r w:rsidR="00C2369C" w:rsidRPr="00C2369C">
        <w:rPr>
          <w:szCs w:val="22"/>
        </w:rPr>
        <w:t xml:space="preserve"> As a result, commenters need not refile comments already submitted in response to that Public Notice</w:t>
      </w:r>
      <w:r w:rsidR="00C2369C">
        <w:rPr>
          <w:szCs w:val="22"/>
        </w:rPr>
        <w:t xml:space="preserve"> </w:t>
      </w:r>
      <w:r w:rsidR="006D0730">
        <w:rPr>
          <w:szCs w:val="22"/>
        </w:rPr>
        <w:t>for consideration in this matter</w:t>
      </w:r>
      <w:r>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P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1E68FC" w:rsidRPr="001E68FC" w:rsidRDefault="001E68FC" w:rsidP="001E68FC">
      <w:pPr>
        <w:rPr>
          <w:szCs w:val="22"/>
        </w:rPr>
      </w:pPr>
    </w:p>
    <w:p w:rsidR="001E68FC" w:rsidRPr="001E68FC" w:rsidRDefault="001E68FC" w:rsidP="001E68FC">
      <w:pPr>
        <w:jc w:val="center"/>
        <w:rPr>
          <w:b/>
          <w:sz w:val="24"/>
          <w:szCs w:val="24"/>
        </w:rPr>
      </w:pPr>
      <w:r w:rsidRPr="001E68FC">
        <w:rPr>
          <w:b/>
          <w:sz w:val="24"/>
          <w:szCs w:val="24"/>
        </w:rPr>
        <w:t>-FCC-</w:t>
      </w:r>
    </w:p>
    <w:p w:rsidR="006878EA" w:rsidRDefault="006878EA">
      <w:pPr>
        <w:spacing w:before="120" w:after="240"/>
        <w:rPr>
          <w:sz w:val="24"/>
        </w:rPr>
      </w:pPr>
    </w:p>
    <w:sectPr w:rsidR="006878E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84" w:rsidRDefault="00BC4984">
      <w:r>
        <w:separator/>
      </w:r>
    </w:p>
  </w:endnote>
  <w:endnote w:type="continuationSeparator" w:id="0">
    <w:p w:rsidR="00BC4984" w:rsidRDefault="00BC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F6" w:rsidRDefault="0016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F6" w:rsidRDefault="00164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F6" w:rsidRDefault="0016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84" w:rsidRDefault="00BC4984">
      <w:r>
        <w:separator/>
      </w:r>
    </w:p>
  </w:footnote>
  <w:footnote w:type="continuationSeparator" w:id="0">
    <w:p w:rsidR="00BC4984" w:rsidRDefault="00BC4984">
      <w:r>
        <w:continuationSeparator/>
      </w:r>
    </w:p>
  </w:footnote>
  <w:footnote w:id="1">
    <w:p w:rsidR="007C584A" w:rsidRPr="00D04F67" w:rsidRDefault="007C584A" w:rsidP="001E68FC">
      <w:pPr>
        <w:rPr>
          <w:sz w:val="20"/>
        </w:rPr>
      </w:pPr>
      <w:r w:rsidRPr="00D04F67">
        <w:rPr>
          <w:rStyle w:val="FootnoteReference"/>
          <w:sz w:val="20"/>
        </w:rPr>
        <w:footnoteRef/>
      </w:r>
      <w:r w:rsidRPr="00D04F67">
        <w:rPr>
          <w:sz w:val="20"/>
        </w:rPr>
        <w:t xml:space="preserve"> </w:t>
      </w:r>
      <w:r w:rsidRPr="00D04F67">
        <w:rPr>
          <w:i/>
          <w:sz w:val="20"/>
        </w:rPr>
        <w:t>See Petition of Crown Mortgage Company for Declaratory Ruling and/or Waiver of the “Opt Out” Requirement</w:t>
      </w:r>
      <w:r w:rsidRPr="00D04F67">
        <w:rPr>
          <w:sz w:val="20"/>
        </w:rPr>
        <w:t xml:space="preserve">, CG Docket Nos. 02-278, 05-338 (filed Feb. 24, 2014) (Crown Petition); </w:t>
      </w:r>
      <w:r w:rsidRPr="00D04F67">
        <w:rPr>
          <w:i/>
          <w:sz w:val="20"/>
        </w:rPr>
        <w:t>see also</w:t>
      </w:r>
      <w:r w:rsidRPr="00D04F67">
        <w:rPr>
          <w:sz w:val="20"/>
        </w:rPr>
        <w:t xml:space="preserve"> 47 C.F.R. § 64.1200(a)(4)(iv). </w:t>
      </w:r>
    </w:p>
    <w:p w:rsidR="00D04F67" w:rsidRPr="00D04F67" w:rsidRDefault="00D04F67" w:rsidP="001E68FC">
      <w:pPr>
        <w:rPr>
          <w:sz w:val="20"/>
        </w:rPr>
      </w:pPr>
    </w:p>
  </w:footnote>
  <w:footnote w:id="2">
    <w:p w:rsidR="007C584A" w:rsidRPr="00D04F67" w:rsidRDefault="007C584A">
      <w:pPr>
        <w:pStyle w:val="FootnoteText"/>
        <w:rPr>
          <w:sz w:val="20"/>
        </w:rPr>
      </w:pPr>
      <w:r w:rsidRPr="00D04F67">
        <w:rPr>
          <w:rStyle w:val="FootnoteReference"/>
          <w:sz w:val="20"/>
        </w:rPr>
        <w:footnoteRef/>
      </w:r>
      <w:r w:rsidRPr="00D04F67">
        <w:rPr>
          <w:sz w:val="20"/>
        </w:rPr>
        <w:t xml:space="preserve"> </w:t>
      </w:r>
      <w:r w:rsidRPr="00D04F67">
        <w:rPr>
          <w:i/>
          <w:sz w:val="20"/>
        </w:rPr>
        <w:t xml:space="preserve">Id. </w:t>
      </w:r>
      <w:r w:rsidRPr="00D04F67">
        <w:rPr>
          <w:sz w:val="20"/>
        </w:rPr>
        <w:t>at 11-14.</w:t>
      </w:r>
    </w:p>
  </w:footnote>
  <w:footnote w:id="3">
    <w:p w:rsidR="007C584A" w:rsidRPr="00D04F67" w:rsidRDefault="007C584A">
      <w:pPr>
        <w:pStyle w:val="FootnoteText"/>
        <w:rPr>
          <w:sz w:val="20"/>
        </w:rPr>
      </w:pPr>
      <w:r w:rsidRPr="00D04F67">
        <w:rPr>
          <w:rStyle w:val="FootnoteReference"/>
          <w:sz w:val="20"/>
        </w:rPr>
        <w:footnoteRef/>
      </w:r>
      <w:r w:rsidRPr="00D04F67">
        <w:rPr>
          <w:sz w:val="20"/>
        </w:rPr>
        <w:t xml:space="preserve"> </w:t>
      </w:r>
      <w:r w:rsidRPr="00D04F67">
        <w:rPr>
          <w:i/>
          <w:sz w:val="20"/>
        </w:rPr>
        <w:t>Id.</w:t>
      </w:r>
      <w:r w:rsidRPr="00D04F67">
        <w:rPr>
          <w:sz w:val="20"/>
        </w:rPr>
        <w:t xml:space="preserve"> at 11-16.</w:t>
      </w:r>
    </w:p>
  </w:footnote>
  <w:footnote w:id="4">
    <w:p w:rsidR="007C584A" w:rsidRPr="00D04F67" w:rsidRDefault="007C584A">
      <w:pPr>
        <w:pStyle w:val="FootnoteText"/>
        <w:rPr>
          <w:sz w:val="20"/>
        </w:rPr>
      </w:pPr>
      <w:r w:rsidRPr="00D04F67">
        <w:rPr>
          <w:rStyle w:val="FootnoteReference"/>
          <w:sz w:val="20"/>
        </w:rPr>
        <w:footnoteRef/>
      </w:r>
      <w:r w:rsidRPr="00D04F67">
        <w:rPr>
          <w:sz w:val="20"/>
        </w:rPr>
        <w:t xml:space="preserve"> </w:t>
      </w:r>
      <w:r w:rsidRPr="00D04F67">
        <w:rPr>
          <w:i/>
          <w:sz w:val="20"/>
        </w:rPr>
        <w:t>Id.</w:t>
      </w:r>
      <w:r w:rsidRPr="00D04F67">
        <w:rPr>
          <w:sz w:val="20"/>
        </w:rPr>
        <w:t xml:space="preserve"> at 16-17.</w:t>
      </w:r>
    </w:p>
  </w:footnote>
  <w:footnote w:id="5">
    <w:p w:rsidR="007C584A" w:rsidRPr="00D04F67" w:rsidRDefault="007C584A">
      <w:pPr>
        <w:pStyle w:val="FootnoteText"/>
        <w:rPr>
          <w:sz w:val="20"/>
        </w:rPr>
      </w:pPr>
      <w:r w:rsidRPr="00D04F67">
        <w:rPr>
          <w:rStyle w:val="FootnoteReference"/>
          <w:sz w:val="20"/>
        </w:rPr>
        <w:footnoteRef/>
      </w:r>
      <w:r w:rsidRPr="00D04F67">
        <w:rPr>
          <w:sz w:val="20"/>
        </w:rPr>
        <w:t xml:space="preserve"> </w:t>
      </w:r>
      <w:r w:rsidRPr="00D04F67">
        <w:rPr>
          <w:i/>
          <w:sz w:val="20"/>
        </w:rPr>
        <w:t xml:space="preserve">Id. </w:t>
      </w:r>
      <w:r w:rsidRPr="00D04F67">
        <w:rPr>
          <w:sz w:val="20"/>
        </w:rPr>
        <w:t>at 17-20.</w:t>
      </w:r>
    </w:p>
  </w:footnote>
  <w:footnote w:id="6">
    <w:p w:rsidR="007C584A" w:rsidRPr="00D04F67" w:rsidRDefault="007C584A">
      <w:pPr>
        <w:pStyle w:val="FootnoteText"/>
        <w:rPr>
          <w:sz w:val="20"/>
        </w:rPr>
      </w:pPr>
      <w:r w:rsidRPr="00D04F67">
        <w:rPr>
          <w:rStyle w:val="FootnoteReference"/>
          <w:sz w:val="20"/>
        </w:rPr>
        <w:footnoteRef/>
      </w:r>
      <w:r w:rsidRPr="00D04F67">
        <w:rPr>
          <w:sz w:val="20"/>
        </w:rPr>
        <w:t xml:space="preserve"> </w:t>
      </w:r>
      <w:r w:rsidRPr="00D04F67">
        <w:rPr>
          <w:i/>
          <w:sz w:val="20"/>
        </w:rPr>
        <w:t>Id</w:t>
      </w:r>
      <w:r w:rsidRPr="00D04F67">
        <w:rPr>
          <w:sz w:val="20"/>
        </w:rPr>
        <w:t>. at 19.</w:t>
      </w:r>
    </w:p>
  </w:footnote>
  <w:footnote w:id="7">
    <w:p w:rsidR="00C2369C" w:rsidRPr="00D04F67" w:rsidRDefault="00C2369C" w:rsidP="00C2369C">
      <w:pPr>
        <w:pStyle w:val="FootnoteText"/>
        <w:rPr>
          <w:sz w:val="20"/>
        </w:rPr>
      </w:pPr>
      <w:r w:rsidRPr="00D04F67">
        <w:rPr>
          <w:rStyle w:val="FootnoteReference"/>
          <w:sz w:val="20"/>
        </w:rPr>
        <w:footnoteRef/>
      </w:r>
      <w:r w:rsidRPr="00D04F67">
        <w:rPr>
          <w:sz w:val="20"/>
        </w:rPr>
        <w:t xml:space="preserve"> </w:t>
      </w:r>
      <w:r w:rsidRPr="00D04F67">
        <w:rPr>
          <w:i/>
          <w:sz w:val="20"/>
        </w:rPr>
        <w:t>See Consumer and Governmental Affairs Bureau Seeks Comment on Petitions Concerning the Commission’s Rule on Opt-Out Notices on Fax Advertisements</w:t>
      </w:r>
      <w:r w:rsidRPr="00D04F67">
        <w:rPr>
          <w:sz w:val="20"/>
        </w:rPr>
        <w:t xml:space="preserve">, CG Docket Nos. 02-278, 05-338, </w:t>
      </w:r>
      <w:r>
        <w:rPr>
          <w:sz w:val="20"/>
        </w:rPr>
        <w:t xml:space="preserve">Public Notice, </w:t>
      </w:r>
      <w:r w:rsidRPr="00D04F67">
        <w:rPr>
          <w:sz w:val="20"/>
        </w:rPr>
        <w:t>DA 14-120 (rel. Jan. 14, 2014).</w:t>
      </w:r>
    </w:p>
  </w:footnote>
  <w:footnote w:id="8">
    <w:p w:rsidR="007C584A" w:rsidRPr="00D04F67" w:rsidRDefault="007C584A"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7C584A" w:rsidRPr="00D04F67" w:rsidRDefault="007C584A"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F6" w:rsidRDefault="00164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F6" w:rsidRDefault="00164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4A" w:rsidRDefault="007C58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84A" w:rsidRDefault="007C584A">
                          <w:pPr>
                            <w:rPr>
                              <w:rFonts w:ascii="Arial" w:hAnsi="Arial"/>
                              <w:b/>
                            </w:rPr>
                          </w:pPr>
                          <w:r>
                            <w:rPr>
                              <w:rFonts w:ascii="Arial" w:hAnsi="Arial"/>
                              <w:b/>
                            </w:rPr>
                            <w:t>Federal Communications Commission</w:t>
                          </w:r>
                        </w:p>
                        <w:p w:rsidR="007C584A" w:rsidRDefault="007C584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C584A" w:rsidRDefault="007C584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716C5" w:rsidRDefault="00F716C5">
                    <w:pPr>
                      <w:rPr>
                        <w:rFonts w:ascii="Arial" w:hAnsi="Arial"/>
                        <w:b/>
                      </w:rPr>
                    </w:pPr>
                    <w:r>
                      <w:rPr>
                        <w:rFonts w:ascii="Arial" w:hAnsi="Arial"/>
                        <w:b/>
                      </w:rPr>
                      <w:t>Federal Communications Commission</w:t>
                    </w:r>
                  </w:p>
                  <w:p w:rsidR="00F716C5" w:rsidRDefault="00F716C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716C5" w:rsidRDefault="00F716C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7C584A" w:rsidRDefault="007C584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84A" w:rsidRDefault="007C584A">
                          <w:pPr>
                            <w:spacing w:before="40"/>
                            <w:jc w:val="right"/>
                            <w:rPr>
                              <w:rFonts w:ascii="Arial" w:hAnsi="Arial"/>
                              <w:b/>
                              <w:sz w:val="16"/>
                            </w:rPr>
                          </w:pPr>
                          <w:r>
                            <w:rPr>
                              <w:rFonts w:ascii="Arial" w:hAnsi="Arial"/>
                              <w:b/>
                              <w:sz w:val="16"/>
                            </w:rPr>
                            <w:t>News Media Information 202 / 418-0500</w:t>
                          </w:r>
                        </w:p>
                        <w:p w:rsidR="007C584A" w:rsidRDefault="007C584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C584A" w:rsidRDefault="007C584A">
                          <w:pPr>
                            <w:jc w:val="right"/>
                            <w:rPr>
                              <w:rFonts w:ascii="Arial" w:hAnsi="Arial"/>
                              <w:b/>
                              <w:sz w:val="16"/>
                            </w:rPr>
                          </w:pPr>
                          <w:r>
                            <w:rPr>
                              <w:rFonts w:ascii="Arial" w:hAnsi="Arial"/>
                              <w:b/>
                              <w:sz w:val="16"/>
                            </w:rPr>
                            <w:t>TTY: 1-888-835-5322</w:t>
                          </w:r>
                        </w:p>
                        <w:p w:rsidR="007C584A" w:rsidRDefault="007C584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716C5" w:rsidRDefault="00F716C5">
                    <w:pPr>
                      <w:spacing w:before="40"/>
                      <w:jc w:val="right"/>
                      <w:rPr>
                        <w:rFonts w:ascii="Arial" w:hAnsi="Arial"/>
                        <w:b/>
                        <w:sz w:val="16"/>
                      </w:rPr>
                    </w:pPr>
                    <w:r>
                      <w:rPr>
                        <w:rFonts w:ascii="Arial" w:hAnsi="Arial"/>
                        <w:b/>
                        <w:sz w:val="16"/>
                      </w:rPr>
                      <w:t>News Media Information 202 / 418-0500</w:t>
                    </w:r>
                  </w:p>
                  <w:p w:rsidR="00F716C5" w:rsidRDefault="00F716C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716C5" w:rsidRDefault="00F716C5">
                    <w:pPr>
                      <w:jc w:val="right"/>
                      <w:rPr>
                        <w:rFonts w:ascii="Arial" w:hAnsi="Arial"/>
                        <w:b/>
                        <w:sz w:val="16"/>
                      </w:rPr>
                    </w:pPr>
                    <w:r>
                      <w:rPr>
                        <w:rFonts w:ascii="Arial" w:hAnsi="Arial"/>
                        <w:b/>
                        <w:sz w:val="16"/>
                      </w:rPr>
                      <w:t>TTY: 1-888-835-5322</w:t>
                    </w:r>
                  </w:p>
                  <w:p w:rsidR="00F716C5" w:rsidRDefault="00F716C5">
                    <w:pPr>
                      <w:jc w:val="right"/>
                    </w:pPr>
                  </w:p>
                </w:txbxContent>
              </v:textbox>
            </v:shape>
          </w:pict>
        </mc:Fallback>
      </mc:AlternateContent>
    </w:r>
  </w:p>
  <w:p w:rsidR="007C584A" w:rsidRDefault="007C584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F69DF"/>
    <w:rsid w:val="001648F6"/>
    <w:rsid w:val="00170DCF"/>
    <w:rsid w:val="00187591"/>
    <w:rsid w:val="001E68FC"/>
    <w:rsid w:val="0025216D"/>
    <w:rsid w:val="003024F2"/>
    <w:rsid w:val="006878EA"/>
    <w:rsid w:val="006D0730"/>
    <w:rsid w:val="00732B25"/>
    <w:rsid w:val="00732D4B"/>
    <w:rsid w:val="007C584A"/>
    <w:rsid w:val="009C5DC2"/>
    <w:rsid w:val="00BC4984"/>
    <w:rsid w:val="00BC51CD"/>
    <w:rsid w:val="00C2369C"/>
    <w:rsid w:val="00C92C66"/>
    <w:rsid w:val="00CC50AA"/>
    <w:rsid w:val="00D04F67"/>
    <w:rsid w:val="00DA3FCE"/>
    <w:rsid w:val="00F716C5"/>
    <w:rsid w:val="00F7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2</Pages>
  <Words>867</Words>
  <Characters>4990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5884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2014-03-27T13:41:00Z</cp:lastPrinted>
  <dcterms:created xsi:type="dcterms:W3CDTF">2014-03-27T18:11:00Z</dcterms:created>
  <dcterms:modified xsi:type="dcterms:W3CDTF">2014-03-27T18:11:00Z</dcterms:modified>
  <cp:category> </cp:category>
  <cp:contentStatus> </cp:contentStatus>
</cp:coreProperties>
</file>