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3E60EF">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5974F8" w:rsidP="007115F7">
            <w:pPr>
              <w:tabs>
                <w:tab w:val="center" w:pos="4680"/>
              </w:tabs>
              <w:suppressAutoHyphens/>
              <w:rPr>
                <w:spacing w:val="-2"/>
              </w:rPr>
            </w:pPr>
            <w:r>
              <w:rPr>
                <w:spacing w:val="-2"/>
              </w:rPr>
              <w:t>Lubbock Aero</w:t>
            </w:r>
          </w:p>
          <w:p w:rsidR="005974F8" w:rsidRDefault="005974F8" w:rsidP="007115F7">
            <w:pPr>
              <w:tabs>
                <w:tab w:val="center" w:pos="4680"/>
              </w:tabs>
              <w:suppressAutoHyphens/>
              <w:rPr>
                <w:spacing w:val="-2"/>
              </w:rPr>
            </w:pPr>
            <w:r>
              <w:rPr>
                <w:spacing w:val="-2"/>
              </w:rPr>
              <w:t>Lubbock, Texas</w:t>
            </w:r>
          </w:p>
          <w:p w:rsidR="00F36E19" w:rsidRDefault="00F36E19" w:rsidP="007115F7">
            <w:pPr>
              <w:tabs>
                <w:tab w:val="center" w:pos="4680"/>
              </w:tabs>
              <w:suppressAutoHyphens/>
              <w:rPr>
                <w:spacing w:val="-2"/>
              </w:rPr>
            </w:pPr>
          </w:p>
          <w:p w:rsidR="00F36E19" w:rsidRPr="007115F7" w:rsidRDefault="00F36E19"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F36E19" w:rsidRDefault="00F36E19">
            <w:pPr>
              <w:tabs>
                <w:tab w:val="center" w:pos="4680"/>
              </w:tabs>
              <w:suppressAutoHyphens/>
              <w:rPr>
                <w:b/>
                <w:spacing w:val="-2"/>
              </w:rPr>
            </w:pPr>
            <w:r>
              <w:rPr>
                <w:b/>
                <w:spacing w:val="-2"/>
              </w:rPr>
              <w:t>)</w:t>
            </w:r>
          </w:p>
          <w:p w:rsidR="004C2EE3" w:rsidRPr="00190E97" w:rsidRDefault="00F36E19">
            <w:pPr>
              <w:tabs>
                <w:tab w:val="center" w:pos="4680"/>
              </w:tabs>
              <w:suppressAutoHyphens/>
              <w:rPr>
                <w:b/>
                <w:spacing w:val="-2"/>
              </w:rPr>
            </w:pPr>
            <w:r w:rsidRPr="00190E97">
              <w:rPr>
                <w:b/>
                <w:spacing w:val="-2"/>
              </w:rPr>
              <w:t>)</w:t>
            </w:r>
          </w:p>
          <w:p w:rsidR="00F36E19" w:rsidRDefault="00F36E19">
            <w:pPr>
              <w:tabs>
                <w:tab w:val="center" w:pos="4680"/>
              </w:tabs>
              <w:suppressAutoHyphens/>
              <w:rPr>
                <w:spacing w:val="-2"/>
              </w:rPr>
            </w:pPr>
          </w:p>
        </w:tc>
        <w:tc>
          <w:tcPr>
            <w:tcW w:w="4248" w:type="dxa"/>
          </w:tcPr>
          <w:p w:rsidR="00F36E19" w:rsidRDefault="00F36E19">
            <w:pPr>
              <w:tabs>
                <w:tab w:val="center" w:pos="4680"/>
              </w:tabs>
              <w:suppressAutoHyphens/>
              <w:rPr>
                <w:spacing w:val="-2"/>
              </w:rPr>
            </w:pPr>
          </w:p>
          <w:p w:rsidR="00F36E19" w:rsidRDefault="00F36E19">
            <w:pPr>
              <w:tabs>
                <w:tab w:val="center" w:pos="4680"/>
              </w:tabs>
              <w:suppressAutoHyphens/>
              <w:rPr>
                <w:spacing w:val="-2"/>
              </w:rPr>
            </w:pPr>
          </w:p>
          <w:p w:rsidR="004C2EE3" w:rsidRDefault="005974F8">
            <w:pPr>
              <w:tabs>
                <w:tab w:val="center" w:pos="4680"/>
              </w:tabs>
              <w:suppressAutoHyphens/>
              <w:rPr>
                <w:spacing w:val="-2"/>
              </w:rPr>
            </w:pPr>
            <w:r>
              <w:rPr>
                <w:spacing w:val="-2"/>
              </w:rPr>
              <w:t>File No.:  EB-SED-13-00008250</w:t>
            </w:r>
            <w:r>
              <w:rPr>
                <w:rStyle w:val="FootnoteReference"/>
                <w:spacing w:val="-2"/>
              </w:rPr>
              <w:footnoteReference w:id="2"/>
            </w:r>
          </w:p>
          <w:p w:rsidR="004C2EE3" w:rsidRDefault="004C2EE3">
            <w:pPr>
              <w:pStyle w:val="TOAHeading"/>
              <w:tabs>
                <w:tab w:val="clear" w:pos="9360"/>
                <w:tab w:val="center" w:pos="4680"/>
              </w:tabs>
              <w:rPr>
                <w:spacing w:val="-2"/>
              </w:rPr>
            </w:pPr>
          </w:p>
          <w:p w:rsidR="004C2EE3" w:rsidRDefault="005974F8">
            <w:pPr>
              <w:tabs>
                <w:tab w:val="center" w:pos="4680"/>
              </w:tabs>
              <w:suppressAutoHyphens/>
              <w:rPr>
                <w:spacing w:val="-2"/>
              </w:rPr>
            </w:pPr>
            <w:r>
              <w:rPr>
                <w:spacing w:val="-2"/>
              </w:rPr>
              <w:t>NAL/Acct. No.:  201032100020</w:t>
            </w:r>
          </w:p>
          <w:p w:rsidR="005974F8" w:rsidRDefault="005974F8">
            <w:pPr>
              <w:tabs>
                <w:tab w:val="center" w:pos="4680"/>
              </w:tabs>
              <w:suppressAutoHyphens/>
              <w:rPr>
                <w:spacing w:val="-2"/>
              </w:rPr>
            </w:pPr>
          </w:p>
          <w:p w:rsidR="005974F8" w:rsidRDefault="005974F8">
            <w:pPr>
              <w:tabs>
                <w:tab w:val="center" w:pos="4680"/>
              </w:tabs>
              <w:suppressAutoHyphens/>
              <w:rPr>
                <w:spacing w:val="-2"/>
              </w:rPr>
            </w:pPr>
            <w:r>
              <w:rPr>
                <w:spacing w:val="-2"/>
              </w:rPr>
              <w:t>FRN:  0018657619</w:t>
            </w:r>
          </w:p>
          <w:p w:rsidR="00F36E19" w:rsidRDefault="00F36E19">
            <w:pPr>
              <w:tabs>
                <w:tab w:val="center" w:pos="4680"/>
              </w:tabs>
              <w:suppressAutoHyphens/>
              <w:rPr>
                <w:spacing w:val="-2"/>
              </w:rPr>
            </w:pPr>
          </w:p>
        </w:tc>
      </w:tr>
    </w:tbl>
    <w:p w:rsidR="00841AB1" w:rsidRDefault="005974F8"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734BDB">
        <w:rPr>
          <w:b/>
          <w:spacing w:val="-2"/>
        </w:rPr>
        <w:t>March 31</w:t>
      </w:r>
      <w:r w:rsidR="004D49DA">
        <w:rPr>
          <w:b/>
          <w:spacing w:val="-2"/>
        </w:rPr>
        <w:t>,</w:t>
      </w:r>
      <w:r w:rsidR="004D2AFE">
        <w:rPr>
          <w:b/>
          <w:spacing w:val="-2"/>
        </w:rPr>
        <w:t xml:space="preserve"> </w:t>
      </w:r>
      <w:r w:rsidR="004D49DA">
        <w:rPr>
          <w:b/>
          <w:spacing w:val="-2"/>
        </w:rPr>
        <w:t>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34BDB">
        <w:rPr>
          <w:b/>
          <w:spacing w:val="-2"/>
        </w:rPr>
        <w:t>March 31</w:t>
      </w:r>
      <w:r w:rsidR="004D49DA">
        <w:rPr>
          <w:b/>
          <w:spacing w:val="-2"/>
        </w:rPr>
        <w:t>, 2014</w:t>
      </w:r>
    </w:p>
    <w:p w:rsidR="00822CE0" w:rsidRDefault="00822CE0"/>
    <w:p w:rsidR="004C2EE3" w:rsidRDefault="004C2EE3">
      <w:pPr>
        <w:rPr>
          <w:spacing w:val="-2"/>
        </w:rPr>
      </w:pPr>
      <w:r>
        <w:t xml:space="preserve">By </w:t>
      </w:r>
      <w:r w:rsidR="004E4A22">
        <w:t>the</w:t>
      </w:r>
      <w:r w:rsidR="000076E0">
        <w:t xml:space="preserve"> </w:t>
      </w:r>
      <w:r w:rsidR="006270B7">
        <w:t xml:space="preserve">Senior Deputy Chief, Spectrum Enforcement Division, </w:t>
      </w:r>
      <w:r w:rsidR="005974F8">
        <w:rPr>
          <w:spacing w:val="-2"/>
        </w:rPr>
        <w:t>Enforcement Bureau</w:t>
      </w:r>
      <w:r>
        <w:rPr>
          <w:spacing w:val="-2"/>
        </w:rPr>
        <w:t>:</w:t>
      </w:r>
    </w:p>
    <w:p w:rsidR="00412FC5" w:rsidRDefault="00412FC5" w:rsidP="00412FC5"/>
    <w:p w:rsidR="005974F8" w:rsidRDefault="00D715B6" w:rsidP="00504118">
      <w:pPr>
        <w:pStyle w:val="ParaNum"/>
        <w:tabs>
          <w:tab w:val="clear" w:pos="1080"/>
          <w:tab w:val="num" w:pos="1440"/>
        </w:tabs>
      </w:pPr>
      <w:r>
        <w:t>W</w:t>
      </w:r>
      <w:r w:rsidR="00E842A2">
        <w:t xml:space="preserve">e deny </w:t>
      </w:r>
      <w:r w:rsidR="004D2AFE">
        <w:t xml:space="preserve">a </w:t>
      </w:r>
      <w:r w:rsidR="00E842A2">
        <w:t>Petition</w:t>
      </w:r>
      <w:r w:rsidR="006E0944">
        <w:t xml:space="preserve"> </w:t>
      </w:r>
      <w:r w:rsidR="00E842A2">
        <w:t>filed by Lubbock Aero</w:t>
      </w:r>
      <w:r w:rsidR="006E0944">
        <w:t xml:space="preserve"> </w:t>
      </w:r>
      <w:r w:rsidR="0008769D">
        <w:t>seek</w:t>
      </w:r>
      <w:r w:rsidR="006E0944">
        <w:t>ing</w:t>
      </w:r>
      <w:r w:rsidR="0008769D">
        <w:t xml:space="preserve"> reconsideration of a</w:t>
      </w:r>
      <w:r w:rsidR="006E0944">
        <w:t xml:space="preserve"> ten thousand dollar ($10,000) forfeiture issued by </w:t>
      </w:r>
      <w:r w:rsidR="006E0944">
        <w:rPr>
          <w:szCs w:val="22"/>
        </w:rPr>
        <w:t xml:space="preserve">the </w:t>
      </w:r>
      <w:r w:rsidR="006E0944">
        <w:t>Spectrum Enforcement Division of the Enforcement Bureau (Division</w:t>
      </w:r>
      <w:r w:rsidR="006E0944">
        <w:rPr>
          <w:szCs w:val="22"/>
        </w:rPr>
        <w:t>)</w:t>
      </w:r>
      <w:r w:rsidR="002C5A76">
        <w:t xml:space="preserve">.  </w:t>
      </w:r>
      <w:r w:rsidR="000076E0">
        <w:rPr>
          <w:color w:val="000000"/>
          <w:szCs w:val="22"/>
        </w:rPr>
        <w:t xml:space="preserve">We take this action as part of our duty to prevent unlicensed radio operations from dangerously interfering with authorized radio communications in the </w:t>
      </w:r>
      <w:smartTag w:uri="urn:schemas-microsoft-com:office:smarttags" w:element="PostalCode">
        <w:smartTag w:uri="urn:schemas-microsoft-com:office:smarttags" w:element="place">
          <w:smartTag w:uri="urn:schemas-microsoft-com:office:smarttags" w:element="country-region">
            <w:r w:rsidR="000076E0">
              <w:rPr>
                <w:color w:val="000000"/>
                <w:szCs w:val="22"/>
              </w:rPr>
              <w:t>United States</w:t>
            </w:r>
          </w:smartTag>
        </w:smartTag>
      </w:smartTag>
      <w:r w:rsidR="000076E0">
        <w:rPr>
          <w:color w:val="000000"/>
          <w:szCs w:val="22"/>
        </w:rPr>
        <w:t xml:space="preserve">.  </w:t>
      </w:r>
      <w:r w:rsidR="006E0944">
        <w:rPr>
          <w:color w:val="000000"/>
          <w:szCs w:val="22"/>
        </w:rPr>
        <w:t>By engaging in unlicensed operation on a frequency reserved for</w:t>
      </w:r>
      <w:r w:rsidR="00EE7023">
        <w:rPr>
          <w:color w:val="000000"/>
          <w:szCs w:val="22"/>
        </w:rPr>
        <w:t xml:space="preserve"> aviation support stations,</w:t>
      </w:r>
      <w:r w:rsidR="006E0944">
        <w:rPr>
          <w:color w:val="000000"/>
          <w:szCs w:val="22"/>
        </w:rPr>
        <w:t xml:space="preserve"> Lubbock Aero risked interfering with properly authorized aeronautical radio communications involving aviation and public safety.</w:t>
      </w:r>
      <w:r w:rsidR="006E0944" w:rsidRPr="006E0944">
        <w:rPr>
          <w:szCs w:val="22"/>
        </w:rPr>
        <w:t xml:space="preserve"> </w:t>
      </w:r>
    </w:p>
    <w:p w:rsidR="00777987" w:rsidRDefault="005D3B02" w:rsidP="008E7442">
      <w:pPr>
        <w:pStyle w:val="ParaNum"/>
        <w:tabs>
          <w:tab w:val="clear" w:pos="1080"/>
          <w:tab w:val="num" w:pos="1440"/>
        </w:tabs>
      </w:pPr>
      <w:r w:rsidRPr="002F5315">
        <w:rPr>
          <w:szCs w:val="22"/>
        </w:rPr>
        <w:t>On January 29,</w:t>
      </w:r>
      <w:r w:rsidR="007D57CD" w:rsidRPr="002F5315">
        <w:rPr>
          <w:szCs w:val="22"/>
        </w:rPr>
        <w:t xml:space="preserve"> 2014, </w:t>
      </w:r>
      <w:r w:rsidR="006E0944" w:rsidRPr="002F5315">
        <w:rPr>
          <w:szCs w:val="22"/>
        </w:rPr>
        <w:t xml:space="preserve">the Division </w:t>
      </w:r>
      <w:r w:rsidR="007D57CD" w:rsidRPr="002F5315">
        <w:rPr>
          <w:szCs w:val="22"/>
        </w:rPr>
        <w:t>released a</w:t>
      </w:r>
      <w:r w:rsidRPr="002F5315">
        <w:rPr>
          <w:szCs w:val="22"/>
        </w:rPr>
        <w:t xml:space="preserve"> </w:t>
      </w:r>
      <w:r w:rsidRPr="002F5315">
        <w:rPr>
          <w:i/>
          <w:szCs w:val="22"/>
        </w:rPr>
        <w:t>Forfeiture Order</w:t>
      </w:r>
      <w:r w:rsidRPr="002F5315">
        <w:rPr>
          <w:szCs w:val="22"/>
        </w:rPr>
        <w:t xml:space="preserve">, which </w:t>
      </w:r>
      <w:r w:rsidR="007D57CD" w:rsidRPr="002F5315">
        <w:rPr>
          <w:szCs w:val="22"/>
        </w:rPr>
        <w:t>imposed a</w:t>
      </w:r>
      <w:r w:rsidRPr="002F5315">
        <w:rPr>
          <w:szCs w:val="22"/>
        </w:rPr>
        <w:t xml:space="preserve"> $10,000 forfeiture against Lubbock Aero for its willful and repeated violation of Section 301 of the </w:t>
      </w:r>
      <w:r w:rsidR="00BB5087" w:rsidRPr="002F5315">
        <w:rPr>
          <w:szCs w:val="22"/>
        </w:rPr>
        <w:t xml:space="preserve">Communications </w:t>
      </w:r>
      <w:r w:rsidRPr="002F5315">
        <w:rPr>
          <w:szCs w:val="22"/>
        </w:rPr>
        <w:t xml:space="preserve">Act </w:t>
      </w:r>
      <w:r w:rsidR="00BE0BC2" w:rsidRPr="002F5315">
        <w:rPr>
          <w:szCs w:val="22"/>
        </w:rPr>
        <w:t xml:space="preserve">of 1934, as amended (Act), </w:t>
      </w:r>
      <w:r w:rsidRPr="002F5315">
        <w:rPr>
          <w:szCs w:val="22"/>
        </w:rPr>
        <w:t xml:space="preserve">and Section 1.903(a) of the </w:t>
      </w:r>
      <w:r w:rsidR="00BE0BC2" w:rsidRPr="002F5315">
        <w:rPr>
          <w:szCs w:val="22"/>
        </w:rPr>
        <w:t>Commission’s r</w:t>
      </w:r>
      <w:r w:rsidRPr="002F5315">
        <w:rPr>
          <w:szCs w:val="22"/>
        </w:rPr>
        <w:t>ules</w:t>
      </w:r>
      <w:r w:rsidR="008A75AE">
        <w:rPr>
          <w:szCs w:val="22"/>
        </w:rPr>
        <w:t xml:space="preserve"> (Rules)</w:t>
      </w:r>
      <w:r w:rsidRPr="002F5315">
        <w:rPr>
          <w:szCs w:val="22"/>
        </w:rPr>
        <w:t>.</w:t>
      </w:r>
      <w:r>
        <w:rPr>
          <w:rStyle w:val="FootnoteReference"/>
          <w:szCs w:val="22"/>
        </w:rPr>
        <w:footnoteReference w:id="3"/>
      </w:r>
      <w:r w:rsidRPr="002F5315">
        <w:rPr>
          <w:szCs w:val="22"/>
        </w:rPr>
        <w:t xml:space="preserve">  </w:t>
      </w:r>
      <w:r w:rsidR="00FB1E32" w:rsidRPr="002F5315">
        <w:rPr>
          <w:szCs w:val="22"/>
        </w:rPr>
        <w:t>In its Petiti</w:t>
      </w:r>
      <w:r w:rsidR="0055543B" w:rsidRPr="002F5315">
        <w:rPr>
          <w:szCs w:val="22"/>
        </w:rPr>
        <w:t>on, Lubbock Aero argues that the</w:t>
      </w:r>
      <w:r w:rsidR="00FB1E32" w:rsidRPr="002F5315">
        <w:rPr>
          <w:szCs w:val="22"/>
        </w:rPr>
        <w:t xml:space="preserve"> </w:t>
      </w:r>
      <w:r w:rsidR="00FB1E32" w:rsidRPr="002F5315">
        <w:rPr>
          <w:i/>
          <w:szCs w:val="22"/>
        </w:rPr>
        <w:t>Forfeiture Order</w:t>
      </w:r>
      <w:r w:rsidR="00AD34CC" w:rsidRPr="002F5315">
        <w:rPr>
          <w:szCs w:val="22"/>
        </w:rPr>
        <w:t xml:space="preserve"> is inconsistent with the</w:t>
      </w:r>
      <w:r w:rsidR="0055543B" w:rsidRPr="002F5315">
        <w:rPr>
          <w:szCs w:val="22"/>
        </w:rPr>
        <w:t xml:space="preserve"> Supreme Court</w:t>
      </w:r>
      <w:r w:rsidR="00AD34CC" w:rsidRPr="002F5315">
        <w:rPr>
          <w:szCs w:val="22"/>
        </w:rPr>
        <w:t xml:space="preserve">’s 2012 </w:t>
      </w:r>
      <w:r w:rsidR="00AD34CC" w:rsidRPr="002F5315">
        <w:rPr>
          <w:i/>
          <w:szCs w:val="22"/>
        </w:rPr>
        <w:t>Fox</w:t>
      </w:r>
      <w:r w:rsidR="00AD34CC" w:rsidRPr="00BA4207">
        <w:rPr>
          <w:rStyle w:val="FootnoteReference"/>
          <w:szCs w:val="22"/>
        </w:rPr>
        <w:footnoteReference w:id="4"/>
      </w:r>
      <w:r w:rsidR="00AD34CC" w:rsidRPr="002F5315">
        <w:rPr>
          <w:szCs w:val="22"/>
        </w:rPr>
        <w:t xml:space="preserve"> decision</w:t>
      </w:r>
      <w:r w:rsidR="0055543B" w:rsidRPr="002F5315">
        <w:rPr>
          <w:szCs w:val="22"/>
        </w:rPr>
        <w:t xml:space="preserve"> because </w:t>
      </w:r>
      <w:r w:rsidR="00251A83">
        <w:rPr>
          <w:szCs w:val="22"/>
        </w:rPr>
        <w:t xml:space="preserve">the </w:t>
      </w:r>
      <w:r w:rsidR="00251A83">
        <w:rPr>
          <w:i/>
          <w:szCs w:val="22"/>
        </w:rPr>
        <w:t xml:space="preserve">Forfeiture Order </w:t>
      </w:r>
      <w:r w:rsidR="0055543B" w:rsidRPr="002F5315">
        <w:rPr>
          <w:szCs w:val="22"/>
        </w:rPr>
        <w:t>establishes a</w:t>
      </w:r>
      <w:r w:rsidR="00FB1E32" w:rsidRPr="002F5315">
        <w:rPr>
          <w:szCs w:val="22"/>
        </w:rPr>
        <w:t xml:space="preserve"> “bright line test” </w:t>
      </w:r>
      <w:r w:rsidR="0055543B" w:rsidRPr="002F5315">
        <w:rPr>
          <w:szCs w:val="22"/>
        </w:rPr>
        <w:t xml:space="preserve">for </w:t>
      </w:r>
      <w:r w:rsidR="00FB1E32" w:rsidRPr="002F5315">
        <w:rPr>
          <w:szCs w:val="22"/>
        </w:rPr>
        <w:t>aviation support stations</w:t>
      </w:r>
      <w:r w:rsidR="00636116">
        <w:rPr>
          <w:szCs w:val="22"/>
        </w:rPr>
        <w:t xml:space="preserve">—that </w:t>
      </w:r>
      <w:r w:rsidR="00636116">
        <w:t>a forfeiture of at least $10,000 will be assessed for unauthorized operation on a frequency reserved for aviation support stations without regard to the facts and circumstances of the case</w:t>
      </w:r>
      <w:r w:rsidR="00636116">
        <w:rPr>
          <w:szCs w:val="22"/>
        </w:rPr>
        <w:t>—</w:t>
      </w:r>
      <w:r w:rsidR="0055543B" w:rsidRPr="002F5315">
        <w:rPr>
          <w:szCs w:val="22"/>
        </w:rPr>
        <w:t xml:space="preserve">without providing advance notice of </w:t>
      </w:r>
      <w:r w:rsidR="002777FD" w:rsidRPr="002F5315">
        <w:rPr>
          <w:szCs w:val="22"/>
        </w:rPr>
        <w:t>such change</w:t>
      </w:r>
      <w:r w:rsidR="008B4699" w:rsidRPr="002F5315">
        <w:rPr>
          <w:szCs w:val="22"/>
        </w:rPr>
        <w:t>.</w:t>
      </w:r>
      <w:r w:rsidR="008106FB">
        <w:rPr>
          <w:rStyle w:val="FootnoteReference"/>
          <w:szCs w:val="22"/>
        </w:rPr>
        <w:footnoteReference w:id="5"/>
      </w:r>
      <w:r w:rsidR="003137BF">
        <w:t xml:space="preserve">  </w:t>
      </w:r>
      <w:r w:rsidR="00144DBE">
        <w:t>This argument is without merit.</w:t>
      </w:r>
    </w:p>
    <w:p w:rsidR="00541581" w:rsidRDefault="00345E33" w:rsidP="00FC6097">
      <w:pPr>
        <w:pStyle w:val="ParaNum"/>
        <w:tabs>
          <w:tab w:val="clear" w:pos="1080"/>
        </w:tabs>
      </w:pPr>
      <w:r w:rsidRPr="00345E33">
        <w:rPr>
          <w:snapToGrid/>
          <w:szCs w:val="22"/>
        </w:rPr>
        <w:t xml:space="preserve">Lubbock Aero concedes that it operated on frequency </w:t>
      </w:r>
      <w:r w:rsidRPr="00345E33">
        <w:rPr>
          <w:szCs w:val="22"/>
        </w:rPr>
        <w:t>123.300 MHz without Commission authority</w:t>
      </w:r>
      <w:r w:rsidR="008A75AE">
        <w:rPr>
          <w:szCs w:val="22"/>
        </w:rPr>
        <w:t xml:space="preserve"> in violation of Section 301 of the Act and Section 1.903(a) of the Rules</w:t>
      </w:r>
      <w:r w:rsidRPr="00345E33">
        <w:rPr>
          <w:szCs w:val="22"/>
        </w:rPr>
        <w:t>.</w:t>
      </w:r>
      <w:r>
        <w:rPr>
          <w:rStyle w:val="FootnoteReference"/>
          <w:szCs w:val="22"/>
        </w:rPr>
        <w:footnoteReference w:id="6"/>
      </w:r>
      <w:r>
        <w:rPr>
          <w:szCs w:val="22"/>
        </w:rPr>
        <w:t xml:space="preserve">  </w:t>
      </w:r>
      <w:r w:rsidR="00144DBE">
        <w:t xml:space="preserve">Section 503(b) of the Act and Section 1.80(a) of the Rules provide that any person who willfully or repeatedly fails to comply </w:t>
      </w:r>
      <w:r w:rsidR="00144DBE">
        <w:lastRenderedPageBreak/>
        <w:t>with the provisions of the Act or the Rules shall be liable for a forfeiture penalty</w:t>
      </w:r>
      <w:r>
        <w:t>.</w:t>
      </w:r>
      <w:r>
        <w:rPr>
          <w:rStyle w:val="FootnoteReference"/>
        </w:rPr>
        <w:footnoteReference w:id="7"/>
      </w:r>
      <w:r w:rsidR="00144DBE">
        <w:t xml:space="preserve">  </w:t>
      </w:r>
      <w:r w:rsidR="00FF71D2">
        <w:t xml:space="preserve">In </w:t>
      </w:r>
      <w:r w:rsidR="00FC6097">
        <w:t xml:space="preserve">light of the </w:t>
      </w:r>
      <w:r w:rsidR="00FC6097" w:rsidRPr="00AB2292">
        <w:rPr>
          <w:szCs w:val="22"/>
        </w:rPr>
        <w:t xml:space="preserve">applicable statutory factors, the Rules, and the </w:t>
      </w:r>
      <w:r w:rsidR="00FC6097" w:rsidRPr="00AB2292">
        <w:rPr>
          <w:i/>
          <w:szCs w:val="22"/>
        </w:rPr>
        <w:t>Forfeiture Policy Statement</w:t>
      </w:r>
      <w:r w:rsidR="00FC6097" w:rsidRPr="00FC6097">
        <w:rPr>
          <w:szCs w:val="22"/>
        </w:rPr>
        <w:t>,</w:t>
      </w:r>
      <w:r w:rsidR="00FC6097">
        <w:t xml:space="preserve"> the Division assessed the base forfeiture amount of $10,000</w:t>
      </w:r>
      <w:r w:rsidR="00FF71D2">
        <w:t xml:space="preserve"> for Lubbock Aero’s unauthorized operation.</w:t>
      </w:r>
      <w:r w:rsidR="00C71A5D">
        <w:rPr>
          <w:rStyle w:val="FootnoteReference"/>
        </w:rPr>
        <w:footnoteReference w:id="8"/>
      </w:r>
      <w:r w:rsidR="00FF71D2">
        <w:t xml:space="preserve">  </w:t>
      </w:r>
      <w:r w:rsidR="00D2012D">
        <w:t xml:space="preserve">The </w:t>
      </w:r>
      <w:r w:rsidR="00D2012D">
        <w:rPr>
          <w:i/>
        </w:rPr>
        <w:t xml:space="preserve">Forfeiture </w:t>
      </w:r>
      <w:r w:rsidR="00D2012D" w:rsidRPr="00D2012D">
        <w:rPr>
          <w:i/>
        </w:rPr>
        <w:t>Order</w:t>
      </w:r>
      <w:r w:rsidR="00D2012D">
        <w:t xml:space="preserve"> neither broke new ground nor established a bright line test, and</w:t>
      </w:r>
      <w:r w:rsidR="00D2012D">
        <w:rPr>
          <w:u w:val="words"/>
        </w:rPr>
        <w:t xml:space="preserve"> </w:t>
      </w:r>
      <w:r w:rsidR="00D2012D">
        <w:t>w</w:t>
      </w:r>
      <w:r w:rsidR="00541581" w:rsidRPr="00D2012D">
        <w:t>e</w:t>
      </w:r>
      <w:r w:rsidR="00541581">
        <w:t xml:space="preserve"> </w:t>
      </w:r>
      <w:r w:rsidR="00D2012D">
        <w:t>therefore</w:t>
      </w:r>
      <w:r w:rsidR="00541581">
        <w:t xml:space="preserve"> deny Lubbock Aero’s Petition.</w:t>
      </w:r>
    </w:p>
    <w:p w:rsidR="00770748" w:rsidRDefault="00770748" w:rsidP="00770748">
      <w:pPr>
        <w:pStyle w:val="ParaNum"/>
        <w:tabs>
          <w:tab w:val="clear" w:pos="1080"/>
          <w:tab w:val="left" w:pos="720"/>
          <w:tab w:val="num" w:pos="1440"/>
        </w:tabs>
        <w:spacing w:after="220"/>
      </w:pPr>
      <w:r>
        <w:t xml:space="preserve">Accordingly, </w:t>
      </w:r>
      <w:r w:rsidRPr="00770748">
        <w:rPr>
          <w:b/>
        </w:rPr>
        <w:t>IT IS ORDERED</w:t>
      </w:r>
      <w:r>
        <w:t xml:space="preserve"> that, pursuant to Sections 4(i) and 405 of the Communications Act of 1934, as amended, a</w:t>
      </w:r>
      <w:r w:rsidR="004E189E">
        <w:t>nd Sections 0.111, 0.311, and 1</w:t>
      </w:r>
      <w:r>
        <w:t xml:space="preserve">.106 of the Commission’s </w:t>
      </w:r>
      <w:r w:rsidR="00002DE1">
        <w:t>r</w:t>
      </w:r>
      <w:r>
        <w:t>ules,</w:t>
      </w:r>
      <w:r>
        <w:rPr>
          <w:rStyle w:val="FootnoteReference"/>
        </w:rPr>
        <w:footnoteReference w:id="9"/>
      </w:r>
      <w:r>
        <w:t xml:space="preserve"> the Petition for Reconsideration filed by Lubbock Aero is hereby </w:t>
      </w:r>
      <w:r w:rsidRPr="00770748">
        <w:rPr>
          <w:b/>
        </w:rPr>
        <w:t>DENIED</w:t>
      </w:r>
      <w:r>
        <w:t xml:space="preserve"> and the </w:t>
      </w:r>
      <w:r w:rsidRPr="00770748">
        <w:rPr>
          <w:i/>
        </w:rPr>
        <w:t>Forfeiture Order</w:t>
      </w:r>
      <w:r>
        <w:t xml:space="preserve"> </w:t>
      </w:r>
      <w:r w:rsidRPr="00770748">
        <w:rPr>
          <w:b/>
        </w:rPr>
        <w:t>IS AFFIRMED</w:t>
      </w:r>
      <w:r>
        <w:t>.</w:t>
      </w:r>
    </w:p>
    <w:p w:rsidR="00201A28" w:rsidRDefault="00201A28" w:rsidP="00770748">
      <w:pPr>
        <w:pStyle w:val="ParaNum"/>
        <w:tabs>
          <w:tab w:val="clear" w:pos="1080"/>
          <w:tab w:val="left" w:pos="720"/>
          <w:tab w:val="num" w:pos="1440"/>
        </w:tabs>
        <w:spacing w:after="220"/>
      </w:pPr>
      <w:r w:rsidRPr="00201A28">
        <w:rPr>
          <w:b/>
        </w:rPr>
        <w:t>IT IS FURTHER ORDERED</w:t>
      </w:r>
      <w:r>
        <w:t xml:space="preserve"> that pursuant to Section 503(b) of the Communications Act of 1934, as amended, and Sections 0.111, 0.311 and 1.80 of the Commission’s </w:t>
      </w:r>
      <w:r w:rsidR="00002DE1">
        <w:t>r</w:t>
      </w:r>
      <w:r>
        <w:t>ules,</w:t>
      </w:r>
      <w:r>
        <w:rPr>
          <w:rStyle w:val="FootnoteReference"/>
        </w:rPr>
        <w:footnoteReference w:id="10"/>
      </w:r>
      <w:r>
        <w:t xml:space="preserve"> Lubbock Aero </w:t>
      </w:r>
      <w:r w:rsidRPr="00201A28">
        <w:rPr>
          <w:b/>
        </w:rPr>
        <w:t>IS LIABLE FOR A MONETARY FORFEITURE</w:t>
      </w:r>
      <w:r>
        <w:t xml:space="preserve"> in the amount of ten thousand dollars ($10,000) for willful and repeated violation of Section 301 of the Communications Act of 1934, as amended, and Section 1.903(a) of the Commission’s rules.</w:t>
      </w:r>
      <w:r>
        <w:rPr>
          <w:rStyle w:val="FootnoteReference"/>
        </w:rPr>
        <w:footnoteReference w:id="11"/>
      </w:r>
      <w:r>
        <w:t xml:space="preserve">  This matter has been referred to the U.S. Department of Justice for enforcement of the forfeiture pursuant to Section 504(a) of the Communications Act of 1934, as amended.</w:t>
      </w:r>
      <w:r>
        <w:rPr>
          <w:rStyle w:val="FootnoteReference"/>
        </w:rPr>
        <w:footnoteReference w:id="12"/>
      </w:r>
    </w:p>
    <w:p w:rsidR="00904FCA" w:rsidRPr="007F52F3" w:rsidRDefault="00201A28" w:rsidP="00904FCA">
      <w:pPr>
        <w:pStyle w:val="ParaNum"/>
        <w:widowControl/>
        <w:tabs>
          <w:tab w:val="clear" w:pos="1080"/>
          <w:tab w:val="num" w:pos="1440"/>
        </w:tabs>
        <w:spacing w:after="220"/>
        <w:rPr>
          <w:szCs w:val="22"/>
        </w:rPr>
      </w:pPr>
      <w:r w:rsidRPr="00904FCA">
        <w:rPr>
          <w:b/>
        </w:rPr>
        <w:t>IT IS FURTHER ORDERED</w:t>
      </w:r>
      <w:r>
        <w:t xml:space="preserve"> that a copy of this Memorandum Opinion and Order shall be sent by first class mail and certified mail return receipt requested to </w:t>
      </w:r>
      <w:r w:rsidR="00904FCA" w:rsidRPr="00AB2292">
        <w:rPr>
          <w:szCs w:val="22"/>
        </w:rPr>
        <w:t xml:space="preserve">Richard Casler, Vice </w:t>
      </w:r>
      <w:r w:rsidR="00904FCA">
        <w:rPr>
          <w:szCs w:val="22"/>
        </w:rPr>
        <w:t xml:space="preserve">President/General </w:t>
      </w:r>
      <w:r w:rsidR="00904FCA" w:rsidRPr="00AB2292">
        <w:rPr>
          <w:szCs w:val="22"/>
        </w:rPr>
        <w:t>Manager, Lubbock Aero, 6304 North Cedar Avenue, Lubbock, TX 79403-6842, and to Dennis P. Corbett, Esq., Counsel for Lubbock Aero, Lerman Senter PLLC, 2000 K Street, NW, Suite 600, Washington, DC 20006-1809.</w:t>
      </w:r>
    </w:p>
    <w:p w:rsidR="00904FCA" w:rsidRPr="00AB2292" w:rsidRDefault="00904FCA" w:rsidP="00904FCA">
      <w:pPr>
        <w:tabs>
          <w:tab w:val="left" w:pos="0"/>
        </w:tabs>
        <w:suppressAutoHyphens/>
        <w:spacing w:line="240" w:lineRule="atLeast"/>
        <w:rPr>
          <w:szCs w:val="22"/>
        </w:rPr>
      </w:pPr>
      <w:r w:rsidRPr="00AB2292">
        <w:rPr>
          <w:szCs w:val="22"/>
        </w:rPr>
        <w:tab/>
      </w:r>
      <w:r w:rsidRPr="00AB2292">
        <w:rPr>
          <w:szCs w:val="22"/>
        </w:rPr>
        <w:tab/>
      </w:r>
      <w:r w:rsidRPr="00AB2292">
        <w:rPr>
          <w:szCs w:val="22"/>
        </w:rPr>
        <w:tab/>
      </w:r>
      <w:r w:rsidRPr="00AB2292">
        <w:rPr>
          <w:szCs w:val="22"/>
        </w:rPr>
        <w:tab/>
      </w:r>
      <w:r w:rsidRPr="00AB2292">
        <w:rPr>
          <w:szCs w:val="22"/>
        </w:rPr>
        <w:tab/>
        <w:t>FEDERAL COMMUNICATIONS COMMISSION</w:t>
      </w:r>
    </w:p>
    <w:p w:rsidR="00904FCA" w:rsidRPr="00AB2292" w:rsidRDefault="00904FCA" w:rsidP="00904FCA">
      <w:pPr>
        <w:tabs>
          <w:tab w:val="left" w:pos="0"/>
        </w:tabs>
        <w:suppressAutoHyphens/>
        <w:spacing w:line="240" w:lineRule="atLeast"/>
        <w:rPr>
          <w:szCs w:val="22"/>
        </w:rPr>
      </w:pPr>
    </w:p>
    <w:p w:rsidR="00904FCA" w:rsidRPr="00AB2292" w:rsidRDefault="00904FCA" w:rsidP="00904FCA">
      <w:pPr>
        <w:tabs>
          <w:tab w:val="left" w:pos="0"/>
        </w:tabs>
        <w:suppressAutoHyphens/>
        <w:spacing w:line="240" w:lineRule="atLeast"/>
        <w:rPr>
          <w:szCs w:val="22"/>
        </w:rPr>
      </w:pPr>
    </w:p>
    <w:p w:rsidR="00F36E19" w:rsidRDefault="00F36E19" w:rsidP="00904FCA">
      <w:pPr>
        <w:tabs>
          <w:tab w:val="left" w:pos="0"/>
        </w:tabs>
        <w:suppressAutoHyphens/>
        <w:spacing w:line="240" w:lineRule="atLeast"/>
        <w:rPr>
          <w:szCs w:val="22"/>
        </w:rPr>
      </w:pPr>
    </w:p>
    <w:p w:rsidR="00E06F66" w:rsidRDefault="00E06F66" w:rsidP="00904FCA">
      <w:pPr>
        <w:tabs>
          <w:tab w:val="left" w:pos="0"/>
        </w:tabs>
        <w:suppressAutoHyphens/>
        <w:spacing w:line="240" w:lineRule="atLeast"/>
        <w:rPr>
          <w:szCs w:val="22"/>
        </w:rPr>
      </w:pPr>
    </w:p>
    <w:p w:rsidR="00904FCA" w:rsidRPr="00AB2292" w:rsidRDefault="00F36E19" w:rsidP="00904FCA">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r>
      <w:r w:rsidR="008A75AE">
        <w:rPr>
          <w:szCs w:val="22"/>
        </w:rPr>
        <w:t>Ricardo M. Durham</w:t>
      </w:r>
    </w:p>
    <w:p w:rsidR="00904FCA" w:rsidRPr="00AB2292" w:rsidRDefault="00904FCA" w:rsidP="00904FCA">
      <w:pPr>
        <w:rPr>
          <w:szCs w:val="22"/>
        </w:rPr>
      </w:pPr>
      <w:r w:rsidRPr="00AB2292">
        <w:rPr>
          <w:szCs w:val="22"/>
        </w:rPr>
        <w:tab/>
      </w:r>
      <w:r w:rsidRPr="00AB2292">
        <w:rPr>
          <w:szCs w:val="22"/>
        </w:rPr>
        <w:tab/>
      </w:r>
      <w:r w:rsidRPr="00AB2292">
        <w:rPr>
          <w:szCs w:val="22"/>
        </w:rPr>
        <w:tab/>
      </w:r>
      <w:r w:rsidRPr="00AB2292">
        <w:rPr>
          <w:szCs w:val="22"/>
        </w:rPr>
        <w:tab/>
      </w:r>
      <w:r w:rsidRPr="00AB2292">
        <w:rPr>
          <w:szCs w:val="22"/>
        </w:rPr>
        <w:tab/>
      </w:r>
      <w:r w:rsidR="006270B7">
        <w:rPr>
          <w:szCs w:val="22"/>
        </w:rPr>
        <w:t>Senior Deputy Chief, Spectrum Enforcement Division</w:t>
      </w:r>
    </w:p>
    <w:p w:rsidR="00201A28" w:rsidRPr="00770748" w:rsidRDefault="00904FCA" w:rsidP="00904FCA">
      <w:pPr>
        <w:ind w:left="2880" w:firstLine="720"/>
      </w:pPr>
      <w:r w:rsidRPr="00AB2292">
        <w:t>Enforcement Bureau</w:t>
      </w:r>
    </w:p>
    <w:sectPr w:rsidR="00201A28" w:rsidRPr="00770748" w:rsidSect="00190E9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7A" w:rsidRDefault="005F057A">
      <w:pPr>
        <w:spacing w:line="20" w:lineRule="exact"/>
      </w:pPr>
    </w:p>
  </w:endnote>
  <w:endnote w:type="continuationSeparator" w:id="0">
    <w:p w:rsidR="005F057A" w:rsidRDefault="005F057A">
      <w:r>
        <w:t xml:space="preserve"> </w:t>
      </w:r>
    </w:p>
  </w:endnote>
  <w:endnote w:type="continuationNotice" w:id="1">
    <w:p w:rsidR="005F057A" w:rsidRDefault="005F05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B290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7A" w:rsidRDefault="005F057A">
      <w:r>
        <w:separator/>
      </w:r>
    </w:p>
  </w:footnote>
  <w:footnote w:type="continuationSeparator" w:id="0">
    <w:p w:rsidR="005F057A" w:rsidRDefault="005F057A" w:rsidP="00C721AC">
      <w:pPr>
        <w:spacing w:before="120"/>
        <w:rPr>
          <w:sz w:val="20"/>
        </w:rPr>
      </w:pPr>
      <w:r>
        <w:rPr>
          <w:sz w:val="20"/>
        </w:rPr>
        <w:t xml:space="preserve">(Continued from previous page)  </w:t>
      </w:r>
      <w:r>
        <w:rPr>
          <w:sz w:val="20"/>
        </w:rPr>
        <w:separator/>
      </w:r>
    </w:p>
  </w:footnote>
  <w:footnote w:type="continuationNotice" w:id="1">
    <w:p w:rsidR="005F057A" w:rsidRDefault="005F057A" w:rsidP="00C721AC">
      <w:pPr>
        <w:jc w:val="right"/>
        <w:rPr>
          <w:sz w:val="20"/>
        </w:rPr>
      </w:pPr>
      <w:r>
        <w:rPr>
          <w:sz w:val="20"/>
        </w:rPr>
        <w:t>(continued….)</w:t>
      </w:r>
    </w:p>
  </w:footnote>
  <w:footnote w:id="2">
    <w:p w:rsidR="005974F8" w:rsidRDefault="005974F8">
      <w:pPr>
        <w:pStyle w:val="FootnoteText"/>
      </w:pPr>
      <w:r>
        <w:rPr>
          <w:rStyle w:val="FootnoteReference"/>
        </w:rPr>
        <w:footnoteRef/>
      </w:r>
      <w:r>
        <w:t xml:space="preserve"> The investigation initiated under File No. EB-08-SE-721 was subsequently assigned File No. EB-SED-13-00008250.  Any future correspondence with the FCC concerning this matter should reflect the new case number.</w:t>
      </w:r>
    </w:p>
  </w:footnote>
  <w:footnote w:id="3">
    <w:p w:rsidR="005D3B02" w:rsidRDefault="005D3B02">
      <w:pPr>
        <w:pStyle w:val="FootnoteText"/>
      </w:pPr>
      <w:r>
        <w:rPr>
          <w:rStyle w:val="FootnoteReference"/>
        </w:rPr>
        <w:footnoteRef/>
      </w:r>
      <w:r>
        <w:t xml:space="preserve"> </w:t>
      </w:r>
      <w:r w:rsidR="007D57CD" w:rsidRPr="00E309C4">
        <w:rPr>
          <w:i/>
        </w:rPr>
        <w:t>See Lubbock Aero</w:t>
      </w:r>
      <w:r w:rsidR="007D57CD">
        <w:t>, Forfeiture Order,</w:t>
      </w:r>
      <w:r w:rsidR="00FA6F6C">
        <w:t xml:space="preserve"> 29 FCC Rcd 59 </w:t>
      </w:r>
      <w:r w:rsidR="007D57CD">
        <w:t>(Enf. Bur. 2014) (</w:t>
      </w:r>
      <w:r w:rsidR="007D57CD" w:rsidRPr="00E309C4">
        <w:rPr>
          <w:i/>
        </w:rPr>
        <w:t>Forfeiture Order</w:t>
      </w:r>
      <w:r w:rsidR="007D57CD">
        <w:t xml:space="preserve">).  </w:t>
      </w:r>
      <w:r w:rsidR="00BC5763">
        <w:rPr>
          <w:i/>
        </w:rPr>
        <w:t xml:space="preserve">See also </w:t>
      </w:r>
      <w:r w:rsidR="00BC5763">
        <w:t xml:space="preserve">47 U.S.C. § 301; 47 C.F.R. § 1.903(a).  </w:t>
      </w:r>
      <w:r w:rsidR="007D57CD">
        <w:t xml:space="preserve">The </w:t>
      </w:r>
      <w:r w:rsidR="007D57CD">
        <w:rPr>
          <w:i/>
        </w:rPr>
        <w:t>Forfeiture Order</w:t>
      </w:r>
      <w:r w:rsidR="007D57CD">
        <w:t xml:space="preserve"> includes a more complete recitation of the facts and history of this case and is incorporated herein by reference.  </w:t>
      </w:r>
    </w:p>
  </w:footnote>
  <w:footnote w:id="4">
    <w:p w:rsidR="00AD34CC" w:rsidRPr="00E5447D" w:rsidRDefault="00AD34CC" w:rsidP="00AD34CC">
      <w:pPr>
        <w:pStyle w:val="FootnoteText"/>
      </w:pPr>
      <w:r>
        <w:rPr>
          <w:rStyle w:val="FootnoteReference"/>
        </w:rPr>
        <w:footnoteRef/>
      </w:r>
      <w:r>
        <w:t xml:space="preserve"> </w:t>
      </w:r>
      <w:r w:rsidRPr="00E5447D">
        <w:rPr>
          <w:i/>
        </w:rPr>
        <w:t>FCC v. Fox Television Stations, Inc</w:t>
      </w:r>
      <w:r>
        <w:rPr>
          <w:i/>
        </w:rPr>
        <w:t>.</w:t>
      </w:r>
      <w:r>
        <w:t>, 132 S. Ct. 2307 (2012)</w:t>
      </w:r>
      <w:r w:rsidR="009B5597">
        <w:t xml:space="preserve"> (</w:t>
      </w:r>
      <w:r w:rsidR="009B5597">
        <w:rPr>
          <w:i/>
        </w:rPr>
        <w:t>Fox</w:t>
      </w:r>
      <w:r w:rsidR="009B5597">
        <w:t>)</w:t>
      </w:r>
      <w:r>
        <w:t>.</w:t>
      </w:r>
    </w:p>
  </w:footnote>
  <w:footnote w:id="5">
    <w:p w:rsidR="008106FB" w:rsidRDefault="008106FB">
      <w:pPr>
        <w:pStyle w:val="FootnoteText"/>
      </w:pPr>
      <w:r>
        <w:rPr>
          <w:rStyle w:val="FootnoteReference"/>
        </w:rPr>
        <w:footnoteRef/>
      </w:r>
      <w:r>
        <w:t xml:space="preserve"> </w:t>
      </w:r>
      <w:r w:rsidR="0010283B" w:rsidRPr="0010283B">
        <w:rPr>
          <w:i/>
        </w:rPr>
        <w:t>See</w:t>
      </w:r>
      <w:r w:rsidR="0010283B">
        <w:t xml:space="preserve"> </w:t>
      </w:r>
      <w:r w:rsidR="00011A91">
        <w:t xml:space="preserve">Lubbock Aero </w:t>
      </w:r>
      <w:r w:rsidR="009B5597">
        <w:t xml:space="preserve">Petition </w:t>
      </w:r>
      <w:r w:rsidR="00011A91">
        <w:t xml:space="preserve">for Reconsideration </w:t>
      </w:r>
      <w:r w:rsidR="00A4376B">
        <w:t>at 3–6</w:t>
      </w:r>
      <w:r w:rsidR="00011A91">
        <w:t xml:space="preserve"> (filed Feb. 28, 2014) (on file in EB-SED-13-00008250) (Petition)</w:t>
      </w:r>
      <w:r w:rsidR="009B5597">
        <w:t>.</w:t>
      </w:r>
      <w:r w:rsidR="00636116">
        <w:t xml:space="preserve">  This argument rests on a single sentence in the </w:t>
      </w:r>
      <w:r w:rsidR="00636116" w:rsidRPr="004E52EE">
        <w:rPr>
          <w:i/>
        </w:rPr>
        <w:t xml:space="preserve">Forfeiture </w:t>
      </w:r>
      <w:r w:rsidR="00636116" w:rsidRPr="00D76405">
        <w:rPr>
          <w:i/>
        </w:rPr>
        <w:t>Order</w:t>
      </w:r>
      <w:r w:rsidR="00636116">
        <w:t xml:space="preserve"> </w:t>
      </w:r>
      <w:r w:rsidR="00636116" w:rsidRPr="00D76405">
        <w:t>which</w:t>
      </w:r>
      <w:r w:rsidR="00636116">
        <w:t xml:space="preserve"> distinguished the facts of the instant case from those involving</w:t>
      </w:r>
      <w:r w:rsidR="00636116" w:rsidRPr="00D76405">
        <w:rPr>
          <w:szCs w:val="22"/>
        </w:rPr>
        <w:t xml:space="preserve"> </w:t>
      </w:r>
      <w:r w:rsidR="00636116" w:rsidRPr="00DC214F">
        <w:rPr>
          <w:szCs w:val="22"/>
        </w:rPr>
        <w:t>Private Land Mobile Radio Service</w:t>
      </w:r>
      <w:r w:rsidR="00636116">
        <w:t xml:space="preserve"> stations.  </w:t>
      </w:r>
      <w:r w:rsidR="00636116">
        <w:rPr>
          <w:i/>
        </w:rPr>
        <w:t>See Forfeiture Order</w:t>
      </w:r>
      <w:r w:rsidR="00636116">
        <w:t xml:space="preserve">, </w:t>
      </w:r>
      <w:r w:rsidR="00FA6F6C">
        <w:t xml:space="preserve">29 FCC Rcd at 64, </w:t>
      </w:r>
      <w:r w:rsidR="00636116">
        <w:t xml:space="preserve">para. 11 (“Again, Lubbock </w:t>
      </w:r>
      <w:r w:rsidR="00636116" w:rsidRPr="004E52EE">
        <w:t>Aero has relied on cases that are inapposite because they did not involve the unlicensed operation of a radio station using a frequency reserved for aviation support stations.”</w:t>
      </w:r>
      <w:r w:rsidR="00636116">
        <w:t>).</w:t>
      </w:r>
    </w:p>
  </w:footnote>
  <w:footnote w:id="6">
    <w:p w:rsidR="00345E33" w:rsidRDefault="00345E33">
      <w:pPr>
        <w:pStyle w:val="FootnoteText"/>
      </w:pPr>
      <w:r>
        <w:rPr>
          <w:rStyle w:val="FootnoteReference"/>
        </w:rPr>
        <w:footnoteRef/>
      </w:r>
      <w:r>
        <w:t xml:space="preserve"> </w:t>
      </w:r>
      <w:r w:rsidR="008E7442" w:rsidRPr="008A75AE">
        <w:rPr>
          <w:i/>
        </w:rPr>
        <w:t>See</w:t>
      </w:r>
      <w:r w:rsidR="008E7442">
        <w:t xml:space="preserve"> </w:t>
      </w:r>
      <w:r w:rsidR="00636116">
        <w:t xml:space="preserve">Petition at 2.  </w:t>
      </w:r>
    </w:p>
  </w:footnote>
  <w:footnote w:id="7">
    <w:p w:rsidR="00345E33" w:rsidRDefault="00345E33" w:rsidP="00345E33">
      <w:pPr>
        <w:pStyle w:val="FootnoteText"/>
      </w:pPr>
      <w:r>
        <w:rPr>
          <w:rStyle w:val="FootnoteReference"/>
        </w:rPr>
        <w:footnoteRef/>
      </w:r>
      <w:r>
        <w:t xml:space="preserve"> </w:t>
      </w:r>
      <w:r>
        <w:rPr>
          <w:i/>
        </w:rPr>
        <w:t xml:space="preserve">See </w:t>
      </w:r>
      <w:r>
        <w:t>47 U.S.C. § 503(b); 47 C.F.R. § 1.80(a).</w:t>
      </w:r>
      <w:r w:rsidR="008A75AE">
        <w:t xml:space="preserve">  </w:t>
      </w:r>
      <w:r w:rsidR="008A75AE">
        <w:rPr>
          <w:szCs w:val="22"/>
        </w:rPr>
        <w:t xml:space="preserve">In the case of unauthorized operation, </w:t>
      </w:r>
      <w:r w:rsidR="008A75AE">
        <w:t xml:space="preserve">Section 1.80(b) of the Rules sets a base forfeiture amount of $10,000.  </w:t>
      </w:r>
      <w:r w:rsidR="008A75AE">
        <w:rPr>
          <w:i/>
        </w:rPr>
        <w:t xml:space="preserve">See </w:t>
      </w:r>
      <w:r w:rsidR="008A75AE">
        <w:t>47 C.F.R. § 1.80(b).</w:t>
      </w:r>
    </w:p>
  </w:footnote>
  <w:footnote w:id="8">
    <w:p w:rsidR="00C71A5D" w:rsidRDefault="00C71A5D" w:rsidP="00C71A5D">
      <w:pPr>
        <w:pStyle w:val="FootnoteText"/>
      </w:pPr>
      <w:r>
        <w:rPr>
          <w:rStyle w:val="FootnoteReference"/>
        </w:rPr>
        <w:footnoteRef/>
      </w:r>
      <w:r>
        <w:t xml:space="preserve"> </w:t>
      </w:r>
      <w:r w:rsidR="007F176E">
        <w:t xml:space="preserve">As the Division noted in the </w:t>
      </w:r>
      <w:r w:rsidR="007F176E" w:rsidRPr="00C71A5D">
        <w:rPr>
          <w:i/>
        </w:rPr>
        <w:t>Forfeiture Order</w:t>
      </w:r>
      <w:r w:rsidR="007F176E">
        <w:t xml:space="preserve">, </w:t>
      </w:r>
      <w:r w:rsidR="007F176E">
        <w:rPr>
          <w:szCs w:val="22"/>
        </w:rPr>
        <w:t>the Act mandates that we</w:t>
      </w:r>
      <w:r w:rsidR="007F176E" w:rsidRPr="00D15C2F">
        <w:rPr>
          <w:szCs w:val="22"/>
        </w:rPr>
        <w:t xml:space="preserve"> “</w:t>
      </w:r>
      <w:r w:rsidR="009B6752">
        <w:rPr>
          <w:szCs w:val="22"/>
        </w:rPr>
        <w:t>‘</w:t>
      </w:r>
      <w:r w:rsidR="007F176E" w:rsidRPr="00D15C2F">
        <w:rPr>
          <w:szCs w:val="22"/>
        </w:rPr>
        <w:t>take into account the nature, circumstances, extent, and gravity of the violation and, with respect to the violator, the degree of culpability, any history of prior offenses, ability to pay, and such other</w:t>
      </w:r>
      <w:r w:rsidR="007F176E">
        <w:rPr>
          <w:szCs w:val="22"/>
        </w:rPr>
        <w:t xml:space="preserve"> matters as justice may require</w:t>
      </w:r>
      <w:r w:rsidR="009B6752">
        <w:rPr>
          <w:szCs w:val="22"/>
        </w:rPr>
        <w:t>’”</w:t>
      </w:r>
      <w:r w:rsidR="007F176E">
        <w:rPr>
          <w:szCs w:val="22"/>
        </w:rPr>
        <w:t xml:space="preserve"> when assessing a forfeiture.</w:t>
      </w:r>
      <w:r w:rsidR="00261494">
        <w:rPr>
          <w:szCs w:val="22"/>
        </w:rPr>
        <w:t xml:space="preserve">  </w:t>
      </w:r>
      <w:r w:rsidR="00261494">
        <w:rPr>
          <w:i/>
          <w:szCs w:val="22"/>
        </w:rPr>
        <w:t>Forfeiture Order</w:t>
      </w:r>
      <w:r w:rsidR="00261494">
        <w:rPr>
          <w:szCs w:val="22"/>
        </w:rPr>
        <w:t>,</w:t>
      </w:r>
      <w:r w:rsidR="00261494" w:rsidRPr="00261494">
        <w:t xml:space="preserve"> </w:t>
      </w:r>
      <w:r w:rsidR="00261494">
        <w:t>29 FCC Rcd at</w:t>
      </w:r>
      <w:r w:rsidR="009B6752">
        <w:t xml:space="preserve"> 60–</w:t>
      </w:r>
      <w:r w:rsidR="00261494">
        <w:t>61, para. 5 (</w:t>
      </w:r>
      <w:r w:rsidR="009B6752">
        <w:t>quoting</w:t>
      </w:r>
      <w:r w:rsidR="007F176E">
        <w:rPr>
          <w:szCs w:val="22"/>
        </w:rPr>
        <w:t xml:space="preserve"> </w:t>
      </w:r>
      <w:r w:rsidR="007F176E" w:rsidRPr="00BF0CB5">
        <w:t>47 U.S.C. § 503(b)(2)(E)</w:t>
      </w:r>
      <w:r w:rsidR="00261494">
        <w:t>)</w:t>
      </w:r>
      <w:r w:rsidR="007F176E" w:rsidRPr="00BF0CB5">
        <w:t>.</w:t>
      </w:r>
      <w:r w:rsidR="007F176E">
        <w:t xml:space="preserve">  </w:t>
      </w:r>
      <w:r w:rsidR="007F176E">
        <w:rPr>
          <w:i/>
        </w:rPr>
        <w:t xml:space="preserve">See </w:t>
      </w:r>
      <w:r w:rsidR="0010283B">
        <w:rPr>
          <w:i/>
        </w:rPr>
        <w:t xml:space="preserve">also </w:t>
      </w:r>
      <w:r w:rsidRPr="00FC6097">
        <w:rPr>
          <w:i/>
        </w:rPr>
        <w:t xml:space="preserve">Commission’s Forfeiture Policy Statement and Amendment of Section 1.80 of the Rules to Incorporate the Forfeiture Guidelines, </w:t>
      </w:r>
      <w:r w:rsidRPr="00FC6097">
        <w:t>Report and Order, 12 FCC Rcd 17087, 171</w:t>
      </w:r>
      <w:r w:rsidR="00261494">
        <w:t>00–01, para. 27</w:t>
      </w:r>
      <w:r w:rsidRPr="00FC6097">
        <w:t xml:space="preserve"> (1997) (</w:t>
      </w:r>
      <w:r w:rsidRPr="00FC6097">
        <w:rPr>
          <w:i/>
        </w:rPr>
        <w:t>Forfeiture Policy Statement</w:t>
      </w:r>
      <w:r w:rsidRPr="00FC6097">
        <w:t>),</w:t>
      </w:r>
      <w:r w:rsidRPr="00FC6097">
        <w:rPr>
          <w:i/>
        </w:rPr>
        <w:t xml:space="preserve"> recons. denied</w:t>
      </w:r>
      <w:r w:rsidRPr="00FC6097">
        <w:t>, Memorandum Opinion and Order, 15 FCC Rcd 303 (1999).</w:t>
      </w:r>
      <w:r>
        <w:t xml:space="preserve">  </w:t>
      </w:r>
    </w:p>
  </w:footnote>
  <w:footnote w:id="9">
    <w:p w:rsidR="00770748" w:rsidRDefault="00770748">
      <w:pPr>
        <w:pStyle w:val="FootnoteText"/>
      </w:pPr>
      <w:r>
        <w:rPr>
          <w:rStyle w:val="FootnoteReference"/>
        </w:rPr>
        <w:footnoteRef/>
      </w:r>
      <w:r>
        <w:t xml:space="preserve"> 47 U.S.C. §§ 154(i), 405; 47 C.F.R. §§ 0.111, 0.311, 1.106.</w:t>
      </w:r>
    </w:p>
  </w:footnote>
  <w:footnote w:id="10">
    <w:p w:rsidR="00201A28" w:rsidRDefault="00201A28">
      <w:pPr>
        <w:pStyle w:val="FootnoteText"/>
      </w:pPr>
      <w:r>
        <w:rPr>
          <w:rStyle w:val="FootnoteReference"/>
        </w:rPr>
        <w:footnoteRef/>
      </w:r>
      <w:r>
        <w:t xml:space="preserve"> 47 U.S.C. § 503(b); 47 C.F.R. §§ 0.111, 0.311, 1.80.</w:t>
      </w:r>
    </w:p>
  </w:footnote>
  <w:footnote w:id="11">
    <w:p w:rsidR="00201A28" w:rsidRDefault="00201A28">
      <w:pPr>
        <w:pStyle w:val="FootnoteText"/>
      </w:pPr>
      <w:r>
        <w:rPr>
          <w:rStyle w:val="FootnoteReference"/>
        </w:rPr>
        <w:footnoteRef/>
      </w:r>
      <w:r>
        <w:t xml:space="preserve"> 47 U.S.C. § 301; 47 C.F.R. § 1.903(a).</w:t>
      </w:r>
    </w:p>
  </w:footnote>
  <w:footnote w:id="12">
    <w:p w:rsidR="00201A28" w:rsidRDefault="00201A28">
      <w:pPr>
        <w:pStyle w:val="FootnoteText"/>
      </w:pPr>
      <w:r>
        <w:rPr>
          <w:rStyle w:val="FootnoteReference"/>
        </w:rPr>
        <w:footnoteRef/>
      </w:r>
      <w:r>
        <w:t xml:space="preserve"> 47 U.S.C. § 504(a).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905" w:rsidRDefault="00FB2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B641F">
      <w:t>DA 14-</w:t>
    </w:r>
    <w:r w:rsidR="006270B7">
      <w:t>427</w:t>
    </w:r>
  </w:p>
  <w:p w:rsidR="00D25FB5" w:rsidRDefault="004D2C8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2520149" wp14:editId="7F08474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D2C8B"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BA34EFF" wp14:editId="431A958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974F8">
      <w:rPr>
        <w:spacing w:val="-2"/>
      </w:rPr>
      <w:t>DA 14-</w:t>
    </w:r>
    <w:r w:rsidR="006270B7">
      <w:rPr>
        <w:spacing w:val="-2"/>
      </w:rPr>
      <w:t>427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0F"/>
    <w:rsid w:val="00002DE1"/>
    <w:rsid w:val="000076E0"/>
    <w:rsid w:val="00010773"/>
    <w:rsid w:val="00011A91"/>
    <w:rsid w:val="00036039"/>
    <w:rsid w:val="00037F90"/>
    <w:rsid w:val="000474E4"/>
    <w:rsid w:val="00072DBA"/>
    <w:rsid w:val="000751FE"/>
    <w:rsid w:val="000875BF"/>
    <w:rsid w:val="0008769D"/>
    <w:rsid w:val="00096D8C"/>
    <w:rsid w:val="000A01C7"/>
    <w:rsid w:val="000C0B65"/>
    <w:rsid w:val="000D1192"/>
    <w:rsid w:val="000D3ADB"/>
    <w:rsid w:val="000E05FE"/>
    <w:rsid w:val="000E3D42"/>
    <w:rsid w:val="000E6C22"/>
    <w:rsid w:val="000F64C0"/>
    <w:rsid w:val="0010283B"/>
    <w:rsid w:val="00103492"/>
    <w:rsid w:val="00122BD5"/>
    <w:rsid w:val="00133F79"/>
    <w:rsid w:val="00140FE7"/>
    <w:rsid w:val="00144DBE"/>
    <w:rsid w:val="00155F0F"/>
    <w:rsid w:val="0018525E"/>
    <w:rsid w:val="00190E97"/>
    <w:rsid w:val="00194A66"/>
    <w:rsid w:val="001B6A1F"/>
    <w:rsid w:val="001D6BCF"/>
    <w:rsid w:val="001E01CA"/>
    <w:rsid w:val="001E338A"/>
    <w:rsid w:val="00201A28"/>
    <w:rsid w:val="00251A83"/>
    <w:rsid w:val="00261494"/>
    <w:rsid w:val="00262CB6"/>
    <w:rsid w:val="00263103"/>
    <w:rsid w:val="00275CF5"/>
    <w:rsid w:val="002777FD"/>
    <w:rsid w:val="0028301F"/>
    <w:rsid w:val="00285017"/>
    <w:rsid w:val="002A2D2E"/>
    <w:rsid w:val="002A3EDC"/>
    <w:rsid w:val="002C00E8"/>
    <w:rsid w:val="002C4249"/>
    <w:rsid w:val="002C4A1B"/>
    <w:rsid w:val="002C5A76"/>
    <w:rsid w:val="002F5315"/>
    <w:rsid w:val="003137BF"/>
    <w:rsid w:val="003358AB"/>
    <w:rsid w:val="00340EF5"/>
    <w:rsid w:val="00343749"/>
    <w:rsid w:val="00345E33"/>
    <w:rsid w:val="00351907"/>
    <w:rsid w:val="00351A66"/>
    <w:rsid w:val="003660ED"/>
    <w:rsid w:val="00367C84"/>
    <w:rsid w:val="00375219"/>
    <w:rsid w:val="003A473C"/>
    <w:rsid w:val="003B0550"/>
    <w:rsid w:val="003B3F8A"/>
    <w:rsid w:val="003B691F"/>
    <w:rsid w:val="003B694F"/>
    <w:rsid w:val="003E60EF"/>
    <w:rsid w:val="003F171C"/>
    <w:rsid w:val="003F5391"/>
    <w:rsid w:val="00403A77"/>
    <w:rsid w:val="00405984"/>
    <w:rsid w:val="004128C1"/>
    <w:rsid w:val="00412FC5"/>
    <w:rsid w:val="00416D12"/>
    <w:rsid w:val="00422276"/>
    <w:rsid w:val="004242F1"/>
    <w:rsid w:val="00431D3D"/>
    <w:rsid w:val="0043299F"/>
    <w:rsid w:val="00445A00"/>
    <w:rsid w:val="0045121E"/>
    <w:rsid w:val="00451B0F"/>
    <w:rsid w:val="004B2283"/>
    <w:rsid w:val="004C2EE3"/>
    <w:rsid w:val="004D2AFE"/>
    <w:rsid w:val="004D2C8B"/>
    <w:rsid w:val="004D49DA"/>
    <w:rsid w:val="004E189E"/>
    <w:rsid w:val="004E4A22"/>
    <w:rsid w:val="004E52EE"/>
    <w:rsid w:val="00504118"/>
    <w:rsid w:val="00511968"/>
    <w:rsid w:val="00520149"/>
    <w:rsid w:val="0052213C"/>
    <w:rsid w:val="00541581"/>
    <w:rsid w:val="00553601"/>
    <w:rsid w:val="0055543B"/>
    <w:rsid w:val="0055614C"/>
    <w:rsid w:val="0056352C"/>
    <w:rsid w:val="00567ED6"/>
    <w:rsid w:val="00573FC9"/>
    <w:rsid w:val="00583107"/>
    <w:rsid w:val="005901B0"/>
    <w:rsid w:val="00590C08"/>
    <w:rsid w:val="0059594D"/>
    <w:rsid w:val="00596ED8"/>
    <w:rsid w:val="005974F8"/>
    <w:rsid w:val="005A0D9D"/>
    <w:rsid w:val="005A1E2F"/>
    <w:rsid w:val="005B25ED"/>
    <w:rsid w:val="005B54E7"/>
    <w:rsid w:val="005D2B6A"/>
    <w:rsid w:val="005D3B02"/>
    <w:rsid w:val="005E14C2"/>
    <w:rsid w:val="005F057A"/>
    <w:rsid w:val="005F62A7"/>
    <w:rsid w:val="0060695B"/>
    <w:rsid w:val="00607BA5"/>
    <w:rsid w:val="0061180A"/>
    <w:rsid w:val="00612873"/>
    <w:rsid w:val="00626EB6"/>
    <w:rsid w:val="006270B7"/>
    <w:rsid w:val="00636116"/>
    <w:rsid w:val="00655D03"/>
    <w:rsid w:val="00670943"/>
    <w:rsid w:val="00683388"/>
    <w:rsid w:val="00683F74"/>
    <w:rsid w:val="00683F84"/>
    <w:rsid w:val="00696B10"/>
    <w:rsid w:val="006A6A81"/>
    <w:rsid w:val="006E0944"/>
    <w:rsid w:val="006E68E1"/>
    <w:rsid w:val="006F7393"/>
    <w:rsid w:val="0070224F"/>
    <w:rsid w:val="007115F7"/>
    <w:rsid w:val="00721490"/>
    <w:rsid w:val="00727CE7"/>
    <w:rsid w:val="00734BDB"/>
    <w:rsid w:val="00770748"/>
    <w:rsid w:val="00777987"/>
    <w:rsid w:val="00780999"/>
    <w:rsid w:val="00785689"/>
    <w:rsid w:val="0079754B"/>
    <w:rsid w:val="007A1E6D"/>
    <w:rsid w:val="007B0EB2"/>
    <w:rsid w:val="007C105F"/>
    <w:rsid w:val="007C44C5"/>
    <w:rsid w:val="007C7790"/>
    <w:rsid w:val="007D0B45"/>
    <w:rsid w:val="007D56A3"/>
    <w:rsid w:val="007D57CD"/>
    <w:rsid w:val="007F176E"/>
    <w:rsid w:val="007F2EDA"/>
    <w:rsid w:val="008106FB"/>
    <w:rsid w:val="00810B6F"/>
    <w:rsid w:val="00812891"/>
    <w:rsid w:val="00822CE0"/>
    <w:rsid w:val="00823E91"/>
    <w:rsid w:val="00831714"/>
    <w:rsid w:val="008345E4"/>
    <w:rsid w:val="00841AB1"/>
    <w:rsid w:val="00862D60"/>
    <w:rsid w:val="00881DE0"/>
    <w:rsid w:val="008A75AE"/>
    <w:rsid w:val="008B4699"/>
    <w:rsid w:val="008C45F3"/>
    <w:rsid w:val="008C68F1"/>
    <w:rsid w:val="008D318D"/>
    <w:rsid w:val="008E7442"/>
    <w:rsid w:val="00904FCA"/>
    <w:rsid w:val="00912CFB"/>
    <w:rsid w:val="00921803"/>
    <w:rsid w:val="00926503"/>
    <w:rsid w:val="00952F49"/>
    <w:rsid w:val="00961EC0"/>
    <w:rsid w:val="00970F11"/>
    <w:rsid w:val="009726D8"/>
    <w:rsid w:val="009811EC"/>
    <w:rsid w:val="00982B7B"/>
    <w:rsid w:val="00983BFF"/>
    <w:rsid w:val="0098565B"/>
    <w:rsid w:val="00986A94"/>
    <w:rsid w:val="0099114A"/>
    <w:rsid w:val="009B5597"/>
    <w:rsid w:val="009B6752"/>
    <w:rsid w:val="009B7B61"/>
    <w:rsid w:val="009C0732"/>
    <w:rsid w:val="009F76DB"/>
    <w:rsid w:val="00A30451"/>
    <w:rsid w:val="00A32C3B"/>
    <w:rsid w:val="00A3444C"/>
    <w:rsid w:val="00A3773C"/>
    <w:rsid w:val="00A3790B"/>
    <w:rsid w:val="00A43119"/>
    <w:rsid w:val="00A4376B"/>
    <w:rsid w:val="00A45F4F"/>
    <w:rsid w:val="00A53674"/>
    <w:rsid w:val="00A600A9"/>
    <w:rsid w:val="00AA55B7"/>
    <w:rsid w:val="00AA5B9E"/>
    <w:rsid w:val="00AB0FFF"/>
    <w:rsid w:val="00AB2407"/>
    <w:rsid w:val="00AB53DF"/>
    <w:rsid w:val="00AD05E8"/>
    <w:rsid w:val="00AD34CC"/>
    <w:rsid w:val="00AD75B0"/>
    <w:rsid w:val="00B07E5C"/>
    <w:rsid w:val="00B23EA6"/>
    <w:rsid w:val="00B2463C"/>
    <w:rsid w:val="00B41AF7"/>
    <w:rsid w:val="00B7204A"/>
    <w:rsid w:val="00B811F7"/>
    <w:rsid w:val="00B81815"/>
    <w:rsid w:val="00BA0346"/>
    <w:rsid w:val="00BA4207"/>
    <w:rsid w:val="00BA5DC6"/>
    <w:rsid w:val="00BA6196"/>
    <w:rsid w:val="00BB5087"/>
    <w:rsid w:val="00BB7209"/>
    <w:rsid w:val="00BC5763"/>
    <w:rsid w:val="00BC6D8C"/>
    <w:rsid w:val="00BD114D"/>
    <w:rsid w:val="00BE0BC2"/>
    <w:rsid w:val="00BF5160"/>
    <w:rsid w:val="00C17F57"/>
    <w:rsid w:val="00C34006"/>
    <w:rsid w:val="00C41A4A"/>
    <w:rsid w:val="00C426B1"/>
    <w:rsid w:val="00C4338F"/>
    <w:rsid w:val="00C65B63"/>
    <w:rsid w:val="00C66160"/>
    <w:rsid w:val="00C7107B"/>
    <w:rsid w:val="00C71A5D"/>
    <w:rsid w:val="00C721AC"/>
    <w:rsid w:val="00C90D6A"/>
    <w:rsid w:val="00C9274F"/>
    <w:rsid w:val="00CA247E"/>
    <w:rsid w:val="00CC72B6"/>
    <w:rsid w:val="00CD5D5E"/>
    <w:rsid w:val="00CE252E"/>
    <w:rsid w:val="00CF7AAE"/>
    <w:rsid w:val="00D0218D"/>
    <w:rsid w:val="00D2012D"/>
    <w:rsid w:val="00D25FB5"/>
    <w:rsid w:val="00D44223"/>
    <w:rsid w:val="00D44E78"/>
    <w:rsid w:val="00D715B6"/>
    <w:rsid w:val="00D76405"/>
    <w:rsid w:val="00D8635C"/>
    <w:rsid w:val="00DA2529"/>
    <w:rsid w:val="00DB130A"/>
    <w:rsid w:val="00DB2EBB"/>
    <w:rsid w:val="00DB40D0"/>
    <w:rsid w:val="00DC10A1"/>
    <w:rsid w:val="00DC655F"/>
    <w:rsid w:val="00DD0B59"/>
    <w:rsid w:val="00DD5A73"/>
    <w:rsid w:val="00DD7EBD"/>
    <w:rsid w:val="00DF62B6"/>
    <w:rsid w:val="00E06F66"/>
    <w:rsid w:val="00E07225"/>
    <w:rsid w:val="00E171A3"/>
    <w:rsid w:val="00E219A0"/>
    <w:rsid w:val="00E21DB4"/>
    <w:rsid w:val="00E309C4"/>
    <w:rsid w:val="00E5409F"/>
    <w:rsid w:val="00E5447D"/>
    <w:rsid w:val="00E715F3"/>
    <w:rsid w:val="00E74662"/>
    <w:rsid w:val="00E7518E"/>
    <w:rsid w:val="00E842A2"/>
    <w:rsid w:val="00E96335"/>
    <w:rsid w:val="00EC616F"/>
    <w:rsid w:val="00EE6488"/>
    <w:rsid w:val="00EE7023"/>
    <w:rsid w:val="00EF06FB"/>
    <w:rsid w:val="00F021FA"/>
    <w:rsid w:val="00F1173B"/>
    <w:rsid w:val="00F152C0"/>
    <w:rsid w:val="00F34727"/>
    <w:rsid w:val="00F36E19"/>
    <w:rsid w:val="00F4146A"/>
    <w:rsid w:val="00F5738D"/>
    <w:rsid w:val="00F62E97"/>
    <w:rsid w:val="00F64209"/>
    <w:rsid w:val="00F66721"/>
    <w:rsid w:val="00F778F4"/>
    <w:rsid w:val="00F833C6"/>
    <w:rsid w:val="00F8534E"/>
    <w:rsid w:val="00F93BF5"/>
    <w:rsid w:val="00FA6F6C"/>
    <w:rsid w:val="00FB1E32"/>
    <w:rsid w:val="00FB2905"/>
    <w:rsid w:val="00FB641F"/>
    <w:rsid w:val="00FC0C21"/>
    <w:rsid w:val="00FC6097"/>
    <w:rsid w:val="00FD5A4D"/>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link w:val="FootnoteTextChar3"/>
    <w:uiPriority w:val="99"/>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2 Char,Footnote Text Char1 Char Char,Footnote Text Char Char Char Char,Footnote Text Char1 Char Char Char Char,rrfootnote Char1 Char Char Char Char,Footnote Text Char Char Char Char Char Char,f Char1"/>
    <w:link w:val="FootnoteText"/>
    <w:uiPriority w:val="99"/>
    <w:locked/>
    <w:rsid w:val="00504118"/>
  </w:style>
  <w:style w:type="character" w:customStyle="1" w:styleId="ParaNumChar">
    <w:name w:val="ParaNum Char"/>
    <w:link w:val="ParaNum"/>
    <w:uiPriority w:val="99"/>
    <w:locked/>
    <w:rsid w:val="00504118"/>
    <w:rPr>
      <w:snapToGrid w:val="0"/>
      <w:kern w:val="28"/>
      <w:sz w:val="22"/>
    </w:rPr>
  </w:style>
  <w:style w:type="character" w:customStyle="1" w:styleId="FootnoteTextChar">
    <w:name w:val="Footnote Text Char"/>
    <w:aliases w:val="rrfootnote Char Char Char,f Char,Footnote Text Char7 Char Char,Footnote Text Char4 Char1 Char Char,Footnote Text Char Char Char4 Char Char,Footnote Text Char7 Char Char Char Char Char,Footnote Text Char4 Char1 Char Char Char Char Char"/>
    <w:locked/>
    <w:rsid w:val="00FC0C21"/>
    <w:rPr>
      <w:rFonts w:cs="Times New Roman"/>
      <w:lang w:val="en-US" w:eastAsia="en-US" w:bidi="ar-SA"/>
    </w:rPr>
  </w:style>
  <w:style w:type="character" w:customStyle="1" w:styleId="Heading1Char">
    <w:name w:val="Heading 1 Char"/>
    <w:link w:val="Heading1"/>
    <w:locked/>
    <w:rsid w:val="00904FCA"/>
    <w:rPr>
      <w:rFonts w:ascii="Times New Roman Bold" w:hAnsi="Times New Roman Bold"/>
      <w:b/>
      <w:caps/>
      <w:snapToGrid w:val="0"/>
      <w:kern w:val="28"/>
      <w:sz w:val="22"/>
    </w:rPr>
  </w:style>
  <w:style w:type="paragraph" w:styleId="BalloonText">
    <w:name w:val="Balloon Text"/>
    <w:basedOn w:val="Normal"/>
    <w:link w:val="BalloonTextChar"/>
    <w:rsid w:val="007F2EDA"/>
    <w:rPr>
      <w:rFonts w:ascii="Tahoma" w:hAnsi="Tahoma" w:cs="Tahoma"/>
      <w:sz w:val="16"/>
      <w:szCs w:val="16"/>
    </w:rPr>
  </w:style>
  <w:style w:type="character" w:customStyle="1" w:styleId="BalloonTextChar">
    <w:name w:val="Balloon Text Char"/>
    <w:link w:val="BalloonText"/>
    <w:rsid w:val="007F2EDA"/>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link w:val="FootnoteTextChar3"/>
    <w:uiPriority w:val="99"/>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2 Char,Footnote Text Char1 Char Char,Footnote Text Char Char Char Char,Footnote Text Char1 Char Char Char Char,rrfootnote Char1 Char Char Char Char,Footnote Text Char Char Char Char Char Char,f Char1"/>
    <w:link w:val="FootnoteText"/>
    <w:uiPriority w:val="99"/>
    <w:locked/>
    <w:rsid w:val="00504118"/>
  </w:style>
  <w:style w:type="character" w:customStyle="1" w:styleId="ParaNumChar">
    <w:name w:val="ParaNum Char"/>
    <w:link w:val="ParaNum"/>
    <w:uiPriority w:val="99"/>
    <w:locked/>
    <w:rsid w:val="00504118"/>
    <w:rPr>
      <w:snapToGrid w:val="0"/>
      <w:kern w:val="28"/>
      <w:sz w:val="22"/>
    </w:rPr>
  </w:style>
  <w:style w:type="character" w:customStyle="1" w:styleId="FootnoteTextChar">
    <w:name w:val="Footnote Text Char"/>
    <w:aliases w:val="rrfootnote Char Char Char,f Char,Footnote Text Char7 Char Char,Footnote Text Char4 Char1 Char Char,Footnote Text Char Char Char4 Char Char,Footnote Text Char7 Char Char Char Char Char,Footnote Text Char4 Char1 Char Char Char Char Char"/>
    <w:locked/>
    <w:rsid w:val="00FC0C21"/>
    <w:rPr>
      <w:rFonts w:cs="Times New Roman"/>
      <w:lang w:val="en-US" w:eastAsia="en-US" w:bidi="ar-SA"/>
    </w:rPr>
  </w:style>
  <w:style w:type="character" w:customStyle="1" w:styleId="Heading1Char">
    <w:name w:val="Heading 1 Char"/>
    <w:link w:val="Heading1"/>
    <w:locked/>
    <w:rsid w:val="00904FCA"/>
    <w:rPr>
      <w:rFonts w:ascii="Times New Roman Bold" w:hAnsi="Times New Roman Bold"/>
      <w:b/>
      <w:caps/>
      <w:snapToGrid w:val="0"/>
      <w:kern w:val="28"/>
      <w:sz w:val="22"/>
    </w:rPr>
  </w:style>
  <w:style w:type="paragraph" w:styleId="BalloonText">
    <w:name w:val="Balloon Text"/>
    <w:basedOn w:val="Normal"/>
    <w:link w:val="BalloonTextChar"/>
    <w:rsid w:val="007F2EDA"/>
    <w:rPr>
      <w:rFonts w:ascii="Tahoma" w:hAnsi="Tahoma" w:cs="Tahoma"/>
      <w:sz w:val="16"/>
      <w:szCs w:val="16"/>
    </w:rPr>
  </w:style>
  <w:style w:type="character" w:customStyle="1" w:styleId="BalloonTextChar">
    <w:name w:val="Balloon Text Char"/>
    <w:link w:val="BalloonText"/>
    <w:rsid w:val="007F2EDA"/>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7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589</Words>
  <Characters>3241</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2014-03-28T11:49:00Z</cp:lastPrinted>
  <dcterms:created xsi:type="dcterms:W3CDTF">2014-03-31T18:20:00Z</dcterms:created>
  <dcterms:modified xsi:type="dcterms:W3CDTF">2014-03-31T18:20:00Z</dcterms:modified>
  <cp:category> </cp:category>
  <cp:contentStatus> </cp:contentStatus>
</cp:coreProperties>
</file>