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63" w:rsidRPr="00FC4E17" w:rsidRDefault="009B47C2" w:rsidP="008E254E">
      <w:pPr>
        <w:widowControl/>
        <w:jc w:val="center"/>
        <w:rPr>
          <w:szCs w:val="22"/>
        </w:rPr>
      </w:pPr>
      <w:bookmarkStart w:id="0" w:name="_GoBack"/>
      <w:bookmarkEnd w:id="0"/>
      <w:r w:rsidRPr="00FC4E17">
        <w:rPr>
          <w:b/>
          <w:szCs w:val="22"/>
        </w:rPr>
        <w:t>B</w:t>
      </w:r>
      <w:r w:rsidR="005E0F63" w:rsidRPr="00FC4E17">
        <w:rPr>
          <w:b/>
          <w:szCs w:val="22"/>
        </w:rPr>
        <w:t>efore the</w:t>
      </w:r>
    </w:p>
    <w:p w:rsidR="005E0F63" w:rsidRPr="00FC4E17" w:rsidRDefault="005E0F63" w:rsidP="008E254E">
      <w:pPr>
        <w:widowControl/>
        <w:jc w:val="center"/>
        <w:rPr>
          <w:b/>
          <w:szCs w:val="22"/>
        </w:rPr>
      </w:pPr>
      <w:bookmarkStart w:id="1" w:name="_Toc336255590"/>
      <w:r w:rsidRPr="00FC4E17">
        <w:rPr>
          <w:b/>
          <w:szCs w:val="22"/>
        </w:rPr>
        <w:t>Federal Communications Commission</w:t>
      </w:r>
      <w:bookmarkEnd w:id="1"/>
    </w:p>
    <w:p w:rsidR="005E0F63" w:rsidRPr="00FC4E17" w:rsidRDefault="005E0F63" w:rsidP="008E254E">
      <w:pPr>
        <w:widowControl/>
        <w:jc w:val="center"/>
        <w:rPr>
          <w:b/>
          <w:szCs w:val="22"/>
        </w:rPr>
      </w:pPr>
      <w:bookmarkStart w:id="2" w:name="_Toc336255591"/>
      <w:r w:rsidRPr="00FC4E17">
        <w:rPr>
          <w:b/>
          <w:szCs w:val="22"/>
        </w:rPr>
        <w:t>Washington, D.C. 20554</w:t>
      </w:r>
      <w:bookmarkEnd w:id="2"/>
    </w:p>
    <w:p w:rsidR="005E0F63" w:rsidRPr="00FC4E17" w:rsidRDefault="005E0F63" w:rsidP="008E254E">
      <w:pPr>
        <w:widowControl/>
        <w:rPr>
          <w:szCs w:val="22"/>
        </w:rPr>
      </w:pPr>
    </w:p>
    <w:tbl>
      <w:tblPr>
        <w:tblW w:w="9648" w:type="dxa"/>
        <w:tblLayout w:type="fixed"/>
        <w:tblLook w:val="0000" w:firstRow="0" w:lastRow="0" w:firstColumn="0" w:lastColumn="0" w:noHBand="0" w:noVBand="0"/>
      </w:tblPr>
      <w:tblGrid>
        <w:gridCol w:w="4698"/>
        <w:gridCol w:w="720"/>
        <w:gridCol w:w="4230"/>
      </w:tblGrid>
      <w:tr w:rsidR="00A1739F" w:rsidRPr="00FC4E17">
        <w:tc>
          <w:tcPr>
            <w:tcW w:w="4698" w:type="dxa"/>
          </w:tcPr>
          <w:p w:rsidR="005E0F63" w:rsidRPr="00FC4E17" w:rsidRDefault="005E0F63" w:rsidP="008E254E">
            <w:pPr>
              <w:widowControl/>
              <w:rPr>
                <w:szCs w:val="22"/>
              </w:rPr>
            </w:pPr>
            <w:r w:rsidRPr="00FC4E17">
              <w:rPr>
                <w:szCs w:val="22"/>
              </w:rPr>
              <w:t>In the Matter of</w:t>
            </w:r>
          </w:p>
          <w:p w:rsidR="0037057B" w:rsidRPr="00FC4E17" w:rsidRDefault="0037057B" w:rsidP="008E254E">
            <w:pPr>
              <w:widowControl/>
              <w:rPr>
                <w:szCs w:val="22"/>
              </w:rPr>
            </w:pPr>
          </w:p>
          <w:p w:rsidR="0037057B" w:rsidRPr="00FC4E17" w:rsidRDefault="00A61B76" w:rsidP="008E254E">
            <w:pPr>
              <w:widowControl/>
              <w:rPr>
                <w:szCs w:val="22"/>
              </w:rPr>
            </w:pPr>
            <w:r w:rsidRPr="00FC4E17">
              <w:rPr>
                <w:szCs w:val="22"/>
              </w:rPr>
              <w:t>C</w:t>
            </w:r>
            <w:r w:rsidR="00E80A36">
              <w:rPr>
                <w:szCs w:val="22"/>
              </w:rPr>
              <w:t>onnect America Fund</w:t>
            </w:r>
          </w:p>
          <w:p w:rsidR="005E0F63" w:rsidRDefault="005E0F63" w:rsidP="008E254E">
            <w:pPr>
              <w:widowControl/>
              <w:rPr>
                <w:caps/>
                <w:noProof/>
                <w:szCs w:val="22"/>
              </w:rPr>
            </w:pPr>
          </w:p>
          <w:p w:rsidR="00E80A36" w:rsidRPr="00FC4E17" w:rsidRDefault="00E80A36" w:rsidP="008E254E">
            <w:pPr>
              <w:widowControl/>
              <w:rPr>
                <w:szCs w:val="22"/>
              </w:rPr>
            </w:pPr>
            <w:r>
              <w:rPr>
                <w:szCs w:val="22"/>
              </w:rPr>
              <w:t>Developing an Unified Intercarrier Compensation Regime</w:t>
            </w:r>
          </w:p>
          <w:p w:rsidR="00E80A36" w:rsidRPr="00FC4E17" w:rsidRDefault="00E80A36" w:rsidP="008E254E">
            <w:pPr>
              <w:widowControl/>
              <w:rPr>
                <w:caps/>
                <w:noProof/>
                <w:szCs w:val="22"/>
              </w:rPr>
            </w:pPr>
          </w:p>
        </w:tc>
        <w:tc>
          <w:tcPr>
            <w:tcW w:w="720" w:type="dxa"/>
          </w:tcPr>
          <w:p w:rsidR="005E0F63" w:rsidRPr="00FC4E17" w:rsidRDefault="005E0F63" w:rsidP="008E254E">
            <w:pPr>
              <w:widowControl/>
              <w:rPr>
                <w:szCs w:val="22"/>
              </w:rPr>
            </w:pPr>
            <w:r w:rsidRPr="00FC4E17">
              <w:rPr>
                <w:szCs w:val="22"/>
              </w:rPr>
              <w:t>)</w:t>
            </w:r>
          </w:p>
          <w:p w:rsidR="005E0F63" w:rsidRPr="00FC4E17" w:rsidRDefault="005E0F63" w:rsidP="008E254E">
            <w:pPr>
              <w:widowControl/>
              <w:rPr>
                <w:szCs w:val="22"/>
              </w:rPr>
            </w:pPr>
            <w:r w:rsidRPr="00FC4E17">
              <w:rPr>
                <w:szCs w:val="22"/>
              </w:rPr>
              <w:t>)</w:t>
            </w:r>
          </w:p>
          <w:p w:rsidR="005E0F63" w:rsidRPr="00FC4E17" w:rsidRDefault="005E0F63" w:rsidP="008E254E">
            <w:pPr>
              <w:widowControl/>
              <w:rPr>
                <w:szCs w:val="22"/>
              </w:rPr>
            </w:pPr>
            <w:r w:rsidRPr="00FC4E17">
              <w:rPr>
                <w:szCs w:val="22"/>
              </w:rPr>
              <w:t>)</w:t>
            </w:r>
          </w:p>
          <w:p w:rsidR="005E0F63" w:rsidRPr="00FC4E17" w:rsidRDefault="005E0F63" w:rsidP="008E254E">
            <w:pPr>
              <w:widowControl/>
              <w:rPr>
                <w:szCs w:val="22"/>
              </w:rPr>
            </w:pPr>
            <w:r w:rsidRPr="00FC4E17">
              <w:rPr>
                <w:szCs w:val="22"/>
              </w:rPr>
              <w:t>)</w:t>
            </w:r>
          </w:p>
          <w:p w:rsidR="005E0F63" w:rsidRPr="00FC4E17" w:rsidRDefault="005E0F63" w:rsidP="008E254E">
            <w:pPr>
              <w:widowControl/>
              <w:rPr>
                <w:szCs w:val="22"/>
              </w:rPr>
            </w:pPr>
            <w:r w:rsidRPr="00FC4E17">
              <w:rPr>
                <w:szCs w:val="22"/>
              </w:rPr>
              <w:t>)</w:t>
            </w:r>
          </w:p>
          <w:p w:rsidR="005E0F63" w:rsidRPr="00FC4E17" w:rsidRDefault="00E80A36" w:rsidP="008E254E">
            <w:pPr>
              <w:widowControl/>
              <w:rPr>
                <w:szCs w:val="22"/>
              </w:rPr>
            </w:pPr>
            <w:r>
              <w:rPr>
                <w:szCs w:val="22"/>
              </w:rPr>
              <w:t>)</w:t>
            </w:r>
          </w:p>
          <w:p w:rsidR="002844AC" w:rsidRPr="00FC4E17" w:rsidRDefault="002844AC" w:rsidP="008E254E">
            <w:pPr>
              <w:widowControl/>
              <w:rPr>
                <w:szCs w:val="22"/>
              </w:rPr>
            </w:pPr>
          </w:p>
        </w:tc>
        <w:tc>
          <w:tcPr>
            <w:tcW w:w="4230" w:type="dxa"/>
          </w:tcPr>
          <w:p w:rsidR="005E0F63" w:rsidRPr="00FC4E17" w:rsidRDefault="005E0F63" w:rsidP="008E254E">
            <w:pPr>
              <w:widowControl/>
              <w:rPr>
                <w:szCs w:val="22"/>
              </w:rPr>
            </w:pPr>
          </w:p>
          <w:p w:rsidR="005E0F63" w:rsidRPr="00FC4E17" w:rsidRDefault="005E0F63" w:rsidP="008E254E">
            <w:pPr>
              <w:widowControl/>
              <w:rPr>
                <w:szCs w:val="22"/>
              </w:rPr>
            </w:pPr>
          </w:p>
          <w:p w:rsidR="00257962" w:rsidRPr="00FC4E17" w:rsidRDefault="00E80A36" w:rsidP="008E254E">
            <w:pPr>
              <w:widowControl/>
              <w:rPr>
                <w:szCs w:val="22"/>
              </w:rPr>
            </w:pPr>
            <w:r>
              <w:rPr>
                <w:szCs w:val="22"/>
              </w:rPr>
              <w:t>WC Docket No. 10-90</w:t>
            </w:r>
          </w:p>
          <w:p w:rsidR="00123360" w:rsidRPr="00FC4E17" w:rsidRDefault="00123360" w:rsidP="008E254E">
            <w:pPr>
              <w:widowControl/>
              <w:rPr>
                <w:szCs w:val="22"/>
              </w:rPr>
            </w:pPr>
          </w:p>
          <w:p w:rsidR="00123360" w:rsidRPr="00FC4E17" w:rsidRDefault="00E80A36" w:rsidP="008E254E">
            <w:pPr>
              <w:widowControl/>
              <w:rPr>
                <w:szCs w:val="22"/>
              </w:rPr>
            </w:pPr>
            <w:r>
              <w:rPr>
                <w:szCs w:val="22"/>
              </w:rPr>
              <w:t>CC Docket No. 01-92</w:t>
            </w:r>
          </w:p>
          <w:p w:rsidR="008C3CCD" w:rsidRPr="00FC4E17" w:rsidRDefault="008C3CCD" w:rsidP="008E254E">
            <w:pPr>
              <w:widowControl/>
              <w:rPr>
                <w:szCs w:val="22"/>
              </w:rPr>
            </w:pPr>
          </w:p>
        </w:tc>
      </w:tr>
    </w:tbl>
    <w:p w:rsidR="005E0F63" w:rsidRPr="00281A0C" w:rsidRDefault="00E80A36" w:rsidP="008E254E">
      <w:pPr>
        <w:pStyle w:val="Caption"/>
        <w:widowControl/>
        <w:jc w:val="center"/>
        <w:rPr>
          <w:szCs w:val="22"/>
        </w:rPr>
      </w:pPr>
      <w:r>
        <w:rPr>
          <w:szCs w:val="22"/>
        </w:rPr>
        <w:t>ORDER</w:t>
      </w:r>
    </w:p>
    <w:p w:rsidR="005E0F63" w:rsidRPr="00FC4E17" w:rsidRDefault="005E0F63" w:rsidP="008E254E">
      <w:pPr>
        <w:widowControl/>
        <w:tabs>
          <w:tab w:val="right" w:pos="9360"/>
        </w:tabs>
        <w:rPr>
          <w:b/>
          <w:szCs w:val="22"/>
        </w:rPr>
      </w:pPr>
      <w:r w:rsidRPr="00FC4E17">
        <w:rPr>
          <w:b/>
          <w:szCs w:val="22"/>
        </w:rPr>
        <w:t xml:space="preserve">Adopted:  </w:t>
      </w:r>
      <w:r w:rsidR="00BD269B">
        <w:rPr>
          <w:b/>
          <w:szCs w:val="22"/>
        </w:rPr>
        <w:t>March 31</w:t>
      </w:r>
      <w:r w:rsidR="00257962" w:rsidRPr="00FC4E17">
        <w:rPr>
          <w:b/>
          <w:szCs w:val="22"/>
        </w:rPr>
        <w:t>, 201</w:t>
      </w:r>
      <w:r w:rsidR="003E61B5">
        <w:rPr>
          <w:b/>
          <w:szCs w:val="22"/>
        </w:rPr>
        <w:t>4</w:t>
      </w:r>
      <w:r w:rsidR="00257962" w:rsidRPr="00FC4E17">
        <w:rPr>
          <w:b/>
          <w:szCs w:val="22"/>
        </w:rPr>
        <w:tab/>
        <w:t xml:space="preserve">Released:  </w:t>
      </w:r>
      <w:r w:rsidR="00BD269B">
        <w:rPr>
          <w:b/>
          <w:szCs w:val="22"/>
        </w:rPr>
        <w:t>March 31</w:t>
      </w:r>
      <w:r w:rsidR="00182FA0" w:rsidRPr="00FC4E17">
        <w:rPr>
          <w:b/>
          <w:szCs w:val="22"/>
        </w:rPr>
        <w:t>, 201</w:t>
      </w:r>
      <w:r w:rsidR="003E61B5">
        <w:rPr>
          <w:b/>
          <w:szCs w:val="22"/>
        </w:rPr>
        <w:t>4</w:t>
      </w:r>
    </w:p>
    <w:p w:rsidR="00435F3C" w:rsidRPr="00FC4E17" w:rsidRDefault="00435F3C" w:rsidP="008E254E">
      <w:pPr>
        <w:widowControl/>
        <w:rPr>
          <w:b/>
          <w:szCs w:val="22"/>
        </w:rPr>
      </w:pPr>
    </w:p>
    <w:p w:rsidR="00335099" w:rsidRDefault="00257962" w:rsidP="008E254E">
      <w:pPr>
        <w:pStyle w:val="Byline"/>
        <w:widowControl/>
        <w:rPr>
          <w:sz w:val="22"/>
          <w:szCs w:val="22"/>
        </w:rPr>
      </w:pPr>
      <w:r w:rsidRPr="00281A0C">
        <w:rPr>
          <w:sz w:val="22"/>
          <w:szCs w:val="22"/>
        </w:rPr>
        <w:t xml:space="preserve">By the </w:t>
      </w:r>
      <w:r w:rsidR="00F45C32">
        <w:rPr>
          <w:sz w:val="22"/>
          <w:szCs w:val="22"/>
        </w:rPr>
        <w:t xml:space="preserve">Associate </w:t>
      </w:r>
      <w:r w:rsidRPr="00281A0C">
        <w:rPr>
          <w:sz w:val="22"/>
          <w:szCs w:val="22"/>
        </w:rPr>
        <w:t>C</w:t>
      </w:r>
      <w:r w:rsidR="00E80A36">
        <w:rPr>
          <w:sz w:val="22"/>
          <w:szCs w:val="22"/>
        </w:rPr>
        <w:t>hief, Wireline Competition Bureau</w:t>
      </w:r>
      <w:r w:rsidR="00805C06" w:rsidRPr="00281A0C">
        <w:rPr>
          <w:sz w:val="22"/>
          <w:szCs w:val="22"/>
        </w:rPr>
        <w:t>:</w:t>
      </w:r>
    </w:p>
    <w:p w:rsidR="00060704" w:rsidRDefault="00060704" w:rsidP="008E254E">
      <w:pPr>
        <w:pStyle w:val="TOCTitle"/>
        <w:widowControl/>
      </w:pPr>
      <w:bookmarkStart w:id="3" w:name="TOChere"/>
      <w:r>
        <w:t>Table of Contents</w:t>
      </w:r>
    </w:p>
    <w:p w:rsidR="00060704" w:rsidRDefault="00060704" w:rsidP="008E254E">
      <w:pPr>
        <w:pStyle w:val="Paratitle"/>
        <w:widowControl/>
      </w:pPr>
      <w:r>
        <w:t>Heading</w:t>
      </w:r>
      <w:r>
        <w:tab/>
        <w:t>Paragraph #</w:t>
      </w:r>
      <w:bookmarkStart w:id="4" w:name="start_here"/>
      <w:bookmarkEnd w:id="4"/>
    </w:p>
    <w:p w:rsidR="00060704" w:rsidRDefault="00060704" w:rsidP="008E254E">
      <w:pPr>
        <w:pStyle w:val="TOC1"/>
        <w:widowControl/>
        <w:rPr>
          <w:rFonts w:asciiTheme="minorHAnsi" w:eastAsiaTheme="minorEastAsia" w:hAnsiTheme="minorHAnsi" w:cstheme="minorBidi"/>
          <w:caps w:val="0"/>
          <w:snapToGrid/>
          <w:kern w:val="0"/>
          <w:szCs w:val="22"/>
        </w:rPr>
      </w:pPr>
      <w:r w:rsidRPr="008901D5">
        <w:t>I.</w:t>
      </w:r>
      <w:r>
        <w:rPr>
          <w:rFonts w:asciiTheme="minorHAnsi" w:eastAsiaTheme="minorEastAsia" w:hAnsiTheme="minorHAnsi" w:cstheme="minorBidi"/>
          <w:caps w:val="0"/>
          <w:snapToGrid/>
          <w:kern w:val="0"/>
          <w:szCs w:val="22"/>
        </w:rPr>
        <w:tab/>
      </w:r>
      <w:r>
        <w:t>introductioN</w:t>
      </w:r>
      <w:r>
        <w:tab/>
        <w:t>1</w:t>
      </w:r>
    </w:p>
    <w:p w:rsidR="00060704" w:rsidRDefault="00060704" w:rsidP="008E254E">
      <w:pPr>
        <w:pStyle w:val="TOC1"/>
        <w:widowControl/>
        <w:rPr>
          <w:rFonts w:asciiTheme="minorHAnsi" w:eastAsiaTheme="minorEastAsia" w:hAnsiTheme="minorHAnsi" w:cstheme="minorBidi"/>
          <w:caps w:val="0"/>
          <w:snapToGrid/>
          <w:kern w:val="0"/>
          <w:szCs w:val="22"/>
        </w:rPr>
      </w:pPr>
      <w:r w:rsidRPr="008901D5">
        <w:t>II.</w:t>
      </w:r>
      <w:r>
        <w:rPr>
          <w:rFonts w:asciiTheme="minorHAnsi" w:eastAsiaTheme="minorEastAsia" w:hAnsiTheme="minorHAnsi" w:cstheme="minorBidi"/>
          <w:caps w:val="0"/>
          <w:snapToGrid/>
          <w:kern w:val="0"/>
          <w:szCs w:val="22"/>
        </w:rPr>
        <w:tab/>
      </w:r>
      <w:r w:rsidRPr="008901D5">
        <w:t>BACKGROUND</w:t>
      </w:r>
      <w:r>
        <w:tab/>
        <w:t>2</w:t>
      </w:r>
    </w:p>
    <w:p w:rsidR="00060704" w:rsidRDefault="00060704" w:rsidP="008E254E">
      <w:pPr>
        <w:pStyle w:val="TOC1"/>
        <w:widowControl/>
        <w:rPr>
          <w:rFonts w:asciiTheme="minorHAnsi" w:eastAsiaTheme="minorEastAsia" w:hAnsiTheme="minorHAnsi" w:cstheme="minorBidi"/>
          <w:caps w:val="0"/>
          <w:snapToGrid/>
          <w:kern w:val="0"/>
          <w:szCs w:val="22"/>
        </w:rPr>
      </w:pPr>
      <w:r w:rsidRPr="008901D5">
        <w:t>III.</w:t>
      </w:r>
      <w:r>
        <w:rPr>
          <w:rFonts w:asciiTheme="minorHAnsi" w:eastAsiaTheme="minorEastAsia" w:hAnsiTheme="minorHAnsi" w:cstheme="minorBidi"/>
          <w:caps w:val="0"/>
          <w:snapToGrid/>
          <w:kern w:val="0"/>
          <w:szCs w:val="22"/>
        </w:rPr>
        <w:tab/>
      </w:r>
      <w:r w:rsidRPr="008901D5">
        <w:t>discussion</w:t>
      </w:r>
      <w:r>
        <w:tab/>
        <w:t>4</w:t>
      </w:r>
    </w:p>
    <w:p w:rsidR="00060704" w:rsidRDefault="00060704" w:rsidP="008E254E">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008E254E">
        <w:t>Rate Parity for Interstate and Intrastate Terminating End Office Access Service</w:t>
      </w:r>
      <w:r>
        <w:tab/>
        <w:t>4</w:t>
      </w:r>
    </w:p>
    <w:p w:rsidR="00060704" w:rsidRDefault="00060704" w:rsidP="008E254E">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008E254E">
        <w:t>Calculation of Terminating End Office Access Rates</w:t>
      </w:r>
      <w:r>
        <w:tab/>
        <w:t>7</w:t>
      </w:r>
    </w:p>
    <w:p w:rsidR="00060704" w:rsidRDefault="00060704" w:rsidP="008E254E">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rsidR="008E254E">
        <w:t>Other Corrections or Clarifications</w:t>
      </w:r>
      <w:r>
        <w:tab/>
        <w:t>11</w:t>
      </w:r>
    </w:p>
    <w:p w:rsidR="00060704" w:rsidRDefault="00060704" w:rsidP="00746444">
      <w:pPr>
        <w:pStyle w:val="TOC1"/>
        <w:rPr>
          <w:rFonts w:asciiTheme="minorHAnsi" w:eastAsiaTheme="minorEastAsia" w:hAnsiTheme="minorHAnsi" w:cstheme="minorBidi"/>
          <w:snapToGrid/>
          <w:kern w:val="0"/>
          <w:szCs w:val="22"/>
        </w:rPr>
      </w:pPr>
      <w:r w:rsidRPr="008901D5">
        <w:t>IV.</w:t>
      </w:r>
      <w:r>
        <w:rPr>
          <w:rFonts w:asciiTheme="minorHAnsi" w:eastAsiaTheme="minorEastAsia" w:hAnsiTheme="minorHAnsi" w:cstheme="minorBidi"/>
          <w:caps w:val="0"/>
          <w:snapToGrid/>
          <w:kern w:val="0"/>
          <w:szCs w:val="22"/>
        </w:rPr>
        <w:tab/>
      </w:r>
      <w:r w:rsidRPr="008901D5">
        <w:t>procedural matters</w:t>
      </w:r>
      <w:r>
        <w:tab/>
        <w:t>20</w:t>
      </w:r>
    </w:p>
    <w:p w:rsidR="00060704" w:rsidRDefault="00060704" w:rsidP="008E254E">
      <w:pPr>
        <w:pStyle w:val="TOC1"/>
        <w:widowControl/>
        <w:rPr>
          <w:rFonts w:asciiTheme="minorHAnsi" w:eastAsiaTheme="minorEastAsia" w:hAnsiTheme="minorHAnsi" w:cstheme="minorBidi"/>
          <w:caps w:val="0"/>
          <w:snapToGrid/>
          <w:kern w:val="0"/>
          <w:szCs w:val="22"/>
        </w:rPr>
      </w:pPr>
      <w:r w:rsidRPr="008901D5">
        <w:t>V.</w:t>
      </w:r>
      <w:r>
        <w:rPr>
          <w:rFonts w:asciiTheme="minorHAnsi" w:eastAsiaTheme="minorEastAsia" w:hAnsiTheme="minorHAnsi" w:cstheme="minorBidi"/>
          <w:caps w:val="0"/>
          <w:snapToGrid/>
          <w:kern w:val="0"/>
          <w:szCs w:val="22"/>
        </w:rPr>
        <w:tab/>
      </w:r>
      <w:r w:rsidRPr="008901D5">
        <w:t>Ordering clauses</w:t>
      </w:r>
      <w:r>
        <w:tab/>
        <w:t>24</w:t>
      </w:r>
    </w:p>
    <w:bookmarkEnd w:id="3"/>
    <w:p w:rsidR="00060704" w:rsidRPr="00281A0C" w:rsidRDefault="00060704" w:rsidP="008E254E">
      <w:pPr>
        <w:pStyle w:val="Byline"/>
        <w:widowControl/>
        <w:spacing w:after="120"/>
        <w:rPr>
          <w:sz w:val="22"/>
          <w:szCs w:val="22"/>
        </w:rPr>
      </w:pPr>
      <w:r>
        <w:rPr>
          <w:sz w:val="22"/>
          <w:szCs w:val="22"/>
        </w:rPr>
        <w:t>APPENDIX – Final Rules</w:t>
      </w:r>
    </w:p>
    <w:p w:rsidR="005E0F63" w:rsidRPr="003567F1" w:rsidRDefault="0016197A" w:rsidP="008E254E">
      <w:pPr>
        <w:pStyle w:val="Heading1"/>
        <w:widowControl/>
        <w:rPr>
          <w:rFonts w:ascii="Times New Roman" w:hAnsi="Times New Roman"/>
          <w:szCs w:val="22"/>
        </w:rPr>
      </w:pPr>
      <w:bookmarkStart w:id="5" w:name="_Toc373849365"/>
      <w:bookmarkStart w:id="6" w:name="_Toc373849423"/>
      <w:bookmarkStart w:id="7" w:name="_Toc379291441"/>
      <w:bookmarkStart w:id="8" w:name="_Toc381719682"/>
      <w:bookmarkStart w:id="9" w:name="_Toc79814552"/>
      <w:bookmarkStart w:id="10" w:name="_Ref84181662"/>
      <w:bookmarkStart w:id="11" w:name="_Toc112065101"/>
      <w:r>
        <w:t>introductio</w:t>
      </w:r>
      <w:r w:rsidR="0019495C">
        <w:t>N</w:t>
      </w:r>
      <w:bookmarkEnd w:id="5"/>
      <w:bookmarkEnd w:id="6"/>
      <w:bookmarkEnd w:id="7"/>
      <w:bookmarkEnd w:id="8"/>
    </w:p>
    <w:p w:rsidR="00C60642" w:rsidRPr="003567F1" w:rsidRDefault="00571AF9" w:rsidP="008E254E">
      <w:pPr>
        <w:pStyle w:val="ParaNum"/>
        <w:widowControl/>
        <w:rPr>
          <w:szCs w:val="22"/>
        </w:rPr>
      </w:pPr>
      <w:r w:rsidRPr="003567F1">
        <w:rPr>
          <w:szCs w:val="22"/>
        </w:rPr>
        <w:t xml:space="preserve">In the </w:t>
      </w:r>
      <w:r w:rsidRPr="003567F1">
        <w:rPr>
          <w:i/>
          <w:szCs w:val="22"/>
        </w:rPr>
        <w:t>USF/ICC Transformation Order</w:t>
      </w:r>
      <w:r w:rsidRPr="003567F1">
        <w:rPr>
          <w:szCs w:val="22"/>
        </w:rPr>
        <w:t xml:space="preserve">, the Commission delegated to the Wireline Competition Bureau (Bureau) the authority to make any rule revisions necessary to ensure that the reforms adopted </w:t>
      </w:r>
      <w:r w:rsidR="00F71C0A" w:rsidRPr="003567F1">
        <w:rPr>
          <w:szCs w:val="22"/>
        </w:rPr>
        <w:t xml:space="preserve">by the Commission </w:t>
      </w:r>
      <w:r w:rsidRPr="003567F1">
        <w:rPr>
          <w:szCs w:val="22"/>
        </w:rPr>
        <w:t xml:space="preserve">are properly reflected in the rules, </w:t>
      </w:r>
      <w:r w:rsidR="00F71C0A" w:rsidRPr="003567F1">
        <w:rPr>
          <w:szCs w:val="22"/>
        </w:rPr>
        <w:t xml:space="preserve">including correction of any conflicts between the new or revised rules and </w:t>
      </w:r>
      <w:r w:rsidRPr="003567F1">
        <w:rPr>
          <w:szCs w:val="22"/>
        </w:rPr>
        <w:t xml:space="preserve">addressing </w:t>
      </w:r>
      <w:r w:rsidR="00F71C0A" w:rsidRPr="003567F1">
        <w:rPr>
          <w:szCs w:val="22"/>
        </w:rPr>
        <w:t xml:space="preserve">of </w:t>
      </w:r>
      <w:r w:rsidRPr="003567F1">
        <w:rPr>
          <w:szCs w:val="22"/>
        </w:rPr>
        <w:t>any omissions or oversights.</w:t>
      </w:r>
      <w:r w:rsidRPr="003567F1">
        <w:rPr>
          <w:rStyle w:val="FootnoteReference"/>
          <w:sz w:val="22"/>
          <w:szCs w:val="22"/>
        </w:rPr>
        <w:t xml:space="preserve"> </w:t>
      </w:r>
      <w:r w:rsidRPr="003567F1">
        <w:rPr>
          <w:rStyle w:val="FootnoteReference"/>
          <w:sz w:val="22"/>
          <w:szCs w:val="22"/>
        </w:rPr>
        <w:footnoteReference w:id="2"/>
      </w:r>
      <w:r w:rsidRPr="003567F1">
        <w:rPr>
          <w:szCs w:val="22"/>
        </w:rPr>
        <w:t xml:space="preserve">  In this Order, the Bureau acts pursuant to</w:t>
      </w:r>
      <w:r w:rsidR="00260082">
        <w:rPr>
          <w:szCs w:val="22"/>
        </w:rPr>
        <w:t xml:space="preserve"> its</w:t>
      </w:r>
      <w:r w:rsidRPr="003567F1">
        <w:rPr>
          <w:szCs w:val="22"/>
        </w:rPr>
        <w:t xml:space="preserve"> delegated authority to clari</w:t>
      </w:r>
      <w:r w:rsidR="004E5C93" w:rsidRPr="003567F1">
        <w:rPr>
          <w:szCs w:val="22"/>
        </w:rPr>
        <w:t>fy and correct certain rules</w:t>
      </w:r>
      <w:r w:rsidR="009C587F">
        <w:rPr>
          <w:szCs w:val="22"/>
        </w:rPr>
        <w:t xml:space="preserve"> relating to </w:t>
      </w:r>
      <w:r w:rsidR="0008750A" w:rsidRPr="003567F1">
        <w:rPr>
          <w:szCs w:val="22"/>
        </w:rPr>
        <w:t xml:space="preserve">implementation of the </w:t>
      </w:r>
      <w:r w:rsidR="007F7277" w:rsidRPr="003567F1">
        <w:rPr>
          <w:szCs w:val="22"/>
        </w:rPr>
        <w:t>intercarrier compensation (</w:t>
      </w:r>
      <w:r w:rsidR="00F65DBB" w:rsidRPr="003567F1">
        <w:rPr>
          <w:szCs w:val="22"/>
        </w:rPr>
        <w:t>ICC</w:t>
      </w:r>
      <w:r w:rsidR="007F7277" w:rsidRPr="003567F1">
        <w:rPr>
          <w:szCs w:val="22"/>
        </w:rPr>
        <w:t>)</w:t>
      </w:r>
      <w:r w:rsidR="00F65DBB" w:rsidRPr="003567F1">
        <w:rPr>
          <w:szCs w:val="22"/>
        </w:rPr>
        <w:t xml:space="preserve"> transition</w:t>
      </w:r>
      <w:r w:rsidR="004E5C93" w:rsidRPr="003567F1">
        <w:rPr>
          <w:szCs w:val="22"/>
        </w:rPr>
        <w:t xml:space="preserve"> </w:t>
      </w:r>
      <w:r w:rsidR="008A3C0C" w:rsidRPr="003567F1">
        <w:rPr>
          <w:szCs w:val="22"/>
        </w:rPr>
        <w:t xml:space="preserve">adopted in the </w:t>
      </w:r>
      <w:r w:rsidR="008A3C0C" w:rsidRPr="003567F1">
        <w:rPr>
          <w:i/>
          <w:szCs w:val="22"/>
        </w:rPr>
        <w:t>USF/ICC Transformation Order</w:t>
      </w:r>
      <w:r w:rsidR="00A22C6B" w:rsidRPr="003567F1">
        <w:rPr>
          <w:szCs w:val="22"/>
        </w:rPr>
        <w:t xml:space="preserve">. </w:t>
      </w:r>
      <w:r w:rsidR="0056448C" w:rsidRPr="003567F1">
        <w:rPr>
          <w:szCs w:val="22"/>
        </w:rPr>
        <w:t xml:space="preserve"> </w:t>
      </w:r>
      <w:r w:rsidR="00A22C6B" w:rsidRPr="003567F1">
        <w:rPr>
          <w:szCs w:val="22"/>
        </w:rPr>
        <w:t>Specific</w:t>
      </w:r>
      <w:r w:rsidR="008A3C0C" w:rsidRPr="003567F1">
        <w:rPr>
          <w:szCs w:val="22"/>
        </w:rPr>
        <w:t>ally, the Bureau</w:t>
      </w:r>
      <w:r w:rsidR="00EE60DA">
        <w:rPr>
          <w:szCs w:val="22"/>
        </w:rPr>
        <w:t xml:space="preserve"> </w:t>
      </w:r>
      <w:r w:rsidR="00CB764B" w:rsidRPr="003567F1">
        <w:rPr>
          <w:szCs w:val="22"/>
        </w:rPr>
        <w:t xml:space="preserve">clarifies language </w:t>
      </w:r>
      <w:r w:rsidR="00534365" w:rsidRPr="003567F1">
        <w:rPr>
          <w:szCs w:val="22"/>
        </w:rPr>
        <w:t>in sections 51.907</w:t>
      </w:r>
      <w:r w:rsidR="007E0D25">
        <w:rPr>
          <w:szCs w:val="22"/>
        </w:rPr>
        <w:t xml:space="preserve"> and</w:t>
      </w:r>
      <w:r w:rsidR="00375BB5">
        <w:rPr>
          <w:szCs w:val="22"/>
        </w:rPr>
        <w:t xml:space="preserve"> </w:t>
      </w:r>
      <w:r w:rsidR="00534365" w:rsidRPr="003567F1">
        <w:rPr>
          <w:szCs w:val="22"/>
        </w:rPr>
        <w:t>51.909</w:t>
      </w:r>
      <w:r w:rsidR="007E0D25">
        <w:rPr>
          <w:szCs w:val="22"/>
        </w:rPr>
        <w:t xml:space="preserve"> to reflect ongoing rate parity in the transition process for price cap and rate-of-return local exchange carrier</w:t>
      </w:r>
      <w:r w:rsidR="00D2077D">
        <w:rPr>
          <w:szCs w:val="22"/>
        </w:rPr>
        <w:t xml:space="preserve">s (LECs), consistent with the intent of the </w:t>
      </w:r>
      <w:r w:rsidR="00D2077D" w:rsidRPr="003567F1">
        <w:rPr>
          <w:i/>
          <w:szCs w:val="22"/>
        </w:rPr>
        <w:t>USF/ICC Transformation Order</w:t>
      </w:r>
      <w:r w:rsidR="00EE60DA">
        <w:rPr>
          <w:szCs w:val="22"/>
        </w:rPr>
        <w:t>.  The Bureau also</w:t>
      </w:r>
      <w:r w:rsidR="00D2077D">
        <w:rPr>
          <w:szCs w:val="22"/>
        </w:rPr>
        <w:t xml:space="preserve"> clarifies certain aspects of the </w:t>
      </w:r>
      <w:r w:rsidR="007F22DB" w:rsidRPr="003567F1">
        <w:rPr>
          <w:szCs w:val="22"/>
        </w:rPr>
        <w:t>Commission’s rules</w:t>
      </w:r>
      <w:r w:rsidR="00534365" w:rsidRPr="003567F1">
        <w:rPr>
          <w:szCs w:val="22"/>
        </w:rPr>
        <w:t xml:space="preserve"> relating to the transition of terminating end office </w:t>
      </w:r>
      <w:r w:rsidR="00CB764B" w:rsidRPr="003567F1">
        <w:rPr>
          <w:szCs w:val="22"/>
        </w:rPr>
        <w:t>access rate</w:t>
      </w:r>
      <w:r w:rsidR="00534365" w:rsidRPr="003567F1">
        <w:rPr>
          <w:szCs w:val="22"/>
        </w:rPr>
        <w:t>s</w:t>
      </w:r>
      <w:r w:rsidR="00CB764B" w:rsidRPr="003567F1">
        <w:rPr>
          <w:szCs w:val="22"/>
        </w:rPr>
        <w:t xml:space="preserve"> </w:t>
      </w:r>
      <w:r w:rsidR="00534365" w:rsidRPr="003567F1">
        <w:rPr>
          <w:szCs w:val="22"/>
        </w:rPr>
        <w:t xml:space="preserve">and the calculation of Eligible Recovery for </w:t>
      </w:r>
      <w:r w:rsidR="00CB764B" w:rsidRPr="003567F1">
        <w:rPr>
          <w:szCs w:val="22"/>
        </w:rPr>
        <w:t xml:space="preserve">price cap </w:t>
      </w:r>
      <w:r w:rsidR="00534365" w:rsidRPr="003567F1">
        <w:rPr>
          <w:szCs w:val="22"/>
        </w:rPr>
        <w:t xml:space="preserve">and rate-of-return </w:t>
      </w:r>
      <w:r w:rsidR="00CB764B" w:rsidRPr="003567F1">
        <w:rPr>
          <w:szCs w:val="22"/>
        </w:rPr>
        <w:t>carriers</w:t>
      </w:r>
      <w:r w:rsidR="00534365" w:rsidRPr="003567F1">
        <w:rPr>
          <w:szCs w:val="22"/>
        </w:rPr>
        <w:t xml:space="preserve"> beginning </w:t>
      </w:r>
      <w:r w:rsidR="007B35F5" w:rsidRPr="003567F1">
        <w:rPr>
          <w:szCs w:val="22"/>
        </w:rPr>
        <w:t>in</w:t>
      </w:r>
      <w:r w:rsidR="00534365" w:rsidRPr="003567F1">
        <w:rPr>
          <w:szCs w:val="22"/>
        </w:rPr>
        <w:t xml:space="preserve"> 2014</w:t>
      </w:r>
      <w:r w:rsidR="00EE60DA">
        <w:rPr>
          <w:szCs w:val="22"/>
        </w:rPr>
        <w:t>.</w:t>
      </w:r>
      <w:r w:rsidR="009330EF">
        <w:rPr>
          <w:szCs w:val="22"/>
        </w:rPr>
        <w:t xml:space="preserve"> </w:t>
      </w:r>
      <w:r w:rsidR="00767FB0">
        <w:rPr>
          <w:szCs w:val="22"/>
        </w:rPr>
        <w:t xml:space="preserve"> </w:t>
      </w:r>
      <w:r w:rsidR="00EE60DA">
        <w:rPr>
          <w:szCs w:val="22"/>
        </w:rPr>
        <w:t xml:space="preserve">Finally, the Bureau </w:t>
      </w:r>
      <w:r w:rsidR="00767FB0">
        <w:rPr>
          <w:szCs w:val="22"/>
        </w:rPr>
        <w:t xml:space="preserve">clarifies issues related to </w:t>
      </w:r>
      <w:r w:rsidR="00D2077D">
        <w:rPr>
          <w:szCs w:val="22"/>
        </w:rPr>
        <w:t xml:space="preserve">duplicative recovery and </w:t>
      </w:r>
      <w:r w:rsidR="00767FB0">
        <w:rPr>
          <w:szCs w:val="22"/>
        </w:rPr>
        <w:t>the true-up of regulatory fees and revenue calculations</w:t>
      </w:r>
      <w:r w:rsidR="00D2077D">
        <w:rPr>
          <w:szCs w:val="22"/>
        </w:rPr>
        <w:t>.</w:t>
      </w:r>
      <w:r w:rsidR="00CB764B" w:rsidRPr="003567F1">
        <w:rPr>
          <w:rStyle w:val="FootnoteReference"/>
          <w:sz w:val="22"/>
          <w:szCs w:val="22"/>
        </w:rPr>
        <w:footnoteReference w:id="3"/>
      </w:r>
      <w:r w:rsidR="00CB764B" w:rsidRPr="003567F1">
        <w:rPr>
          <w:szCs w:val="22"/>
        </w:rPr>
        <w:t xml:space="preserve"> </w:t>
      </w:r>
    </w:p>
    <w:p w:rsidR="000C6BC0" w:rsidRPr="003567F1" w:rsidRDefault="000C6BC0" w:rsidP="008E254E">
      <w:pPr>
        <w:pStyle w:val="Heading1"/>
        <w:widowControl/>
        <w:rPr>
          <w:rFonts w:ascii="Times New Roman" w:hAnsi="Times New Roman"/>
          <w:szCs w:val="22"/>
        </w:rPr>
      </w:pPr>
      <w:bookmarkStart w:id="13" w:name="_Toc373849366"/>
      <w:bookmarkStart w:id="14" w:name="_Toc373849424"/>
      <w:bookmarkStart w:id="15" w:name="_Toc379291442"/>
      <w:bookmarkStart w:id="16" w:name="_Toc381719683"/>
      <w:r w:rsidRPr="003567F1">
        <w:rPr>
          <w:rFonts w:ascii="Times New Roman" w:hAnsi="Times New Roman"/>
          <w:szCs w:val="22"/>
        </w:rPr>
        <w:lastRenderedPageBreak/>
        <w:t>BACKGROUND</w:t>
      </w:r>
      <w:bookmarkEnd w:id="13"/>
      <w:bookmarkEnd w:id="14"/>
      <w:bookmarkEnd w:id="15"/>
      <w:bookmarkEnd w:id="16"/>
    </w:p>
    <w:p w:rsidR="00E9454B" w:rsidRPr="003567F1" w:rsidRDefault="00046349" w:rsidP="008E254E">
      <w:pPr>
        <w:pStyle w:val="ParaNum"/>
        <w:widowControl/>
        <w:rPr>
          <w:szCs w:val="22"/>
        </w:rPr>
      </w:pPr>
      <w:r w:rsidRPr="003567F1">
        <w:rPr>
          <w:szCs w:val="22"/>
        </w:rPr>
        <w:t xml:space="preserve">The </w:t>
      </w:r>
      <w:r w:rsidRPr="003567F1">
        <w:rPr>
          <w:i/>
          <w:szCs w:val="22"/>
        </w:rPr>
        <w:t xml:space="preserve">USF/ICC Transformation Order </w:t>
      </w:r>
      <w:r w:rsidRPr="003567F1">
        <w:rPr>
          <w:szCs w:val="22"/>
        </w:rPr>
        <w:t>adopted, among other things, an ICC reform timeline including rules that require carriers to adjust, over a period of years</w:t>
      </w:r>
      <w:r w:rsidR="009C587F">
        <w:rPr>
          <w:szCs w:val="22"/>
        </w:rPr>
        <w:t>, many of their legacy ICC</w:t>
      </w:r>
      <w:r w:rsidRPr="003567F1">
        <w:rPr>
          <w:szCs w:val="22"/>
        </w:rPr>
        <w:t xml:space="preserve"> </w:t>
      </w:r>
      <w:r w:rsidR="00F65DBB" w:rsidRPr="003567F1">
        <w:rPr>
          <w:szCs w:val="22"/>
        </w:rPr>
        <w:t>rates</w:t>
      </w:r>
      <w:r w:rsidR="00DE7005" w:rsidRPr="003567F1">
        <w:rPr>
          <w:szCs w:val="22"/>
        </w:rPr>
        <w:t xml:space="preserve"> effective on July 1 of each of those years, with the ultimate goal of transitioning to a bill-and-keep regime.</w:t>
      </w:r>
      <w:r w:rsidR="00DE7005" w:rsidRPr="003567F1">
        <w:rPr>
          <w:rStyle w:val="FootnoteReference"/>
          <w:sz w:val="22"/>
          <w:szCs w:val="22"/>
        </w:rPr>
        <w:footnoteReference w:id="4"/>
      </w:r>
      <w:r w:rsidR="00F7327F" w:rsidRPr="003567F1">
        <w:rPr>
          <w:szCs w:val="22"/>
        </w:rPr>
        <w:t xml:space="preserve">  The Commission also adopted a recovery mechanism to mitigate the impact of reduced ICC revenues on carriers and to facilitate continued investment in broadband infrastructure while providing greater certainty and predictability going forward.</w:t>
      </w:r>
      <w:r w:rsidR="00F7327F" w:rsidRPr="003567F1">
        <w:rPr>
          <w:rStyle w:val="FootnoteReference"/>
          <w:sz w:val="22"/>
          <w:szCs w:val="22"/>
        </w:rPr>
        <w:footnoteReference w:id="5"/>
      </w:r>
      <w:r w:rsidR="00F7327F" w:rsidRPr="003567F1">
        <w:rPr>
          <w:szCs w:val="22"/>
        </w:rPr>
        <w:t xml:space="preserve">  The recovery mechanism allows incumbent LECs to recover ICC revenues reduced due to the ICC reforms, up to </w:t>
      </w:r>
      <w:r w:rsidR="0097701D" w:rsidRPr="003567F1">
        <w:rPr>
          <w:szCs w:val="22"/>
        </w:rPr>
        <w:t>an amo</w:t>
      </w:r>
      <w:r w:rsidR="00553718" w:rsidRPr="003567F1">
        <w:rPr>
          <w:szCs w:val="22"/>
        </w:rPr>
        <w:t xml:space="preserve">unt defined for each year of </w:t>
      </w:r>
      <w:r w:rsidR="0097701D" w:rsidRPr="003567F1">
        <w:rPr>
          <w:szCs w:val="22"/>
        </w:rPr>
        <w:t>the transition</w:t>
      </w:r>
      <w:r w:rsidR="00F7327F" w:rsidRPr="003567F1">
        <w:rPr>
          <w:szCs w:val="22"/>
        </w:rPr>
        <w:t>, which is</w:t>
      </w:r>
      <w:r w:rsidR="00EA6089" w:rsidRPr="003567F1">
        <w:rPr>
          <w:szCs w:val="22"/>
        </w:rPr>
        <w:t xml:space="preserve"> referred to</w:t>
      </w:r>
      <w:r w:rsidR="00CA36EB" w:rsidRPr="003567F1">
        <w:rPr>
          <w:szCs w:val="22"/>
        </w:rPr>
        <w:t xml:space="preserve"> </w:t>
      </w:r>
      <w:r w:rsidR="00F7327F" w:rsidRPr="003567F1">
        <w:rPr>
          <w:szCs w:val="22"/>
        </w:rPr>
        <w:t>as “Eligible Recovery.”</w:t>
      </w:r>
      <w:r w:rsidR="00F7327F" w:rsidRPr="003567F1">
        <w:rPr>
          <w:rStyle w:val="FootnoteReference"/>
          <w:sz w:val="22"/>
          <w:szCs w:val="22"/>
        </w:rPr>
        <w:footnoteReference w:id="6"/>
      </w:r>
      <w:r w:rsidR="00F7327F" w:rsidRPr="003567F1">
        <w:rPr>
          <w:szCs w:val="22"/>
        </w:rPr>
        <w:t xml:space="preserve">  A carrier may recover a limited portion of its Eligible Recovery</w:t>
      </w:r>
      <w:r w:rsidR="00F65DBB" w:rsidRPr="003567F1">
        <w:rPr>
          <w:szCs w:val="22"/>
        </w:rPr>
        <w:t xml:space="preserve"> each year</w:t>
      </w:r>
      <w:r w:rsidR="00F7327F" w:rsidRPr="003567F1">
        <w:rPr>
          <w:szCs w:val="22"/>
        </w:rPr>
        <w:t xml:space="preserve"> from its end users through a fixed monthly charge called the Access Recovery Charge (ARC), and the remainder of its Eligible Recovery</w:t>
      </w:r>
      <w:r w:rsidR="00F65DBB" w:rsidRPr="003567F1">
        <w:rPr>
          <w:szCs w:val="22"/>
        </w:rPr>
        <w:t xml:space="preserve"> for the year</w:t>
      </w:r>
      <w:r w:rsidR="00F7327F" w:rsidRPr="003567F1">
        <w:rPr>
          <w:szCs w:val="22"/>
        </w:rPr>
        <w:t>, if it so elects, from Connect America Fund ICC support.</w:t>
      </w:r>
      <w:r w:rsidR="00F7327F" w:rsidRPr="003567F1">
        <w:rPr>
          <w:rStyle w:val="FootnoteReference"/>
          <w:sz w:val="22"/>
          <w:szCs w:val="22"/>
        </w:rPr>
        <w:footnoteReference w:id="7"/>
      </w:r>
    </w:p>
    <w:p w:rsidR="005322CE" w:rsidRPr="003567F1" w:rsidRDefault="005322CE" w:rsidP="008E254E">
      <w:pPr>
        <w:pStyle w:val="ParaNum"/>
        <w:widowControl/>
        <w:rPr>
          <w:szCs w:val="22"/>
        </w:rPr>
      </w:pPr>
      <w:r w:rsidRPr="003567F1">
        <w:rPr>
          <w:szCs w:val="22"/>
        </w:rPr>
        <w:t xml:space="preserve">The Bureau previously clarified </w:t>
      </w:r>
      <w:r w:rsidR="00CA1EAA" w:rsidRPr="003567F1">
        <w:rPr>
          <w:szCs w:val="22"/>
        </w:rPr>
        <w:t>and</w:t>
      </w:r>
      <w:r w:rsidRPr="003567F1">
        <w:rPr>
          <w:szCs w:val="22"/>
        </w:rPr>
        <w:t xml:space="preserve"> corrected several rules</w:t>
      </w:r>
      <w:r w:rsidR="00C738BE" w:rsidRPr="003567F1">
        <w:rPr>
          <w:szCs w:val="22"/>
        </w:rPr>
        <w:t xml:space="preserve"> adopted in the</w:t>
      </w:r>
      <w:r w:rsidR="00C738BE" w:rsidRPr="003567F1">
        <w:rPr>
          <w:i/>
          <w:szCs w:val="22"/>
        </w:rPr>
        <w:t xml:space="preserve"> USF/ICC Transformation Orde</w:t>
      </w:r>
      <w:r w:rsidR="0011309C" w:rsidRPr="003567F1">
        <w:rPr>
          <w:i/>
          <w:szCs w:val="22"/>
        </w:rPr>
        <w:t>r</w:t>
      </w:r>
      <w:r w:rsidRPr="003567F1">
        <w:rPr>
          <w:szCs w:val="22"/>
        </w:rPr>
        <w:t xml:space="preserve"> in resp</w:t>
      </w:r>
      <w:r w:rsidR="0011309C" w:rsidRPr="003567F1">
        <w:rPr>
          <w:szCs w:val="22"/>
        </w:rPr>
        <w:t xml:space="preserve">onse to </w:t>
      </w:r>
      <w:r w:rsidRPr="003567F1">
        <w:rPr>
          <w:szCs w:val="22"/>
        </w:rPr>
        <w:t>requests for clarification or correction</w:t>
      </w:r>
      <w:r w:rsidR="00C56A39">
        <w:rPr>
          <w:szCs w:val="22"/>
        </w:rPr>
        <w:t xml:space="preserve"> </w:t>
      </w:r>
      <w:r w:rsidR="004F02B9">
        <w:rPr>
          <w:szCs w:val="22"/>
        </w:rPr>
        <w:t>in prior years</w:t>
      </w:r>
      <w:r w:rsidRPr="003567F1">
        <w:rPr>
          <w:szCs w:val="22"/>
        </w:rPr>
        <w:t>.</w:t>
      </w:r>
      <w:r w:rsidRPr="003567F1">
        <w:rPr>
          <w:rStyle w:val="FootnoteReference"/>
          <w:sz w:val="22"/>
          <w:szCs w:val="22"/>
        </w:rPr>
        <w:footnoteReference w:id="8"/>
      </w:r>
      <w:r w:rsidRPr="003567F1">
        <w:rPr>
          <w:szCs w:val="22"/>
        </w:rPr>
        <w:t xml:space="preserve">  </w:t>
      </w:r>
      <w:r w:rsidR="00DB458F" w:rsidRPr="003567F1">
        <w:rPr>
          <w:szCs w:val="22"/>
        </w:rPr>
        <w:t>In this O</w:t>
      </w:r>
      <w:r w:rsidR="004E752F" w:rsidRPr="003567F1">
        <w:rPr>
          <w:szCs w:val="22"/>
        </w:rPr>
        <w:t>rder</w:t>
      </w:r>
      <w:r w:rsidR="00924D29" w:rsidRPr="003567F1">
        <w:rPr>
          <w:szCs w:val="22"/>
        </w:rPr>
        <w:t xml:space="preserve">, we </w:t>
      </w:r>
      <w:r w:rsidR="00410962" w:rsidRPr="003567F1">
        <w:rPr>
          <w:szCs w:val="22"/>
        </w:rPr>
        <w:t xml:space="preserve">clarify </w:t>
      </w:r>
      <w:r w:rsidR="0008750A" w:rsidRPr="003567F1">
        <w:rPr>
          <w:szCs w:val="22"/>
        </w:rPr>
        <w:t>and</w:t>
      </w:r>
      <w:r w:rsidR="00410962" w:rsidRPr="003567F1">
        <w:rPr>
          <w:szCs w:val="22"/>
        </w:rPr>
        <w:t xml:space="preserve"> correct several rules </w:t>
      </w:r>
      <w:r w:rsidRPr="003567F1">
        <w:rPr>
          <w:szCs w:val="22"/>
        </w:rPr>
        <w:t>pertain</w:t>
      </w:r>
      <w:r w:rsidR="00924D29" w:rsidRPr="003567F1">
        <w:rPr>
          <w:szCs w:val="22"/>
        </w:rPr>
        <w:t>ing</w:t>
      </w:r>
      <w:r w:rsidRPr="003567F1">
        <w:rPr>
          <w:szCs w:val="22"/>
        </w:rPr>
        <w:t xml:space="preserve"> to </w:t>
      </w:r>
      <w:r w:rsidR="00924D29" w:rsidRPr="003567F1">
        <w:rPr>
          <w:szCs w:val="22"/>
        </w:rPr>
        <w:t xml:space="preserve">future </w:t>
      </w:r>
      <w:r w:rsidRPr="003567F1">
        <w:rPr>
          <w:szCs w:val="22"/>
        </w:rPr>
        <w:t>filings</w:t>
      </w:r>
      <w:r w:rsidR="00410962" w:rsidRPr="003567F1">
        <w:rPr>
          <w:szCs w:val="22"/>
        </w:rPr>
        <w:t xml:space="preserve"> </w:t>
      </w:r>
      <w:r w:rsidR="0097701D" w:rsidRPr="003567F1">
        <w:rPr>
          <w:szCs w:val="22"/>
        </w:rPr>
        <w:t xml:space="preserve">that </w:t>
      </w:r>
      <w:r w:rsidR="00410962" w:rsidRPr="003567F1">
        <w:rPr>
          <w:szCs w:val="22"/>
        </w:rPr>
        <w:t>price cap and rate-of-return carriers</w:t>
      </w:r>
      <w:r w:rsidR="0097701D" w:rsidRPr="003567F1">
        <w:rPr>
          <w:szCs w:val="22"/>
        </w:rPr>
        <w:t xml:space="preserve"> will make</w:t>
      </w:r>
      <w:r w:rsidR="00A84721" w:rsidRPr="003567F1">
        <w:rPr>
          <w:szCs w:val="22"/>
        </w:rPr>
        <w:t xml:space="preserve"> in the 2014 annual access charge tariff filings and beyond</w:t>
      </w:r>
      <w:r w:rsidR="003E26DD" w:rsidRPr="003567F1">
        <w:rPr>
          <w:szCs w:val="22"/>
        </w:rPr>
        <w:t>.</w:t>
      </w:r>
    </w:p>
    <w:p w:rsidR="00A84721" w:rsidRPr="003567F1" w:rsidRDefault="00A84721" w:rsidP="008E254E">
      <w:pPr>
        <w:pStyle w:val="Heading1"/>
        <w:widowControl/>
        <w:rPr>
          <w:rFonts w:ascii="Times New Roman" w:hAnsi="Times New Roman"/>
          <w:szCs w:val="22"/>
        </w:rPr>
      </w:pPr>
      <w:bookmarkStart w:id="17" w:name="_Toc379291443"/>
      <w:bookmarkStart w:id="18" w:name="_Toc381719684"/>
      <w:bookmarkStart w:id="19" w:name="_Toc373849367"/>
      <w:bookmarkStart w:id="20" w:name="_Toc373849425"/>
      <w:r w:rsidRPr="003567F1">
        <w:rPr>
          <w:rFonts w:ascii="Times New Roman" w:hAnsi="Times New Roman"/>
          <w:szCs w:val="22"/>
        </w:rPr>
        <w:t>discussion</w:t>
      </w:r>
      <w:bookmarkEnd w:id="17"/>
      <w:bookmarkEnd w:id="18"/>
    </w:p>
    <w:p w:rsidR="006160A5" w:rsidRDefault="008E254E" w:rsidP="008E254E">
      <w:pPr>
        <w:pStyle w:val="Heading2"/>
        <w:widowControl/>
        <w:rPr>
          <w:szCs w:val="22"/>
        </w:rPr>
      </w:pPr>
      <w:bookmarkStart w:id="21" w:name="_Toc379291444"/>
      <w:r>
        <w:rPr>
          <w:szCs w:val="22"/>
        </w:rPr>
        <w:t>Rate Parity for Interstate and Intrastate Terminating End Office Access Service</w:t>
      </w:r>
    </w:p>
    <w:p w:rsidR="006160A5" w:rsidRDefault="006160A5" w:rsidP="008E254E">
      <w:pPr>
        <w:pStyle w:val="ParaNum"/>
        <w:keepNext/>
        <w:widowControl/>
      </w:pPr>
      <w:r>
        <w:t xml:space="preserve">In 2013, </w:t>
      </w:r>
      <w:r w:rsidR="002343E1">
        <w:t xml:space="preserve">both price cap and rate-of-return regulated </w:t>
      </w:r>
      <w:r>
        <w:t xml:space="preserve">incumbent LECs were required to reduce </w:t>
      </w:r>
      <w:r w:rsidR="002343E1">
        <w:t>certain</w:t>
      </w:r>
      <w:r>
        <w:t xml:space="preserve"> intrastate </w:t>
      </w:r>
      <w:r w:rsidR="00C702F7">
        <w:t xml:space="preserve">switched access </w:t>
      </w:r>
      <w:r>
        <w:t xml:space="preserve">rates that exceeded </w:t>
      </w:r>
      <w:r w:rsidR="00C702F7">
        <w:t xml:space="preserve">comparable </w:t>
      </w:r>
      <w:r>
        <w:t xml:space="preserve">interstate </w:t>
      </w:r>
      <w:r w:rsidR="00F8195D">
        <w:t xml:space="preserve">switched access </w:t>
      </w:r>
      <w:r>
        <w:t>rates</w:t>
      </w:r>
      <w:r w:rsidR="00C702F7">
        <w:t xml:space="preserve"> to interstate rate levels using the interstate rate structure</w:t>
      </w:r>
      <w:r>
        <w:t>.</w:t>
      </w:r>
      <w:r w:rsidR="002343E1">
        <w:rPr>
          <w:rStyle w:val="FootnoteReference"/>
        </w:rPr>
        <w:footnoteReference w:id="9"/>
      </w:r>
      <w:r>
        <w:t xml:space="preserve">  </w:t>
      </w:r>
      <w:r w:rsidR="00271CCF">
        <w:t>Carriers</w:t>
      </w:r>
      <w:r w:rsidR="00515510">
        <w:t xml:space="preserve"> whose i</w:t>
      </w:r>
      <w:r>
        <w:t xml:space="preserve">ntrastate </w:t>
      </w:r>
      <w:r w:rsidR="00F8195D">
        <w:t xml:space="preserve">switched access </w:t>
      </w:r>
      <w:r>
        <w:t xml:space="preserve">rates </w:t>
      </w:r>
      <w:r w:rsidR="00515510">
        <w:t xml:space="preserve">were </w:t>
      </w:r>
      <w:r>
        <w:t xml:space="preserve">below comparable interstate rates </w:t>
      </w:r>
      <w:r w:rsidR="00515510">
        <w:t xml:space="preserve">generally </w:t>
      </w:r>
      <w:r>
        <w:t xml:space="preserve">were not allowed to increase </w:t>
      </w:r>
      <w:r w:rsidR="004F02B9">
        <w:t xml:space="preserve">such </w:t>
      </w:r>
      <w:r w:rsidR="00515510">
        <w:t>rates.</w:t>
      </w:r>
      <w:r w:rsidR="00924D65">
        <w:rPr>
          <w:rStyle w:val="FootnoteReference"/>
        </w:rPr>
        <w:footnoteReference w:id="10"/>
      </w:r>
      <w:r w:rsidR="00924D65">
        <w:t xml:space="preserve">  </w:t>
      </w:r>
      <w:r w:rsidR="00924D65" w:rsidRPr="003367B8">
        <w:rPr>
          <w:szCs w:val="22"/>
        </w:rPr>
        <w:t>Beginning in 2014,</w:t>
      </w:r>
      <w:r w:rsidR="00ED1D9B" w:rsidRPr="003367B8">
        <w:rPr>
          <w:szCs w:val="22"/>
        </w:rPr>
        <w:t xml:space="preserve"> price cap carriers must reduce t</w:t>
      </w:r>
      <w:r w:rsidR="0063520E" w:rsidRPr="003367B8">
        <w:rPr>
          <w:szCs w:val="22"/>
        </w:rPr>
        <w:t xml:space="preserve">erminating switched end office and reciprocal compensation rates </w:t>
      </w:r>
      <w:r w:rsidR="00D32DC6" w:rsidRPr="003367B8">
        <w:rPr>
          <w:szCs w:val="22"/>
        </w:rPr>
        <w:t>“</w:t>
      </w:r>
      <w:r w:rsidR="0063520E" w:rsidRPr="003367B8">
        <w:rPr>
          <w:szCs w:val="22"/>
        </w:rPr>
        <w:t>by one-third of the differential between end office rates and $0.0007.</w:t>
      </w:r>
      <w:r w:rsidR="00D32DC6" w:rsidRPr="003367B8">
        <w:rPr>
          <w:szCs w:val="22"/>
        </w:rPr>
        <w:t>”</w:t>
      </w:r>
      <w:r w:rsidR="00D32DC6" w:rsidRPr="00DB5BB8">
        <w:rPr>
          <w:rStyle w:val="FootnoteReference"/>
          <w:sz w:val="22"/>
          <w:szCs w:val="22"/>
        </w:rPr>
        <w:footnoteReference w:id="11"/>
      </w:r>
      <w:r w:rsidR="00ED1D9B" w:rsidRPr="00DB5BB8">
        <w:rPr>
          <w:szCs w:val="22"/>
        </w:rPr>
        <w:t xml:space="preserve"> </w:t>
      </w:r>
      <w:r w:rsidR="00ED1D9B" w:rsidRPr="003367B8">
        <w:rPr>
          <w:szCs w:val="22"/>
        </w:rPr>
        <w:t xml:space="preserve"> Rate-of-return carriers must also begin making similar reductions using a</w:t>
      </w:r>
      <w:r w:rsidR="004F02B9">
        <w:rPr>
          <w:szCs w:val="22"/>
        </w:rPr>
        <w:t xml:space="preserve"> target</w:t>
      </w:r>
      <w:r w:rsidR="00ED1D9B" w:rsidRPr="003367B8">
        <w:rPr>
          <w:szCs w:val="22"/>
        </w:rPr>
        <w:t xml:space="preserve"> rate of $0.005 rather than $0.0007 to calcul</w:t>
      </w:r>
      <w:r w:rsidR="00D32DC6" w:rsidRPr="003367B8">
        <w:rPr>
          <w:szCs w:val="22"/>
        </w:rPr>
        <w:t>a</w:t>
      </w:r>
      <w:r w:rsidR="00ED1D9B" w:rsidRPr="003367B8">
        <w:rPr>
          <w:szCs w:val="22"/>
        </w:rPr>
        <w:t>te the reductions.</w:t>
      </w:r>
      <w:r w:rsidR="00ED1D9B" w:rsidRPr="003367B8">
        <w:rPr>
          <w:rStyle w:val="FootnoteReference"/>
          <w:sz w:val="22"/>
          <w:szCs w:val="22"/>
        </w:rPr>
        <w:footnoteReference w:id="12"/>
      </w:r>
      <w:r w:rsidR="00D32DC6" w:rsidRPr="003367B8">
        <w:rPr>
          <w:szCs w:val="22"/>
        </w:rPr>
        <w:t xml:space="preserve">  </w:t>
      </w:r>
      <w:r w:rsidR="00924D65" w:rsidRPr="003367B8">
        <w:rPr>
          <w:szCs w:val="22"/>
        </w:rPr>
        <w:t>Because</w:t>
      </w:r>
      <w:r w:rsidR="00924D65">
        <w:t xml:space="preserve"> some </w:t>
      </w:r>
      <w:r w:rsidR="00C702F7">
        <w:t xml:space="preserve">end office </w:t>
      </w:r>
      <w:r w:rsidR="00924D65">
        <w:t>rate elements are assessed on a</w:t>
      </w:r>
      <w:r w:rsidR="00271CCF">
        <w:t xml:space="preserve"> </w:t>
      </w:r>
      <w:r w:rsidR="00924D65">
        <w:t>per-minute basis and others on a fla</w:t>
      </w:r>
      <w:r w:rsidR="003367B8">
        <w:t>t-rated basis, the transition</w:t>
      </w:r>
      <w:r w:rsidR="00924D65">
        <w:t xml:space="preserve"> rules</w:t>
      </w:r>
      <w:r w:rsidR="00DB7D81">
        <w:t xml:space="preserve"> employed</w:t>
      </w:r>
      <w:r w:rsidR="00924D65">
        <w:t xml:space="preserve"> composite </w:t>
      </w:r>
      <w:r w:rsidR="00C702F7">
        <w:t xml:space="preserve">terminating end office access </w:t>
      </w:r>
      <w:r w:rsidR="00924D65" w:rsidRPr="009C1158">
        <w:t xml:space="preserve">rates to determine </w:t>
      </w:r>
      <w:r w:rsidR="00924D65" w:rsidRPr="009C1158">
        <w:lastRenderedPageBreak/>
        <w:t xml:space="preserve">the amount </w:t>
      </w:r>
      <w:r w:rsidR="007E0D25" w:rsidRPr="009C1158">
        <w:t xml:space="preserve">by which </w:t>
      </w:r>
      <w:r w:rsidR="00C702F7" w:rsidRPr="009C1158">
        <w:t xml:space="preserve">terminating end office access </w:t>
      </w:r>
      <w:r w:rsidR="00924D65" w:rsidRPr="006364D2">
        <w:t xml:space="preserve">rates </w:t>
      </w:r>
      <w:r w:rsidR="007D4D02" w:rsidRPr="00112842">
        <w:t xml:space="preserve">were required to be reduced </w:t>
      </w:r>
      <w:r w:rsidR="00924D65" w:rsidRPr="00112842">
        <w:t>in each year of the transition.</w:t>
      </w:r>
      <w:r w:rsidR="003C6B6C" w:rsidRPr="00112842">
        <w:t xml:space="preserve">  </w:t>
      </w:r>
      <w:r w:rsidR="007D4D02" w:rsidRPr="00112842">
        <w:t>The rules also</w:t>
      </w:r>
      <w:r w:rsidR="00DB7D81">
        <w:t xml:space="preserve"> employed</w:t>
      </w:r>
      <w:r w:rsidR="007D4D02" w:rsidRPr="009C1158">
        <w:t xml:space="preserve"> separate </w:t>
      </w:r>
      <w:r w:rsidR="00DB7D81">
        <w:t xml:space="preserve">interstate and intrastate </w:t>
      </w:r>
      <w:r w:rsidR="007D4D02" w:rsidRPr="009C1158">
        <w:t>composite terminating end office access rates</w:t>
      </w:r>
      <w:r w:rsidR="00DB7D81">
        <w:t xml:space="preserve"> to establish the actual rates</w:t>
      </w:r>
      <w:r w:rsidR="007D4D02" w:rsidRPr="009C1158">
        <w:t xml:space="preserve">.  </w:t>
      </w:r>
      <w:r w:rsidR="003A1DA3" w:rsidRPr="009C1158">
        <w:t>To the ex</w:t>
      </w:r>
      <w:r w:rsidR="00DB7D81">
        <w:t>tent</w:t>
      </w:r>
      <w:r w:rsidR="003A1DA3" w:rsidRPr="009C1158">
        <w:t xml:space="preserve"> any flat</w:t>
      </w:r>
      <w:r w:rsidR="003A1DA3">
        <w:t xml:space="preserve">-rated elements </w:t>
      </w:r>
      <w:r w:rsidR="00DB7D81">
        <w:t>are included in end office rates, the use of separate interstate and intrastate composites</w:t>
      </w:r>
      <w:r w:rsidR="00C702F7">
        <w:t xml:space="preserve"> </w:t>
      </w:r>
      <w:r w:rsidR="00DB7D81">
        <w:t xml:space="preserve">in </w:t>
      </w:r>
      <w:r w:rsidR="00C702F7">
        <w:t xml:space="preserve">determining rate reductions </w:t>
      </w:r>
      <w:r w:rsidR="004F02B9">
        <w:t>would take</w:t>
      </w:r>
      <w:r w:rsidR="003C6B6C">
        <w:t xml:space="preserve"> </w:t>
      </w:r>
      <w:r w:rsidR="00706FA9">
        <w:t xml:space="preserve">interstate and intrastate </w:t>
      </w:r>
      <w:r w:rsidR="003C6B6C">
        <w:t>rates out of parity as terminating end office access rates are</w:t>
      </w:r>
      <w:r w:rsidR="00821119">
        <w:t xml:space="preserve"> reduced</w:t>
      </w:r>
      <w:r w:rsidR="003C6B6C">
        <w:t>.</w:t>
      </w:r>
      <w:r w:rsidR="00924D65">
        <w:t xml:space="preserve">   </w:t>
      </w:r>
    </w:p>
    <w:p w:rsidR="00C06035" w:rsidRDefault="00DF74F3" w:rsidP="008E254E">
      <w:pPr>
        <w:pStyle w:val="ParaNum"/>
        <w:widowControl/>
      </w:pPr>
      <w:r>
        <w:t xml:space="preserve">Price cap carriers work cooperatively with Bureau staff each year to develop tariff review plan spreadsheets that support their annual access filings.  In the course of such discussions, some carriers have questioned whether </w:t>
      </w:r>
      <w:r w:rsidR="00156C88">
        <w:t>the</w:t>
      </w:r>
      <w:r>
        <w:t xml:space="preserve"> use of separate interstate and intrastate rate composites</w:t>
      </w:r>
      <w:r w:rsidR="00156C88">
        <w:t xml:space="preserve"> to measure whether intrastate terminating end office access rates do not exceed interstate terminating end office access rates</w:t>
      </w:r>
      <w:r>
        <w:t xml:space="preserve"> is consistent with the </w:t>
      </w:r>
      <w:r>
        <w:rPr>
          <w:i/>
        </w:rPr>
        <w:t xml:space="preserve">USF/ICC Transformation </w:t>
      </w:r>
      <w:r w:rsidRPr="00746444">
        <w:rPr>
          <w:i/>
        </w:rPr>
        <w:t>Order</w:t>
      </w:r>
      <w:r>
        <w:t xml:space="preserve">.  These carriers assert </w:t>
      </w:r>
      <w:r w:rsidR="003C6B6C">
        <w:t>that the Commissi</w:t>
      </w:r>
      <w:r w:rsidR="00C8451D">
        <w:t>o</w:t>
      </w:r>
      <w:r w:rsidR="003C6B6C">
        <w:t>n</w:t>
      </w:r>
      <w:r w:rsidR="003C6B6C" w:rsidRPr="001971C4">
        <w:t xml:space="preserve"> intended for interstate and intrastate rates to remain at parity as </w:t>
      </w:r>
      <w:r w:rsidR="004F02B9">
        <w:t>the</w:t>
      </w:r>
      <w:r w:rsidR="003C6B6C" w:rsidRPr="001971C4">
        <w:t xml:space="preserve"> rate transition</w:t>
      </w:r>
      <w:r w:rsidR="004F02B9">
        <w:t xml:space="preserve"> proceeds</w:t>
      </w:r>
      <w:r w:rsidR="00156C88">
        <w:t>, which one interpretation of</w:t>
      </w:r>
      <w:r w:rsidR="004F02B9">
        <w:t xml:space="preserve"> the existing rules would </w:t>
      </w:r>
      <w:r w:rsidR="00156C88">
        <w:t>not always achieve</w:t>
      </w:r>
      <w:r w:rsidR="003C6B6C" w:rsidRPr="001971C4">
        <w:t>.</w:t>
      </w:r>
      <w:r w:rsidR="003A1DA3">
        <w:rPr>
          <w:rStyle w:val="FootnoteReference"/>
        </w:rPr>
        <w:footnoteReference w:id="13"/>
      </w:r>
      <w:r w:rsidR="00C8451D">
        <w:rPr>
          <w:i/>
        </w:rPr>
        <w:t xml:space="preserve">  </w:t>
      </w:r>
      <w:r>
        <w:t>W</w:t>
      </w:r>
      <w:r w:rsidR="00C06035">
        <w:t xml:space="preserve">e agree that the Commission intended </w:t>
      </w:r>
      <w:r>
        <w:t xml:space="preserve">in the </w:t>
      </w:r>
      <w:r>
        <w:rPr>
          <w:i/>
        </w:rPr>
        <w:t xml:space="preserve">USF/ICC Transformation </w:t>
      </w:r>
      <w:r w:rsidRPr="00DF74F3">
        <w:rPr>
          <w:i/>
        </w:rPr>
        <w:t>Order</w:t>
      </w:r>
      <w:r>
        <w:t xml:space="preserve"> </w:t>
      </w:r>
      <w:r w:rsidR="002437F0" w:rsidRPr="00DF74F3">
        <w:t>for</w:t>
      </w:r>
      <w:r w:rsidR="002437F0">
        <w:t xml:space="preserve"> </w:t>
      </w:r>
      <w:r w:rsidR="00C06035">
        <w:t xml:space="preserve">rate parity </w:t>
      </w:r>
      <w:r w:rsidR="002437F0">
        <w:t xml:space="preserve">to </w:t>
      </w:r>
      <w:r w:rsidR="00C06035">
        <w:t xml:space="preserve">be maintained </w:t>
      </w:r>
      <w:r w:rsidR="00796CBE">
        <w:t>during</w:t>
      </w:r>
      <w:r w:rsidR="00C06035">
        <w:t xml:space="preserve"> the transition of terminating end office access rates </w:t>
      </w:r>
      <w:r w:rsidR="00706FA9">
        <w:t xml:space="preserve">to bill-and-keep </w:t>
      </w:r>
      <w:r w:rsidR="00C06035">
        <w:t>beginning in 2014</w:t>
      </w:r>
      <w:r w:rsidR="00FF02B1" w:rsidRPr="00FF02B1">
        <w:rPr>
          <w:rStyle w:val="FootnoteReference"/>
        </w:rPr>
        <w:t xml:space="preserve"> </w:t>
      </w:r>
      <w:r w:rsidR="00FF02B1">
        <w:rPr>
          <w:rStyle w:val="FootnoteReference"/>
        </w:rPr>
        <w:footnoteReference w:id="14"/>
      </w:r>
      <w:r w:rsidR="00C06035">
        <w:t xml:space="preserve">  </w:t>
      </w:r>
      <w:r w:rsidR="007A6886">
        <w:t>The Commission noted that varying access rates “have created incentives for arbitrage and pervasive competitive distortions within the industry.”</w:t>
      </w:r>
      <w:r w:rsidR="007A6886">
        <w:rPr>
          <w:rStyle w:val="FootnoteReference"/>
        </w:rPr>
        <w:footnoteReference w:id="15"/>
      </w:r>
      <w:r w:rsidR="007A6886">
        <w:t xml:space="preserve">  The Commission further noted that “</w:t>
      </w:r>
      <w:r w:rsidR="009433CE">
        <w:t>[</w:t>
      </w:r>
      <w:r w:rsidR="007A6886">
        <w:t>b]y transitioning all traffic in a coordinated manner, we will minimize opportunities for arbitrage that could be presented by disparate intrastate rates.”</w:t>
      </w:r>
      <w:r w:rsidR="007A6886">
        <w:rPr>
          <w:rStyle w:val="FootnoteReference"/>
        </w:rPr>
        <w:footnoteReference w:id="16"/>
      </w:r>
      <w:r w:rsidR="007A6886">
        <w:t xml:space="preserve">  Having reached rate parity whenever possible in 2013, and reduced rate disparity in other cases, </w:t>
      </w:r>
      <w:r>
        <w:t xml:space="preserve">we find that </w:t>
      </w:r>
      <w:r w:rsidR="007A6886">
        <w:t xml:space="preserve">a </w:t>
      </w:r>
      <w:r w:rsidR="00271CCF">
        <w:t>methodology</w:t>
      </w:r>
      <w:r w:rsidR="007A6886">
        <w:t xml:space="preserve"> that </w:t>
      </w:r>
      <w:r w:rsidR="00156C88">
        <w:t xml:space="preserve">could be interpreted to </w:t>
      </w:r>
      <w:r w:rsidR="007A6886">
        <w:t xml:space="preserve">increase rate disparity for two years, only to return to rate parity in the succeeding year, </w:t>
      </w:r>
      <w:r>
        <w:t>is</w:t>
      </w:r>
      <w:r w:rsidR="007A6886">
        <w:t xml:space="preserve"> inconsistent with the objectives </w:t>
      </w:r>
      <w:r>
        <w:t xml:space="preserve">described </w:t>
      </w:r>
      <w:r w:rsidR="007A6886">
        <w:t>above.</w:t>
      </w:r>
      <w:r w:rsidR="00027E4C">
        <w:rPr>
          <w:rStyle w:val="FootnoteReference"/>
        </w:rPr>
        <w:footnoteReference w:id="17"/>
      </w:r>
      <w:r w:rsidR="007A6886">
        <w:t xml:space="preserve">  </w:t>
      </w:r>
      <w:r w:rsidR="00156C88">
        <w:t>Thus</w:t>
      </w:r>
      <w:r w:rsidR="000F0875">
        <w:t>, we clarify that the Commission intended to achieve parity between interstate and intrastate rates, not interstate and intrastate composite rates.  While the composite rate is necessary to calculate the required rate reductions, we clarify that sole reliance on composite rates, rather than the rates themselves, is unnecessary to ensure that intrastate terminating end office access rates do not exceed comparable interstate terminating end office access rates.  Therefore</w:t>
      </w:r>
      <w:r w:rsidR="00271CCF">
        <w:t>, as</w:t>
      </w:r>
      <w:r w:rsidR="007E0D25">
        <w:t xml:space="preserve"> set forth in the A</w:t>
      </w:r>
      <w:r w:rsidR="00C06035">
        <w:t xml:space="preserve">ppendix, we revise sections 51.907 and 51.909 to </w:t>
      </w:r>
      <w:r w:rsidR="000F0875">
        <w:t xml:space="preserve">clarify that achieving </w:t>
      </w:r>
      <w:r w:rsidR="00DB5BB8">
        <w:t>r</w:t>
      </w:r>
      <w:r w:rsidR="00C06035">
        <w:t>ate parity</w:t>
      </w:r>
      <w:r w:rsidR="000F0875">
        <w:t xml:space="preserve"> for the access rates themselves, not the composite rate</w:t>
      </w:r>
      <w:r w:rsidR="00C06035">
        <w:t xml:space="preserve"> for price cap and rate-of-return LECs</w:t>
      </w:r>
      <w:r w:rsidR="000F0875">
        <w:t>, was</w:t>
      </w:r>
      <w:r w:rsidR="00E427AD">
        <w:t xml:space="preserve"> </w:t>
      </w:r>
      <w:r w:rsidR="007A6886">
        <w:t xml:space="preserve">the intent of the </w:t>
      </w:r>
      <w:r w:rsidR="007A6886">
        <w:rPr>
          <w:i/>
        </w:rPr>
        <w:t>USF/ICC Transformation Order</w:t>
      </w:r>
      <w:r w:rsidR="00C06035">
        <w:t>.</w:t>
      </w:r>
      <w:r w:rsidR="003545B4">
        <w:rPr>
          <w:rStyle w:val="FootnoteReference"/>
        </w:rPr>
        <w:footnoteReference w:id="18"/>
      </w:r>
      <w:r w:rsidR="008C0660">
        <w:t xml:space="preserve">  Under this approach, carriers </w:t>
      </w:r>
      <w:r w:rsidR="00B076A2">
        <w:t>may</w:t>
      </w:r>
      <w:r w:rsidR="008C0660">
        <w:t xml:space="preserve"> </w:t>
      </w:r>
      <w:r w:rsidR="00DB7D81">
        <w:t xml:space="preserve">continue to </w:t>
      </w:r>
      <w:r w:rsidR="00FA6203">
        <w:t xml:space="preserve">establish </w:t>
      </w:r>
      <w:r w:rsidR="008C0660">
        <w:t>interstate terminating end office access rate</w:t>
      </w:r>
      <w:r w:rsidR="00B076A2">
        <w:t xml:space="preserve"> cap</w:t>
      </w:r>
      <w:r w:rsidR="008C0660">
        <w:t xml:space="preserve">s </w:t>
      </w:r>
      <w:r w:rsidR="00FA6203">
        <w:t>that</w:t>
      </w:r>
      <w:r w:rsidR="00DB7D81">
        <w:t xml:space="preserve"> do not exceed</w:t>
      </w:r>
      <w:r w:rsidR="008C0660">
        <w:t xml:space="preserve"> the target </w:t>
      </w:r>
      <w:r w:rsidR="00DB7D81">
        <w:t xml:space="preserve">composite </w:t>
      </w:r>
      <w:r w:rsidR="008C0660">
        <w:t>terminating end office access rate for each year in the transition</w:t>
      </w:r>
      <w:r w:rsidR="00DB7D81">
        <w:t xml:space="preserve"> in the manner the adopted rules require</w:t>
      </w:r>
      <w:r w:rsidR="008C0660">
        <w:t xml:space="preserve">.  </w:t>
      </w:r>
      <w:r w:rsidR="00DB7D81">
        <w:t xml:space="preserve">To achieve </w:t>
      </w:r>
      <w:r w:rsidR="00796CBE">
        <w:t>rate parity, t</w:t>
      </w:r>
      <w:r w:rsidR="008C0660">
        <w:t>he inters</w:t>
      </w:r>
      <w:r w:rsidR="00FA6203">
        <w:t>t</w:t>
      </w:r>
      <w:r w:rsidR="008C0660">
        <w:t>ate rate</w:t>
      </w:r>
      <w:r w:rsidR="00B076A2">
        <w:t xml:space="preserve"> cap</w:t>
      </w:r>
      <w:r w:rsidR="008C0660">
        <w:t xml:space="preserve">s so determined will be </w:t>
      </w:r>
      <w:r w:rsidR="00FA6203">
        <w:t>used</w:t>
      </w:r>
      <w:r w:rsidR="00DB7D81">
        <w:t xml:space="preserve"> in setting </w:t>
      </w:r>
      <w:r w:rsidR="00FA6203">
        <w:t xml:space="preserve">intrastate </w:t>
      </w:r>
      <w:r w:rsidR="008C0660">
        <w:t>rate</w:t>
      </w:r>
      <w:r w:rsidR="00B076A2">
        <w:t xml:space="preserve"> cap</w:t>
      </w:r>
      <w:r w:rsidR="008C0660">
        <w:t xml:space="preserve">s for </w:t>
      </w:r>
      <w:r w:rsidR="00FA6203">
        <w:t xml:space="preserve">the comparable </w:t>
      </w:r>
      <w:r w:rsidR="008C0660">
        <w:t xml:space="preserve">intrastate </w:t>
      </w:r>
      <w:r w:rsidR="00FA6203">
        <w:t xml:space="preserve">terminating end office </w:t>
      </w:r>
      <w:r w:rsidR="008C0660">
        <w:t>access elements</w:t>
      </w:r>
      <w:r w:rsidR="00DB7D81">
        <w:t xml:space="preserve"> rather than developing new intrastate rate</w:t>
      </w:r>
      <w:r w:rsidR="00B076A2">
        <w:t xml:space="preserve"> cap</w:t>
      </w:r>
      <w:r w:rsidR="00DB7D81">
        <w:t>s that would satisfy a separately determined intrastate composite terminating end office access rate.</w:t>
      </w:r>
      <w:r w:rsidR="007B5108">
        <w:t xml:space="preserve"> </w:t>
      </w:r>
      <w:r w:rsidR="00FF02B1">
        <w:t xml:space="preserve"> </w:t>
      </w:r>
      <w:r w:rsidR="00F20DFD">
        <w:t>To ensure</w:t>
      </w:r>
      <w:r w:rsidR="007B5108">
        <w:t xml:space="preserve"> </w:t>
      </w:r>
      <w:r w:rsidR="00F20DFD">
        <w:t>the maximum rate</w:t>
      </w:r>
      <w:r w:rsidR="007B5108">
        <w:t xml:space="preserve"> parity</w:t>
      </w:r>
      <w:r w:rsidR="00DB7D81">
        <w:t>, intrastate terminating end office rates will be set at the interstate rate level for the comparable rate element unless the intrastate rate for that rate element is lower, in which case the lower rate will be used.</w:t>
      </w:r>
      <w:r w:rsidR="00457EDC">
        <w:rPr>
          <w:rStyle w:val="FootnoteReference"/>
        </w:rPr>
        <w:footnoteReference w:id="19"/>
      </w:r>
      <w:r w:rsidR="0036453D">
        <w:t xml:space="preserve">  As </w:t>
      </w:r>
      <w:r w:rsidR="00271CCF">
        <w:t>terminating</w:t>
      </w:r>
      <w:r w:rsidR="0036453D">
        <w:t xml:space="preserve"> end office rates decrease, intrastate </w:t>
      </w:r>
      <w:r w:rsidR="00271CCF">
        <w:t>terminating</w:t>
      </w:r>
      <w:r w:rsidR="0036453D">
        <w:t xml:space="preserve"> end office rates that are below comparable </w:t>
      </w:r>
      <w:r w:rsidR="00271CCF">
        <w:t>interstate</w:t>
      </w:r>
      <w:r w:rsidR="0036453D">
        <w:t xml:space="preserve"> rates will begin to be reduced when rate parity is reached.</w:t>
      </w:r>
      <w:r w:rsidR="0036453D">
        <w:rPr>
          <w:rStyle w:val="FootnoteReference"/>
        </w:rPr>
        <w:footnoteReference w:id="20"/>
      </w:r>
      <w:r w:rsidR="00B076A2">
        <w:t xml:space="preserve">  This approach to developing reduced rates best achieves the Commission’s goals of maintaining rate parity during the transition process.</w:t>
      </w:r>
      <w:r w:rsidR="008C0660">
        <w:t xml:space="preserve">  </w:t>
      </w:r>
    </w:p>
    <w:p w:rsidR="00567D53" w:rsidRPr="006160A5" w:rsidRDefault="00622764" w:rsidP="008E254E">
      <w:pPr>
        <w:pStyle w:val="ParaNum"/>
        <w:widowControl/>
      </w:pPr>
      <w:r>
        <w:t>A</w:t>
      </w:r>
      <w:r w:rsidR="00567D53">
        <w:t>n overview of the calculations necessary for reducing terminating end office acces</w:t>
      </w:r>
      <w:r w:rsidR="009330EF">
        <w:t>s rates beginning July 1, 2014</w:t>
      </w:r>
      <w:r>
        <w:t>, as described above, is as follows</w:t>
      </w:r>
      <w:r w:rsidR="009330EF">
        <w:t>.</w:t>
      </w:r>
      <w:r w:rsidR="00567D53">
        <w:t xml:space="preserve"> </w:t>
      </w:r>
      <w:r w:rsidR="001971C4">
        <w:t xml:space="preserve"> </w:t>
      </w:r>
      <w:r w:rsidR="00567D53">
        <w:t xml:space="preserve">In broad terms, the reductions are based on rates developed to comply with targets developed from interstate rates and demand, with the interstate rates </w:t>
      </w:r>
      <w:r w:rsidR="00D87D84">
        <w:t xml:space="preserve">generally </w:t>
      </w:r>
      <w:r w:rsidR="00567D53">
        <w:t xml:space="preserve">being used </w:t>
      </w:r>
      <w:r w:rsidR="00D87D84">
        <w:t xml:space="preserve">to establish </w:t>
      </w:r>
      <w:r w:rsidR="00567D53">
        <w:t xml:space="preserve">intrastate </w:t>
      </w:r>
      <w:r w:rsidR="00D87D84">
        <w:t>rate levels.</w:t>
      </w:r>
      <w:r w:rsidR="00567D53">
        <w:t xml:space="preserve">  </w:t>
      </w:r>
      <w:r w:rsidR="00910441">
        <w:t>Using 2014 as a model, carriers first</w:t>
      </w:r>
      <w:r w:rsidR="00567D53">
        <w:t xml:space="preserve"> establish the 2011 Baseline Composite</w:t>
      </w:r>
      <w:r w:rsidR="00943681">
        <w:t xml:space="preserve"> </w:t>
      </w:r>
      <w:r w:rsidR="00567D53">
        <w:t>Terminating End Office Access Rate, which reflects interstate rates and demand.</w:t>
      </w:r>
      <w:r w:rsidR="00567D53">
        <w:rPr>
          <w:rStyle w:val="FootnoteReference"/>
          <w:szCs w:val="22"/>
        </w:rPr>
        <w:footnoteReference w:id="21"/>
      </w:r>
      <w:r w:rsidR="00567D53">
        <w:t xml:space="preserve">  Next, carriers must calculate the </w:t>
      </w:r>
      <w:r w:rsidR="00910441">
        <w:t xml:space="preserve">2014 </w:t>
      </w:r>
      <w:r w:rsidR="00567D53">
        <w:t>Target Composite Terminating End Office Access Rate</w:t>
      </w:r>
      <w:r w:rsidR="00B43C3F">
        <w:t>,</w:t>
      </w:r>
      <w:r w:rsidR="00567D53">
        <w:t xml:space="preserve"> by reducing the 2011 Baseline Composite Terminating End Office Access Rate by </w:t>
      </w:r>
      <w:r w:rsidR="001971C4">
        <w:t>one-third</w:t>
      </w:r>
      <w:r w:rsidR="00567D53">
        <w:t xml:space="preserve"> of the difference between the 2011 Baseline Composite Terminating End Office Access Rate and $0.0007 for price cap carriers and $0.005 for rate-of-return carriers.</w:t>
      </w:r>
      <w:r w:rsidR="00567D53">
        <w:rPr>
          <w:rStyle w:val="FootnoteReference"/>
          <w:szCs w:val="22"/>
        </w:rPr>
        <w:footnoteReference w:id="22"/>
      </w:r>
      <w:r w:rsidR="00294A88">
        <w:t xml:space="preserve"> </w:t>
      </w:r>
      <w:r w:rsidR="00567D53">
        <w:t xml:space="preserve"> Carriers</w:t>
      </w:r>
      <w:r w:rsidR="00D87D84">
        <w:t xml:space="preserve"> will </w:t>
      </w:r>
      <w:r w:rsidR="00567D53">
        <w:t xml:space="preserve">then develop </w:t>
      </w:r>
      <w:r w:rsidR="00FA6203">
        <w:t xml:space="preserve">terminating interstate end office access </w:t>
      </w:r>
      <w:r w:rsidR="00567D53">
        <w:t>rates</w:t>
      </w:r>
      <w:r w:rsidR="00FA6203">
        <w:t xml:space="preserve"> for their interstate tariffs</w:t>
      </w:r>
      <w:r w:rsidR="00382276">
        <w:t xml:space="preserve"> that are consistent with the target composite rate</w:t>
      </w:r>
      <w:r w:rsidR="00FA6203">
        <w:t>.</w:t>
      </w:r>
      <w:r w:rsidR="00567D53">
        <w:t xml:space="preserve"> </w:t>
      </w:r>
      <w:r w:rsidR="00FA6203">
        <w:t xml:space="preserve"> These terminating interstate </w:t>
      </w:r>
      <w:r w:rsidR="00F94FEC">
        <w:t xml:space="preserve">end office access </w:t>
      </w:r>
      <w:r w:rsidR="00FA6203">
        <w:t xml:space="preserve">rates </w:t>
      </w:r>
      <w:r w:rsidR="00567D53">
        <w:t>will</w:t>
      </w:r>
      <w:r w:rsidR="00382276">
        <w:t xml:space="preserve"> be used to</w:t>
      </w:r>
      <w:r w:rsidR="00D87D84">
        <w:t xml:space="preserve"> </w:t>
      </w:r>
      <w:r w:rsidR="00FA6203">
        <w:t xml:space="preserve">establish </w:t>
      </w:r>
      <w:r w:rsidR="00F94FEC">
        <w:t xml:space="preserve">terminating </w:t>
      </w:r>
      <w:r w:rsidR="00FA6203">
        <w:t xml:space="preserve">intrastate </w:t>
      </w:r>
      <w:r w:rsidR="00F94FEC">
        <w:t>end office access rates</w:t>
      </w:r>
      <w:r w:rsidR="00D87D84">
        <w:t xml:space="preserve"> for comparable rate elements</w:t>
      </w:r>
      <w:r w:rsidR="00B076A2">
        <w:t xml:space="preserve"> unless the intrastate rate for a rate element is lower than the interstate rate for that element</w:t>
      </w:r>
      <w:r w:rsidR="00567D53">
        <w:t>.</w:t>
      </w:r>
      <w:r w:rsidR="00567D53">
        <w:rPr>
          <w:rStyle w:val="FootnoteReference"/>
          <w:szCs w:val="22"/>
        </w:rPr>
        <w:footnoteReference w:id="23"/>
      </w:r>
      <w:r w:rsidR="001971C4">
        <w:t xml:space="preserve"> </w:t>
      </w:r>
      <w:r w:rsidR="00567D53">
        <w:t xml:space="preserve"> </w:t>
      </w:r>
      <w:r>
        <w:t>C</w:t>
      </w:r>
      <w:r w:rsidR="00567D53">
        <w:t xml:space="preserve">arriers </w:t>
      </w:r>
      <w:r>
        <w:t xml:space="preserve">have the option to </w:t>
      </w:r>
      <w:r w:rsidR="00567D53">
        <w:t>elect to charge a single per minute rate element for terminating end office access</w:t>
      </w:r>
      <w:r w:rsidR="00F94FEC">
        <w:t xml:space="preserve"> in </w:t>
      </w:r>
      <w:r w:rsidR="00B076A2">
        <w:t xml:space="preserve">both </w:t>
      </w:r>
      <w:r w:rsidR="00F94FEC">
        <w:t xml:space="preserve">their interstate and intrastate tariffs that is </w:t>
      </w:r>
      <w:r w:rsidR="009C1158">
        <w:t>no greater than</w:t>
      </w:r>
      <w:r w:rsidR="00F94FEC">
        <w:t xml:space="preserve"> the target terminating end office access rate for the year in question</w:t>
      </w:r>
      <w:r>
        <w:t>.  This option is contingent on su</w:t>
      </w:r>
      <w:r w:rsidR="001E6D78">
        <w:t>c</w:t>
      </w:r>
      <w:r>
        <w:t xml:space="preserve">h an electing </w:t>
      </w:r>
      <w:r w:rsidR="009C1158">
        <w:t>carrier</w:t>
      </w:r>
      <w:r>
        <w:t>’</w:t>
      </w:r>
      <w:r w:rsidR="009C1158">
        <w:t>s intrastate terminating end office access rates be</w:t>
      </w:r>
      <w:r>
        <w:t>ing</w:t>
      </w:r>
      <w:r w:rsidR="009C1158">
        <w:t xml:space="preserve"> at parity with the interstate rates</w:t>
      </w:r>
      <w:r w:rsidR="00D87D84">
        <w:t xml:space="preserve"> if separate rates for different rate elements were used</w:t>
      </w:r>
      <w:r w:rsidR="00567D53">
        <w:t>.</w:t>
      </w:r>
      <w:r w:rsidR="0029420A">
        <w:rPr>
          <w:rStyle w:val="FootnoteReference"/>
        </w:rPr>
        <w:footnoteReference w:id="24"/>
      </w:r>
      <w:r w:rsidR="00567D53">
        <w:t xml:space="preserve">  Below, we clarify certain aspects of these calculations to ensure consistent implementation among carriers.</w:t>
      </w:r>
    </w:p>
    <w:bookmarkEnd w:id="19"/>
    <w:bookmarkEnd w:id="20"/>
    <w:bookmarkEnd w:id="21"/>
    <w:p w:rsidR="005E0F63" w:rsidRPr="003567F1" w:rsidRDefault="008E254E" w:rsidP="008E254E">
      <w:pPr>
        <w:pStyle w:val="Heading2"/>
        <w:widowControl/>
        <w:rPr>
          <w:szCs w:val="22"/>
        </w:rPr>
      </w:pPr>
      <w:r>
        <w:rPr>
          <w:szCs w:val="22"/>
        </w:rPr>
        <w:t>Calculation of Terminating End Office Access Rates</w:t>
      </w:r>
    </w:p>
    <w:p w:rsidR="00A25130" w:rsidRPr="003567F1" w:rsidRDefault="004E752F" w:rsidP="008E254E">
      <w:pPr>
        <w:pStyle w:val="ParaNum"/>
        <w:widowControl/>
        <w:rPr>
          <w:szCs w:val="22"/>
        </w:rPr>
      </w:pPr>
      <w:r w:rsidRPr="003567F1">
        <w:rPr>
          <w:i/>
          <w:szCs w:val="22"/>
        </w:rPr>
        <w:t xml:space="preserve">2011 Baseline </w:t>
      </w:r>
      <w:r w:rsidR="00C2065D" w:rsidRPr="003567F1">
        <w:rPr>
          <w:i/>
          <w:szCs w:val="22"/>
        </w:rPr>
        <w:t xml:space="preserve">Composite </w:t>
      </w:r>
      <w:r w:rsidRPr="003567F1">
        <w:rPr>
          <w:i/>
          <w:szCs w:val="22"/>
        </w:rPr>
        <w:t xml:space="preserve">Terminating End Office Access Rate. </w:t>
      </w:r>
      <w:r w:rsidR="00E02E75">
        <w:rPr>
          <w:i/>
          <w:szCs w:val="22"/>
        </w:rPr>
        <w:t xml:space="preserve"> </w:t>
      </w:r>
      <w:r w:rsidR="002C723D" w:rsidRPr="003567F1">
        <w:rPr>
          <w:szCs w:val="22"/>
        </w:rPr>
        <w:t>Section 51.907(d)</w:t>
      </w:r>
      <w:r w:rsidR="009C587F">
        <w:rPr>
          <w:szCs w:val="22"/>
        </w:rPr>
        <w:t xml:space="preserve"> and </w:t>
      </w:r>
      <w:r w:rsidR="007B4615">
        <w:rPr>
          <w:szCs w:val="22"/>
        </w:rPr>
        <w:t>51.909(</w:t>
      </w:r>
      <w:r w:rsidR="00D87D84">
        <w:rPr>
          <w:szCs w:val="22"/>
        </w:rPr>
        <w:t>d</w:t>
      </w:r>
      <w:r w:rsidR="007B4615">
        <w:rPr>
          <w:szCs w:val="22"/>
        </w:rPr>
        <w:t xml:space="preserve">) </w:t>
      </w:r>
      <w:r w:rsidR="002C723D" w:rsidRPr="003567F1">
        <w:rPr>
          <w:szCs w:val="22"/>
        </w:rPr>
        <w:t xml:space="preserve">of </w:t>
      </w:r>
      <w:r w:rsidR="009C587F">
        <w:rPr>
          <w:szCs w:val="22"/>
        </w:rPr>
        <w:t>the Commission’s rules specify</w:t>
      </w:r>
      <w:r w:rsidR="002C723D" w:rsidRPr="003567F1">
        <w:rPr>
          <w:szCs w:val="22"/>
        </w:rPr>
        <w:t xml:space="preserve"> the access charge rate reductions that price cap </w:t>
      </w:r>
      <w:r w:rsidR="007B4615">
        <w:rPr>
          <w:szCs w:val="22"/>
        </w:rPr>
        <w:t xml:space="preserve">and rate-of-return </w:t>
      </w:r>
      <w:r w:rsidR="002C723D" w:rsidRPr="003567F1">
        <w:rPr>
          <w:szCs w:val="22"/>
        </w:rPr>
        <w:t>carriers</w:t>
      </w:r>
      <w:r w:rsidR="00D87D84">
        <w:rPr>
          <w:szCs w:val="22"/>
        </w:rPr>
        <w:t>, respectively,</w:t>
      </w:r>
      <w:r w:rsidR="002C723D" w:rsidRPr="003567F1">
        <w:rPr>
          <w:szCs w:val="22"/>
        </w:rPr>
        <w:t xml:space="preserve"> must make </w:t>
      </w:r>
      <w:r w:rsidR="007B4615">
        <w:rPr>
          <w:szCs w:val="22"/>
        </w:rPr>
        <w:t xml:space="preserve">to terminating end office access rates </w:t>
      </w:r>
      <w:r w:rsidR="002C723D" w:rsidRPr="003567F1">
        <w:rPr>
          <w:szCs w:val="22"/>
        </w:rPr>
        <w:t>in 201</w:t>
      </w:r>
      <w:r w:rsidR="009C587F">
        <w:rPr>
          <w:szCs w:val="22"/>
        </w:rPr>
        <w:t>4.  The first step</w:t>
      </w:r>
      <w:r w:rsidR="002C723D" w:rsidRPr="003567F1">
        <w:rPr>
          <w:szCs w:val="22"/>
        </w:rPr>
        <w:t xml:space="preserve"> in this process is for carriers to calculate the “2011 Baseline </w:t>
      </w:r>
      <w:r w:rsidR="00C2065D" w:rsidRPr="003567F1">
        <w:rPr>
          <w:szCs w:val="22"/>
        </w:rPr>
        <w:t xml:space="preserve">Composite </w:t>
      </w:r>
      <w:r w:rsidR="002C723D" w:rsidRPr="003567F1">
        <w:rPr>
          <w:szCs w:val="22"/>
        </w:rPr>
        <w:t xml:space="preserve">Terminating End Office Access Rate,” which </w:t>
      </w:r>
      <w:r w:rsidR="009C587F">
        <w:rPr>
          <w:szCs w:val="22"/>
        </w:rPr>
        <w:t xml:space="preserve">is </w:t>
      </w:r>
      <w:r w:rsidR="002C723D" w:rsidRPr="003567F1">
        <w:rPr>
          <w:szCs w:val="22"/>
        </w:rPr>
        <w:t>calculated using Fiscal Year 2011 demand and the End Office Access Service rates at the levels in effect on December 29, 2011.</w:t>
      </w:r>
      <w:r w:rsidR="002C723D" w:rsidRPr="003567F1">
        <w:rPr>
          <w:rStyle w:val="FootnoteReference"/>
          <w:sz w:val="22"/>
          <w:szCs w:val="22"/>
        </w:rPr>
        <w:footnoteReference w:id="25"/>
      </w:r>
      <w:r w:rsidR="002C723D" w:rsidRPr="003567F1">
        <w:rPr>
          <w:szCs w:val="22"/>
        </w:rPr>
        <w:t xml:space="preserve">  </w:t>
      </w:r>
      <w:r w:rsidR="001E6D78">
        <w:rPr>
          <w:szCs w:val="22"/>
        </w:rPr>
        <w:t>This composite rate i</w:t>
      </w:r>
      <w:r w:rsidR="00B076A2">
        <w:rPr>
          <w:szCs w:val="22"/>
        </w:rPr>
        <w:t xml:space="preserve">s calculated this one time, and </w:t>
      </w:r>
      <w:r w:rsidR="001E6D78">
        <w:rPr>
          <w:szCs w:val="22"/>
        </w:rPr>
        <w:t xml:space="preserve">is used in making calculations in subsequent years.  </w:t>
      </w:r>
      <w:r w:rsidR="007B4615">
        <w:rPr>
          <w:szCs w:val="22"/>
        </w:rPr>
        <w:t xml:space="preserve">Section 51.907(d)(2)(i), which is applicable to price cap carriers, </w:t>
      </w:r>
      <w:r w:rsidR="002C723D" w:rsidRPr="003567F1">
        <w:rPr>
          <w:szCs w:val="22"/>
        </w:rPr>
        <w:t xml:space="preserve">does not specify whether </w:t>
      </w:r>
      <w:r w:rsidR="007B4615">
        <w:rPr>
          <w:szCs w:val="22"/>
        </w:rPr>
        <w:t xml:space="preserve">price cap </w:t>
      </w:r>
      <w:r w:rsidR="002C723D" w:rsidRPr="003567F1">
        <w:rPr>
          <w:szCs w:val="22"/>
        </w:rPr>
        <w:t>carriers should use interstate or intrastate demand and rates in making this calculation</w:t>
      </w:r>
      <w:r w:rsidR="0068365B">
        <w:rPr>
          <w:szCs w:val="22"/>
        </w:rPr>
        <w:t>, although the comparable rule applicable to rate-of-return carriers specifies that it should be interstate rates and demand</w:t>
      </w:r>
      <w:r w:rsidR="002C723D" w:rsidRPr="003567F1">
        <w:rPr>
          <w:szCs w:val="22"/>
        </w:rPr>
        <w:t>.</w:t>
      </w:r>
      <w:r w:rsidR="003A174F">
        <w:rPr>
          <w:rStyle w:val="FootnoteReference"/>
          <w:szCs w:val="22"/>
        </w:rPr>
        <w:footnoteReference w:id="26"/>
      </w:r>
      <w:r w:rsidR="002C723D" w:rsidRPr="003567F1">
        <w:rPr>
          <w:szCs w:val="22"/>
        </w:rPr>
        <w:t xml:space="preserve">  The absence of a jurisdictional designation for the demand and rates to be used </w:t>
      </w:r>
      <w:r w:rsidR="0068365B">
        <w:rPr>
          <w:szCs w:val="22"/>
        </w:rPr>
        <w:t xml:space="preserve">by price cap carriers </w:t>
      </w:r>
      <w:r w:rsidR="002C723D" w:rsidRPr="003567F1">
        <w:rPr>
          <w:szCs w:val="22"/>
        </w:rPr>
        <w:t xml:space="preserve">creates potential ambiguity in the calculation of the required rate reductions.  </w:t>
      </w:r>
      <w:r w:rsidR="0094485C">
        <w:rPr>
          <w:szCs w:val="22"/>
        </w:rPr>
        <w:t xml:space="preserve">  </w:t>
      </w:r>
    </w:p>
    <w:p w:rsidR="00A55856" w:rsidRPr="00B00382" w:rsidRDefault="007564CD" w:rsidP="008E254E">
      <w:pPr>
        <w:pStyle w:val="ParaNum"/>
        <w:widowControl/>
        <w:rPr>
          <w:kern w:val="0"/>
          <w:sz w:val="24"/>
          <w:szCs w:val="24"/>
        </w:rPr>
      </w:pPr>
      <w:r>
        <w:rPr>
          <w:szCs w:val="22"/>
        </w:rPr>
        <w:t>W</w:t>
      </w:r>
      <w:r w:rsidRPr="003567F1">
        <w:rPr>
          <w:szCs w:val="22"/>
        </w:rPr>
        <w:t xml:space="preserve">e clarify that the 2011 Fiscal Year </w:t>
      </w:r>
      <w:r w:rsidRPr="003567F1">
        <w:rPr>
          <w:i/>
          <w:szCs w:val="22"/>
        </w:rPr>
        <w:t>interstate</w:t>
      </w:r>
      <w:r w:rsidRPr="003567F1">
        <w:rPr>
          <w:szCs w:val="22"/>
        </w:rPr>
        <w:t xml:space="preserve"> demand and rates are to be utilized for the reasons explained below.</w:t>
      </w:r>
      <w:r>
        <w:rPr>
          <w:szCs w:val="22"/>
        </w:rPr>
        <w:t xml:space="preserve">  </w:t>
      </w:r>
      <w:r w:rsidR="002C723D" w:rsidRPr="003567F1">
        <w:rPr>
          <w:szCs w:val="22"/>
        </w:rPr>
        <w:t>The ICC rate transition started by capping interstate and intrastate switched access rates for price cap carriers at December 29, 2011, levels.  The 2012 and 2013 transition steps reduced “Transitional Intrastate Access Service” rates</w:t>
      </w:r>
      <w:r w:rsidR="00487812" w:rsidRPr="003567F1">
        <w:rPr>
          <w:szCs w:val="22"/>
        </w:rPr>
        <w:t xml:space="preserve"> (</w:t>
      </w:r>
      <w:r w:rsidR="003902AD" w:rsidRPr="003567F1">
        <w:rPr>
          <w:szCs w:val="22"/>
        </w:rPr>
        <w:t xml:space="preserve">which included </w:t>
      </w:r>
      <w:r w:rsidR="00487812" w:rsidRPr="003567F1">
        <w:rPr>
          <w:szCs w:val="22"/>
        </w:rPr>
        <w:t xml:space="preserve">reduction of </w:t>
      </w:r>
      <w:r w:rsidR="003902AD" w:rsidRPr="003567F1">
        <w:rPr>
          <w:szCs w:val="22"/>
        </w:rPr>
        <w:t>end office rates</w:t>
      </w:r>
      <w:r w:rsidR="002C723D" w:rsidRPr="003567F1">
        <w:rPr>
          <w:szCs w:val="22"/>
        </w:rPr>
        <w:t xml:space="preserve"> that were above interstate switched access rates to interstate switched access rate levels</w:t>
      </w:r>
      <w:r w:rsidR="00B135A7">
        <w:rPr>
          <w:szCs w:val="22"/>
        </w:rPr>
        <w:t>)</w:t>
      </w:r>
      <w:r w:rsidR="008B5F7F">
        <w:rPr>
          <w:szCs w:val="22"/>
        </w:rPr>
        <w:t>,</w:t>
      </w:r>
      <w:r w:rsidR="002C723D" w:rsidRPr="003567F1">
        <w:rPr>
          <w:rStyle w:val="FootnoteReference"/>
          <w:sz w:val="22"/>
          <w:szCs w:val="22"/>
        </w:rPr>
        <w:footnoteReference w:id="27"/>
      </w:r>
      <w:r w:rsidR="002C723D" w:rsidRPr="003567F1">
        <w:rPr>
          <w:szCs w:val="22"/>
        </w:rPr>
        <w:t xml:space="preserve"> but did not require any changes to interstate switched access rates during that period.  The 2014 annual access tariff filing begins the transition process of </w:t>
      </w:r>
      <w:r w:rsidR="00B076A2">
        <w:rPr>
          <w:szCs w:val="22"/>
        </w:rPr>
        <w:t>focusing annual rate reductions to interstate and intrastate</w:t>
      </w:r>
      <w:r w:rsidR="002C723D" w:rsidRPr="003567F1">
        <w:rPr>
          <w:szCs w:val="22"/>
        </w:rPr>
        <w:t xml:space="preserve"> Terminating End Office Access rates from </w:t>
      </w:r>
      <w:r w:rsidR="003902AD" w:rsidRPr="003567F1">
        <w:rPr>
          <w:szCs w:val="22"/>
        </w:rPr>
        <w:t xml:space="preserve">their 2013-14 </w:t>
      </w:r>
      <w:r w:rsidR="002C723D" w:rsidRPr="003567F1">
        <w:rPr>
          <w:szCs w:val="22"/>
        </w:rPr>
        <w:t xml:space="preserve">rate levels.  Because intrastate switched access rates above comparable interstate rates </w:t>
      </w:r>
      <w:r>
        <w:rPr>
          <w:szCs w:val="22"/>
        </w:rPr>
        <w:t>are now</w:t>
      </w:r>
      <w:r w:rsidR="002C723D" w:rsidRPr="003567F1">
        <w:rPr>
          <w:szCs w:val="22"/>
        </w:rPr>
        <w:t xml:space="preserve"> reduced</w:t>
      </w:r>
      <w:r w:rsidR="0025715D">
        <w:rPr>
          <w:szCs w:val="22"/>
        </w:rPr>
        <w:t xml:space="preserve"> to interstate levels</w:t>
      </w:r>
      <w:r w:rsidR="002C723D" w:rsidRPr="003567F1">
        <w:rPr>
          <w:szCs w:val="22"/>
        </w:rPr>
        <w:t xml:space="preserve">, 2011 intrastate rate and demand data are no longer relevant to the calculation of a baseline from which to reduce Terminating End Office Access Service rates in 2014.  The calculation of the 2011 Baseline </w:t>
      </w:r>
      <w:r w:rsidR="00C2065D" w:rsidRPr="003567F1">
        <w:rPr>
          <w:szCs w:val="22"/>
        </w:rPr>
        <w:t xml:space="preserve">Composite </w:t>
      </w:r>
      <w:r w:rsidR="002C723D" w:rsidRPr="003567F1">
        <w:rPr>
          <w:szCs w:val="22"/>
        </w:rPr>
        <w:t>Terminating End Office Access Rate</w:t>
      </w:r>
      <w:r w:rsidR="00B076A2">
        <w:rPr>
          <w:szCs w:val="22"/>
        </w:rPr>
        <w:t>, which is made for the first time this year,</w:t>
      </w:r>
      <w:r w:rsidR="002C723D" w:rsidRPr="003567F1">
        <w:rPr>
          <w:szCs w:val="22"/>
        </w:rPr>
        <w:t xml:space="preserve"> thus </w:t>
      </w:r>
      <w:r w:rsidR="005A69D2">
        <w:rPr>
          <w:szCs w:val="22"/>
        </w:rPr>
        <w:t xml:space="preserve">should only include </w:t>
      </w:r>
      <w:r w:rsidR="002C723D" w:rsidRPr="003567F1">
        <w:rPr>
          <w:szCs w:val="22"/>
        </w:rPr>
        <w:t>2011 Fiscal Year</w:t>
      </w:r>
      <w:r w:rsidR="005A69D2">
        <w:rPr>
          <w:szCs w:val="22"/>
        </w:rPr>
        <w:t xml:space="preserve"> interstate</w:t>
      </w:r>
      <w:r w:rsidR="002C723D" w:rsidRPr="003567F1">
        <w:rPr>
          <w:szCs w:val="22"/>
        </w:rPr>
        <w:t xml:space="preserve"> demand and rates.</w:t>
      </w:r>
      <w:r w:rsidR="00B00382">
        <w:rPr>
          <w:rStyle w:val="FootnoteReference"/>
          <w:szCs w:val="22"/>
        </w:rPr>
        <w:footnoteReference w:id="28"/>
      </w:r>
      <w:r w:rsidR="00B00382">
        <w:rPr>
          <w:kern w:val="0"/>
          <w:sz w:val="24"/>
          <w:szCs w:val="24"/>
        </w:rPr>
        <w:t xml:space="preserve">  </w:t>
      </w:r>
      <w:r w:rsidR="002C723D" w:rsidRPr="00B00382">
        <w:rPr>
          <w:szCs w:val="22"/>
        </w:rPr>
        <w:t xml:space="preserve">We revise </w:t>
      </w:r>
      <w:r w:rsidR="00E344A2">
        <w:rPr>
          <w:szCs w:val="22"/>
        </w:rPr>
        <w:t>section 51.907(d)(</w:t>
      </w:r>
      <w:r w:rsidR="00161E6B">
        <w:rPr>
          <w:szCs w:val="22"/>
        </w:rPr>
        <w:t>2</w:t>
      </w:r>
      <w:r w:rsidR="00E344A2">
        <w:rPr>
          <w:szCs w:val="22"/>
        </w:rPr>
        <w:t>)</w:t>
      </w:r>
      <w:r w:rsidR="00161E6B">
        <w:rPr>
          <w:szCs w:val="22"/>
        </w:rPr>
        <w:t>(i)</w:t>
      </w:r>
      <w:r w:rsidR="00E344A2">
        <w:rPr>
          <w:szCs w:val="22"/>
        </w:rPr>
        <w:t xml:space="preserve"> </w:t>
      </w:r>
      <w:r w:rsidR="002C723D" w:rsidRPr="00B00382">
        <w:rPr>
          <w:szCs w:val="22"/>
        </w:rPr>
        <w:t xml:space="preserve">accordingly, as set forth in the Appendix, to eliminate any ambiguity and to facilitate the </w:t>
      </w:r>
      <w:r w:rsidR="001E6D78">
        <w:rPr>
          <w:szCs w:val="22"/>
        </w:rPr>
        <w:t>annual</w:t>
      </w:r>
      <w:r w:rsidR="002C723D" w:rsidRPr="00B00382">
        <w:rPr>
          <w:szCs w:val="22"/>
        </w:rPr>
        <w:t xml:space="preserve"> tariff filing process</w:t>
      </w:r>
      <w:r w:rsidR="00B01F44" w:rsidRPr="00B00382">
        <w:rPr>
          <w:szCs w:val="22"/>
        </w:rPr>
        <w:t>.</w:t>
      </w:r>
      <w:r w:rsidR="004A479A" w:rsidRPr="00B00382">
        <w:rPr>
          <w:szCs w:val="22"/>
        </w:rPr>
        <w:t xml:space="preserve"> </w:t>
      </w:r>
      <w:r w:rsidR="008A50A8" w:rsidRPr="00B00382">
        <w:rPr>
          <w:szCs w:val="22"/>
        </w:rPr>
        <w:t xml:space="preserve"> </w:t>
      </w:r>
      <w:r w:rsidR="0025715D">
        <w:rPr>
          <w:szCs w:val="22"/>
        </w:rPr>
        <w:t>We note further that using interstate rates and demand in</w:t>
      </w:r>
      <w:r w:rsidR="008979F4">
        <w:rPr>
          <w:szCs w:val="22"/>
        </w:rPr>
        <w:t xml:space="preserve"> calculating the required terminating end office access rate reductions</w:t>
      </w:r>
      <w:r w:rsidR="0025715D">
        <w:rPr>
          <w:szCs w:val="22"/>
        </w:rPr>
        <w:t xml:space="preserve"> for price cap carriers is consistent with how </w:t>
      </w:r>
      <w:r>
        <w:rPr>
          <w:szCs w:val="22"/>
        </w:rPr>
        <w:t>we require rate-of-return carriers to calculate their 2011 Baseline Composite Terminating End Office Access Rates.</w:t>
      </w:r>
    </w:p>
    <w:p w:rsidR="000725FD" w:rsidRDefault="001C1AB3" w:rsidP="008E254E">
      <w:pPr>
        <w:pStyle w:val="ParaNum"/>
        <w:widowControl/>
        <w:rPr>
          <w:szCs w:val="22"/>
        </w:rPr>
      </w:pPr>
      <w:r w:rsidRPr="003567F1">
        <w:rPr>
          <w:i/>
          <w:szCs w:val="22"/>
        </w:rPr>
        <w:t>Target Composite</w:t>
      </w:r>
      <w:r w:rsidR="00871A8E" w:rsidRPr="003567F1">
        <w:rPr>
          <w:i/>
          <w:szCs w:val="22"/>
        </w:rPr>
        <w:t xml:space="preserve"> Terminating</w:t>
      </w:r>
      <w:r w:rsidRPr="003567F1">
        <w:rPr>
          <w:i/>
          <w:szCs w:val="22"/>
        </w:rPr>
        <w:t xml:space="preserve"> End Office Access Rate</w:t>
      </w:r>
      <w:r w:rsidR="004A479A">
        <w:rPr>
          <w:szCs w:val="22"/>
        </w:rPr>
        <w:t>.</w:t>
      </w:r>
      <w:r w:rsidRPr="003567F1">
        <w:rPr>
          <w:szCs w:val="22"/>
        </w:rPr>
        <w:t xml:space="preserve">  </w:t>
      </w:r>
      <w:r w:rsidR="00A4407B">
        <w:rPr>
          <w:szCs w:val="22"/>
        </w:rPr>
        <w:t xml:space="preserve">Beginning this year, the </w:t>
      </w:r>
      <w:r w:rsidR="00CA36EB" w:rsidRPr="003567F1">
        <w:rPr>
          <w:szCs w:val="22"/>
        </w:rPr>
        <w:t xml:space="preserve">ICC transition steps require carriers to calculate </w:t>
      </w:r>
      <w:r w:rsidR="00A4407B">
        <w:rPr>
          <w:szCs w:val="22"/>
        </w:rPr>
        <w:t xml:space="preserve">a </w:t>
      </w:r>
      <w:r w:rsidR="00CA36EB" w:rsidRPr="003567F1">
        <w:rPr>
          <w:szCs w:val="22"/>
        </w:rPr>
        <w:t>Target Composite Terminating End Office Access Rate</w:t>
      </w:r>
      <w:r w:rsidR="00A4407B">
        <w:rPr>
          <w:szCs w:val="22"/>
        </w:rPr>
        <w:t xml:space="preserve"> in certain years</w:t>
      </w:r>
      <w:r w:rsidR="00B076A2">
        <w:rPr>
          <w:szCs w:val="22"/>
        </w:rPr>
        <w:t xml:space="preserve"> in which a target rate is not specified to determine the amount of reductions that must be made that year</w:t>
      </w:r>
      <w:r w:rsidR="00CA36EB" w:rsidRPr="003567F1">
        <w:rPr>
          <w:szCs w:val="22"/>
        </w:rPr>
        <w:t>.</w:t>
      </w:r>
      <w:r w:rsidR="00CA36EB" w:rsidRPr="003567F1">
        <w:rPr>
          <w:rStyle w:val="FootnoteReference"/>
          <w:sz w:val="22"/>
          <w:szCs w:val="22"/>
        </w:rPr>
        <w:footnoteReference w:id="29"/>
      </w:r>
      <w:r w:rsidR="00CA36EB" w:rsidRPr="003567F1">
        <w:rPr>
          <w:szCs w:val="22"/>
        </w:rPr>
        <w:t xml:space="preserve">  Carriers have raised the question of whether separate interstate and intrastate target composite rates are required</w:t>
      </w:r>
      <w:r w:rsidR="00CA36EB" w:rsidRPr="009330EF">
        <w:rPr>
          <w:szCs w:val="22"/>
        </w:rPr>
        <w:t>.</w:t>
      </w:r>
      <w:r w:rsidR="009F2BDC" w:rsidRPr="009330EF">
        <w:rPr>
          <w:color w:val="000000"/>
          <w:szCs w:val="22"/>
        </w:rPr>
        <w:t xml:space="preserve"> </w:t>
      </w:r>
      <w:r w:rsidR="009F2BDC">
        <w:rPr>
          <w:color w:val="000000"/>
          <w:szCs w:val="22"/>
        </w:rPr>
        <w:t xml:space="preserve"> </w:t>
      </w:r>
      <w:r w:rsidR="00D83B3A">
        <w:rPr>
          <w:color w:val="000000"/>
          <w:szCs w:val="22"/>
        </w:rPr>
        <w:t xml:space="preserve">The above </w:t>
      </w:r>
      <w:r w:rsidR="009F2BDC">
        <w:rPr>
          <w:szCs w:val="22"/>
        </w:rPr>
        <w:t xml:space="preserve">clarification that the Commission intended rate parity </w:t>
      </w:r>
      <w:r w:rsidR="007564CD">
        <w:rPr>
          <w:szCs w:val="22"/>
        </w:rPr>
        <w:t xml:space="preserve">between interstate and intrastate rates to </w:t>
      </w:r>
      <w:r w:rsidR="009F2BDC">
        <w:rPr>
          <w:szCs w:val="22"/>
        </w:rPr>
        <w:t xml:space="preserve">apply during the reductions in terminating end office access rates </w:t>
      </w:r>
      <w:r w:rsidR="00763C19">
        <w:rPr>
          <w:szCs w:val="22"/>
        </w:rPr>
        <w:t>renders this question moot</w:t>
      </w:r>
      <w:r w:rsidR="009F2BDC">
        <w:rPr>
          <w:szCs w:val="22"/>
        </w:rPr>
        <w:t xml:space="preserve">.  </w:t>
      </w:r>
      <w:r w:rsidR="00CA36EB" w:rsidRPr="003567F1">
        <w:rPr>
          <w:szCs w:val="22"/>
        </w:rPr>
        <w:t xml:space="preserve">We therefore clarify that there is only one Target Composite Terminating End Office Access Rate each year, which is to be </w:t>
      </w:r>
      <w:r w:rsidR="00B076A2">
        <w:rPr>
          <w:szCs w:val="22"/>
        </w:rPr>
        <w:t>determined</w:t>
      </w:r>
      <w:r w:rsidR="00CA36EB" w:rsidRPr="003567F1">
        <w:rPr>
          <w:szCs w:val="22"/>
        </w:rPr>
        <w:t xml:space="preserve"> consistent with section</w:t>
      </w:r>
      <w:r w:rsidR="008B5F7F">
        <w:rPr>
          <w:szCs w:val="22"/>
        </w:rPr>
        <w:t>s</w:t>
      </w:r>
      <w:r w:rsidR="00CA36EB" w:rsidRPr="003567F1">
        <w:rPr>
          <w:szCs w:val="22"/>
        </w:rPr>
        <w:t xml:space="preserve"> 51.907(d)(2)(iii)</w:t>
      </w:r>
      <w:r w:rsidR="00161E6B">
        <w:rPr>
          <w:szCs w:val="22"/>
        </w:rPr>
        <w:t xml:space="preserve"> and 51.909(d</w:t>
      </w:r>
      <w:r w:rsidR="00631DE0">
        <w:rPr>
          <w:szCs w:val="22"/>
        </w:rPr>
        <w:t>)</w:t>
      </w:r>
      <w:r w:rsidR="00161E6B">
        <w:rPr>
          <w:szCs w:val="22"/>
        </w:rPr>
        <w:t>(3)(ii)</w:t>
      </w:r>
      <w:r w:rsidR="00CA36EB" w:rsidRPr="003567F1">
        <w:rPr>
          <w:szCs w:val="22"/>
        </w:rPr>
        <w:t xml:space="preserve">.  </w:t>
      </w:r>
    </w:p>
    <w:p w:rsidR="001C1AB3" w:rsidRPr="003567F1" w:rsidRDefault="00F07BAF" w:rsidP="008E254E">
      <w:pPr>
        <w:pStyle w:val="ParaNum"/>
        <w:widowControl/>
        <w:rPr>
          <w:szCs w:val="22"/>
        </w:rPr>
      </w:pPr>
      <w:r>
        <w:rPr>
          <w:szCs w:val="22"/>
        </w:rPr>
        <w:t xml:space="preserve">  </w:t>
      </w:r>
      <w:r w:rsidR="00601EE9">
        <w:rPr>
          <w:szCs w:val="22"/>
        </w:rPr>
        <w:t>To begin the implementation of rate parity, a</w:t>
      </w:r>
      <w:r w:rsidR="00631DE0">
        <w:rPr>
          <w:szCs w:val="22"/>
        </w:rPr>
        <w:t xml:space="preserve"> carrier may </w:t>
      </w:r>
      <w:r w:rsidR="000725FD">
        <w:rPr>
          <w:szCs w:val="22"/>
        </w:rPr>
        <w:t xml:space="preserve">develop </w:t>
      </w:r>
      <w:r w:rsidR="00631DE0">
        <w:rPr>
          <w:szCs w:val="22"/>
        </w:rPr>
        <w:t>terminating end office acce</w:t>
      </w:r>
      <w:r w:rsidR="009433CE">
        <w:rPr>
          <w:szCs w:val="22"/>
        </w:rPr>
        <w:t>ss rates for the interstate jur</w:t>
      </w:r>
      <w:r w:rsidR="00631DE0">
        <w:rPr>
          <w:szCs w:val="22"/>
        </w:rPr>
        <w:t xml:space="preserve">isdiction </w:t>
      </w:r>
      <w:r w:rsidR="00B54282">
        <w:rPr>
          <w:szCs w:val="22"/>
        </w:rPr>
        <w:t>whose composite rate does</w:t>
      </w:r>
      <w:r w:rsidR="000725FD">
        <w:rPr>
          <w:szCs w:val="22"/>
        </w:rPr>
        <w:t xml:space="preserve"> not exceed </w:t>
      </w:r>
      <w:r w:rsidR="00631DE0">
        <w:rPr>
          <w:szCs w:val="22"/>
        </w:rPr>
        <w:t xml:space="preserve">the </w:t>
      </w:r>
      <w:r w:rsidR="000725FD">
        <w:rPr>
          <w:szCs w:val="22"/>
        </w:rPr>
        <w:t xml:space="preserve">composite </w:t>
      </w:r>
      <w:r w:rsidR="00631DE0">
        <w:rPr>
          <w:szCs w:val="22"/>
        </w:rPr>
        <w:t>target termina</w:t>
      </w:r>
      <w:r w:rsidR="000725FD">
        <w:rPr>
          <w:szCs w:val="22"/>
        </w:rPr>
        <w:t>t</w:t>
      </w:r>
      <w:r w:rsidR="00631DE0">
        <w:rPr>
          <w:szCs w:val="22"/>
        </w:rPr>
        <w:t>ing end office access rate for the year in question.</w:t>
      </w:r>
      <w:r w:rsidR="00141932">
        <w:rPr>
          <w:rStyle w:val="FootnoteReference"/>
          <w:szCs w:val="22"/>
        </w:rPr>
        <w:footnoteReference w:id="30"/>
      </w:r>
      <w:r w:rsidR="00631DE0">
        <w:rPr>
          <w:szCs w:val="22"/>
        </w:rPr>
        <w:t xml:space="preserve">  </w:t>
      </w:r>
      <w:r w:rsidR="000725FD">
        <w:rPr>
          <w:szCs w:val="22"/>
        </w:rPr>
        <w:t>The carrier</w:t>
      </w:r>
      <w:r w:rsidR="00E344A2">
        <w:rPr>
          <w:szCs w:val="22"/>
        </w:rPr>
        <w:t>’s</w:t>
      </w:r>
      <w:r w:rsidR="000725FD">
        <w:rPr>
          <w:szCs w:val="22"/>
        </w:rPr>
        <w:t xml:space="preserve"> </w:t>
      </w:r>
      <w:r w:rsidR="00E344A2">
        <w:rPr>
          <w:szCs w:val="22"/>
        </w:rPr>
        <w:t xml:space="preserve">intrastate terminating end office access rates may not exceed the carrier’s </w:t>
      </w:r>
      <w:r w:rsidR="000725FD">
        <w:rPr>
          <w:szCs w:val="22"/>
        </w:rPr>
        <w:t xml:space="preserve">interstate terminating end office access rates so developed </w:t>
      </w:r>
      <w:r w:rsidR="00E344A2">
        <w:rPr>
          <w:szCs w:val="22"/>
        </w:rPr>
        <w:t xml:space="preserve">for </w:t>
      </w:r>
      <w:r w:rsidR="000725FD">
        <w:rPr>
          <w:szCs w:val="22"/>
        </w:rPr>
        <w:t>the comparable rate el</w:t>
      </w:r>
      <w:r w:rsidR="00E344A2">
        <w:rPr>
          <w:szCs w:val="22"/>
        </w:rPr>
        <w:t xml:space="preserve">ements.  </w:t>
      </w:r>
      <w:r w:rsidR="000F60B8">
        <w:rPr>
          <w:szCs w:val="22"/>
        </w:rPr>
        <w:t xml:space="preserve">A carrier’s terminating intrastate end office access rates are further constrained in that the carrier may not increase any existing intrastate rate during this transition.  </w:t>
      </w:r>
      <w:r w:rsidR="000725FD">
        <w:rPr>
          <w:szCs w:val="22"/>
        </w:rPr>
        <w:t xml:space="preserve">Alternatively, the carrier </w:t>
      </w:r>
      <w:r w:rsidR="00631DE0">
        <w:rPr>
          <w:szCs w:val="22"/>
        </w:rPr>
        <w:t>may assess the target terminating end office access rate in both the interstate and intrastate jurisdic</w:t>
      </w:r>
      <w:r w:rsidR="000725FD">
        <w:rPr>
          <w:szCs w:val="22"/>
        </w:rPr>
        <w:t>t</w:t>
      </w:r>
      <w:r w:rsidR="00631DE0">
        <w:rPr>
          <w:szCs w:val="22"/>
        </w:rPr>
        <w:t>ions</w:t>
      </w:r>
      <w:r w:rsidR="000F60B8">
        <w:rPr>
          <w:szCs w:val="22"/>
        </w:rPr>
        <w:t xml:space="preserve"> as long as the carrier’s intrastate terminating end </w:t>
      </w:r>
      <w:r w:rsidR="00E23777">
        <w:rPr>
          <w:szCs w:val="22"/>
        </w:rPr>
        <w:t>o</w:t>
      </w:r>
      <w:r w:rsidR="000F60B8">
        <w:rPr>
          <w:szCs w:val="22"/>
        </w:rPr>
        <w:t>ffice access rates would all be at parity with the interstate rates under the preceding approach</w:t>
      </w:r>
      <w:r w:rsidR="000725FD">
        <w:rPr>
          <w:szCs w:val="22"/>
        </w:rPr>
        <w:t xml:space="preserve">.  </w:t>
      </w:r>
      <w:r w:rsidR="00CA36EB" w:rsidRPr="003567F1">
        <w:rPr>
          <w:szCs w:val="22"/>
        </w:rPr>
        <w:t xml:space="preserve">We amend the rules accordingly, as set forth in the Appendix.  </w:t>
      </w:r>
    </w:p>
    <w:p w:rsidR="00C924E2" w:rsidRPr="003567F1" w:rsidRDefault="008E254E" w:rsidP="008E254E">
      <w:pPr>
        <w:pStyle w:val="Heading2"/>
        <w:widowControl/>
        <w:rPr>
          <w:szCs w:val="22"/>
        </w:rPr>
      </w:pPr>
      <w:bookmarkStart w:id="22" w:name="_Toc336255603"/>
      <w:r>
        <w:rPr>
          <w:szCs w:val="22"/>
        </w:rPr>
        <w:t>Other Corrections or Clarifications</w:t>
      </w:r>
    </w:p>
    <w:p w:rsidR="004342EC" w:rsidRDefault="004342EC" w:rsidP="008E254E">
      <w:pPr>
        <w:pStyle w:val="ParaNum"/>
        <w:widowControl/>
        <w:rPr>
          <w:szCs w:val="22"/>
        </w:rPr>
      </w:pPr>
      <w:r>
        <w:rPr>
          <w:szCs w:val="22"/>
        </w:rPr>
        <w:t xml:space="preserve">  </w:t>
      </w:r>
      <w:r>
        <w:rPr>
          <w:i/>
          <w:szCs w:val="22"/>
        </w:rPr>
        <w:t>Recovery Mechanism Calculations</w:t>
      </w:r>
      <w:r>
        <w:rPr>
          <w:szCs w:val="22"/>
        </w:rPr>
        <w:t>.  Sectio</w:t>
      </w:r>
      <w:r w:rsidR="00161E6B">
        <w:rPr>
          <w:szCs w:val="22"/>
        </w:rPr>
        <w:t>ns 51.915(d)(1)(iii)(C), (iv)(C), and (v)(C</w:t>
      </w:r>
      <w:r>
        <w:rPr>
          <w:szCs w:val="22"/>
        </w:rPr>
        <w:t>)  refer to the “[i]ntrastate 2014 Composite Terminating End Office Access Rate” in the process for establishing the rate level from which reductions in terminating end office rates are to be measured for purposes of determining a price cap carrier’s Eligible Recovery for 2014.  However, no methodology for calculating a 2014 Composite Terminating End Office Access Rate is specified in the rules.  We</w:t>
      </w:r>
      <w:r w:rsidR="00601EE9">
        <w:rPr>
          <w:szCs w:val="22"/>
        </w:rPr>
        <w:t xml:space="preserve"> clarify the procedure to be used</w:t>
      </w:r>
      <w:r>
        <w:rPr>
          <w:szCs w:val="22"/>
        </w:rPr>
        <w:t xml:space="preserve"> by adding a definition of “Intrastate 2014 Composite Terminating End Office Access Rate” that specifies the required calculation method</w:t>
      </w:r>
      <w:r w:rsidR="00591449">
        <w:rPr>
          <w:szCs w:val="22"/>
        </w:rPr>
        <w:t xml:space="preserve"> for price cap carriers</w:t>
      </w:r>
      <w:r>
        <w:rPr>
          <w:szCs w:val="22"/>
        </w:rPr>
        <w:t>.</w:t>
      </w:r>
      <w:r w:rsidR="00713FEC">
        <w:rPr>
          <w:rStyle w:val="FootnoteReference"/>
          <w:szCs w:val="22"/>
        </w:rPr>
        <w:footnoteReference w:id="31"/>
      </w:r>
      <w:r>
        <w:rPr>
          <w:szCs w:val="22"/>
        </w:rPr>
        <w:t xml:space="preserve">  This definition </w:t>
      </w:r>
      <w:r w:rsidR="00CB61B1">
        <w:rPr>
          <w:szCs w:val="22"/>
        </w:rPr>
        <w:t xml:space="preserve">is consistent with </w:t>
      </w:r>
      <w:r>
        <w:rPr>
          <w:szCs w:val="22"/>
        </w:rPr>
        <w:t>the calculation required under section 51.907(d) and uses 2011 Fiscal Year demand to weight the different rates used in calculating the composite rate in the same manner that the corresponding price cap carrier ICC rate transition rules weight different rates used to calculate composites.</w:t>
      </w:r>
      <w:r>
        <w:rPr>
          <w:rStyle w:val="FootnoteReference"/>
          <w:szCs w:val="22"/>
        </w:rPr>
        <w:footnoteReference w:id="32"/>
      </w:r>
      <w:r>
        <w:rPr>
          <w:szCs w:val="22"/>
        </w:rPr>
        <w:t xml:space="preserve">  </w:t>
      </w:r>
      <w:r w:rsidR="00601EE9">
        <w:rPr>
          <w:szCs w:val="22"/>
        </w:rPr>
        <w:t>Consistent with the clarification that rate parity was to be maintained during the transition, we</w:t>
      </w:r>
      <w:r>
        <w:rPr>
          <w:szCs w:val="22"/>
        </w:rPr>
        <w:t xml:space="preserve"> revise the introductory language in sections 51.915(d)(1)(iii)(C), (iv)(C) and (v)(C) </w:t>
      </w:r>
      <w:r w:rsidR="00601EE9">
        <w:rPr>
          <w:szCs w:val="22"/>
        </w:rPr>
        <w:t>that relied on composite rate comparisons to determine if rates had been reduced.  The clarifying language</w:t>
      </w:r>
      <w:r>
        <w:rPr>
          <w:szCs w:val="22"/>
        </w:rPr>
        <w:t xml:space="preserve"> make</w:t>
      </w:r>
      <w:r w:rsidR="00601EE9">
        <w:rPr>
          <w:szCs w:val="22"/>
        </w:rPr>
        <w:t>s</w:t>
      </w:r>
      <w:r>
        <w:rPr>
          <w:szCs w:val="22"/>
        </w:rPr>
        <w:t xml:space="preserve"> clear that the recovery permitted by subparagraphs (d), (e), and (f) is allowed only if intrastate Terminating End Office Access Service rates are reduced in the year in question.  </w:t>
      </w:r>
    </w:p>
    <w:p w:rsidR="00612CAF" w:rsidRDefault="00F07BAF" w:rsidP="008E254E">
      <w:pPr>
        <w:pStyle w:val="ParaNum"/>
        <w:widowControl/>
        <w:rPr>
          <w:szCs w:val="22"/>
        </w:rPr>
      </w:pPr>
      <w:bookmarkStart w:id="23" w:name="OLE_LINK9"/>
      <w:bookmarkStart w:id="24" w:name="OLE_LINK7"/>
      <w:r>
        <w:rPr>
          <w:szCs w:val="22"/>
        </w:rPr>
        <w:t xml:space="preserve"> </w:t>
      </w:r>
      <w:r w:rsidR="00C40F7D">
        <w:rPr>
          <w:szCs w:val="22"/>
        </w:rPr>
        <w:t>W</w:t>
      </w:r>
      <w:r w:rsidR="00612CAF">
        <w:rPr>
          <w:szCs w:val="22"/>
        </w:rPr>
        <w:t>e</w:t>
      </w:r>
      <w:r w:rsidR="00C40F7D">
        <w:rPr>
          <w:szCs w:val="22"/>
        </w:rPr>
        <w:t xml:space="preserve"> also</w:t>
      </w:r>
      <w:r w:rsidR="00612CAF">
        <w:rPr>
          <w:szCs w:val="22"/>
        </w:rPr>
        <w:t xml:space="preserve"> correct an inadvertent omission in section 51.907(f) by adding language clarifying that a price cap carrier has the option, in 2016, to implement a single per minute rate element for terminating End Office Access Service at a rate no greater than the 2016 Target Composite Terminating End Office Access Rate.  This clarification </w:t>
      </w:r>
      <w:r w:rsidR="00DD6600">
        <w:rPr>
          <w:szCs w:val="22"/>
        </w:rPr>
        <w:t xml:space="preserve">is consistent with price cap carrier options in 2014 and 2015 and thus </w:t>
      </w:r>
      <w:r w:rsidR="00612CAF">
        <w:rPr>
          <w:szCs w:val="22"/>
        </w:rPr>
        <w:t xml:space="preserve">tracks the description in Sections 51.907(d)(2)(iii) and (e)(1)(ii) of the Commission’s rules specifying a price cap carrier’s pricing options for terminating end office access service </w:t>
      </w:r>
      <w:r w:rsidR="00DD6600">
        <w:rPr>
          <w:szCs w:val="22"/>
        </w:rPr>
        <w:t>in those years</w:t>
      </w:r>
      <w:r w:rsidR="00612CAF">
        <w:rPr>
          <w:szCs w:val="22"/>
        </w:rPr>
        <w:t>.</w:t>
      </w:r>
      <w:r w:rsidR="00612CAF">
        <w:rPr>
          <w:rStyle w:val="FootnoteReference"/>
          <w:szCs w:val="22"/>
        </w:rPr>
        <w:footnoteReference w:id="33"/>
      </w:r>
      <w:bookmarkEnd w:id="23"/>
      <w:bookmarkEnd w:id="24"/>
    </w:p>
    <w:p w:rsidR="00377162" w:rsidRPr="003567F1" w:rsidRDefault="00E32857" w:rsidP="008E254E">
      <w:pPr>
        <w:pStyle w:val="ParaNum"/>
        <w:widowControl/>
        <w:rPr>
          <w:szCs w:val="22"/>
        </w:rPr>
      </w:pPr>
      <w:r w:rsidRPr="003567F1">
        <w:rPr>
          <w:szCs w:val="22"/>
        </w:rPr>
        <w:t xml:space="preserve">  </w:t>
      </w:r>
      <w:r w:rsidR="00377162" w:rsidRPr="003567F1">
        <w:rPr>
          <w:szCs w:val="22"/>
        </w:rPr>
        <w:t xml:space="preserve">We </w:t>
      </w:r>
      <w:r w:rsidR="000E265F" w:rsidRPr="003567F1">
        <w:rPr>
          <w:szCs w:val="22"/>
        </w:rPr>
        <w:t>also make the following clarifications</w:t>
      </w:r>
      <w:r w:rsidR="009B4CE7" w:rsidRPr="003567F1">
        <w:rPr>
          <w:szCs w:val="22"/>
        </w:rPr>
        <w:t xml:space="preserve"> </w:t>
      </w:r>
      <w:r w:rsidR="005A69D2">
        <w:rPr>
          <w:szCs w:val="22"/>
        </w:rPr>
        <w:t xml:space="preserve">and corrections </w:t>
      </w:r>
      <w:r w:rsidR="009B4CE7" w:rsidRPr="003567F1">
        <w:rPr>
          <w:szCs w:val="22"/>
        </w:rPr>
        <w:t>to the rate-of-return ICC transition and recovery rules</w:t>
      </w:r>
      <w:r w:rsidR="00377162" w:rsidRPr="003567F1">
        <w:rPr>
          <w:szCs w:val="22"/>
        </w:rPr>
        <w:t>.  First, we delete the word “</w:t>
      </w:r>
      <w:r w:rsidR="009B1FFD">
        <w:rPr>
          <w:szCs w:val="22"/>
        </w:rPr>
        <w:t>interstate</w:t>
      </w:r>
      <w:r w:rsidR="00377162" w:rsidRPr="003567F1">
        <w:rPr>
          <w:szCs w:val="22"/>
        </w:rPr>
        <w:t>” in each instance when it referred to a particular year’s target composite rate.  This change reflects</w:t>
      </w:r>
      <w:r w:rsidR="000E265F" w:rsidRPr="003567F1">
        <w:rPr>
          <w:szCs w:val="22"/>
        </w:rPr>
        <w:t xml:space="preserve"> our clarification</w:t>
      </w:r>
      <w:r w:rsidR="00377162" w:rsidRPr="003567F1">
        <w:rPr>
          <w:szCs w:val="22"/>
        </w:rPr>
        <w:t xml:space="preserve"> that there is only one target composite rate each year</w:t>
      </w:r>
      <w:r w:rsidR="00DD6600">
        <w:rPr>
          <w:szCs w:val="22"/>
        </w:rPr>
        <w:t xml:space="preserve"> starting in 2014</w:t>
      </w:r>
      <w:r w:rsidR="00377162" w:rsidRPr="003567F1">
        <w:rPr>
          <w:szCs w:val="22"/>
        </w:rPr>
        <w:t>, not separate interstate and intrastate target composite rates.</w:t>
      </w:r>
      <w:r w:rsidR="00377162" w:rsidRPr="00FC4747">
        <w:rPr>
          <w:rStyle w:val="FootnoteReference"/>
        </w:rPr>
        <w:footnoteReference w:id="34"/>
      </w:r>
      <w:r w:rsidR="00377162" w:rsidRPr="003567F1">
        <w:rPr>
          <w:szCs w:val="22"/>
        </w:rPr>
        <w:t xml:space="preserve">  </w:t>
      </w:r>
      <w:r w:rsidR="00836816" w:rsidRPr="003567F1">
        <w:rPr>
          <w:szCs w:val="22"/>
        </w:rPr>
        <w:t xml:space="preserve">Second, we </w:t>
      </w:r>
      <w:r w:rsidR="006667EE">
        <w:rPr>
          <w:szCs w:val="22"/>
        </w:rPr>
        <w:t>clarify th</w:t>
      </w:r>
      <w:r w:rsidR="00107AF9">
        <w:rPr>
          <w:szCs w:val="22"/>
        </w:rPr>
        <w:t xml:space="preserve">at </w:t>
      </w:r>
      <w:r w:rsidR="007420FB">
        <w:rPr>
          <w:szCs w:val="22"/>
        </w:rPr>
        <w:t xml:space="preserve">in calculating the target composite terminating end office access rates in 2017 and 2018, </w:t>
      </w:r>
      <w:r w:rsidR="00107AF9">
        <w:rPr>
          <w:szCs w:val="22"/>
        </w:rPr>
        <w:t>rate-of-return carriers</w:t>
      </w:r>
      <w:r w:rsidR="00AC73EC">
        <w:rPr>
          <w:szCs w:val="22"/>
        </w:rPr>
        <w:t xml:space="preserve"> </w:t>
      </w:r>
      <w:r w:rsidR="007420FB">
        <w:rPr>
          <w:szCs w:val="22"/>
        </w:rPr>
        <w:t>should</w:t>
      </w:r>
      <w:r w:rsidR="00107AF9">
        <w:rPr>
          <w:szCs w:val="22"/>
        </w:rPr>
        <w:t xml:space="preserve"> use the 2016 </w:t>
      </w:r>
      <w:r w:rsidR="0001072B">
        <w:rPr>
          <w:szCs w:val="22"/>
        </w:rPr>
        <w:t>Target Composite Termi</w:t>
      </w:r>
      <w:r w:rsidR="00320C55">
        <w:rPr>
          <w:szCs w:val="22"/>
        </w:rPr>
        <w:t>nating End Office Access</w:t>
      </w:r>
      <w:r w:rsidR="00107AF9">
        <w:rPr>
          <w:szCs w:val="22"/>
        </w:rPr>
        <w:t xml:space="preserve"> Rate </w:t>
      </w:r>
      <w:r w:rsidR="007420FB">
        <w:rPr>
          <w:szCs w:val="22"/>
        </w:rPr>
        <w:t xml:space="preserve">rather than the Terminating End Office Access Service Rate as of July 1, 2016 </w:t>
      </w:r>
      <w:r w:rsidR="00107AF9">
        <w:rPr>
          <w:szCs w:val="22"/>
        </w:rPr>
        <w:t xml:space="preserve">as the initial rate </w:t>
      </w:r>
      <w:r w:rsidR="007420FB">
        <w:rPr>
          <w:szCs w:val="22"/>
        </w:rPr>
        <w:t>to reflect the uniform transition the Commission intended rather than requiring a carrier with a very low terminating rate to have to further reduce its rates before the uniform target rate falls below its rates.</w:t>
      </w:r>
      <w:r w:rsidR="00836816" w:rsidRPr="003567F1">
        <w:rPr>
          <w:rStyle w:val="FootnoteReference"/>
          <w:sz w:val="22"/>
          <w:szCs w:val="22"/>
        </w:rPr>
        <w:footnoteReference w:id="35"/>
      </w:r>
      <w:r w:rsidR="00836816" w:rsidRPr="003567F1">
        <w:rPr>
          <w:szCs w:val="22"/>
        </w:rPr>
        <w:t xml:space="preserve"> </w:t>
      </w:r>
      <w:r w:rsidR="00836816">
        <w:rPr>
          <w:szCs w:val="22"/>
        </w:rPr>
        <w:t xml:space="preserve"> </w:t>
      </w:r>
      <w:r w:rsidR="00377162" w:rsidRPr="003567F1">
        <w:rPr>
          <w:szCs w:val="22"/>
        </w:rPr>
        <w:t>Finally, we add or delete “</w:t>
      </w:r>
      <w:r w:rsidR="00627A71" w:rsidRPr="003567F1">
        <w:rPr>
          <w:szCs w:val="22"/>
        </w:rPr>
        <w:t>interstate</w:t>
      </w:r>
      <w:r w:rsidR="00377162" w:rsidRPr="003567F1">
        <w:rPr>
          <w:szCs w:val="22"/>
        </w:rPr>
        <w:t xml:space="preserve">” or “intrastate” in </w:t>
      </w:r>
      <w:r w:rsidR="00627A71" w:rsidRPr="003567F1">
        <w:rPr>
          <w:szCs w:val="22"/>
        </w:rPr>
        <w:t>several</w:t>
      </w:r>
      <w:r w:rsidR="00377162" w:rsidRPr="003567F1">
        <w:rPr>
          <w:szCs w:val="22"/>
        </w:rPr>
        <w:t xml:space="preserve"> places to</w:t>
      </w:r>
      <w:r w:rsidR="005A69D2">
        <w:rPr>
          <w:szCs w:val="22"/>
        </w:rPr>
        <w:t xml:space="preserve"> more clearly reflect the intend</w:t>
      </w:r>
      <w:r w:rsidR="00377162" w:rsidRPr="003567F1">
        <w:rPr>
          <w:szCs w:val="22"/>
        </w:rPr>
        <w:t>ed rates.</w:t>
      </w:r>
      <w:r w:rsidR="00377162" w:rsidRPr="003567F1">
        <w:rPr>
          <w:rStyle w:val="FootnoteReference"/>
          <w:sz w:val="22"/>
          <w:szCs w:val="22"/>
        </w:rPr>
        <w:footnoteReference w:id="36"/>
      </w:r>
      <w:r w:rsidR="00377162" w:rsidRPr="003567F1">
        <w:rPr>
          <w:szCs w:val="22"/>
        </w:rPr>
        <w:t xml:space="preserve"> </w:t>
      </w:r>
    </w:p>
    <w:p w:rsidR="00BA7358" w:rsidRPr="003567F1" w:rsidRDefault="00E32857" w:rsidP="008E254E">
      <w:pPr>
        <w:pStyle w:val="ParaNum"/>
        <w:widowControl/>
        <w:rPr>
          <w:szCs w:val="22"/>
        </w:rPr>
      </w:pPr>
      <w:r w:rsidRPr="003567F1">
        <w:rPr>
          <w:i/>
          <w:szCs w:val="22"/>
        </w:rPr>
        <w:t xml:space="preserve">  </w:t>
      </w:r>
      <w:r w:rsidR="00302DA6" w:rsidRPr="003567F1">
        <w:rPr>
          <w:i/>
          <w:szCs w:val="22"/>
        </w:rPr>
        <w:t>Access Recovery Charge True-Up</w:t>
      </w:r>
      <w:r w:rsidR="00302DA6" w:rsidRPr="003567F1">
        <w:rPr>
          <w:szCs w:val="22"/>
        </w:rPr>
        <w:t xml:space="preserve">.  </w:t>
      </w:r>
      <w:r w:rsidR="00C14ADE" w:rsidRPr="003567F1">
        <w:rPr>
          <w:szCs w:val="22"/>
        </w:rPr>
        <w:t xml:space="preserve">Section </w:t>
      </w:r>
      <w:r w:rsidR="00302DA6" w:rsidRPr="003567F1">
        <w:rPr>
          <w:szCs w:val="22"/>
        </w:rPr>
        <w:t>51.917</w:t>
      </w:r>
      <w:r w:rsidR="005322CE" w:rsidRPr="003567F1">
        <w:rPr>
          <w:szCs w:val="22"/>
        </w:rPr>
        <w:t xml:space="preserve">(d) </w:t>
      </w:r>
      <w:r w:rsidR="00875BAB" w:rsidRPr="003567F1">
        <w:rPr>
          <w:szCs w:val="22"/>
        </w:rPr>
        <w:t xml:space="preserve">outlines the process for determining </w:t>
      </w:r>
      <w:r w:rsidR="004A6598" w:rsidRPr="003567F1">
        <w:rPr>
          <w:szCs w:val="22"/>
        </w:rPr>
        <w:t>E</w:t>
      </w:r>
      <w:r w:rsidR="00C14ADE" w:rsidRPr="003567F1">
        <w:rPr>
          <w:szCs w:val="22"/>
        </w:rPr>
        <w:t xml:space="preserve">ligible Recovery for rate-of-return carriers.  </w:t>
      </w:r>
      <w:r w:rsidR="004A6598" w:rsidRPr="003567F1">
        <w:rPr>
          <w:szCs w:val="22"/>
        </w:rPr>
        <w:t>The Eligible Recovery calculation set forth in</w:t>
      </w:r>
      <w:r w:rsidR="005322CE" w:rsidRPr="003567F1">
        <w:rPr>
          <w:szCs w:val="22"/>
        </w:rPr>
        <w:t xml:space="preserve"> section 51.917(d)(1)</w:t>
      </w:r>
      <w:r w:rsidR="004A6598" w:rsidRPr="003567F1">
        <w:rPr>
          <w:szCs w:val="22"/>
        </w:rPr>
        <w:t>(iii)(D)</w:t>
      </w:r>
      <w:r w:rsidR="00997C1C" w:rsidRPr="003567F1">
        <w:rPr>
          <w:szCs w:val="22"/>
        </w:rPr>
        <w:t xml:space="preserve"> </w:t>
      </w:r>
      <w:r w:rsidR="00DB578B" w:rsidRPr="003567F1">
        <w:rPr>
          <w:szCs w:val="22"/>
        </w:rPr>
        <w:t>requires rate-of-return carrie</w:t>
      </w:r>
      <w:r w:rsidR="00875BAB" w:rsidRPr="003567F1">
        <w:rPr>
          <w:szCs w:val="22"/>
        </w:rPr>
        <w:t>r</w:t>
      </w:r>
      <w:r w:rsidR="00DB578B" w:rsidRPr="003567F1">
        <w:rPr>
          <w:szCs w:val="22"/>
        </w:rPr>
        <w:t xml:space="preserve">s to, among other things, </w:t>
      </w:r>
      <w:r w:rsidR="004B6EA3">
        <w:rPr>
          <w:szCs w:val="22"/>
        </w:rPr>
        <w:t xml:space="preserve">subtract from </w:t>
      </w:r>
      <w:r w:rsidR="00DB578B" w:rsidRPr="003567F1">
        <w:rPr>
          <w:szCs w:val="22"/>
        </w:rPr>
        <w:t xml:space="preserve">their </w:t>
      </w:r>
      <w:r w:rsidR="00351D5A" w:rsidRPr="003567F1">
        <w:rPr>
          <w:szCs w:val="22"/>
        </w:rPr>
        <w:t>Base Period Revenues</w:t>
      </w:r>
      <w:r w:rsidR="004B6EA3">
        <w:rPr>
          <w:szCs w:val="22"/>
        </w:rPr>
        <w:t xml:space="preserve"> (as reduced by multiplying these revenues </w:t>
      </w:r>
      <w:r w:rsidR="004B6EA3" w:rsidRPr="00066F52">
        <w:rPr>
          <w:szCs w:val="22"/>
        </w:rPr>
        <w:t>by the</w:t>
      </w:r>
      <w:r w:rsidR="004B6EA3" w:rsidRPr="007C2A60">
        <w:rPr>
          <w:szCs w:val="22"/>
        </w:rPr>
        <w:t xml:space="preserve"> </w:t>
      </w:r>
      <w:r w:rsidR="004B6EA3">
        <w:rPr>
          <w:szCs w:val="22"/>
        </w:rPr>
        <w:t xml:space="preserve">Rate-of-Return Carrier </w:t>
      </w:r>
      <w:r w:rsidR="004B6EA3" w:rsidRPr="007C2A60">
        <w:rPr>
          <w:szCs w:val="22"/>
        </w:rPr>
        <w:t>Baseline Adjustment Factor</w:t>
      </w:r>
      <w:r w:rsidR="004B6EA3">
        <w:rPr>
          <w:szCs w:val="22"/>
        </w:rPr>
        <w:t>)</w:t>
      </w:r>
      <w:r w:rsidR="004B6EA3" w:rsidRPr="007C2A60">
        <w:rPr>
          <w:szCs w:val="22"/>
        </w:rPr>
        <w:t xml:space="preserve"> </w:t>
      </w:r>
      <w:r w:rsidR="00DB578B" w:rsidRPr="003567F1">
        <w:rPr>
          <w:szCs w:val="22"/>
        </w:rPr>
        <w:t>“</w:t>
      </w:r>
      <w:r w:rsidR="00510506" w:rsidRPr="003567F1">
        <w:rPr>
          <w:szCs w:val="22"/>
        </w:rPr>
        <w:t>a</w:t>
      </w:r>
      <w:r w:rsidR="00DB578B" w:rsidRPr="003567F1">
        <w:rPr>
          <w:szCs w:val="22"/>
        </w:rPr>
        <w:t xml:space="preserve">n amount equal to </w:t>
      </w:r>
      <w:r w:rsidR="00351D5A" w:rsidRPr="003567F1">
        <w:rPr>
          <w:szCs w:val="22"/>
        </w:rPr>
        <w:t>True-up Revenues for Access Recovery Charges for the year beginning July 1, 2012.</w:t>
      </w:r>
      <w:r w:rsidR="00DB578B" w:rsidRPr="003567F1">
        <w:rPr>
          <w:szCs w:val="22"/>
        </w:rPr>
        <w:t>”</w:t>
      </w:r>
      <w:r w:rsidR="00DB578B" w:rsidRPr="003567F1">
        <w:rPr>
          <w:rStyle w:val="FootnoteReference"/>
          <w:sz w:val="22"/>
          <w:szCs w:val="22"/>
        </w:rPr>
        <w:footnoteReference w:id="37"/>
      </w:r>
      <w:r w:rsidR="00046CC1" w:rsidRPr="003567F1">
        <w:rPr>
          <w:szCs w:val="22"/>
        </w:rPr>
        <w:t xml:space="preserve">  </w:t>
      </w:r>
      <w:r w:rsidR="00351D5A" w:rsidRPr="003567F1">
        <w:rPr>
          <w:szCs w:val="22"/>
        </w:rPr>
        <w:t xml:space="preserve">In the </w:t>
      </w:r>
      <w:r w:rsidR="00351D5A" w:rsidRPr="003567F1">
        <w:rPr>
          <w:i/>
          <w:szCs w:val="22"/>
        </w:rPr>
        <w:t>2013 ICC Clarification Order</w:t>
      </w:r>
      <w:r w:rsidR="00351D5A" w:rsidRPr="003567F1">
        <w:rPr>
          <w:szCs w:val="22"/>
        </w:rPr>
        <w:t>, we</w:t>
      </w:r>
      <w:r w:rsidR="00583F8C" w:rsidRPr="003567F1">
        <w:rPr>
          <w:szCs w:val="22"/>
        </w:rPr>
        <w:t xml:space="preserve"> </w:t>
      </w:r>
      <w:r w:rsidR="00351D5A" w:rsidRPr="003567F1">
        <w:rPr>
          <w:szCs w:val="22"/>
        </w:rPr>
        <w:t>substituted a defined term for the previous calculation of the ARC true-up.</w:t>
      </w:r>
      <w:r w:rsidR="00583F8C" w:rsidRPr="003567F1">
        <w:rPr>
          <w:rStyle w:val="FootnoteReference"/>
          <w:sz w:val="22"/>
          <w:szCs w:val="22"/>
        </w:rPr>
        <w:footnoteReference w:id="38"/>
      </w:r>
      <w:r w:rsidR="00351D5A" w:rsidRPr="003567F1">
        <w:rPr>
          <w:szCs w:val="22"/>
        </w:rPr>
        <w:t xml:space="preserve">  This </w:t>
      </w:r>
      <w:r w:rsidR="000E265F" w:rsidRPr="003567F1">
        <w:rPr>
          <w:szCs w:val="22"/>
        </w:rPr>
        <w:t xml:space="preserve">substitution </w:t>
      </w:r>
      <w:r w:rsidR="00351D5A" w:rsidRPr="003567F1">
        <w:rPr>
          <w:szCs w:val="22"/>
        </w:rPr>
        <w:t xml:space="preserve">resulted in </w:t>
      </w:r>
      <w:r w:rsidR="0000230C">
        <w:rPr>
          <w:szCs w:val="22"/>
        </w:rPr>
        <w:t xml:space="preserve">inadvertently </w:t>
      </w:r>
      <w:r w:rsidR="00B336F9" w:rsidRPr="003567F1">
        <w:rPr>
          <w:szCs w:val="22"/>
        </w:rPr>
        <w:t xml:space="preserve">reversing the order of the calculation, which would have the effect of reducing Eligible Recovery when it should have been increased, or vice versa.  </w:t>
      </w:r>
      <w:r w:rsidR="009B4CE7" w:rsidRPr="003567F1">
        <w:rPr>
          <w:szCs w:val="22"/>
        </w:rPr>
        <w:t>To correct this error in the rule language, we add</w:t>
      </w:r>
      <w:r w:rsidR="00046CC1" w:rsidRPr="003567F1">
        <w:rPr>
          <w:szCs w:val="22"/>
        </w:rPr>
        <w:t xml:space="preserve"> the clause “multiplied by negative one” </w:t>
      </w:r>
      <w:r w:rsidR="00B336F9" w:rsidRPr="003567F1">
        <w:rPr>
          <w:szCs w:val="22"/>
        </w:rPr>
        <w:t>to the rule language</w:t>
      </w:r>
      <w:r w:rsidR="009B4CE7" w:rsidRPr="003567F1">
        <w:rPr>
          <w:szCs w:val="22"/>
        </w:rPr>
        <w:t xml:space="preserve"> in order to have the calculation described in the rule produce the intended result</w:t>
      </w:r>
      <w:r w:rsidR="00553718" w:rsidRPr="003567F1">
        <w:rPr>
          <w:szCs w:val="22"/>
        </w:rPr>
        <w:t>.</w:t>
      </w:r>
      <w:r w:rsidR="00553718" w:rsidRPr="003567F1">
        <w:rPr>
          <w:rStyle w:val="FootnoteReference"/>
          <w:sz w:val="22"/>
          <w:szCs w:val="22"/>
        </w:rPr>
        <w:footnoteReference w:id="39"/>
      </w:r>
    </w:p>
    <w:p w:rsidR="00BA7358" w:rsidRDefault="00B336F9" w:rsidP="008E254E">
      <w:pPr>
        <w:pStyle w:val="ParaNum"/>
        <w:widowControl/>
        <w:rPr>
          <w:szCs w:val="22"/>
        </w:rPr>
      </w:pPr>
      <w:r w:rsidRPr="003567F1">
        <w:rPr>
          <w:szCs w:val="22"/>
        </w:rPr>
        <w:t xml:space="preserve"> </w:t>
      </w:r>
      <w:r w:rsidR="00BA7358" w:rsidRPr="003567F1">
        <w:rPr>
          <w:i/>
          <w:szCs w:val="22"/>
        </w:rPr>
        <w:t>True-Up of Regulatory Fees</w:t>
      </w:r>
      <w:r w:rsidR="00BA7358" w:rsidRPr="003567F1">
        <w:rPr>
          <w:szCs w:val="22"/>
        </w:rPr>
        <w:t xml:space="preserve">.  For rate-of-return carriers, telecommunications relay services (TRS) fees, regulatory fees, and North American Numbering Plan administration (NANPA) fees were historically recovered, in part, through interstate switched access rates.  When the Commission adopted a cap on interstate switched access rate elements in the </w:t>
      </w:r>
      <w:r w:rsidR="00BA7358" w:rsidRPr="003567F1">
        <w:rPr>
          <w:i/>
          <w:szCs w:val="22"/>
        </w:rPr>
        <w:t>USF/ICC Transformation Order</w:t>
      </w:r>
      <w:r w:rsidR="00BA7358" w:rsidRPr="003567F1">
        <w:rPr>
          <w:szCs w:val="22"/>
        </w:rPr>
        <w:t>, it did not address how carriers should recover any increases in these regulatory fees, or reflect any reductions in such fees in future years.  In 2012, we clarified that increases in these regulatory fees that would have been assigned to capped interstate switched access services could be recovered through subscriber line charges (SLC) and/or Eligible Recovery under certain conditions.</w:t>
      </w:r>
      <w:r w:rsidR="00BA7358" w:rsidRPr="003567F1">
        <w:rPr>
          <w:rStyle w:val="FootnoteReference"/>
          <w:sz w:val="22"/>
          <w:szCs w:val="22"/>
        </w:rPr>
        <w:footnoteReference w:id="40"/>
      </w:r>
      <w:r w:rsidR="00BA7358" w:rsidRPr="003567F1">
        <w:rPr>
          <w:szCs w:val="22"/>
        </w:rPr>
        <w:t xml:space="preserve">  We have been asked informally whether any regulatory fees recovered pursuant to this methodology in the 2012-13 tariff period are to be trued-up in the calculation of 2014-15 Eligible Recovery.</w:t>
      </w:r>
      <w:r w:rsidR="00C5492A">
        <w:rPr>
          <w:szCs w:val="22"/>
        </w:rPr>
        <w:t xml:space="preserve">  </w:t>
      </w:r>
      <w:r w:rsidR="00EC058F">
        <w:rPr>
          <w:szCs w:val="22"/>
        </w:rPr>
        <w:t xml:space="preserve">Regulatory fees are based on projected amounts just as </w:t>
      </w:r>
      <w:r w:rsidR="00AA2666">
        <w:rPr>
          <w:szCs w:val="22"/>
        </w:rPr>
        <w:t>is going-forward, tariff-year demand for</w:t>
      </w:r>
      <w:r w:rsidR="00EC058F">
        <w:rPr>
          <w:szCs w:val="22"/>
        </w:rPr>
        <w:t xml:space="preserve"> </w:t>
      </w:r>
      <w:r w:rsidR="00B15DC7">
        <w:rPr>
          <w:szCs w:val="22"/>
        </w:rPr>
        <w:t xml:space="preserve">rate </w:t>
      </w:r>
      <w:r w:rsidR="00AA2666">
        <w:rPr>
          <w:szCs w:val="22"/>
        </w:rPr>
        <w:t>elements</w:t>
      </w:r>
      <w:r w:rsidR="00B15DC7">
        <w:rPr>
          <w:szCs w:val="22"/>
        </w:rPr>
        <w:t xml:space="preserve"> in </w:t>
      </w:r>
      <w:r w:rsidR="00EC058F">
        <w:rPr>
          <w:szCs w:val="22"/>
        </w:rPr>
        <w:t xml:space="preserve">the calculation of a carrier’s Eligible Recovery.  Given the projected nature of these items, similar treatment in the true-up process is warranted.  </w:t>
      </w:r>
      <w:r w:rsidR="008D44BF">
        <w:rPr>
          <w:szCs w:val="22"/>
        </w:rPr>
        <w:t>W</w:t>
      </w:r>
      <w:r w:rsidR="00BA7358" w:rsidRPr="003567F1">
        <w:rPr>
          <w:szCs w:val="22"/>
        </w:rPr>
        <w:t xml:space="preserve">e clarify that </w:t>
      </w:r>
      <w:r w:rsidR="008D44BF">
        <w:rPr>
          <w:szCs w:val="22"/>
        </w:rPr>
        <w:t xml:space="preserve">if a </w:t>
      </w:r>
      <w:r w:rsidR="00BA7358" w:rsidRPr="003567F1">
        <w:rPr>
          <w:szCs w:val="22"/>
        </w:rPr>
        <w:t xml:space="preserve">rate-of-return carrier </w:t>
      </w:r>
      <w:r w:rsidR="008D44BF">
        <w:rPr>
          <w:szCs w:val="22"/>
        </w:rPr>
        <w:t xml:space="preserve">included an amount for these fees in its Eligible Recovery calculation in any year, it </w:t>
      </w:r>
      <w:r w:rsidR="00BA7358" w:rsidRPr="003567F1">
        <w:rPr>
          <w:szCs w:val="22"/>
        </w:rPr>
        <w:t>should reflect the amounts of</w:t>
      </w:r>
      <w:r w:rsidR="00D44446">
        <w:rPr>
          <w:szCs w:val="22"/>
        </w:rPr>
        <w:t xml:space="preserve"> any</w:t>
      </w:r>
      <w:r w:rsidR="00BA7358" w:rsidRPr="003567F1">
        <w:rPr>
          <w:szCs w:val="22"/>
        </w:rPr>
        <w:t xml:space="preserve"> true-ups for the referenced regulatory fees as increases in, or reductions to, Eligible Recovery calculations on the same </w:t>
      </w:r>
      <w:r w:rsidR="009330EF">
        <w:rPr>
          <w:szCs w:val="22"/>
        </w:rPr>
        <w:t xml:space="preserve">schedule that ARCs are trued-up -- </w:t>
      </w:r>
      <w:r w:rsidR="00BA7358" w:rsidRPr="003567F1">
        <w:rPr>
          <w:i/>
          <w:szCs w:val="22"/>
        </w:rPr>
        <w:t>i.e</w:t>
      </w:r>
      <w:r w:rsidR="00BA7358" w:rsidRPr="003567F1">
        <w:rPr>
          <w:szCs w:val="22"/>
        </w:rPr>
        <w:t xml:space="preserve">., two years following their initial inclusion. </w:t>
      </w:r>
    </w:p>
    <w:p w:rsidR="00C90089" w:rsidRDefault="00C90089" w:rsidP="008E254E">
      <w:pPr>
        <w:pStyle w:val="ParaNum"/>
        <w:widowControl/>
      </w:pPr>
      <w:r>
        <w:rPr>
          <w:i/>
        </w:rPr>
        <w:t>Duplicative Recovery</w:t>
      </w:r>
      <w:r>
        <w:t>.  Sections 51.915(d)(1)(viii)(2) and 51.917(d)(1)(vii)</w:t>
      </w:r>
      <w:r w:rsidR="00510770">
        <w:t xml:space="preserve"> prohibit price cap and rate-of</w:t>
      </w:r>
      <w:r>
        <w:t>-return carriers, respectively, from duplicative recovery.  Specifically, the rules provide that if a carrier “recovers any costs or revenues that are already being recovered as Eligible Recovery through Access Recovery Charges or the Connect America Fund from another source, that carrier’s ability to recover reduced switched access revenue from Access Recovery Charges or the Connect America Fund shall be reduced to the extent it receives duplicative recovery.”</w:t>
      </w:r>
      <w:r>
        <w:rPr>
          <w:rStyle w:val="FootnoteReference"/>
        </w:rPr>
        <w:footnoteReference w:id="41"/>
      </w:r>
      <w:r>
        <w:t xml:space="preserve">  The rules do not, however, specify how Eligible Recovery should be adjusted to reflect any duplicative recovery, and carriers have informally inquired about how such adjustments should be made.  We address this omission by revising the rules as set forth in the Appendix to provide that any duplicative recovery shall be reflected through reductions to the carrier’s Eligible Recovery in its annual tariff supporting materials.  </w:t>
      </w:r>
      <w:r w:rsidR="00516EFA">
        <w:t>This approach</w:t>
      </w:r>
      <w:r w:rsidR="00074573">
        <w:t xml:space="preserve"> to addressing duplicative recovery is appropriate because it is carrier-specific and narrowly tailored to </w:t>
      </w:r>
      <w:r w:rsidR="00831455">
        <w:t>result in</w:t>
      </w:r>
      <w:r w:rsidR="00074573">
        <w:t xml:space="preserve"> necessary Eligible Recovery reductions in specific years.</w:t>
      </w:r>
    </w:p>
    <w:p w:rsidR="00A1371E" w:rsidRPr="003567F1" w:rsidRDefault="00E32857" w:rsidP="008E254E">
      <w:pPr>
        <w:pStyle w:val="ParaNum"/>
        <w:widowControl/>
        <w:rPr>
          <w:szCs w:val="22"/>
        </w:rPr>
      </w:pPr>
      <w:r w:rsidRPr="003567F1">
        <w:rPr>
          <w:i/>
          <w:szCs w:val="22"/>
        </w:rPr>
        <w:t xml:space="preserve">  </w:t>
      </w:r>
      <w:r w:rsidR="008030D1" w:rsidRPr="003567F1">
        <w:rPr>
          <w:i/>
          <w:szCs w:val="22"/>
        </w:rPr>
        <w:t>Sing</w:t>
      </w:r>
      <w:r w:rsidR="007E262A">
        <w:rPr>
          <w:i/>
          <w:szCs w:val="22"/>
        </w:rPr>
        <w:t>le Per-Minute Rate Element for T</w:t>
      </w:r>
      <w:r w:rsidR="008030D1" w:rsidRPr="003567F1">
        <w:rPr>
          <w:i/>
          <w:szCs w:val="22"/>
        </w:rPr>
        <w:t>erminating End Office Access Service</w:t>
      </w:r>
      <w:r w:rsidR="008030D1" w:rsidRPr="003567F1">
        <w:rPr>
          <w:szCs w:val="22"/>
        </w:rPr>
        <w:t>.</w:t>
      </w:r>
      <w:r w:rsidR="008030D1" w:rsidRPr="003567F1">
        <w:rPr>
          <w:i/>
          <w:szCs w:val="22"/>
        </w:rPr>
        <w:t xml:space="preserve">  </w:t>
      </w:r>
      <w:r w:rsidR="009B1FFD">
        <w:rPr>
          <w:szCs w:val="22"/>
        </w:rPr>
        <w:t xml:space="preserve">Beginning in 2014, the </w:t>
      </w:r>
      <w:r w:rsidR="00553718" w:rsidRPr="003567F1">
        <w:rPr>
          <w:szCs w:val="22"/>
        </w:rPr>
        <w:t xml:space="preserve">ICC transition rules permit </w:t>
      </w:r>
      <w:r w:rsidR="00A1371E" w:rsidRPr="003567F1">
        <w:rPr>
          <w:szCs w:val="22"/>
        </w:rPr>
        <w:t>both price cap and rate-of-return carriers</w:t>
      </w:r>
      <w:r w:rsidR="009B1FFD">
        <w:rPr>
          <w:szCs w:val="22"/>
        </w:rPr>
        <w:t>, under certain conditions,</w:t>
      </w:r>
      <w:r w:rsidR="00A1371E" w:rsidRPr="003567F1">
        <w:rPr>
          <w:szCs w:val="22"/>
        </w:rPr>
        <w:t xml:space="preserve"> </w:t>
      </w:r>
      <w:r w:rsidR="00553718" w:rsidRPr="003567F1">
        <w:rPr>
          <w:szCs w:val="22"/>
        </w:rPr>
        <w:t xml:space="preserve">to </w:t>
      </w:r>
      <w:r w:rsidR="00A1371E" w:rsidRPr="003567F1">
        <w:rPr>
          <w:szCs w:val="22"/>
        </w:rPr>
        <w:t xml:space="preserve">elect to implement a single per-minute rate element for Terminating End Office Access Service </w:t>
      </w:r>
      <w:r w:rsidR="00886C2A" w:rsidRPr="003567F1">
        <w:rPr>
          <w:szCs w:val="22"/>
        </w:rPr>
        <w:t xml:space="preserve">that is </w:t>
      </w:r>
      <w:r w:rsidR="00A1371E" w:rsidRPr="003567F1">
        <w:rPr>
          <w:szCs w:val="22"/>
        </w:rPr>
        <w:t>no greater than the Target Composite Terminating End Office Access rate for the respective year.</w:t>
      </w:r>
      <w:r w:rsidR="00A1371E" w:rsidRPr="003567F1">
        <w:rPr>
          <w:rStyle w:val="FootnoteReference"/>
          <w:sz w:val="22"/>
          <w:szCs w:val="22"/>
        </w:rPr>
        <w:footnoteReference w:id="42"/>
      </w:r>
      <w:r w:rsidR="00A1371E" w:rsidRPr="003567F1">
        <w:rPr>
          <w:szCs w:val="22"/>
        </w:rPr>
        <w:t xml:space="preserve">  </w:t>
      </w:r>
      <w:r w:rsidR="00003E33">
        <w:rPr>
          <w:szCs w:val="22"/>
        </w:rPr>
        <w:t xml:space="preserve">Beginning on July 1, 2014, many carriers will begin to assess rates for several terminating end office rate elements, one of which will be a local switching charge assessed on all terminating minutes of use.  </w:t>
      </w:r>
      <w:r w:rsidR="00A1371E" w:rsidRPr="003567F1">
        <w:rPr>
          <w:szCs w:val="22"/>
        </w:rPr>
        <w:t xml:space="preserve">Several carriers have informally asked whether, if they </w:t>
      </w:r>
      <w:r w:rsidR="00003E33">
        <w:rPr>
          <w:szCs w:val="22"/>
        </w:rPr>
        <w:t>assess</w:t>
      </w:r>
      <w:r w:rsidR="00A1371E" w:rsidRPr="003567F1">
        <w:rPr>
          <w:szCs w:val="22"/>
        </w:rPr>
        <w:t xml:space="preserve"> the </w:t>
      </w:r>
      <w:r w:rsidR="00553718" w:rsidRPr="003567F1">
        <w:rPr>
          <w:szCs w:val="22"/>
        </w:rPr>
        <w:t xml:space="preserve">single </w:t>
      </w:r>
      <w:r w:rsidR="00A1371E" w:rsidRPr="003567F1">
        <w:rPr>
          <w:szCs w:val="22"/>
        </w:rPr>
        <w:t>composite rate</w:t>
      </w:r>
      <w:r w:rsidR="00003E33">
        <w:rPr>
          <w:szCs w:val="22"/>
        </w:rPr>
        <w:t xml:space="preserve">, which would be assessed on all terminating end office traffic, they can tariff it </w:t>
      </w:r>
      <w:r w:rsidR="00A1371E" w:rsidRPr="003567F1">
        <w:rPr>
          <w:szCs w:val="22"/>
        </w:rPr>
        <w:t xml:space="preserve">as </w:t>
      </w:r>
      <w:r w:rsidR="00553718" w:rsidRPr="003567F1">
        <w:rPr>
          <w:szCs w:val="22"/>
        </w:rPr>
        <w:t xml:space="preserve">a </w:t>
      </w:r>
      <w:r w:rsidR="00A1371E" w:rsidRPr="003567F1">
        <w:rPr>
          <w:szCs w:val="22"/>
        </w:rPr>
        <w:t xml:space="preserve">terminating switched access </w:t>
      </w:r>
      <w:r w:rsidR="00553718" w:rsidRPr="003567F1">
        <w:rPr>
          <w:szCs w:val="22"/>
        </w:rPr>
        <w:t xml:space="preserve">rate </w:t>
      </w:r>
      <w:r w:rsidR="00A1371E" w:rsidRPr="003567F1">
        <w:rPr>
          <w:szCs w:val="22"/>
        </w:rPr>
        <w:t>to avoid the expenses associated with revising their billing systems to create a new rate element.</w:t>
      </w:r>
      <w:r w:rsidR="00553718" w:rsidRPr="003567F1">
        <w:rPr>
          <w:szCs w:val="22"/>
        </w:rPr>
        <w:t xml:space="preserve">  We believe that this approach implements the reforms adopted in the </w:t>
      </w:r>
      <w:r w:rsidR="00C2065D" w:rsidRPr="003567F1">
        <w:rPr>
          <w:i/>
          <w:szCs w:val="22"/>
        </w:rPr>
        <w:t xml:space="preserve">USF/ICC </w:t>
      </w:r>
      <w:r w:rsidR="00553718" w:rsidRPr="003567F1">
        <w:rPr>
          <w:i/>
          <w:szCs w:val="22"/>
        </w:rPr>
        <w:t>Transformation Order</w:t>
      </w:r>
      <w:r w:rsidR="00553718" w:rsidRPr="003567F1">
        <w:rPr>
          <w:szCs w:val="22"/>
        </w:rPr>
        <w:t xml:space="preserve"> in a manner that would reduce implementation costs and burdens</w:t>
      </w:r>
      <w:r w:rsidR="00A1371E" w:rsidRPr="003567F1">
        <w:rPr>
          <w:szCs w:val="22"/>
        </w:rPr>
        <w:t xml:space="preserve"> </w:t>
      </w:r>
      <w:r w:rsidR="00DE4E9F" w:rsidRPr="003567F1">
        <w:rPr>
          <w:szCs w:val="22"/>
        </w:rPr>
        <w:t>without any offsetting negative concerns.</w:t>
      </w:r>
      <w:r w:rsidR="006D21E6">
        <w:rPr>
          <w:rStyle w:val="FootnoteReference"/>
          <w:szCs w:val="22"/>
        </w:rPr>
        <w:footnoteReference w:id="43"/>
      </w:r>
      <w:r w:rsidR="00DE4E9F" w:rsidRPr="003567F1">
        <w:rPr>
          <w:szCs w:val="22"/>
        </w:rPr>
        <w:t xml:space="preserve">  We </w:t>
      </w:r>
      <w:r w:rsidR="00D23196">
        <w:rPr>
          <w:szCs w:val="22"/>
        </w:rPr>
        <w:t>thus</w:t>
      </w:r>
      <w:r w:rsidR="00D23196" w:rsidRPr="003567F1">
        <w:rPr>
          <w:szCs w:val="22"/>
        </w:rPr>
        <w:t xml:space="preserve"> </w:t>
      </w:r>
      <w:r w:rsidR="00DE4E9F" w:rsidRPr="003567F1">
        <w:rPr>
          <w:szCs w:val="22"/>
        </w:rPr>
        <w:t xml:space="preserve">clarify that both price cap and rate-of-return carriers may </w:t>
      </w:r>
      <w:r w:rsidR="00340D55">
        <w:rPr>
          <w:szCs w:val="22"/>
        </w:rPr>
        <w:t>tariff the sing</w:t>
      </w:r>
      <w:r w:rsidR="00003E33">
        <w:rPr>
          <w:szCs w:val="22"/>
        </w:rPr>
        <w:t>le composite rate as a</w:t>
      </w:r>
      <w:r w:rsidR="00340D55">
        <w:rPr>
          <w:szCs w:val="22"/>
        </w:rPr>
        <w:t xml:space="preserve"> terminating </w:t>
      </w:r>
      <w:r w:rsidR="00003E33">
        <w:rPr>
          <w:szCs w:val="22"/>
        </w:rPr>
        <w:t>local switching</w:t>
      </w:r>
      <w:r w:rsidR="00340D55">
        <w:rPr>
          <w:szCs w:val="22"/>
        </w:rPr>
        <w:t xml:space="preserve"> access rate, consistent with the ICC transition, </w:t>
      </w:r>
      <w:r w:rsidR="00DE4E9F" w:rsidRPr="003567F1">
        <w:rPr>
          <w:szCs w:val="22"/>
        </w:rPr>
        <w:t>as long as all other rate elements associated with termin</w:t>
      </w:r>
      <w:r w:rsidR="00886C2A" w:rsidRPr="003567F1">
        <w:rPr>
          <w:szCs w:val="22"/>
        </w:rPr>
        <w:t>ating end office access service</w:t>
      </w:r>
      <w:r w:rsidR="00DE4E9F" w:rsidRPr="003567F1">
        <w:rPr>
          <w:szCs w:val="22"/>
        </w:rPr>
        <w:t xml:space="preserve"> are reduced to zero.</w:t>
      </w:r>
      <w:r w:rsidR="008D44BF">
        <w:rPr>
          <w:rStyle w:val="FootnoteReference"/>
          <w:szCs w:val="22"/>
        </w:rPr>
        <w:footnoteReference w:id="44"/>
      </w:r>
      <w:r w:rsidR="00DE4E9F" w:rsidRPr="003567F1">
        <w:rPr>
          <w:szCs w:val="22"/>
        </w:rPr>
        <w:t xml:space="preserve">  </w:t>
      </w:r>
      <w:r w:rsidR="00003E33">
        <w:rPr>
          <w:szCs w:val="22"/>
        </w:rPr>
        <w:t xml:space="preserve">If its </w:t>
      </w:r>
      <w:r w:rsidR="00D23196">
        <w:rPr>
          <w:szCs w:val="22"/>
        </w:rPr>
        <w:t xml:space="preserve">Target Composite Terminating End Office Access Rate </w:t>
      </w:r>
      <w:r w:rsidR="00D23196" w:rsidRPr="003567F1">
        <w:rPr>
          <w:szCs w:val="22"/>
        </w:rPr>
        <w:t xml:space="preserve">is higher than the terminating local switching rate </w:t>
      </w:r>
      <w:r w:rsidR="00D23196">
        <w:rPr>
          <w:szCs w:val="22"/>
        </w:rPr>
        <w:t xml:space="preserve">such carrier </w:t>
      </w:r>
      <w:r w:rsidR="00D23196" w:rsidRPr="003567F1">
        <w:rPr>
          <w:szCs w:val="22"/>
        </w:rPr>
        <w:t>tariffed the previous year</w:t>
      </w:r>
      <w:r w:rsidR="00D23196">
        <w:rPr>
          <w:szCs w:val="22"/>
        </w:rPr>
        <w:t xml:space="preserve"> that will not constitute </w:t>
      </w:r>
      <w:r w:rsidR="00DE4E9F" w:rsidRPr="003567F1">
        <w:rPr>
          <w:szCs w:val="22"/>
        </w:rPr>
        <w:t>an impermissible rate increase</w:t>
      </w:r>
      <w:r w:rsidR="00D23196">
        <w:rPr>
          <w:szCs w:val="22"/>
        </w:rPr>
        <w:t>.</w:t>
      </w:r>
    </w:p>
    <w:p w:rsidR="00C77019" w:rsidRDefault="00E32857" w:rsidP="008E254E">
      <w:pPr>
        <w:pStyle w:val="ParaNum"/>
        <w:widowControl/>
        <w:rPr>
          <w:szCs w:val="22"/>
        </w:rPr>
      </w:pPr>
      <w:r w:rsidRPr="003567F1">
        <w:rPr>
          <w:i/>
          <w:szCs w:val="22"/>
        </w:rPr>
        <w:t xml:space="preserve">  </w:t>
      </w:r>
      <w:r w:rsidR="00625FBE" w:rsidRPr="003567F1">
        <w:rPr>
          <w:i/>
          <w:szCs w:val="22"/>
        </w:rPr>
        <w:t>Revenue True-Ups</w:t>
      </w:r>
      <w:r w:rsidR="00C5492A">
        <w:rPr>
          <w:szCs w:val="22"/>
        </w:rPr>
        <w:t>.</w:t>
      </w:r>
      <w:r w:rsidR="00625FBE" w:rsidRPr="003567F1">
        <w:rPr>
          <w:szCs w:val="22"/>
        </w:rPr>
        <w:t xml:space="preserve"> </w:t>
      </w:r>
      <w:r w:rsidR="00C77019" w:rsidRPr="003567F1">
        <w:rPr>
          <w:szCs w:val="22"/>
        </w:rPr>
        <w:t xml:space="preserve"> </w:t>
      </w:r>
      <w:r w:rsidR="00705331">
        <w:rPr>
          <w:szCs w:val="22"/>
        </w:rPr>
        <w:t>Carriers are required this year to begin making true-ups to certain revenue amounts projected in 2012 to reflect differences between projected and actual demand.</w:t>
      </w:r>
      <w:r w:rsidR="00705331">
        <w:rPr>
          <w:rStyle w:val="FootnoteReference"/>
          <w:color w:val="000000"/>
          <w:szCs w:val="22"/>
        </w:rPr>
        <w:footnoteReference w:id="45"/>
      </w:r>
      <w:r w:rsidR="00705331">
        <w:rPr>
          <w:szCs w:val="22"/>
        </w:rPr>
        <w:t xml:space="preserve">  To measure actual demand for purposes of making the true-up calculation, carriers will need to establish a cutoff date for f</w:t>
      </w:r>
      <w:r w:rsidR="00C5492A">
        <w:rPr>
          <w:szCs w:val="22"/>
        </w:rPr>
        <w:t xml:space="preserve">inalizing the measured demand. </w:t>
      </w:r>
      <w:r w:rsidR="00705331">
        <w:rPr>
          <w:szCs w:val="22"/>
        </w:rPr>
        <w:t xml:space="preserve"> </w:t>
      </w:r>
      <w:r w:rsidR="00705331" w:rsidRPr="00BA00BB">
        <w:rPr>
          <w:szCs w:val="22"/>
        </w:rPr>
        <w:t>Sections 51.917(d)(1)(v) and (vi) direct rate-of-return carriers who receive ARC or other revenues after the period used to measure the adjustments to reflect the differences between estimated and actual revenues, to treat such payments as actual revenue in the year the payment is received, and to reflect this as an additional adjustment for that year.</w:t>
      </w:r>
      <w:r w:rsidR="00705331" w:rsidRPr="003567F1">
        <w:rPr>
          <w:rStyle w:val="FootnoteReference"/>
          <w:color w:val="000000"/>
          <w:sz w:val="22"/>
          <w:szCs w:val="22"/>
        </w:rPr>
        <w:footnoteReference w:id="46"/>
      </w:r>
      <w:r w:rsidR="00705331" w:rsidRPr="00BA00BB">
        <w:rPr>
          <w:szCs w:val="22"/>
        </w:rPr>
        <w:t xml:space="preserve">  This requi</w:t>
      </w:r>
      <w:r w:rsidR="00705331">
        <w:rPr>
          <w:szCs w:val="22"/>
        </w:rPr>
        <w:t>r</w:t>
      </w:r>
      <w:r w:rsidR="00705331" w:rsidRPr="00BA00BB">
        <w:rPr>
          <w:szCs w:val="22"/>
        </w:rPr>
        <w:t>ement addresses the potential that carriers could affect the true-up calculation by shifting the timing of the collection of revenues absent a requiremen</w:t>
      </w:r>
      <w:r w:rsidR="00705331">
        <w:rPr>
          <w:szCs w:val="22"/>
        </w:rPr>
        <w:t>t</w:t>
      </w:r>
      <w:r w:rsidR="00705331" w:rsidRPr="00BA00BB">
        <w:rPr>
          <w:szCs w:val="22"/>
        </w:rPr>
        <w:t xml:space="preserve"> that later collections will need to be recognized</w:t>
      </w:r>
      <w:r w:rsidR="00705331">
        <w:rPr>
          <w:szCs w:val="22"/>
        </w:rPr>
        <w:t xml:space="preserve"> in subsequent filings</w:t>
      </w:r>
      <w:r w:rsidR="00705331" w:rsidRPr="00BA00BB">
        <w:rPr>
          <w:szCs w:val="22"/>
        </w:rPr>
        <w:t xml:space="preserve">.  </w:t>
      </w:r>
      <w:r w:rsidR="00DC2D38">
        <w:rPr>
          <w:szCs w:val="22"/>
        </w:rPr>
        <w:t xml:space="preserve">The codified price cap </w:t>
      </w:r>
      <w:r w:rsidR="00705331" w:rsidRPr="00BA00BB">
        <w:rPr>
          <w:szCs w:val="22"/>
        </w:rPr>
        <w:t>rule</w:t>
      </w:r>
      <w:r w:rsidR="00DC2D38">
        <w:rPr>
          <w:szCs w:val="22"/>
        </w:rPr>
        <w:t>s are silent as to how</w:t>
      </w:r>
      <w:r w:rsidR="00705331" w:rsidRPr="00BA00BB">
        <w:rPr>
          <w:szCs w:val="22"/>
        </w:rPr>
        <w:t xml:space="preserve"> to apply ARC revenues received after the cutoff date to adjust </w:t>
      </w:r>
      <w:r w:rsidR="00B93F14">
        <w:rPr>
          <w:szCs w:val="22"/>
        </w:rPr>
        <w:t>price cap carriers’</w:t>
      </w:r>
      <w:r w:rsidR="00705331" w:rsidRPr="00BA00BB">
        <w:rPr>
          <w:szCs w:val="22"/>
        </w:rPr>
        <w:t xml:space="preserve"> eligible recovery in future years.  This was clearly an omission because </w:t>
      </w:r>
      <w:r w:rsidR="00B93F14">
        <w:rPr>
          <w:szCs w:val="22"/>
        </w:rPr>
        <w:t xml:space="preserve">the </w:t>
      </w:r>
      <w:r w:rsidR="00B93F14">
        <w:rPr>
          <w:i/>
          <w:szCs w:val="22"/>
        </w:rPr>
        <w:t xml:space="preserve">USF/ICC Transformation Order </w:t>
      </w:r>
      <w:r w:rsidR="00B93F14">
        <w:rPr>
          <w:szCs w:val="22"/>
        </w:rPr>
        <w:t>did not specify that it was treating</w:t>
      </w:r>
      <w:r w:rsidR="00705331" w:rsidRPr="00BA00BB">
        <w:rPr>
          <w:szCs w:val="22"/>
        </w:rPr>
        <w:t xml:space="preserve"> carriers differently in this regard</w:t>
      </w:r>
      <w:r w:rsidR="00B93F14">
        <w:rPr>
          <w:szCs w:val="22"/>
        </w:rPr>
        <w:t xml:space="preserve"> -- thus, the silence in the price cap rules is best interpreted consistently with the approach expressly adopted for rate-of-return carriers</w:t>
      </w:r>
      <w:r w:rsidR="00705331" w:rsidRPr="00BA00BB">
        <w:rPr>
          <w:szCs w:val="22"/>
        </w:rPr>
        <w:t>.  To correct this omission, we amend the</w:t>
      </w:r>
      <w:r w:rsidR="00B93F14">
        <w:rPr>
          <w:szCs w:val="22"/>
        </w:rPr>
        <w:t xml:space="preserve"> codified</w:t>
      </w:r>
      <w:r w:rsidR="00705331" w:rsidRPr="00BA00BB">
        <w:rPr>
          <w:szCs w:val="22"/>
        </w:rPr>
        <w:t xml:space="preserve"> rules, as set forth in the Appendix, to </w:t>
      </w:r>
      <w:r w:rsidR="00B93F14">
        <w:rPr>
          <w:szCs w:val="22"/>
        </w:rPr>
        <w:t>make clear that</w:t>
      </w:r>
      <w:r w:rsidR="00705331" w:rsidRPr="00BA00BB">
        <w:rPr>
          <w:szCs w:val="22"/>
        </w:rPr>
        <w:t xml:space="preserve"> price cap carriers </w:t>
      </w:r>
      <w:r w:rsidR="00B93F14">
        <w:rPr>
          <w:szCs w:val="22"/>
        </w:rPr>
        <w:t>will</w:t>
      </w:r>
      <w:r w:rsidR="00705331" w:rsidRPr="00BA00BB">
        <w:rPr>
          <w:szCs w:val="22"/>
        </w:rPr>
        <w:t xml:space="preserve"> comply with the same requirements as rate-of-return carriers with respect to ARC revenues.</w:t>
      </w:r>
      <w:r w:rsidR="00705331">
        <w:rPr>
          <w:szCs w:val="22"/>
        </w:rPr>
        <w:t xml:space="preserve">  We also take this opportunity to clarify that carriers should use revenues for services provided in tariff year 2012-13, collected through December 31, 2013, as a cut-off for m</w:t>
      </w:r>
      <w:r w:rsidR="00C5492A">
        <w:rPr>
          <w:szCs w:val="22"/>
        </w:rPr>
        <w:t xml:space="preserve">aking their true-ups this year. </w:t>
      </w:r>
      <w:r w:rsidR="00705331">
        <w:rPr>
          <w:szCs w:val="22"/>
        </w:rPr>
        <w:t xml:space="preserve"> This will ensure that filings are consistent among carriers and will ease review, and the December 31 date gives carriers sufficient time to prepare their filings.  Carriers shall also use December 31 as the cutoff date in future true-up calculations.</w:t>
      </w:r>
    </w:p>
    <w:p w:rsidR="00625FBE" w:rsidRPr="003567F1" w:rsidRDefault="00705331" w:rsidP="008E254E">
      <w:pPr>
        <w:pStyle w:val="ParaNum"/>
        <w:widowControl/>
        <w:rPr>
          <w:szCs w:val="22"/>
        </w:rPr>
      </w:pPr>
      <w:r>
        <w:rPr>
          <w:szCs w:val="22"/>
        </w:rPr>
        <w:t xml:space="preserve">NECA has asked whether, in making the true-up calculations, it could use the difference between projected revenues and realized revenues.  </w:t>
      </w:r>
      <w:r w:rsidRPr="003567F1">
        <w:rPr>
          <w:szCs w:val="22"/>
        </w:rPr>
        <w:t>The rules generally provide for this calculation to be made by multiplying the rate for the service in question by projected demand less actual realized demand.</w:t>
      </w:r>
      <w:r w:rsidRPr="003567F1">
        <w:rPr>
          <w:rStyle w:val="FootnoteReference"/>
          <w:color w:val="000000"/>
          <w:sz w:val="22"/>
          <w:szCs w:val="22"/>
        </w:rPr>
        <w:footnoteReference w:id="47"/>
      </w:r>
      <w:r w:rsidRPr="003567F1">
        <w:rPr>
          <w:szCs w:val="22"/>
        </w:rPr>
        <w:t xml:space="preserve">  Because </w:t>
      </w:r>
      <w:r>
        <w:rPr>
          <w:szCs w:val="22"/>
        </w:rPr>
        <w:t xml:space="preserve">projected and realized </w:t>
      </w:r>
      <w:r w:rsidRPr="003567F1">
        <w:rPr>
          <w:szCs w:val="22"/>
        </w:rPr>
        <w:t xml:space="preserve">revenues </w:t>
      </w:r>
      <w:r>
        <w:rPr>
          <w:szCs w:val="22"/>
        </w:rPr>
        <w:t xml:space="preserve">are </w:t>
      </w:r>
      <w:r w:rsidRPr="003567F1">
        <w:rPr>
          <w:szCs w:val="22"/>
        </w:rPr>
        <w:t>summation</w:t>
      </w:r>
      <w:r>
        <w:rPr>
          <w:szCs w:val="22"/>
        </w:rPr>
        <w:t>s</w:t>
      </w:r>
      <w:r w:rsidRPr="003567F1">
        <w:rPr>
          <w:szCs w:val="22"/>
        </w:rPr>
        <w:t xml:space="preserve"> of the result</w:t>
      </w:r>
      <w:r>
        <w:rPr>
          <w:szCs w:val="22"/>
        </w:rPr>
        <w:t>s of the</w:t>
      </w:r>
      <w:r w:rsidRPr="003567F1">
        <w:rPr>
          <w:szCs w:val="22"/>
        </w:rPr>
        <w:t xml:space="preserve"> calculations</w:t>
      </w:r>
      <w:r>
        <w:rPr>
          <w:szCs w:val="22"/>
        </w:rPr>
        <w:t xml:space="preserve"> (including rates and demand)</w:t>
      </w:r>
      <w:r w:rsidRPr="003567F1">
        <w:rPr>
          <w:szCs w:val="22"/>
        </w:rPr>
        <w:t xml:space="preserve">, </w:t>
      </w:r>
      <w:r>
        <w:rPr>
          <w:szCs w:val="22"/>
        </w:rPr>
        <w:t>the proposed methodology should produce the same results as the process provided for in the rules, as long as the carrier is charging the maximum allowed rate.</w:t>
      </w:r>
      <w:r>
        <w:rPr>
          <w:rStyle w:val="FootnoteReference"/>
          <w:szCs w:val="22"/>
        </w:rPr>
        <w:footnoteReference w:id="48"/>
      </w:r>
      <w:r>
        <w:rPr>
          <w:szCs w:val="22"/>
        </w:rPr>
        <w:t xml:space="preserve">   We find that the proposed methodology</w:t>
      </w:r>
      <w:r w:rsidRPr="003567F1">
        <w:rPr>
          <w:szCs w:val="22"/>
        </w:rPr>
        <w:t xml:space="preserve"> will significantly simplify the process</w:t>
      </w:r>
      <w:r>
        <w:rPr>
          <w:szCs w:val="22"/>
        </w:rPr>
        <w:t xml:space="preserve"> and </w:t>
      </w:r>
      <w:r w:rsidRPr="003567F1">
        <w:rPr>
          <w:szCs w:val="22"/>
        </w:rPr>
        <w:t>therefore clarify that all carriers may use revenue differences in making their true-up adjustments</w:t>
      </w:r>
      <w:r>
        <w:rPr>
          <w:szCs w:val="22"/>
        </w:rPr>
        <w:t>, as long as the carrier is charging the maximum allowed rate</w:t>
      </w:r>
    </w:p>
    <w:p w:rsidR="001E00D5" w:rsidRPr="003567F1" w:rsidRDefault="00427057" w:rsidP="008E254E">
      <w:pPr>
        <w:pStyle w:val="Heading1"/>
        <w:widowControl/>
        <w:rPr>
          <w:rFonts w:ascii="Times New Roman" w:hAnsi="Times New Roman"/>
          <w:szCs w:val="22"/>
        </w:rPr>
      </w:pPr>
      <w:bookmarkStart w:id="25" w:name="_Toc361059378"/>
      <w:bookmarkStart w:id="26" w:name="_Toc361237740"/>
      <w:bookmarkStart w:id="27" w:name="_Toc361389643"/>
      <w:bookmarkStart w:id="28" w:name="_Toc362272885"/>
      <w:bookmarkStart w:id="29" w:name="_Toc362356909"/>
      <w:bookmarkStart w:id="30" w:name="_Toc362357183"/>
      <w:bookmarkStart w:id="31" w:name="_Toc363032932"/>
      <w:bookmarkStart w:id="32" w:name="_Toc363033267"/>
      <w:bookmarkStart w:id="33" w:name="_Toc363554667"/>
      <w:bookmarkStart w:id="34" w:name="_Toc364432496"/>
      <w:bookmarkStart w:id="35" w:name="_Toc364432600"/>
      <w:bookmarkStart w:id="36" w:name="_Toc364432727"/>
      <w:bookmarkStart w:id="37" w:name="_Toc364866675"/>
      <w:bookmarkStart w:id="38" w:name="_Toc366666149"/>
      <w:bookmarkStart w:id="39" w:name="_Toc367187743"/>
      <w:bookmarkStart w:id="40" w:name="_Toc367196532"/>
      <w:bookmarkStart w:id="41" w:name="_Toc365539880"/>
      <w:bookmarkStart w:id="42" w:name="_Toc370128128"/>
      <w:bookmarkStart w:id="43" w:name="_Toc370129300"/>
      <w:bookmarkStart w:id="44" w:name="_Toc373849369"/>
      <w:bookmarkStart w:id="45" w:name="_Toc373849427"/>
      <w:bookmarkStart w:id="46" w:name="_Toc379291447"/>
      <w:bookmarkStart w:id="47" w:name="_Toc381719688"/>
      <w:r w:rsidRPr="003567F1">
        <w:rPr>
          <w:rFonts w:ascii="Times New Roman" w:hAnsi="Times New Roman"/>
          <w:szCs w:val="22"/>
        </w:rPr>
        <w:t>procedural matters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9495C" w:rsidRPr="003567F1" w:rsidRDefault="0019495C" w:rsidP="008E254E">
      <w:pPr>
        <w:pStyle w:val="Heading2"/>
        <w:widowControl/>
        <w:rPr>
          <w:szCs w:val="22"/>
        </w:rPr>
      </w:pPr>
      <w:bookmarkStart w:id="48" w:name="_Toc373849370"/>
      <w:bookmarkStart w:id="49" w:name="_Toc373849428"/>
      <w:bookmarkStart w:id="50" w:name="_Toc379291448"/>
      <w:bookmarkStart w:id="51" w:name="_Toc381719689"/>
      <w:r w:rsidRPr="003567F1">
        <w:rPr>
          <w:szCs w:val="22"/>
        </w:rPr>
        <w:t>Paperwork Reduction Act</w:t>
      </w:r>
      <w:bookmarkEnd w:id="48"/>
      <w:bookmarkEnd w:id="49"/>
      <w:bookmarkEnd w:id="50"/>
      <w:bookmarkEnd w:id="51"/>
    </w:p>
    <w:p w:rsidR="0058098F" w:rsidRPr="003567F1" w:rsidRDefault="00E32857" w:rsidP="008E254E">
      <w:pPr>
        <w:pStyle w:val="ParaNum"/>
        <w:widowControl/>
        <w:rPr>
          <w:szCs w:val="22"/>
        </w:rPr>
      </w:pPr>
      <w:r w:rsidRPr="003567F1">
        <w:rPr>
          <w:szCs w:val="22"/>
        </w:rPr>
        <w:t xml:space="preserve">  </w:t>
      </w:r>
      <w:r w:rsidR="0058098F" w:rsidRPr="003567F1">
        <w:rPr>
          <w:szCs w:val="22"/>
        </w:rPr>
        <w:t>This document does not contain any new or modified information collection requirements subject to the Paperwork Reduction Act of 1995 (PRA).</w:t>
      </w:r>
      <w:r w:rsidR="0058098F" w:rsidRPr="003567F1">
        <w:rPr>
          <w:rStyle w:val="FootnoteReference"/>
          <w:sz w:val="22"/>
          <w:szCs w:val="22"/>
        </w:rPr>
        <w:footnoteReference w:id="49"/>
      </w:r>
      <w:r w:rsidR="00FF00E8" w:rsidRPr="003567F1">
        <w:rPr>
          <w:szCs w:val="22"/>
        </w:rPr>
        <w:t xml:space="preserve">  Therefore, the Order does not contain any new or modified information collection burdens for small businesses with fewer than 25 employees, pursuant to the Small Business Paperwork Relief Act of 2002.</w:t>
      </w:r>
      <w:r w:rsidR="00FF00E8" w:rsidRPr="003567F1">
        <w:rPr>
          <w:rStyle w:val="FootnoteReference"/>
          <w:sz w:val="22"/>
          <w:szCs w:val="22"/>
        </w:rPr>
        <w:footnoteReference w:id="50"/>
      </w:r>
    </w:p>
    <w:p w:rsidR="00584726" w:rsidRPr="003567F1" w:rsidRDefault="0019495C" w:rsidP="008E254E">
      <w:pPr>
        <w:pStyle w:val="Heading2"/>
        <w:widowControl/>
        <w:rPr>
          <w:szCs w:val="22"/>
        </w:rPr>
      </w:pPr>
      <w:bookmarkStart w:id="52" w:name="_Toc373849371"/>
      <w:bookmarkStart w:id="53" w:name="_Toc373849429"/>
      <w:bookmarkStart w:id="54" w:name="_Toc379291449"/>
      <w:bookmarkStart w:id="55" w:name="_Toc381719690"/>
      <w:r w:rsidRPr="003567F1">
        <w:rPr>
          <w:szCs w:val="22"/>
        </w:rPr>
        <w:t>Final Regulatory Flexibility Act Certification</w:t>
      </w:r>
      <w:bookmarkEnd w:id="52"/>
      <w:bookmarkEnd w:id="53"/>
      <w:bookmarkEnd w:id="54"/>
      <w:bookmarkEnd w:id="55"/>
    </w:p>
    <w:p w:rsidR="00FF00E8" w:rsidRPr="003567F1" w:rsidRDefault="00E32857" w:rsidP="008E254E">
      <w:pPr>
        <w:pStyle w:val="ParaNum"/>
        <w:widowControl/>
        <w:rPr>
          <w:szCs w:val="22"/>
        </w:rPr>
      </w:pPr>
      <w:r w:rsidRPr="003567F1">
        <w:rPr>
          <w:szCs w:val="22"/>
        </w:rPr>
        <w:t xml:space="preserve">  </w:t>
      </w:r>
      <w:r w:rsidR="00ED0B16" w:rsidRPr="003567F1">
        <w:rPr>
          <w:szCs w:val="22"/>
        </w:rPr>
        <w:t>The Regulatory Flexibility Act of 1980, as amended (RFA),</w:t>
      </w:r>
      <w:r w:rsidR="00ED0B16" w:rsidRPr="003567F1">
        <w:rPr>
          <w:rStyle w:val="FootnoteReference"/>
          <w:sz w:val="22"/>
          <w:szCs w:val="22"/>
        </w:rPr>
        <w:footnoteReference w:id="51"/>
      </w:r>
      <w:r w:rsidR="00FA6A5A" w:rsidRPr="003567F1">
        <w:rPr>
          <w:szCs w:val="22"/>
        </w:rPr>
        <w:t xml:space="preserve"> requires agencies to prepare a regulatory flexibility analysis for rulemaking proceedings, unless the agency certifies that “the rule will not have a significant economic impact on a substantial number of small entities.”</w:t>
      </w:r>
      <w:r w:rsidR="00FA6A5A" w:rsidRPr="003567F1">
        <w:rPr>
          <w:rStyle w:val="FootnoteReference"/>
          <w:sz w:val="22"/>
          <w:szCs w:val="22"/>
        </w:rPr>
        <w:footnoteReference w:id="52"/>
      </w:r>
      <w:r w:rsidR="00FA6A5A" w:rsidRPr="003567F1">
        <w:rPr>
          <w:szCs w:val="22"/>
        </w:rPr>
        <w:t xml:space="preserve">  The RFA generally defines “small entity” as having the same meaning as the terms “small business,” “small organization,” and “small governmental jurisdiction.”</w:t>
      </w:r>
      <w:r w:rsidR="00FA6A5A" w:rsidRPr="003567F1">
        <w:rPr>
          <w:rStyle w:val="FootnoteReference"/>
          <w:sz w:val="22"/>
          <w:szCs w:val="22"/>
        </w:rPr>
        <w:footnoteReference w:id="53"/>
      </w:r>
      <w:r w:rsidR="00FA6A5A" w:rsidRPr="003567F1">
        <w:rPr>
          <w:szCs w:val="22"/>
        </w:rPr>
        <w:t xml:space="preserve">  In addition, the term “small business” has the same meaning as the term “small business concern” under the Small Business Act.</w:t>
      </w:r>
      <w:r w:rsidR="00FA6A5A" w:rsidRPr="003567F1">
        <w:rPr>
          <w:rStyle w:val="FootnoteReference"/>
          <w:sz w:val="22"/>
          <w:szCs w:val="22"/>
        </w:rPr>
        <w:footnoteReference w:id="54"/>
      </w:r>
      <w:r w:rsidR="00920C59" w:rsidRPr="003567F1">
        <w:rPr>
          <w:szCs w:val="22"/>
        </w:rPr>
        <w:t xml:space="preserve">  A small business concern is one which: (1) is independently owned and operated; (2) is not dominant in its field of operation; and (3) satisfies any additional criteria established by the Small Business Administration (SBA).</w:t>
      </w:r>
      <w:r w:rsidR="00920C59" w:rsidRPr="003567F1">
        <w:rPr>
          <w:rStyle w:val="FootnoteReference"/>
          <w:sz w:val="22"/>
          <w:szCs w:val="22"/>
        </w:rPr>
        <w:footnoteReference w:id="55"/>
      </w:r>
    </w:p>
    <w:p w:rsidR="00920C59" w:rsidRPr="003567F1" w:rsidRDefault="00E32857" w:rsidP="008E254E">
      <w:pPr>
        <w:pStyle w:val="ParaNum"/>
        <w:widowControl/>
        <w:rPr>
          <w:szCs w:val="22"/>
        </w:rPr>
      </w:pPr>
      <w:r w:rsidRPr="003567F1">
        <w:rPr>
          <w:szCs w:val="22"/>
        </w:rPr>
        <w:t xml:space="preserve">  </w:t>
      </w:r>
      <w:r w:rsidR="00920C59" w:rsidRPr="003567F1">
        <w:rPr>
          <w:szCs w:val="22"/>
        </w:rPr>
        <w:t xml:space="preserve">We hereby certify that the rule revisions adopted in this Order will not have a significant economic impact on a substantial number of small entities.  This Order amends rules adopted in the </w:t>
      </w:r>
      <w:r w:rsidR="00920C59" w:rsidRPr="003567F1">
        <w:rPr>
          <w:i/>
          <w:szCs w:val="22"/>
        </w:rPr>
        <w:t xml:space="preserve">USF/ICC Transformation Order </w:t>
      </w:r>
      <w:r w:rsidR="00920C59" w:rsidRPr="003567F1">
        <w:rPr>
          <w:szCs w:val="22"/>
        </w:rPr>
        <w:t xml:space="preserve">by correcting conflicts between the new or revised rules and existing rules, as well as addressing omissions or oversights.  These revisions do not create any burdens, benefits, or requirements that were not addressed by the Final Regulatory Flexibility Analysis attached to the </w:t>
      </w:r>
      <w:r w:rsidR="00920C59" w:rsidRPr="003567F1">
        <w:rPr>
          <w:i/>
          <w:szCs w:val="22"/>
        </w:rPr>
        <w:t>USF/ICC Transformation Order</w:t>
      </w:r>
      <w:r w:rsidR="00920C59" w:rsidRPr="003567F1">
        <w:rPr>
          <w:szCs w:val="22"/>
        </w:rPr>
        <w:t>.</w:t>
      </w:r>
      <w:r w:rsidR="00920C59" w:rsidRPr="003567F1">
        <w:rPr>
          <w:rStyle w:val="FootnoteReference"/>
          <w:sz w:val="22"/>
          <w:szCs w:val="22"/>
        </w:rPr>
        <w:footnoteReference w:id="56"/>
      </w:r>
      <w:r w:rsidR="00B75F12" w:rsidRPr="003567F1">
        <w:rPr>
          <w:szCs w:val="22"/>
        </w:rPr>
        <w:t xml:space="preserve">  The Commission will send a copy of this Order, including a copy of this final certification, </w:t>
      </w:r>
      <w:r w:rsidR="00AD7039" w:rsidRPr="003567F1">
        <w:rPr>
          <w:szCs w:val="22"/>
        </w:rPr>
        <w:t>to the Chief Counsel for Advocacy of the SBA.</w:t>
      </w:r>
      <w:r w:rsidR="00AD7039" w:rsidRPr="003567F1">
        <w:rPr>
          <w:rStyle w:val="FootnoteReference"/>
          <w:sz w:val="22"/>
          <w:szCs w:val="22"/>
        </w:rPr>
        <w:footnoteReference w:id="57"/>
      </w:r>
      <w:r w:rsidR="00D97FB7" w:rsidRPr="003567F1">
        <w:rPr>
          <w:szCs w:val="22"/>
        </w:rPr>
        <w:t xml:space="preserve">  In addition, the Order (or a summary thereof) and certification will be published in the Federal Register.</w:t>
      </w:r>
      <w:r w:rsidR="00D97FB7" w:rsidRPr="003567F1">
        <w:rPr>
          <w:rStyle w:val="FootnoteReference"/>
          <w:sz w:val="22"/>
          <w:szCs w:val="22"/>
        </w:rPr>
        <w:footnoteReference w:id="58"/>
      </w:r>
      <w:r w:rsidR="00D97FB7" w:rsidRPr="003567F1">
        <w:rPr>
          <w:szCs w:val="22"/>
        </w:rPr>
        <w:t xml:space="preserve"> </w:t>
      </w:r>
    </w:p>
    <w:p w:rsidR="0019495C" w:rsidRPr="003567F1" w:rsidRDefault="0019495C" w:rsidP="008E254E">
      <w:pPr>
        <w:pStyle w:val="Heading2"/>
        <w:widowControl/>
        <w:rPr>
          <w:szCs w:val="22"/>
        </w:rPr>
      </w:pPr>
      <w:bookmarkStart w:id="56" w:name="_Toc373849372"/>
      <w:bookmarkStart w:id="57" w:name="_Toc373849430"/>
      <w:bookmarkStart w:id="58" w:name="_Toc379291450"/>
      <w:bookmarkStart w:id="59" w:name="_Toc381719691"/>
      <w:r w:rsidRPr="003567F1">
        <w:rPr>
          <w:szCs w:val="22"/>
        </w:rPr>
        <w:t>Congressional Review Act</w:t>
      </w:r>
      <w:bookmarkEnd w:id="56"/>
      <w:bookmarkEnd w:id="57"/>
      <w:bookmarkEnd w:id="58"/>
      <w:bookmarkEnd w:id="59"/>
    </w:p>
    <w:p w:rsidR="00D97FB7" w:rsidRPr="003567F1" w:rsidRDefault="00E32857" w:rsidP="008E254E">
      <w:pPr>
        <w:pStyle w:val="ParaNum"/>
        <w:widowControl/>
        <w:rPr>
          <w:szCs w:val="22"/>
        </w:rPr>
      </w:pPr>
      <w:r w:rsidRPr="003567F1">
        <w:rPr>
          <w:szCs w:val="22"/>
        </w:rPr>
        <w:t xml:space="preserve">  </w:t>
      </w:r>
      <w:r w:rsidR="00D97FB7" w:rsidRPr="003567F1">
        <w:rPr>
          <w:szCs w:val="22"/>
        </w:rPr>
        <w:t>The Commission will send a copy of this Order to Congress and the Government Accountability Office pursuant to the Congressional Review Act.</w:t>
      </w:r>
      <w:r w:rsidR="00D97FB7" w:rsidRPr="003567F1">
        <w:rPr>
          <w:rStyle w:val="FootnoteReference"/>
          <w:sz w:val="22"/>
          <w:szCs w:val="22"/>
        </w:rPr>
        <w:footnoteReference w:id="59"/>
      </w:r>
    </w:p>
    <w:p w:rsidR="0019495C" w:rsidRPr="003567F1" w:rsidRDefault="0019495C" w:rsidP="008E254E">
      <w:pPr>
        <w:pStyle w:val="Heading1"/>
        <w:widowControl/>
        <w:rPr>
          <w:rFonts w:ascii="Times New Roman" w:hAnsi="Times New Roman"/>
          <w:szCs w:val="22"/>
        </w:rPr>
      </w:pPr>
      <w:bookmarkStart w:id="60" w:name="_Toc373849373"/>
      <w:bookmarkStart w:id="61" w:name="_Toc373849431"/>
      <w:bookmarkStart w:id="62" w:name="_Toc379291451"/>
      <w:bookmarkStart w:id="63" w:name="_Toc381719692"/>
      <w:r w:rsidRPr="003567F1">
        <w:rPr>
          <w:rFonts w:ascii="Times New Roman" w:hAnsi="Times New Roman"/>
          <w:szCs w:val="22"/>
        </w:rPr>
        <w:t>Ordering clauses</w:t>
      </w:r>
      <w:bookmarkEnd w:id="60"/>
      <w:bookmarkEnd w:id="61"/>
      <w:bookmarkEnd w:id="62"/>
      <w:bookmarkEnd w:id="63"/>
    </w:p>
    <w:p w:rsidR="00272C1D" w:rsidRPr="003567F1" w:rsidRDefault="00E32857" w:rsidP="008E254E">
      <w:pPr>
        <w:pStyle w:val="ParaNum"/>
        <w:widowControl/>
        <w:rPr>
          <w:szCs w:val="22"/>
        </w:rPr>
      </w:pPr>
      <w:r w:rsidRPr="003567F1">
        <w:rPr>
          <w:szCs w:val="22"/>
        </w:rPr>
        <w:t xml:space="preserve">  </w:t>
      </w:r>
      <w:r w:rsidR="00272C1D" w:rsidRPr="003567F1">
        <w:rPr>
          <w:szCs w:val="22"/>
        </w:rPr>
        <w:t xml:space="preserve">Accordingly, IT IS ORDERED, </w:t>
      </w:r>
      <w:r w:rsidR="00AD054A">
        <w:rPr>
          <w:szCs w:val="22"/>
        </w:rPr>
        <w:t xml:space="preserve">that </w:t>
      </w:r>
      <w:r w:rsidR="00272C1D" w:rsidRPr="003567F1">
        <w:rPr>
          <w:szCs w:val="22"/>
        </w:rPr>
        <w:t>pursuant to the authority contained in sections 1, 2, 4(i), 201-203, 220, 251, 252, 254, 303(r) and 403 of the Communications Act of 1934, as amended, 47 U.S.C. §</w:t>
      </w:r>
      <w:r w:rsidR="007A741C" w:rsidRPr="003567F1">
        <w:rPr>
          <w:szCs w:val="22"/>
        </w:rPr>
        <w:t xml:space="preserve">§ 151, 152, 154(i), 201-203, 220, 251, 252, 254, 303(r) and 403, and pursuant to sections 0.91, 0.201(d), 0.291, 1.3, and 1.427 of the Commission’s rules, 47 C.F.R. §§ 0.91, 0.201(d), </w:t>
      </w:r>
      <w:r w:rsidR="00A83769">
        <w:rPr>
          <w:szCs w:val="22"/>
        </w:rPr>
        <w:t xml:space="preserve">0.291, </w:t>
      </w:r>
      <w:r w:rsidR="007A741C" w:rsidRPr="003567F1">
        <w:rPr>
          <w:szCs w:val="22"/>
        </w:rPr>
        <w:t>1.3 and 1.427</w:t>
      </w:r>
      <w:r w:rsidR="00AD054A">
        <w:rPr>
          <w:szCs w:val="22"/>
        </w:rPr>
        <w:t>,</w:t>
      </w:r>
      <w:r w:rsidR="007A741C" w:rsidRPr="003567F1">
        <w:rPr>
          <w:szCs w:val="22"/>
        </w:rPr>
        <w:t xml:space="preserve"> and pursuant to the delegation of authority in paragraph 1404 of 26 FCC Rcd 17663 (2011),</w:t>
      </w:r>
      <w:r w:rsidR="00AA779D" w:rsidRPr="003567F1">
        <w:rPr>
          <w:szCs w:val="22"/>
        </w:rPr>
        <w:t xml:space="preserve"> this Order is ADOPTED, effective thirty (30) days after publication of the text or summary thereof in the Federal Register.</w:t>
      </w:r>
    </w:p>
    <w:p w:rsidR="005B10AE" w:rsidRPr="003567F1" w:rsidRDefault="00E32857" w:rsidP="008E254E">
      <w:pPr>
        <w:pStyle w:val="ParaNum"/>
        <w:widowControl/>
        <w:rPr>
          <w:szCs w:val="22"/>
        </w:rPr>
      </w:pPr>
      <w:r w:rsidRPr="003567F1">
        <w:rPr>
          <w:szCs w:val="22"/>
        </w:rPr>
        <w:t xml:space="preserve">  </w:t>
      </w:r>
      <w:r w:rsidR="005B10AE" w:rsidRPr="003567F1">
        <w:rPr>
          <w:szCs w:val="22"/>
        </w:rPr>
        <w:t>IT IS FURTHER ORDERED that Part 51 of the Commission’s rules, 47 C.F.R. sections 51.907, 51.909, 51.915, and 51.917 are AMENDED as set forth in the Appendix, and such rule amendments shall be effective 30 days after the date of publication of the rule amendments in the Federal Register.</w:t>
      </w:r>
    </w:p>
    <w:p w:rsidR="00EF1891" w:rsidRDefault="00E32857" w:rsidP="008E254E">
      <w:pPr>
        <w:pStyle w:val="ParaNum"/>
        <w:keepNext/>
        <w:widowControl/>
        <w:rPr>
          <w:szCs w:val="22"/>
        </w:rPr>
      </w:pPr>
      <w:r w:rsidRPr="003567F1">
        <w:rPr>
          <w:szCs w:val="22"/>
        </w:rPr>
        <w:t xml:space="preserve">  </w:t>
      </w:r>
      <w:r w:rsidR="005B10AE" w:rsidRPr="003567F1">
        <w:rPr>
          <w:szCs w:val="22"/>
        </w:rPr>
        <w:t>IT IS FURTHER ORDERED that the Commission SHALL SEND a copy of this Order</w:t>
      </w:r>
      <w:r w:rsidR="00892F01" w:rsidRPr="003567F1">
        <w:rPr>
          <w:szCs w:val="22"/>
        </w:rPr>
        <w:t xml:space="preserve"> to Congress and the Government Accountability Office pursuant to the Congressional Review Act.</w:t>
      </w:r>
      <w:r w:rsidR="00892F01" w:rsidRPr="003567F1">
        <w:rPr>
          <w:rStyle w:val="FootnoteReference"/>
          <w:sz w:val="22"/>
          <w:szCs w:val="22"/>
        </w:rPr>
        <w:footnoteReference w:id="60"/>
      </w:r>
    </w:p>
    <w:p w:rsidR="00892F01" w:rsidRPr="003567F1" w:rsidRDefault="00E32857" w:rsidP="008E254E">
      <w:pPr>
        <w:pStyle w:val="ParaNum"/>
        <w:widowControl/>
        <w:rPr>
          <w:szCs w:val="22"/>
        </w:rPr>
      </w:pPr>
      <w:r w:rsidRPr="003567F1">
        <w:rPr>
          <w:szCs w:val="22"/>
        </w:rPr>
        <w:t xml:space="preserve">  </w:t>
      </w:r>
      <w:r w:rsidR="00892F01" w:rsidRPr="003567F1">
        <w:rPr>
          <w:szCs w:val="22"/>
        </w:rPr>
        <w:t xml:space="preserve">IT IS FURTHER ORDERED that the Commission’s Consumer and Governmental Affairs Bureau, Reference Information Center, </w:t>
      </w:r>
      <w:r w:rsidR="00126B5D" w:rsidRPr="003567F1">
        <w:rPr>
          <w:szCs w:val="22"/>
        </w:rPr>
        <w:t>SHALL SEND a copy of this Order, including the Final Regulatory Flexibility Certification, to the Chief Counsel for Advocacy of the Small Business Administration.</w:t>
      </w:r>
    </w:p>
    <w:p w:rsidR="00272C1D" w:rsidRPr="003567F1" w:rsidRDefault="00272C1D" w:rsidP="008E254E">
      <w:pPr>
        <w:keepNext/>
        <w:widowControl/>
        <w:autoSpaceDE w:val="0"/>
        <w:autoSpaceDN w:val="0"/>
        <w:adjustRightInd w:val="0"/>
        <w:spacing w:after="120"/>
        <w:rPr>
          <w:szCs w:val="22"/>
        </w:rPr>
      </w:pPr>
    </w:p>
    <w:p w:rsidR="00A30E96" w:rsidRPr="003567F1" w:rsidRDefault="00A30E96" w:rsidP="008E254E">
      <w:pPr>
        <w:keepNext/>
        <w:keepLines/>
        <w:widowControl/>
        <w:spacing w:after="100" w:afterAutospacing="1"/>
        <w:ind w:left="2880" w:firstLine="720"/>
        <w:rPr>
          <w:szCs w:val="22"/>
        </w:rPr>
      </w:pPr>
      <w:r w:rsidRPr="003567F1">
        <w:rPr>
          <w:szCs w:val="22"/>
        </w:rPr>
        <w:t>FEDERAL COMMUNICATIONS COMMISSION</w:t>
      </w:r>
    </w:p>
    <w:p w:rsidR="00A30E96" w:rsidRPr="003567F1" w:rsidRDefault="00A30E96" w:rsidP="008E254E">
      <w:pPr>
        <w:keepNext/>
        <w:keepLines/>
        <w:widowControl/>
        <w:tabs>
          <w:tab w:val="left" w:pos="-1440"/>
          <w:tab w:val="left" w:pos="-720"/>
        </w:tabs>
        <w:suppressAutoHyphens/>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p>
    <w:p w:rsidR="00277E20" w:rsidRPr="003567F1" w:rsidRDefault="00277E20" w:rsidP="008E254E">
      <w:pPr>
        <w:keepNext/>
        <w:keepLines/>
        <w:widowControl/>
        <w:tabs>
          <w:tab w:val="left" w:pos="-1440"/>
          <w:tab w:val="left" w:pos="-720"/>
        </w:tabs>
        <w:suppressAutoHyphens/>
        <w:rPr>
          <w:szCs w:val="22"/>
        </w:rPr>
      </w:pPr>
    </w:p>
    <w:p w:rsidR="00A30E96" w:rsidRPr="003567F1" w:rsidRDefault="00A30E96" w:rsidP="008E254E">
      <w:pPr>
        <w:keepNext/>
        <w:keepLines/>
        <w:widowControl/>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r w:rsidR="00F45C32">
        <w:rPr>
          <w:szCs w:val="22"/>
        </w:rPr>
        <w:t>Deena M. Shetler</w:t>
      </w:r>
    </w:p>
    <w:p w:rsidR="00746444" w:rsidRDefault="00A30E96" w:rsidP="008E254E">
      <w:pPr>
        <w:keepNext/>
        <w:keepLines/>
        <w:widowControl/>
        <w:rPr>
          <w:szCs w:val="22"/>
        </w:rPr>
      </w:pPr>
      <w:r w:rsidRPr="003567F1">
        <w:rPr>
          <w:szCs w:val="22"/>
        </w:rPr>
        <w:tab/>
      </w:r>
      <w:r w:rsidRPr="003567F1">
        <w:rPr>
          <w:szCs w:val="22"/>
        </w:rPr>
        <w:tab/>
      </w:r>
      <w:r w:rsidRPr="003567F1">
        <w:rPr>
          <w:szCs w:val="22"/>
        </w:rPr>
        <w:tab/>
      </w:r>
      <w:r w:rsidRPr="003567F1">
        <w:rPr>
          <w:szCs w:val="22"/>
        </w:rPr>
        <w:tab/>
      </w:r>
      <w:r w:rsidRPr="003567F1">
        <w:rPr>
          <w:szCs w:val="22"/>
        </w:rPr>
        <w:tab/>
      </w:r>
      <w:r w:rsidR="00F45C32">
        <w:rPr>
          <w:szCs w:val="22"/>
        </w:rPr>
        <w:t xml:space="preserve">Associate </w:t>
      </w:r>
      <w:r w:rsidR="000F6451" w:rsidRPr="003567F1">
        <w:rPr>
          <w:szCs w:val="22"/>
        </w:rPr>
        <w:t>Chief, Wireline Competition Bureau</w:t>
      </w:r>
      <w:r w:rsidRPr="003567F1">
        <w:rPr>
          <w:szCs w:val="22"/>
        </w:rPr>
        <w:tab/>
      </w:r>
      <w:bookmarkEnd w:id="9"/>
      <w:bookmarkEnd w:id="10"/>
      <w:bookmarkEnd w:id="11"/>
      <w:bookmarkEnd w:id="22"/>
    </w:p>
    <w:p w:rsidR="00746444" w:rsidRDefault="00746444">
      <w:pPr>
        <w:widowControl/>
        <w:rPr>
          <w:szCs w:val="22"/>
        </w:rPr>
      </w:pPr>
      <w:r>
        <w:rPr>
          <w:szCs w:val="22"/>
        </w:rPr>
        <w:br w:type="page"/>
      </w:r>
    </w:p>
    <w:p w:rsidR="00746444" w:rsidRPr="003567F1" w:rsidRDefault="00746444" w:rsidP="00746444">
      <w:pPr>
        <w:widowControl/>
        <w:spacing w:after="200" w:line="276" w:lineRule="auto"/>
        <w:jc w:val="center"/>
        <w:rPr>
          <w:rFonts w:eastAsia="Calibri"/>
          <w:b/>
          <w:snapToGrid/>
          <w:kern w:val="0"/>
          <w:szCs w:val="22"/>
        </w:rPr>
      </w:pPr>
      <w:r w:rsidRPr="003567F1">
        <w:rPr>
          <w:rFonts w:eastAsia="Calibri"/>
          <w:b/>
          <w:snapToGrid/>
          <w:kern w:val="0"/>
          <w:szCs w:val="22"/>
        </w:rPr>
        <w:t>APPENDIX</w:t>
      </w:r>
    </w:p>
    <w:p w:rsidR="00746444" w:rsidRPr="003567F1" w:rsidRDefault="00746444" w:rsidP="00746444">
      <w:pPr>
        <w:widowControl/>
        <w:spacing w:after="200" w:line="276" w:lineRule="auto"/>
        <w:jc w:val="center"/>
        <w:rPr>
          <w:rFonts w:eastAsia="Calibri"/>
          <w:b/>
          <w:snapToGrid/>
          <w:kern w:val="0"/>
          <w:szCs w:val="22"/>
        </w:rPr>
      </w:pPr>
      <w:r w:rsidRPr="003567F1">
        <w:rPr>
          <w:rFonts w:eastAsia="Calibri"/>
          <w:b/>
          <w:snapToGrid/>
          <w:kern w:val="0"/>
          <w:szCs w:val="22"/>
        </w:rPr>
        <w:t>Final Rules</w:t>
      </w:r>
    </w:p>
    <w:p w:rsidR="00746444" w:rsidRPr="003567F1" w:rsidRDefault="00746444" w:rsidP="00746444">
      <w:pPr>
        <w:widowControl/>
        <w:spacing w:after="200" w:line="276" w:lineRule="auto"/>
        <w:rPr>
          <w:rFonts w:eastAsia="Calibri"/>
          <w:snapToGrid/>
          <w:kern w:val="0"/>
          <w:szCs w:val="22"/>
        </w:rPr>
      </w:pPr>
      <w:r w:rsidRPr="003567F1">
        <w:rPr>
          <w:rFonts w:eastAsia="Calibri"/>
          <w:snapToGrid/>
          <w:kern w:val="0"/>
          <w:szCs w:val="22"/>
        </w:rPr>
        <w:t>For the reasons discussed in the preamble, the Federal Communications Commission amends 47 C.F.R. part 51.</w:t>
      </w:r>
    </w:p>
    <w:p w:rsidR="00746444" w:rsidRPr="003567F1" w:rsidRDefault="00746444" w:rsidP="00746444">
      <w:pPr>
        <w:widowControl/>
        <w:spacing w:after="200" w:line="276" w:lineRule="auto"/>
        <w:rPr>
          <w:rFonts w:eastAsia="Calibri"/>
          <w:b/>
          <w:snapToGrid/>
          <w:kern w:val="0"/>
          <w:szCs w:val="22"/>
        </w:rPr>
      </w:pPr>
      <w:r w:rsidRPr="003567F1">
        <w:rPr>
          <w:rFonts w:eastAsia="Calibri"/>
          <w:b/>
          <w:snapToGrid/>
          <w:kern w:val="0"/>
          <w:szCs w:val="22"/>
        </w:rPr>
        <w:t>PART 51—INTERCONNECTION</w:t>
      </w:r>
    </w:p>
    <w:p w:rsidR="00746444" w:rsidRPr="003567F1" w:rsidRDefault="00746444" w:rsidP="00746444">
      <w:pPr>
        <w:widowControl/>
        <w:tabs>
          <w:tab w:val="left" w:pos="720"/>
          <w:tab w:val="left" w:pos="1440"/>
          <w:tab w:val="left" w:pos="2160"/>
          <w:tab w:val="left" w:pos="2880"/>
          <w:tab w:val="left" w:pos="3600"/>
          <w:tab w:val="left" w:pos="4320"/>
          <w:tab w:val="left" w:pos="5040"/>
          <w:tab w:val="left" w:pos="5760"/>
          <w:tab w:val="left" w:pos="6774"/>
        </w:tabs>
        <w:spacing w:after="200"/>
        <w:rPr>
          <w:rFonts w:eastAsia="Calibri"/>
          <w:snapToGrid/>
          <w:kern w:val="0"/>
          <w:szCs w:val="22"/>
        </w:rPr>
      </w:pPr>
      <w:r w:rsidRPr="003567F1">
        <w:rPr>
          <w:rFonts w:eastAsia="Calibri"/>
          <w:snapToGrid/>
          <w:kern w:val="0"/>
          <w:szCs w:val="22"/>
        </w:rPr>
        <w:t>1.</w:t>
      </w:r>
      <w:r w:rsidRPr="003567F1">
        <w:rPr>
          <w:rFonts w:eastAsia="Calibri"/>
          <w:snapToGrid/>
          <w:kern w:val="0"/>
          <w:szCs w:val="22"/>
        </w:rPr>
        <w:tab/>
        <w:t>The authority citation for part 51 continues to read as follows:</w:t>
      </w:r>
      <w:r>
        <w:rPr>
          <w:rFonts w:eastAsia="Calibri"/>
          <w:snapToGrid/>
          <w:kern w:val="0"/>
          <w:szCs w:val="22"/>
        </w:rPr>
        <w:tab/>
      </w:r>
    </w:p>
    <w:p w:rsidR="00746444" w:rsidRPr="003567F1" w:rsidRDefault="00746444" w:rsidP="00746444">
      <w:pPr>
        <w:widowControl/>
        <w:spacing w:after="200"/>
        <w:rPr>
          <w:rFonts w:eastAsia="Calibri"/>
          <w:snapToGrid/>
          <w:kern w:val="0"/>
          <w:szCs w:val="22"/>
        </w:rPr>
      </w:pPr>
      <w:r w:rsidRPr="003567F1">
        <w:rPr>
          <w:rFonts w:eastAsia="Calibri"/>
          <w:snapToGrid/>
          <w:kern w:val="0"/>
          <w:szCs w:val="22"/>
        </w:rPr>
        <w:t>AUTHORITY: Sections 1–5, 7, 201–05, 207–09, 218, 220, 225–27, 251–54, 256, 271, 303(r), 332, 706 of the Telecommunication Act of 1996, 48 Stat. 1070, as amended, 1077; 47 U.S.C. 151–55, 157, 201–05, 207–09, 218, 220, 225–27, 251–54, 256, 271, 303(r), 332, 1302, 47 U.S.C. 157 note, unless otherwise noted.</w:t>
      </w:r>
    </w:p>
    <w:p w:rsidR="00746444" w:rsidRPr="003567F1" w:rsidRDefault="00746444" w:rsidP="00746444">
      <w:pPr>
        <w:widowControl/>
        <w:spacing w:after="200" w:line="276" w:lineRule="auto"/>
        <w:rPr>
          <w:rFonts w:eastAsia="Calibri"/>
          <w:b/>
          <w:snapToGrid/>
          <w:kern w:val="0"/>
          <w:szCs w:val="22"/>
        </w:rPr>
      </w:pPr>
      <w:r w:rsidRPr="003567F1">
        <w:rPr>
          <w:rFonts w:eastAsia="Calibri"/>
          <w:b/>
          <w:snapToGrid/>
          <w:kern w:val="0"/>
          <w:szCs w:val="22"/>
        </w:rPr>
        <w:t>Subpart J—Transitional Access Service Pricing</w:t>
      </w:r>
    </w:p>
    <w:p w:rsidR="00746444" w:rsidRPr="003567F1" w:rsidRDefault="00746444" w:rsidP="00746444">
      <w:pPr>
        <w:widowControl/>
        <w:rPr>
          <w:rFonts w:eastAsia="Calibri"/>
          <w:snapToGrid/>
          <w:kern w:val="0"/>
          <w:szCs w:val="22"/>
        </w:rPr>
      </w:pPr>
      <w:r w:rsidRPr="003567F1">
        <w:rPr>
          <w:rFonts w:eastAsia="Calibri"/>
          <w:snapToGrid/>
          <w:kern w:val="0"/>
          <w:szCs w:val="22"/>
        </w:rPr>
        <w:t>2.</w:t>
      </w:r>
      <w:r w:rsidRPr="003567F1">
        <w:rPr>
          <w:rFonts w:eastAsia="Calibri"/>
          <w:snapToGrid/>
          <w:kern w:val="0"/>
          <w:szCs w:val="22"/>
        </w:rPr>
        <w:tab/>
        <w:t>Amend 47 C.F.R. § 51.907 by revising (d)(2)(i), (d)(2)(iii), (e)(1)(ii), and (f) to read as follows: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b/>
          <w:snapToGrid/>
          <w:kern w:val="0"/>
          <w:szCs w:val="22"/>
          <w:u w:val="single"/>
        </w:rPr>
      </w:pPr>
      <w:r w:rsidRPr="003567F1">
        <w:rPr>
          <w:rFonts w:eastAsia="Calibri"/>
          <w:b/>
          <w:snapToGrid/>
          <w:kern w:val="0"/>
          <w:szCs w:val="22"/>
          <w:u w:val="single"/>
        </w:rPr>
        <w:t>§ 51.907 Transition of price cap carrier access charges.</w:t>
      </w:r>
    </w:p>
    <w:p w:rsidR="00746444" w:rsidRPr="003567F1" w:rsidRDefault="00746444" w:rsidP="00746444">
      <w:pPr>
        <w:widowControl/>
        <w:rPr>
          <w:rFonts w:eastAsia="Calibri"/>
          <w:b/>
          <w:snapToGrid/>
          <w:kern w:val="0"/>
          <w:szCs w:val="22"/>
          <w:u w:val="single"/>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(d) * * *</w:t>
      </w:r>
    </w:p>
    <w:p w:rsidR="00746444" w:rsidRPr="003567F1" w:rsidRDefault="00746444" w:rsidP="00746444">
      <w:pPr>
        <w:widowControl/>
        <w:rPr>
          <w:rFonts w:eastAsia="Calibri"/>
          <w:snapToGrid/>
          <w:kern w:val="0"/>
          <w:szCs w:val="22"/>
        </w:rPr>
      </w:pPr>
    </w:p>
    <w:p w:rsidR="00746444" w:rsidRPr="003567F1" w:rsidRDefault="00746444" w:rsidP="00746444">
      <w:pPr>
        <w:widowControl/>
        <w:numPr>
          <w:ilvl w:val="0"/>
          <w:numId w:val="12"/>
        </w:numPr>
        <w:spacing w:after="200"/>
        <w:contextualSpacing/>
        <w:rPr>
          <w:rFonts w:eastAsia="Calibri"/>
          <w:snapToGrid/>
          <w:kern w:val="0"/>
          <w:szCs w:val="22"/>
        </w:rPr>
      </w:pPr>
    </w:p>
    <w:p w:rsidR="00746444" w:rsidRPr="003567F1" w:rsidRDefault="00746444" w:rsidP="00746444">
      <w:pPr>
        <w:widowControl/>
        <w:spacing w:after="200"/>
        <w:ind w:left="1080"/>
        <w:contextualSpacing/>
        <w:rPr>
          <w:rFonts w:eastAsia="Calibri"/>
          <w:snapToGrid/>
          <w:kern w:val="0"/>
          <w:szCs w:val="22"/>
        </w:rPr>
      </w:pPr>
    </w:p>
    <w:p w:rsidR="00746444" w:rsidRPr="003567F1" w:rsidRDefault="00746444" w:rsidP="00746444">
      <w:pPr>
        <w:widowControl/>
        <w:numPr>
          <w:ilvl w:val="0"/>
          <w:numId w:val="12"/>
        </w:numPr>
        <w:spacing w:after="200"/>
        <w:contextualSpacing/>
        <w:rPr>
          <w:rFonts w:eastAsia="Calibri"/>
          <w:snapToGrid/>
          <w:kern w:val="0"/>
          <w:szCs w:val="22"/>
        </w:rPr>
      </w:pPr>
      <w:r w:rsidRPr="003567F1">
        <w:rPr>
          <w:rFonts w:eastAsia="Calibri"/>
          <w:snapToGrid/>
          <w:kern w:val="0"/>
          <w:szCs w:val="22"/>
        </w:rPr>
        <w:t>*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1440"/>
        <w:rPr>
          <w:rFonts w:eastAsia="Calibri"/>
          <w:snapToGrid/>
          <w:kern w:val="0"/>
          <w:szCs w:val="22"/>
        </w:rPr>
      </w:pPr>
      <w:r w:rsidRPr="003567F1">
        <w:rPr>
          <w:rFonts w:eastAsia="Calibri"/>
          <w:snapToGrid/>
          <w:kern w:val="0"/>
          <w:szCs w:val="22"/>
        </w:rPr>
        <w:t xml:space="preserve">(i) Each Price Cap Carrier shall calculate the 2011 Baseline Composite Terminating End Office Access Rate. </w:t>
      </w:r>
      <w:r>
        <w:rPr>
          <w:rFonts w:eastAsia="Calibri"/>
          <w:snapToGrid/>
          <w:kern w:val="0"/>
          <w:szCs w:val="22"/>
        </w:rPr>
        <w:t xml:space="preserve"> </w:t>
      </w:r>
      <w:r w:rsidRPr="003567F1">
        <w:rPr>
          <w:rFonts w:eastAsia="Calibri"/>
          <w:snapToGrid/>
          <w:kern w:val="0"/>
          <w:szCs w:val="22"/>
        </w:rPr>
        <w:t>The 2011 Baseline Composite Terminating End Office Access Rate means the Composite Terminating End Office Access Rate calculated using Fiscal Year 2011 interstate demand multiplied by the interstate End Office Access Service rates at the levels in effect on December 29, 2011, and then dividing the result by 2011 Fiscal Year interstate local switching demand.</w:t>
      </w:r>
    </w:p>
    <w:p w:rsidR="00746444" w:rsidRPr="003567F1" w:rsidRDefault="00746444" w:rsidP="00746444">
      <w:pPr>
        <w:widowControl/>
        <w:spacing w:after="200"/>
        <w:ind w:left="1890"/>
        <w:contextualSpacing/>
        <w:rPr>
          <w:rFonts w:eastAsia="Calibri"/>
          <w:snapToGrid/>
          <w:kern w:val="0"/>
          <w:szCs w:val="22"/>
        </w:rPr>
      </w:pP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 xml:space="preserve">(ii) *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1440"/>
        <w:rPr>
          <w:rFonts w:eastAsia="Calibri"/>
          <w:snapToGrid/>
          <w:kern w:val="0"/>
          <w:szCs w:val="22"/>
        </w:rPr>
      </w:pPr>
      <w:r w:rsidRPr="003567F1">
        <w:rPr>
          <w:rFonts w:eastAsia="Calibri"/>
          <w:snapToGrid/>
          <w:kern w:val="0"/>
          <w:szCs w:val="22"/>
        </w:rPr>
        <w:t xml:space="preserve">(iii) Beginning July 1, 2014, no Price Cap Carrier's interstate Composite Terminating End Office Access Rate shall exceed its 2014 Target Composite Terminating End Office Access Rate. </w:t>
      </w:r>
      <w:r>
        <w:rPr>
          <w:rFonts w:eastAsia="Calibri"/>
          <w:snapToGrid/>
          <w:kern w:val="0"/>
          <w:szCs w:val="22"/>
        </w:rPr>
        <w:t xml:space="preserve"> </w:t>
      </w:r>
      <w:r w:rsidRPr="003567F1">
        <w:rPr>
          <w:rFonts w:eastAsia="Calibri"/>
          <w:snapToGrid/>
          <w:kern w:val="0"/>
          <w:szCs w:val="22"/>
        </w:rPr>
        <w:t xml:space="preserve">A price cap carrier shall determine compliance by calculating interstate </w:t>
      </w:r>
      <w:r>
        <w:rPr>
          <w:rFonts w:eastAsia="Calibri"/>
          <w:snapToGrid/>
          <w:kern w:val="0"/>
          <w:szCs w:val="22"/>
        </w:rPr>
        <w:t xml:space="preserve"> </w:t>
      </w:r>
      <w:r w:rsidRPr="003567F1">
        <w:rPr>
          <w:rFonts w:eastAsia="Calibri"/>
          <w:snapToGrid/>
          <w:kern w:val="0"/>
          <w:szCs w:val="22"/>
        </w:rPr>
        <w:t xml:space="preserve">Composite Terminating End Office Access Rates using the relevant Fiscal Year 2011 </w:t>
      </w:r>
      <w:r>
        <w:rPr>
          <w:rFonts w:eastAsia="Calibri"/>
          <w:snapToGrid/>
          <w:kern w:val="0"/>
          <w:szCs w:val="22"/>
        </w:rPr>
        <w:t xml:space="preserve">interstate </w:t>
      </w:r>
      <w:r w:rsidRPr="003567F1">
        <w:rPr>
          <w:rFonts w:eastAsia="Calibri"/>
          <w:snapToGrid/>
          <w:kern w:val="0"/>
          <w:szCs w:val="22"/>
        </w:rPr>
        <w:t xml:space="preserve">demand multiplied by the respective interstate  </w:t>
      </w:r>
      <w:r>
        <w:rPr>
          <w:rFonts w:eastAsia="Calibri"/>
          <w:snapToGrid/>
          <w:kern w:val="0"/>
          <w:szCs w:val="22"/>
        </w:rPr>
        <w:t xml:space="preserve">rates as of July 1, 2014, and then dividing the result by the relevant 2011 Fiscal Year interstate terminating local switching demand. </w:t>
      </w:r>
      <w:r w:rsidRPr="003567F1">
        <w:rPr>
          <w:rFonts w:eastAsia="Calibri"/>
          <w:snapToGrid/>
          <w:kern w:val="0"/>
          <w:szCs w:val="22"/>
        </w:rPr>
        <w:t xml:space="preserve"> </w:t>
      </w:r>
      <w:r>
        <w:rPr>
          <w:rFonts w:eastAsia="Calibri"/>
          <w:snapToGrid/>
          <w:kern w:val="0"/>
          <w:szCs w:val="22"/>
        </w:rPr>
        <w:t>A price cap carrier’s intrastate terminating end office access rates may not exceed the comparable interstate terminating end office access rate</w:t>
      </w:r>
      <w:r w:rsidR="001870D1">
        <w:rPr>
          <w:rFonts w:eastAsia="Calibri"/>
          <w:snapToGrid/>
          <w:kern w:val="0"/>
          <w:szCs w:val="22"/>
        </w:rPr>
        <w:t>s</w:t>
      </w:r>
      <w:r>
        <w:rPr>
          <w:rFonts w:eastAsia="Calibri"/>
          <w:snapToGrid/>
          <w:kern w:val="0"/>
          <w:szCs w:val="22"/>
        </w:rPr>
        <w:t xml:space="preserve">.  </w:t>
      </w:r>
      <w:r w:rsidRPr="003567F1">
        <w:rPr>
          <w:rFonts w:eastAsia="Calibri"/>
          <w:snapToGrid/>
          <w:kern w:val="0"/>
          <w:szCs w:val="22"/>
        </w:rPr>
        <w:t xml:space="preserve">In the alternative, any Price Cap Carrier may elect to implement a single per minute rate element for </w:t>
      </w:r>
      <w:r w:rsidR="00AE1CBD">
        <w:rPr>
          <w:rFonts w:eastAsia="Calibri"/>
          <w:snapToGrid/>
          <w:kern w:val="0"/>
          <w:szCs w:val="22"/>
        </w:rPr>
        <w:t xml:space="preserve">both interstate and intrastate </w:t>
      </w:r>
      <w:r w:rsidRPr="003567F1">
        <w:rPr>
          <w:rFonts w:eastAsia="Calibri"/>
          <w:snapToGrid/>
          <w:kern w:val="0"/>
          <w:szCs w:val="22"/>
        </w:rPr>
        <w:t>terminating End Office Access Service no greater than the 2014 Target Composite Terminating End Office Access Rate</w:t>
      </w:r>
      <w:r>
        <w:rPr>
          <w:rFonts w:eastAsia="Calibri"/>
          <w:snapToGrid/>
          <w:kern w:val="0"/>
          <w:szCs w:val="22"/>
        </w:rPr>
        <w:t xml:space="preserve"> if its intrastate terminating end office access rates would be at rate parity with its interstate terminating end office access rates</w:t>
      </w:r>
      <w:r w:rsidRPr="003567F1">
        <w:rPr>
          <w:rFonts w:eastAsia="Calibri"/>
          <w:snapToGrid/>
          <w:kern w:val="0"/>
          <w:szCs w:val="22"/>
        </w:rPr>
        <w:t>.</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(e) * * *</w:t>
      </w:r>
    </w:p>
    <w:p w:rsidR="00746444" w:rsidRPr="003567F1" w:rsidRDefault="00746444" w:rsidP="00746444">
      <w:pPr>
        <w:widowControl/>
        <w:rPr>
          <w:rFonts w:eastAsia="Calibri"/>
          <w:snapToGrid/>
          <w:kern w:val="0"/>
          <w:szCs w:val="22"/>
        </w:rPr>
      </w:pPr>
    </w:p>
    <w:p w:rsidR="00746444" w:rsidRPr="003567F1" w:rsidRDefault="00746444" w:rsidP="00746444">
      <w:pPr>
        <w:widowControl/>
        <w:numPr>
          <w:ilvl w:val="0"/>
          <w:numId w:val="13"/>
        </w:numPr>
        <w:spacing w:after="200"/>
        <w:contextualSpacing/>
        <w:rPr>
          <w:rFonts w:eastAsia="Calibri"/>
          <w:snapToGrid/>
          <w:kern w:val="0"/>
          <w:szCs w:val="22"/>
        </w:rPr>
      </w:pPr>
      <w:r w:rsidRPr="003567F1">
        <w:rPr>
          <w:rFonts w:eastAsia="Calibri"/>
          <w:snapToGrid/>
          <w:kern w:val="0"/>
          <w:szCs w:val="22"/>
        </w:rPr>
        <w:t>*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1440"/>
        <w:rPr>
          <w:rFonts w:eastAsia="Calibri"/>
          <w:snapToGrid/>
          <w:kern w:val="0"/>
          <w:szCs w:val="22"/>
        </w:rPr>
      </w:pPr>
      <w:r w:rsidRPr="003567F1">
        <w:rPr>
          <w:rFonts w:eastAsia="Calibri"/>
          <w:snapToGrid/>
          <w:kern w:val="0"/>
          <w:szCs w:val="22"/>
        </w:rPr>
        <w:t>(ii) Beginning July 1, 2015, no Price Cap Carrier's interstate Composite Terminating End Office Access Rate shall exceed its 2015 Target Composite Terminating End Office Access Rate.</w:t>
      </w:r>
      <w:r>
        <w:rPr>
          <w:rFonts w:eastAsia="Calibri"/>
          <w:snapToGrid/>
          <w:kern w:val="0"/>
          <w:szCs w:val="22"/>
        </w:rPr>
        <w:t xml:space="preserve"> </w:t>
      </w:r>
      <w:r w:rsidRPr="003567F1">
        <w:rPr>
          <w:rFonts w:eastAsia="Calibri"/>
          <w:snapToGrid/>
          <w:kern w:val="0"/>
          <w:szCs w:val="22"/>
        </w:rPr>
        <w:t xml:space="preserve"> A price cap carrier shall determine compliance by calculating interstate Composite Terminating End Office Access Rates using the relevant Fiscal Year 2011 </w:t>
      </w:r>
      <w:r>
        <w:rPr>
          <w:rFonts w:eastAsia="Calibri"/>
          <w:snapToGrid/>
          <w:kern w:val="0"/>
          <w:szCs w:val="22"/>
        </w:rPr>
        <w:t xml:space="preserve">interstate </w:t>
      </w:r>
      <w:r w:rsidRPr="003567F1">
        <w:rPr>
          <w:rFonts w:eastAsia="Calibri"/>
          <w:snapToGrid/>
          <w:kern w:val="0"/>
          <w:szCs w:val="22"/>
        </w:rPr>
        <w:t>demand</w:t>
      </w:r>
      <w:r>
        <w:rPr>
          <w:rFonts w:eastAsia="Calibri"/>
          <w:snapToGrid/>
          <w:kern w:val="0"/>
          <w:szCs w:val="22"/>
        </w:rPr>
        <w:t xml:space="preserve"> </w:t>
      </w:r>
      <w:r w:rsidRPr="003567F1">
        <w:rPr>
          <w:rFonts w:eastAsia="Calibri"/>
          <w:snapToGrid/>
          <w:kern w:val="0"/>
          <w:szCs w:val="22"/>
        </w:rPr>
        <w:t>multiplied by the respective interstate rates as of July 1, 2015</w:t>
      </w:r>
      <w:r>
        <w:rPr>
          <w:rFonts w:eastAsia="Calibri"/>
          <w:snapToGrid/>
          <w:kern w:val="0"/>
          <w:szCs w:val="22"/>
        </w:rPr>
        <w:t>, and then dividing the result by the relevant 2011 Fiscal Year interstate terminating local switching demand</w:t>
      </w:r>
      <w:r w:rsidRPr="003567F1">
        <w:rPr>
          <w:rFonts w:eastAsia="Calibri"/>
          <w:snapToGrid/>
          <w:kern w:val="0"/>
          <w:szCs w:val="22"/>
        </w:rPr>
        <w:t xml:space="preserve">.  </w:t>
      </w:r>
      <w:r>
        <w:rPr>
          <w:rFonts w:eastAsia="Calibri"/>
          <w:snapToGrid/>
          <w:kern w:val="0"/>
          <w:szCs w:val="22"/>
        </w:rPr>
        <w:t>A price cap carrier’s intrastate terminating end office access rates may not exceed the comparable interstate terminating end office access rate</w:t>
      </w:r>
      <w:r w:rsidR="00AE1CBD">
        <w:rPr>
          <w:rFonts w:eastAsia="Calibri"/>
          <w:snapToGrid/>
          <w:kern w:val="0"/>
          <w:szCs w:val="22"/>
        </w:rPr>
        <w:t>s</w:t>
      </w:r>
      <w:r>
        <w:rPr>
          <w:rFonts w:eastAsia="Calibri"/>
          <w:snapToGrid/>
          <w:kern w:val="0"/>
          <w:szCs w:val="22"/>
        </w:rPr>
        <w:t xml:space="preserve">.  </w:t>
      </w:r>
      <w:r w:rsidRPr="003567F1">
        <w:rPr>
          <w:rFonts w:eastAsia="Calibri"/>
          <w:snapToGrid/>
          <w:kern w:val="0"/>
          <w:szCs w:val="22"/>
        </w:rPr>
        <w:t xml:space="preserve">In the alternative, any Price Cap Carrier may elect to implement a single per minute rate element for </w:t>
      </w:r>
      <w:r w:rsidR="00AE1CBD">
        <w:rPr>
          <w:rFonts w:eastAsia="Calibri"/>
          <w:snapToGrid/>
          <w:kern w:val="0"/>
          <w:szCs w:val="22"/>
        </w:rPr>
        <w:t>both interstate and intrastate</w:t>
      </w:r>
      <w:r w:rsidR="00AE1CBD" w:rsidRPr="003567F1">
        <w:rPr>
          <w:rFonts w:eastAsia="Calibri"/>
          <w:snapToGrid/>
          <w:kern w:val="0"/>
          <w:szCs w:val="22"/>
        </w:rPr>
        <w:t xml:space="preserve"> </w:t>
      </w:r>
      <w:r w:rsidRPr="003567F1">
        <w:rPr>
          <w:rFonts w:eastAsia="Calibri"/>
          <w:snapToGrid/>
          <w:kern w:val="0"/>
          <w:szCs w:val="22"/>
        </w:rPr>
        <w:t>terminating End Office Access Service no greater than the 2015 Target Composite Terminating End Office Access Rate</w:t>
      </w:r>
      <w:r>
        <w:rPr>
          <w:rFonts w:eastAsia="Calibri"/>
          <w:snapToGrid/>
          <w:kern w:val="0"/>
          <w:szCs w:val="22"/>
        </w:rPr>
        <w:t xml:space="preserve"> if its intrastate terminating end office access rates would be at rate parity with its interstate terminating end office access rates.</w:t>
      </w:r>
    </w:p>
    <w:p w:rsidR="00746444" w:rsidRPr="003567F1" w:rsidRDefault="00746444" w:rsidP="00746444">
      <w:pPr>
        <w:widowControl/>
        <w:ind w:left="1440"/>
        <w:rPr>
          <w:rFonts w:eastAsia="Calibri"/>
          <w:snapToGrid/>
          <w:kern w:val="0"/>
          <w:szCs w:val="22"/>
        </w:rPr>
      </w:pPr>
      <w:r>
        <w:rPr>
          <w:rFonts w:eastAsia="Calibri"/>
          <w:snapToGrid/>
          <w:kern w:val="0"/>
          <w:szCs w:val="22"/>
        </w:rPr>
        <w:t xml:space="preserve"> </w:t>
      </w:r>
    </w:p>
    <w:p w:rsidR="00746444" w:rsidRPr="003567F1" w:rsidRDefault="00746444" w:rsidP="00746444">
      <w:pPr>
        <w:widowControl/>
        <w:spacing w:after="200"/>
        <w:contextualSpacing/>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xml:space="preserve">(f) </w:t>
      </w:r>
      <w:r>
        <w:rPr>
          <w:rFonts w:eastAsia="Calibri"/>
          <w:snapToGrid/>
          <w:kern w:val="0"/>
          <w:szCs w:val="22"/>
        </w:rPr>
        <w:t xml:space="preserve"> </w:t>
      </w:r>
      <w:r w:rsidRPr="003567F1">
        <w:rPr>
          <w:rFonts w:eastAsia="Calibri"/>
          <w:snapToGrid/>
          <w:kern w:val="0"/>
          <w:szCs w:val="22"/>
        </w:rPr>
        <w:t>Step 5. Beginning July 1, 2016, notwithstanding any other provision of the Commission's rules, each Price Cap Carrier shall establish interstate terminating End Office Access Service rates such that its Composite Terminating End Office Access Service rate does not exceed $0.0007 per minute.</w:t>
      </w:r>
      <w:r>
        <w:rPr>
          <w:rFonts w:eastAsia="Calibri"/>
          <w:snapToGrid/>
          <w:kern w:val="0"/>
          <w:szCs w:val="22"/>
        </w:rPr>
        <w:t xml:space="preserve"> </w:t>
      </w:r>
      <w:r w:rsidRPr="003567F1">
        <w:rPr>
          <w:rFonts w:eastAsia="Calibri"/>
          <w:snapToGrid/>
          <w:kern w:val="0"/>
          <w:szCs w:val="22"/>
        </w:rPr>
        <w:t xml:space="preserve"> A price cap carrier shall determine compliance by calculating interstate Composite Terminating End Office Access Rates using the relevant Fiscal Year 2011 </w:t>
      </w:r>
      <w:r>
        <w:rPr>
          <w:rFonts w:eastAsia="Calibri"/>
          <w:snapToGrid/>
          <w:kern w:val="0"/>
          <w:szCs w:val="22"/>
        </w:rPr>
        <w:t xml:space="preserve">interstate demand </w:t>
      </w:r>
      <w:r w:rsidRPr="003567F1">
        <w:rPr>
          <w:rFonts w:eastAsia="Calibri"/>
          <w:snapToGrid/>
          <w:kern w:val="0"/>
          <w:szCs w:val="22"/>
        </w:rPr>
        <w:t>multiplied by the respective interstate rates as of July 1, 2016</w:t>
      </w:r>
      <w:r>
        <w:rPr>
          <w:rFonts w:eastAsia="Calibri"/>
          <w:snapToGrid/>
          <w:kern w:val="0"/>
          <w:szCs w:val="22"/>
        </w:rPr>
        <w:t>, and then dividing the result by the relevant 2011 Fiscal Year interstate terminating local switching demand.  A price cap carrier’s intrastate terminating end office access rates may not exceed the comparable interstate terminating end office access rate</w:t>
      </w:r>
      <w:r w:rsidR="00AE1CBD">
        <w:rPr>
          <w:rFonts w:eastAsia="Calibri"/>
          <w:snapToGrid/>
          <w:kern w:val="0"/>
          <w:szCs w:val="22"/>
        </w:rPr>
        <w:t>s</w:t>
      </w:r>
      <w:r>
        <w:rPr>
          <w:rFonts w:eastAsia="Calibri"/>
          <w:snapToGrid/>
          <w:kern w:val="0"/>
          <w:szCs w:val="22"/>
        </w:rPr>
        <w:t xml:space="preserve">.  </w:t>
      </w:r>
      <w:r w:rsidRPr="007E3A7B">
        <w:rPr>
          <w:rFonts w:eastAsia="Calibri"/>
          <w:snapToGrid/>
          <w:kern w:val="0"/>
          <w:szCs w:val="22"/>
        </w:rPr>
        <w:t xml:space="preserve">In the alternative, any Price Cap Carrier may elect to implement a single per-minute rate element for </w:t>
      </w:r>
      <w:r w:rsidR="00AE1CBD">
        <w:rPr>
          <w:rFonts w:eastAsia="Calibri"/>
          <w:snapToGrid/>
          <w:kern w:val="0"/>
          <w:szCs w:val="22"/>
        </w:rPr>
        <w:t>both interstate and intrastate</w:t>
      </w:r>
      <w:r w:rsidR="00AE1CBD" w:rsidRPr="007E3A7B">
        <w:rPr>
          <w:rFonts w:eastAsia="Calibri"/>
          <w:snapToGrid/>
          <w:kern w:val="0"/>
          <w:szCs w:val="22"/>
        </w:rPr>
        <w:t xml:space="preserve"> </w:t>
      </w:r>
      <w:r w:rsidRPr="007E3A7B">
        <w:rPr>
          <w:rFonts w:eastAsia="Calibri"/>
          <w:snapToGrid/>
          <w:kern w:val="0"/>
          <w:szCs w:val="22"/>
        </w:rPr>
        <w:t>Terminating End Office Access Service no greater than the 2016 Target Composite Terminating End Office Access Rate if its intrastate terminating end office access rates would be at rate parity with its interstate terminating end office access rates</w:t>
      </w:r>
      <w:r>
        <w:rPr>
          <w:rFonts w:eastAsia="Calibri"/>
          <w:snapToGrid/>
          <w:kern w:val="0"/>
          <w:szCs w:val="22"/>
        </w:rPr>
        <w:t xml:space="preserve">. </w:t>
      </w:r>
      <w:r w:rsidRPr="007E3A7B">
        <w:rPr>
          <w:rFonts w:eastAsia="Calibri"/>
          <w:snapToGrid/>
          <w:kern w:val="0"/>
          <w:szCs w:val="22"/>
        </w:rPr>
        <w:t xml:space="preserve"> </w:t>
      </w:r>
      <w:r w:rsidRPr="003567F1">
        <w:rPr>
          <w:rFonts w:eastAsia="Calibri"/>
          <w:snapToGrid/>
          <w:kern w:val="0"/>
          <w:szCs w:val="22"/>
        </w:rPr>
        <w:t>Nothing in this section obligates or allows a Price Cap Carrier that has intrastate rates lower than its functionally equivalent interstate rates to make any intrastate tariff filing or intrastate tariff revisions raising such rates.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Default="00746444" w:rsidP="00746444">
      <w:pPr>
        <w:widowControl/>
        <w:rPr>
          <w:rFonts w:eastAsia="Calibri"/>
          <w:snapToGrid/>
          <w:kern w:val="0"/>
          <w:szCs w:val="22"/>
        </w:rPr>
      </w:pPr>
      <w:r>
        <w:rPr>
          <w:rFonts w:eastAsia="Calibri"/>
          <w:snapToGrid/>
          <w:kern w:val="0"/>
          <w:szCs w:val="22"/>
        </w:rPr>
        <w:br w:type="page"/>
      </w:r>
    </w:p>
    <w:p w:rsidR="00746444" w:rsidRDefault="00746444" w:rsidP="00746444">
      <w:pPr>
        <w:widowControl/>
        <w:rPr>
          <w:rFonts w:eastAsia="Calibri"/>
          <w:snapToGrid/>
          <w:kern w:val="0"/>
          <w:szCs w:val="22"/>
        </w:rPr>
      </w:pPr>
      <w:r w:rsidRPr="003567F1">
        <w:rPr>
          <w:rFonts w:eastAsia="Calibri"/>
          <w:snapToGrid/>
          <w:kern w:val="0"/>
          <w:szCs w:val="22"/>
        </w:rPr>
        <w:t>3.</w:t>
      </w:r>
      <w:r w:rsidRPr="003567F1">
        <w:rPr>
          <w:rFonts w:eastAsia="Calibri"/>
          <w:snapToGrid/>
          <w:kern w:val="0"/>
          <w:szCs w:val="22"/>
        </w:rPr>
        <w:tab/>
        <w:t xml:space="preserve">Amend </w:t>
      </w:r>
      <w:r>
        <w:rPr>
          <w:rFonts w:eastAsia="Calibri"/>
          <w:snapToGrid/>
          <w:kern w:val="0"/>
          <w:szCs w:val="22"/>
        </w:rPr>
        <w:t xml:space="preserve">47 C.F.R. § 51.909 by revising </w:t>
      </w:r>
      <w:r w:rsidRPr="003567F1">
        <w:rPr>
          <w:rFonts w:eastAsia="Calibri"/>
          <w:snapToGrid/>
          <w:kern w:val="0"/>
          <w:szCs w:val="22"/>
        </w:rPr>
        <w:t>(d)(3)</w:t>
      </w:r>
      <w:r>
        <w:rPr>
          <w:rFonts w:eastAsia="Calibri"/>
          <w:snapToGrid/>
          <w:kern w:val="0"/>
          <w:szCs w:val="22"/>
        </w:rPr>
        <w:t xml:space="preserve">(ii)-(iii), (e)(1)(i)-(ii), (f), </w:t>
      </w:r>
      <w:r w:rsidRPr="003567F1">
        <w:rPr>
          <w:rFonts w:eastAsia="Calibri"/>
          <w:snapToGrid/>
          <w:kern w:val="0"/>
          <w:szCs w:val="22"/>
        </w:rPr>
        <w:t>(g)(1), (g)(1)(i)-(ii), (h)(1), and (h)(1)(i)-(ii) to read as follows:</w:t>
      </w:r>
    </w:p>
    <w:p w:rsidR="00255D59" w:rsidRPr="003567F1" w:rsidRDefault="00255D59" w:rsidP="00746444">
      <w:pPr>
        <w:widowControl/>
        <w:rPr>
          <w:rFonts w:eastAsia="Calibri"/>
          <w:snapToGrid/>
          <w:kern w:val="0"/>
          <w:szCs w:val="22"/>
        </w:rPr>
      </w:pPr>
    </w:p>
    <w:p w:rsidR="00746444" w:rsidRPr="003567F1" w:rsidRDefault="00746444" w:rsidP="00746444">
      <w:pPr>
        <w:widowControl/>
        <w:rPr>
          <w:rFonts w:eastAsia="Calibri"/>
          <w:b/>
          <w:snapToGrid/>
          <w:kern w:val="0"/>
          <w:szCs w:val="22"/>
          <w:u w:val="single"/>
        </w:rPr>
      </w:pPr>
      <w:r w:rsidRPr="003567F1">
        <w:rPr>
          <w:rFonts w:eastAsia="Calibri"/>
          <w:b/>
          <w:snapToGrid/>
          <w:kern w:val="0"/>
          <w:szCs w:val="22"/>
          <w:u w:val="single"/>
        </w:rPr>
        <w:t>§ 51.909 Transition of rate-of-return carrier access charges.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(d)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ab/>
        <w:t>(3)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1440"/>
        <w:rPr>
          <w:rFonts w:eastAsia="Calibri"/>
          <w:snapToGrid/>
          <w:kern w:val="0"/>
          <w:szCs w:val="22"/>
        </w:rPr>
      </w:pPr>
      <w:r>
        <w:rPr>
          <w:rFonts w:eastAsia="Calibri"/>
          <w:snapToGrid/>
          <w:kern w:val="0"/>
          <w:szCs w:val="22"/>
        </w:rPr>
        <w:t>(ii) Each Rate-of-</w:t>
      </w:r>
      <w:r w:rsidRPr="003567F1">
        <w:rPr>
          <w:rFonts w:eastAsia="Calibri"/>
          <w:snapToGrid/>
          <w:kern w:val="0"/>
          <w:szCs w:val="22"/>
        </w:rPr>
        <w:t xml:space="preserve">Return Carrier shall calculate its 2014 Target Composite Terminating End Office Access Rate. </w:t>
      </w:r>
      <w:r>
        <w:rPr>
          <w:rFonts w:eastAsia="Calibri"/>
          <w:snapToGrid/>
          <w:kern w:val="0"/>
          <w:szCs w:val="22"/>
        </w:rPr>
        <w:t xml:space="preserve"> </w:t>
      </w:r>
      <w:r w:rsidRPr="003567F1">
        <w:rPr>
          <w:rFonts w:eastAsia="Calibri"/>
          <w:snapToGrid/>
          <w:kern w:val="0"/>
          <w:szCs w:val="22"/>
        </w:rPr>
        <w:t>The 2014 Target Composite Terminating End Office Access Rate means $0.005 p</w:t>
      </w:r>
      <w:r>
        <w:rPr>
          <w:rFonts w:eastAsia="Calibri"/>
          <w:snapToGrid/>
          <w:kern w:val="0"/>
          <w:szCs w:val="22"/>
        </w:rPr>
        <w:t xml:space="preserve">er minute plus two-thirds of </w:t>
      </w:r>
      <w:r w:rsidRPr="007D1106">
        <w:rPr>
          <w:rFonts w:eastAsia="Calibri"/>
          <w:snapToGrid/>
          <w:kern w:val="0"/>
          <w:szCs w:val="22"/>
        </w:rPr>
        <w:t>any</w:t>
      </w:r>
      <w:r w:rsidRPr="003567F1">
        <w:rPr>
          <w:rFonts w:eastAsia="Calibri"/>
          <w:snapToGrid/>
          <w:kern w:val="0"/>
          <w:szCs w:val="22"/>
        </w:rPr>
        <w:t xml:space="preserve"> difference between the 2011 Baseline Composite Terminating End Office Access Rate and $0.005 per minute.</w:t>
      </w:r>
    </w:p>
    <w:p w:rsidR="00746444" w:rsidRPr="003567F1" w:rsidRDefault="00746444" w:rsidP="00746444">
      <w:pPr>
        <w:widowControl/>
        <w:ind w:left="1440"/>
        <w:rPr>
          <w:rFonts w:eastAsia="Calibri"/>
          <w:snapToGrid/>
          <w:kern w:val="0"/>
          <w:szCs w:val="22"/>
        </w:rPr>
      </w:pPr>
    </w:p>
    <w:p w:rsidR="00746444" w:rsidRPr="006C28AC" w:rsidRDefault="00746444" w:rsidP="00746444">
      <w:pPr>
        <w:widowControl/>
        <w:ind w:left="1440"/>
        <w:rPr>
          <w:rFonts w:eastAsia="Calibri"/>
          <w:snapToGrid/>
          <w:kern w:val="0"/>
          <w:szCs w:val="22"/>
        </w:rPr>
      </w:pPr>
      <w:r w:rsidRPr="003567F1">
        <w:rPr>
          <w:rFonts w:eastAsia="Calibri"/>
          <w:snapToGrid/>
          <w:kern w:val="0"/>
          <w:szCs w:val="22"/>
        </w:rPr>
        <w:t>(iii) Beg</w:t>
      </w:r>
      <w:r>
        <w:rPr>
          <w:rFonts w:eastAsia="Calibri"/>
          <w:snapToGrid/>
          <w:kern w:val="0"/>
          <w:szCs w:val="22"/>
        </w:rPr>
        <w:t>inning July 1, 2014, no Rate-of-</w:t>
      </w:r>
      <w:r w:rsidRPr="003567F1">
        <w:rPr>
          <w:rFonts w:eastAsia="Calibri"/>
          <w:snapToGrid/>
          <w:kern w:val="0"/>
          <w:szCs w:val="22"/>
        </w:rPr>
        <w:t>Return Carrier's interstate Composite Terminating End Office Access Rate shall exceed its 2014 Target Composite Terminating End Office Access Rate</w:t>
      </w:r>
      <w:r w:rsidRPr="007D1106">
        <w:rPr>
          <w:rFonts w:eastAsia="Calibri"/>
          <w:snapToGrid/>
          <w:kern w:val="0"/>
          <w:szCs w:val="22"/>
        </w:rPr>
        <w:t xml:space="preserve">.  A rate-of-return carrier shall determine compliance by calculating interstate Composite Terminating End Office Access Rates using the relevant projected </w:t>
      </w:r>
      <w:r>
        <w:rPr>
          <w:rFonts w:eastAsia="Calibri"/>
          <w:snapToGrid/>
          <w:kern w:val="0"/>
          <w:szCs w:val="22"/>
        </w:rPr>
        <w:t xml:space="preserve">interstate </w:t>
      </w:r>
      <w:r w:rsidRPr="007D1106">
        <w:rPr>
          <w:rFonts w:eastAsia="Calibri"/>
          <w:snapToGrid/>
          <w:kern w:val="0"/>
          <w:szCs w:val="22"/>
        </w:rPr>
        <w:t xml:space="preserve">demand for the tariff period multiplied by the respective interstate rates as of July 1, 2014, and then dividing by the projected </w:t>
      </w:r>
      <w:r>
        <w:rPr>
          <w:rFonts w:eastAsia="Calibri"/>
          <w:snapToGrid/>
          <w:kern w:val="0"/>
          <w:szCs w:val="22"/>
        </w:rPr>
        <w:t xml:space="preserve">interstate </w:t>
      </w:r>
      <w:r w:rsidRPr="007D1106">
        <w:rPr>
          <w:rFonts w:eastAsia="Calibri"/>
          <w:snapToGrid/>
          <w:kern w:val="0"/>
          <w:szCs w:val="22"/>
        </w:rPr>
        <w:t>terminating end office local switching demand for the tariff period</w:t>
      </w:r>
      <w:r w:rsidRPr="003567F1">
        <w:rPr>
          <w:rFonts w:eastAsia="Calibri"/>
          <w:snapToGrid/>
          <w:kern w:val="0"/>
          <w:szCs w:val="22"/>
        </w:rPr>
        <w:t xml:space="preserve">.  </w:t>
      </w:r>
      <w:r w:rsidRPr="006C28AC">
        <w:rPr>
          <w:rFonts w:eastAsia="Calibri"/>
          <w:snapToGrid/>
          <w:kern w:val="0"/>
          <w:szCs w:val="22"/>
        </w:rPr>
        <w:t>A rate-of-return carrier’s intrastate terminating end office access rates may not exceed the comparable interstate terminating end office access rate</w:t>
      </w:r>
      <w:r w:rsidR="00AE1CBD">
        <w:rPr>
          <w:rFonts w:eastAsia="Calibri"/>
          <w:snapToGrid/>
          <w:kern w:val="0"/>
          <w:szCs w:val="22"/>
        </w:rPr>
        <w:t>s</w:t>
      </w:r>
      <w:r w:rsidRPr="006C28AC">
        <w:rPr>
          <w:rFonts w:eastAsia="Calibri"/>
          <w:snapToGrid/>
          <w:kern w:val="0"/>
          <w:szCs w:val="22"/>
        </w:rPr>
        <w:t>.  In the alternative, any Rate-of</w:t>
      </w:r>
      <w:r>
        <w:rPr>
          <w:rFonts w:eastAsia="Calibri"/>
          <w:snapToGrid/>
          <w:kern w:val="0"/>
          <w:szCs w:val="22"/>
        </w:rPr>
        <w:t>-</w:t>
      </w:r>
      <w:r w:rsidRPr="006C28AC">
        <w:rPr>
          <w:rFonts w:eastAsia="Calibri"/>
          <w:snapToGrid/>
          <w:kern w:val="0"/>
          <w:szCs w:val="22"/>
        </w:rPr>
        <w:t xml:space="preserve">Return Carrier may elect to implement a single per minute rate element for </w:t>
      </w:r>
      <w:r w:rsidR="00AE1CBD">
        <w:rPr>
          <w:rFonts w:eastAsia="Calibri"/>
          <w:snapToGrid/>
          <w:kern w:val="0"/>
          <w:szCs w:val="22"/>
        </w:rPr>
        <w:t>both interstate and intrastate</w:t>
      </w:r>
      <w:r w:rsidR="00AE1CBD" w:rsidRPr="006C28AC">
        <w:rPr>
          <w:rFonts w:eastAsia="Calibri"/>
          <w:snapToGrid/>
          <w:kern w:val="0"/>
          <w:szCs w:val="22"/>
        </w:rPr>
        <w:t xml:space="preserve"> </w:t>
      </w:r>
      <w:r w:rsidRPr="006C28AC">
        <w:rPr>
          <w:rFonts w:eastAsia="Calibri"/>
          <w:snapToGrid/>
          <w:kern w:val="0"/>
          <w:szCs w:val="22"/>
        </w:rPr>
        <w:t>terminating End Office Access Service no greater than the 2014 Target Composite Terminating End Office Access Rate if its intrastate terminating end office access rates would be at rate parity with its interstate terminating end office access rates.</w:t>
      </w:r>
    </w:p>
    <w:p w:rsidR="00746444" w:rsidRPr="003567F1" w:rsidRDefault="00746444" w:rsidP="00746444">
      <w:pPr>
        <w:widowControl/>
        <w:spacing w:line="276" w:lineRule="auto"/>
        <w:ind w:left="1440"/>
        <w:rPr>
          <w:rFonts w:eastAsia="Calibri"/>
          <w:snapToGrid/>
          <w:kern w:val="0"/>
          <w:szCs w:val="22"/>
        </w:rPr>
      </w:pPr>
    </w:p>
    <w:p w:rsidR="00746444" w:rsidRPr="003567F1" w:rsidRDefault="00746444" w:rsidP="00746444">
      <w:pPr>
        <w:widowControl/>
        <w:spacing w:line="276" w:lineRule="auto"/>
        <w:rPr>
          <w:rFonts w:eastAsia="Calibri"/>
          <w:snapToGrid/>
          <w:kern w:val="0"/>
          <w:szCs w:val="22"/>
        </w:rPr>
      </w:pPr>
      <w:r w:rsidRPr="003567F1">
        <w:rPr>
          <w:rFonts w:eastAsia="Calibri"/>
          <w:snapToGrid/>
          <w:kern w:val="0"/>
          <w:szCs w:val="22"/>
        </w:rPr>
        <w:t xml:space="preserve">* * * * * </w:t>
      </w:r>
    </w:p>
    <w:p w:rsidR="00746444" w:rsidRPr="003567F1" w:rsidRDefault="00746444" w:rsidP="00746444">
      <w:pPr>
        <w:widowControl/>
        <w:spacing w:line="276" w:lineRule="auto"/>
        <w:rPr>
          <w:rFonts w:eastAsia="Calibri"/>
          <w:snapToGrid/>
          <w:kern w:val="0"/>
          <w:szCs w:val="22"/>
        </w:rPr>
      </w:pPr>
    </w:p>
    <w:p w:rsidR="00746444" w:rsidRPr="003567F1" w:rsidRDefault="00746444" w:rsidP="00746444">
      <w:pPr>
        <w:widowControl/>
        <w:spacing w:line="276" w:lineRule="auto"/>
        <w:rPr>
          <w:rFonts w:eastAsia="Calibri"/>
          <w:snapToGrid/>
          <w:kern w:val="0"/>
          <w:szCs w:val="22"/>
        </w:rPr>
      </w:pPr>
      <w:r w:rsidRPr="003567F1">
        <w:rPr>
          <w:rFonts w:eastAsia="Calibri"/>
          <w:snapToGrid/>
          <w:kern w:val="0"/>
          <w:szCs w:val="22"/>
        </w:rPr>
        <w:t>(e) * * *</w:t>
      </w:r>
    </w:p>
    <w:p w:rsidR="00746444" w:rsidRPr="003567F1" w:rsidRDefault="00746444" w:rsidP="00746444">
      <w:pPr>
        <w:widowControl/>
        <w:spacing w:line="276" w:lineRule="auto"/>
        <w:rPr>
          <w:rFonts w:eastAsia="Calibri"/>
          <w:snapToGrid/>
          <w:kern w:val="0"/>
          <w:szCs w:val="22"/>
        </w:rPr>
      </w:pPr>
    </w:p>
    <w:p w:rsidR="00746444" w:rsidRPr="003567F1" w:rsidRDefault="00746444" w:rsidP="00746444">
      <w:pPr>
        <w:widowControl/>
        <w:numPr>
          <w:ilvl w:val="0"/>
          <w:numId w:val="15"/>
        </w:numPr>
        <w:spacing w:after="200"/>
        <w:contextualSpacing/>
        <w:rPr>
          <w:rFonts w:eastAsia="Calibri"/>
          <w:snapToGrid/>
          <w:kern w:val="0"/>
          <w:szCs w:val="22"/>
        </w:rPr>
      </w:pPr>
      <w:r w:rsidRPr="003567F1">
        <w:rPr>
          <w:rFonts w:eastAsia="Calibri"/>
          <w:snapToGrid/>
          <w:kern w:val="0"/>
          <w:szCs w:val="22"/>
        </w:rPr>
        <w:t>*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1440"/>
        <w:rPr>
          <w:rFonts w:eastAsia="Calibri"/>
          <w:snapToGrid/>
          <w:kern w:val="0"/>
          <w:szCs w:val="22"/>
        </w:rPr>
      </w:pPr>
      <w:r>
        <w:rPr>
          <w:rFonts w:eastAsia="Calibri"/>
          <w:snapToGrid/>
          <w:kern w:val="0"/>
          <w:szCs w:val="22"/>
        </w:rPr>
        <w:t>(i) Each Rate-of-</w:t>
      </w:r>
      <w:r w:rsidRPr="003567F1">
        <w:rPr>
          <w:rFonts w:eastAsia="Calibri"/>
          <w:snapToGrid/>
          <w:kern w:val="0"/>
          <w:szCs w:val="22"/>
        </w:rPr>
        <w:t>Return Carrier shall calculate its 2015 Target Composite Terminating End Office Access Rate.</w:t>
      </w:r>
      <w:r>
        <w:rPr>
          <w:rFonts w:eastAsia="Calibri"/>
          <w:snapToGrid/>
          <w:kern w:val="0"/>
          <w:szCs w:val="22"/>
        </w:rPr>
        <w:t xml:space="preserve"> </w:t>
      </w:r>
      <w:r w:rsidRPr="003567F1">
        <w:rPr>
          <w:rFonts w:eastAsia="Calibri"/>
          <w:snapToGrid/>
          <w:kern w:val="0"/>
          <w:szCs w:val="22"/>
        </w:rPr>
        <w:t xml:space="preserve"> The 2015 Target Composite Terminating End Office Access Rate means $0.005 </w:t>
      </w:r>
      <w:r>
        <w:rPr>
          <w:rFonts w:eastAsia="Calibri"/>
          <w:snapToGrid/>
          <w:kern w:val="0"/>
          <w:szCs w:val="22"/>
        </w:rPr>
        <w:t xml:space="preserve">per minute plus one-third of </w:t>
      </w:r>
      <w:r w:rsidRPr="007D1106">
        <w:rPr>
          <w:rFonts w:eastAsia="Calibri"/>
          <w:snapToGrid/>
          <w:kern w:val="0"/>
          <w:szCs w:val="22"/>
        </w:rPr>
        <w:t>any</w:t>
      </w:r>
      <w:r w:rsidRPr="003567F1">
        <w:rPr>
          <w:rFonts w:eastAsia="Calibri"/>
          <w:snapToGrid/>
          <w:kern w:val="0"/>
          <w:szCs w:val="22"/>
        </w:rPr>
        <w:t xml:space="preserve"> difference between the 2011 Baseline Composite Terminating End Office Access Rate and $0.005 per minute.</w:t>
      </w:r>
    </w:p>
    <w:p w:rsidR="00746444" w:rsidRPr="003567F1" w:rsidRDefault="00746444" w:rsidP="00746444">
      <w:pPr>
        <w:widowControl/>
        <w:ind w:left="1440"/>
        <w:rPr>
          <w:rFonts w:eastAsia="Calibri"/>
          <w:snapToGrid/>
          <w:kern w:val="0"/>
          <w:szCs w:val="22"/>
        </w:rPr>
      </w:pPr>
    </w:p>
    <w:p w:rsidR="00746444" w:rsidRPr="00264DCA" w:rsidRDefault="00746444" w:rsidP="00746444">
      <w:pPr>
        <w:widowControl/>
        <w:ind w:left="1440"/>
        <w:rPr>
          <w:rFonts w:eastAsia="Calibri"/>
          <w:snapToGrid/>
          <w:kern w:val="0"/>
          <w:szCs w:val="22"/>
        </w:rPr>
      </w:pPr>
      <w:r w:rsidRPr="003567F1">
        <w:rPr>
          <w:rFonts w:eastAsia="Calibri"/>
          <w:snapToGrid/>
          <w:kern w:val="0"/>
          <w:szCs w:val="22"/>
        </w:rPr>
        <w:t>(ii) Beg</w:t>
      </w:r>
      <w:r>
        <w:rPr>
          <w:rFonts w:eastAsia="Calibri"/>
          <w:snapToGrid/>
          <w:kern w:val="0"/>
          <w:szCs w:val="22"/>
        </w:rPr>
        <w:t>inning July 1, 2015, no Rate-of-</w:t>
      </w:r>
      <w:r w:rsidRPr="003567F1">
        <w:rPr>
          <w:rFonts w:eastAsia="Calibri"/>
          <w:snapToGrid/>
          <w:kern w:val="0"/>
          <w:szCs w:val="22"/>
        </w:rPr>
        <w:t>Return Carrier's interstate Composite Terminating End Office Access Rate shall exceed its 2015 Target Composite Terminating End Office Access Rate</w:t>
      </w:r>
      <w:r w:rsidRPr="007D1106">
        <w:rPr>
          <w:rFonts w:eastAsia="Calibri"/>
          <w:snapToGrid/>
          <w:kern w:val="0"/>
          <w:szCs w:val="22"/>
        </w:rPr>
        <w:t xml:space="preserve">.  A rate-of-return carrier shall determine compliance by calculating interstate Composite Terminating End Office Access Rates using the relevant projected </w:t>
      </w:r>
      <w:r>
        <w:rPr>
          <w:rFonts w:eastAsia="Calibri"/>
          <w:snapToGrid/>
          <w:kern w:val="0"/>
          <w:szCs w:val="22"/>
        </w:rPr>
        <w:t xml:space="preserve">interstate </w:t>
      </w:r>
      <w:r w:rsidRPr="007D1106">
        <w:rPr>
          <w:rFonts w:eastAsia="Calibri"/>
          <w:snapToGrid/>
          <w:kern w:val="0"/>
          <w:szCs w:val="22"/>
        </w:rPr>
        <w:t xml:space="preserve">demand for the tariff period multiplied by the respective interstate rates as of July 1, 2015, and then dividing by the projected </w:t>
      </w:r>
      <w:r>
        <w:rPr>
          <w:rFonts w:eastAsia="Calibri"/>
          <w:snapToGrid/>
          <w:kern w:val="0"/>
          <w:szCs w:val="22"/>
        </w:rPr>
        <w:t xml:space="preserve">interstate </w:t>
      </w:r>
      <w:r w:rsidRPr="007D1106">
        <w:rPr>
          <w:rFonts w:eastAsia="Calibri"/>
          <w:snapToGrid/>
          <w:kern w:val="0"/>
          <w:szCs w:val="22"/>
        </w:rPr>
        <w:t>terminating end office local switching demand for the tariff period.</w:t>
      </w:r>
      <w:r w:rsidRPr="003567F1">
        <w:rPr>
          <w:rFonts w:eastAsia="Calibri"/>
          <w:snapToGrid/>
          <w:kern w:val="0"/>
          <w:szCs w:val="22"/>
        </w:rPr>
        <w:t xml:space="preserve">  </w:t>
      </w:r>
      <w:r w:rsidRPr="006C28AC">
        <w:rPr>
          <w:rFonts w:eastAsia="Calibri"/>
          <w:snapToGrid/>
          <w:kern w:val="0"/>
          <w:szCs w:val="22"/>
        </w:rPr>
        <w:t>A rate-of-return carrier’s intrastate terminating end office access rates may not exceed the comparable interstate terminating end office access rate</w:t>
      </w:r>
      <w:r w:rsidR="00AE1CBD">
        <w:rPr>
          <w:rFonts w:eastAsia="Calibri"/>
          <w:snapToGrid/>
          <w:kern w:val="0"/>
          <w:szCs w:val="22"/>
        </w:rPr>
        <w:t>s</w:t>
      </w:r>
      <w:r w:rsidRPr="006C28AC">
        <w:rPr>
          <w:rFonts w:eastAsia="Calibri"/>
          <w:snapToGrid/>
          <w:kern w:val="0"/>
          <w:szCs w:val="22"/>
        </w:rPr>
        <w:t xml:space="preserve">.  </w:t>
      </w:r>
      <w:r>
        <w:rPr>
          <w:rFonts w:eastAsia="Calibri"/>
          <w:snapToGrid/>
          <w:kern w:val="0"/>
          <w:szCs w:val="22"/>
        </w:rPr>
        <w:t>In the alternative, any Rate-of-</w:t>
      </w:r>
      <w:r w:rsidRPr="003567F1">
        <w:rPr>
          <w:rFonts w:eastAsia="Calibri"/>
          <w:snapToGrid/>
          <w:kern w:val="0"/>
          <w:szCs w:val="22"/>
        </w:rPr>
        <w:t xml:space="preserve">Return Carrier may elect to implement a single per minute rate element for </w:t>
      </w:r>
      <w:r w:rsidR="00AE1CBD">
        <w:rPr>
          <w:rFonts w:eastAsia="Calibri"/>
          <w:snapToGrid/>
          <w:kern w:val="0"/>
          <w:szCs w:val="22"/>
        </w:rPr>
        <w:t>both interstate and intrastate</w:t>
      </w:r>
      <w:r w:rsidR="00AE1CBD" w:rsidRPr="003567F1">
        <w:rPr>
          <w:rFonts w:eastAsia="Calibri"/>
          <w:snapToGrid/>
          <w:kern w:val="0"/>
          <w:szCs w:val="22"/>
        </w:rPr>
        <w:t xml:space="preserve"> </w:t>
      </w:r>
      <w:r w:rsidRPr="003567F1">
        <w:rPr>
          <w:rFonts w:eastAsia="Calibri"/>
          <w:snapToGrid/>
          <w:kern w:val="0"/>
          <w:szCs w:val="22"/>
        </w:rPr>
        <w:t>terminating End Office Access Service no greater than the 2015 Target Composite Terminating End Office Access Rate</w:t>
      </w:r>
      <w:r>
        <w:rPr>
          <w:rFonts w:eastAsia="Calibri"/>
          <w:snapToGrid/>
          <w:kern w:val="0"/>
          <w:szCs w:val="22"/>
        </w:rPr>
        <w:t xml:space="preserve"> </w:t>
      </w:r>
      <w:r w:rsidRPr="006C28AC">
        <w:rPr>
          <w:rFonts w:eastAsia="Calibri"/>
          <w:snapToGrid/>
          <w:kern w:val="0"/>
          <w:szCs w:val="22"/>
        </w:rPr>
        <w:t xml:space="preserve">if its intrastate terminating end office access rates would be at rate parity with its interstate </w:t>
      </w:r>
      <w:r w:rsidRPr="00264DCA">
        <w:rPr>
          <w:rFonts w:eastAsia="Calibri"/>
          <w:snapToGrid/>
          <w:kern w:val="0"/>
          <w:szCs w:val="22"/>
        </w:rPr>
        <w:t xml:space="preserve">terminating end office access rates.  </w:t>
      </w:r>
      <w:r w:rsidRPr="00264DCA">
        <w:rPr>
          <w:color w:val="000000"/>
          <w:szCs w:val="22"/>
        </w:rPr>
        <w:t>Nothing in this section obligates or allows a Rate-of–Return Carrier that has intrastate rates lower than its functionally equivalent interstate rates to make any intrastate tariff filing or intrastate tariff revisions raising such rates.</w:t>
      </w:r>
    </w:p>
    <w:p w:rsidR="00746444" w:rsidRPr="003567F1" w:rsidRDefault="00746444" w:rsidP="00746444">
      <w:pPr>
        <w:widowControl/>
        <w:spacing w:line="276" w:lineRule="auto"/>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(f) Step 5. Beginning July 1, 2016, notwithstanding any other provision of the C</w:t>
      </w:r>
      <w:r>
        <w:rPr>
          <w:rFonts w:eastAsia="Calibri"/>
          <w:snapToGrid/>
          <w:kern w:val="0"/>
          <w:szCs w:val="22"/>
        </w:rPr>
        <w:t>ommission's rules, each Rate-of-</w:t>
      </w:r>
      <w:r w:rsidRPr="003567F1">
        <w:rPr>
          <w:rFonts w:eastAsia="Calibri"/>
          <w:snapToGrid/>
          <w:kern w:val="0"/>
          <w:szCs w:val="22"/>
        </w:rPr>
        <w:t xml:space="preserve">Return Carrier shall establish interstate terminating End Office Access Service rates such that its </w:t>
      </w:r>
      <w:r>
        <w:rPr>
          <w:rFonts w:eastAsia="Calibri"/>
          <w:snapToGrid/>
          <w:kern w:val="0"/>
          <w:szCs w:val="22"/>
        </w:rPr>
        <w:t xml:space="preserve">interstate </w:t>
      </w:r>
      <w:r w:rsidRPr="003567F1">
        <w:rPr>
          <w:rFonts w:eastAsia="Calibri"/>
          <w:snapToGrid/>
          <w:kern w:val="0"/>
          <w:szCs w:val="22"/>
        </w:rPr>
        <w:t xml:space="preserve">Composite Terminating End Office Access Service rate does not exceed $0.005 per minute. </w:t>
      </w:r>
      <w:r>
        <w:rPr>
          <w:rFonts w:eastAsia="Calibri"/>
          <w:snapToGrid/>
          <w:kern w:val="0"/>
          <w:szCs w:val="22"/>
        </w:rPr>
        <w:t xml:space="preserve"> </w:t>
      </w:r>
      <w:r w:rsidRPr="007D1106">
        <w:rPr>
          <w:rFonts w:eastAsia="Calibri"/>
          <w:snapToGrid/>
          <w:kern w:val="0"/>
          <w:szCs w:val="22"/>
        </w:rPr>
        <w:t xml:space="preserve">A rate-of-return carrier shall determine compliance by calculating interstate Composite Terminating End Office Access Rates using the relevant projected </w:t>
      </w:r>
      <w:r>
        <w:rPr>
          <w:rFonts w:eastAsia="Calibri"/>
          <w:snapToGrid/>
          <w:kern w:val="0"/>
          <w:szCs w:val="22"/>
        </w:rPr>
        <w:t xml:space="preserve">interstate </w:t>
      </w:r>
      <w:r w:rsidRPr="007D1106">
        <w:rPr>
          <w:rFonts w:eastAsia="Calibri"/>
          <w:snapToGrid/>
          <w:kern w:val="0"/>
          <w:szCs w:val="22"/>
        </w:rPr>
        <w:t>demand for the tariff period multiplied by the respective interstate rates as of July 1, 201</w:t>
      </w:r>
      <w:r>
        <w:rPr>
          <w:rFonts w:eastAsia="Calibri"/>
          <w:snapToGrid/>
          <w:kern w:val="0"/>
          <w:szCs w:val="22"/>
        </w:rPr>
        <w:t>6</w:t>
      </w:r>
      <w:r w:rsidRPr="007D1106">
        <w:rPr>
          <w:rFonts w:eastAsia="Calibri"/>
          <w:snapToGrid/>
          <w:kern w:val="0"/>
          <w:szCs w:val="22"/>
        </w:rPr>
        <w:t xml:space="preserve">, and then dividing by the projected </w:t>
      </w:r>
      <w:r>
        <w:rPr>
          <w:rFonts w:eastAsia="Calibri"/>
          <w:snapToGrid/>
          <w:kern w:val="0"/>
          <w:szCs w:val="22"/>
        </w:rPr>
        <w:t xml:space="preserve">interstate </w:t>
      </w:r>
      <w:r w:rsidRPr="007D1106">
        <w:rPr>
          <w:rFonts w:eastAsia="Calibri"/>
          <w:snapToGrid/>
          <w:kern w:val="0"/>
          <w:szCs w:val="22"/>
        </w:rPr>
        <w:t>terminating end office local switching demand for the tariff period.</w:t>
      </w:r>
      <w:r w:rsidRPr="003567F1">
        <w:rPr>
          <w:rFonts w:eastAsia="Calibri"/>
          <w:snapToGrid/>
          <w:kern w:val="0"/>
          <w:szCs w:val="22"/>
        </w:rPr>
        <w:t xml:space="preserve">  </w:t>
      </w:r>
      <w:r w:rsidRPr="006C28AC">
        <w:rPr>
          <w:rFonts w:eastAsia="Calibri"/>
          <w:snapToGrid/>
          <w:kern w:val="0"/>
          <w:szCs w:val="22"/>
        </w:rPr>
        <w:t>A rate-of-return carrier’s intrastate terminating end office access rates may not exceed the comparable interstate terminating end office access rate</w:t>
      </w:r>
      <w:r w:rsidR="00AE1CBD">
        <w:rPr>
          <w:rFonts w:eastAsia="Calibri"/>
          <w:snapToGrid/>
          <w:kern w:val="0"/>
          <w:szCs w:val="22"/>
        </w:rPr>
        <w:t>s</w:t>
      </w:r>
      <w:r w:rsidRPr="006C28AC">
        <w:rPr>
          <w:rFonts w:eastAsia="Calibri"/>
          <w:snapToGrid/>
          <w:kern w:val="0"/>
          <w:szCs w:val="22"/>
        </w:rPr>
        <w:t xml:space="preserve">. </w:t>
      </w:r>
      <w:r>
        <w:rPr>
          <w:rFonts w:eastAsia="Calibri"/>
          <w:snapToGrid/>
          <w:kern w:val="0"/>
          <w:szCs w:val="22"/>
        </w:rPr>
        <w:t>In the alternative, any Rate-of-</w:t>
      </w:r>
      <w:r w:rsidRPr="003567F1">
        <w:rPr>
          <w:rFonts w:eastAsia="Calibri"/>
          <w:snapToGrid/>
          <w:kern w:val="0"/>
          <w:szCs w:val="22"/>
        </w:rPr>
        <w:t xml:space="preserve">Return Carrier may elect to implement a single per minute rate element for </w:t>
      </w:r>
      <w:r w:rsidR="00AE1CBD">
        <w:rPr>
          <w:rFonts w:eastAsia="Calibri"/>
          <w:snapToGrid/>
          <w:kern w:val="0"/>
          <w:szCs w:val="22"/>
        </w:rPr>
        <w:t>both interstate and intrastate</w:t>
      </w:r>
      <w:r w:rsidR="00AE1CBD" w:rsidRPr="003567F1">
        <w:rPr>
          <w:rFonts w:eastAsia="Calibri"/>
          <w:snapToGrid/>
          <w:kern w:val="0"/>
          <w:szCs w:val="22"/>
        </w:rPr>
        <w:t xml:space="preserve"> </w:t>
      </w:r>
      <w:r w:rsidRPr="003567F1">
        <w:rPr>
          <w:rFonts w:eastAsia="Calibri"/>
          <w:snapToGrid/>
          <w:kern w:val="0"/>
          <w:szCs w:val="22"/>
        </w:rPr>
        <w:t>terminating End Office Access Service no greater than the 2016 Target Composite Terminating End Office Access Rate</w:t>
      </w:r>
      <w:r>
        <w:rPr>
          <w:rFonts w:eastAsia="Calibri"/>
          <w:snapToGrid/>
          <w:kern w:val="0"/>
          <w:szCs w:val="22"/>
        </w:rPr>
        <w:t xml:space="preserve"> if its intrastate terminating end office access rates would be at rate parity with its interstate terminating end office access rates</w:t>
      </w:r>
      <w:r w:rsidRPr="003567F1">
        <w:rPr>
          <w:rFonts w:eastAsia="Calibri"/>
          <w:snapToGrid/>
          <w:kern w:val="0"/>
          <w:szCs w:val="22"/>
        </w:rPr>
        <w:t xml:space="preserve">. </w:t>
      </w:r>
      <w:r>
        <w:rPr>
          <w:rFonts w:eastAsia="Calibri"/>
          <w:snapToGrid/>
          <w:kern w:val="0"/>
          <w:szCs w:val="22"/>
        </w:rPr>
        <w:t xml:space="preserve"> </w:t>
      </w:r>
      <w:r w:rsidRPr="003567F1">
        <w:rPr>
          <w:rFonts w:eastAsia="Calibri"/>
          <w:snapToGrid/>
          <w:kern w:val="0"/>
          <w:szCs w:val="22"/>
        </w:rPr>
        <w:t>Nothing in this sectio</w:t>
      </w:r>
      <w:r>
        <w:rPr>
          <w:rFonts w:eastAsia="Calibri"/>
          <w:snapToGrid/>
          <w:kern w:val="0"/>
          <w:szCs w:val="22"/>
        </w:rPr>
        <w:t>n obligates or allows a Rate-of-</w:t>
      </w:r>
      <w:r w:rsidRPr="003567F1">
        <w:rPr>
          <w:rFonts w:eastAsia="Calibri"/>
          <w:snapToGrid/>
          <w:kern w:val="0"/>
          <w:szCs w:val="22"/>
        </w:rPr>
        <w:t>Return Carrier that has intrastate rates lower than its functionally equivalent interstate rates to make any intrastate tariff filing or intrastate tariff revisions raising such rates.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(g) * * *</w:t>
      </w:r>
    </w:p>
    <w:p w:rsidR="00746444" w:rsidRPr="003567F1" w:rsidRDefault="00746444" w:rsidP="00746444">
      <w:pPr>
        <w:widowControl/>
        <w:rPr>
          <w:rFonts w:eastAsia="Calibri"/>
          <w:snapToGrid/>
          <w:kern w:val="0"/>
          <w:szCs w:val="22"/>
        </w:rPr>
      </w:pPr>
    </w:p>
    <w:p w:rsidR="00746444" w:rsidRPr="003567F1" w:rsidRDefault="00746444" w:rsidP="00746444">
      <w:pPr>
        <w:widowControl/>
        <w:numPr>
          <w:ilvl w:val="0"/>
          <w:numId w:val="16"/>
        </w:numPr>
        <w:spacing w:after="200"/>
        <w:contextualSpacing/>
        <w:rPr>
          <w:rFonts w:eastAsia="Calibri"/>
          <w:snapToGrid/>
          <w:kern w:val="0"/>
          <w:szCs w:val="22"/>
        </w:rPr>
      </w:pPr>
      <w:r>
        <w:rPr>
          <w:rFonts w:eastAsia="Calibri"/>
          <w:snapToGrid/>
          <w:kern w:val="0"/>
          <w:szCs w:val="22"/>
        </w:rPr>
        <w:t>Each Rate-of-</w:t>
      </w:r>
      <w:r w:rsidRPr="003567F1">
        <w:rPr>
          <w:rFonts w:eastAsia="Calibri"/>
          <w:snapToGrid/>
          <w:kern w:val="0"/>
          <w:szCs w:val="22"/>
        </w:rPr>
        <w:t>Return Carrier shall establish interstate and intrastate rates for terminating End Office Access Service using the following methodology:</w:t>
      </w:r>
    </w:p>
    <w:p w:rsidR="00746444" w:rsidRPr="003567F1" w:rsidRDefault="00746444" w:rsidP="00746444">
      <w:pPr>
        <w:widowControl/>
        <w:ind w:left="720"/>
        <w:rPr>
          <w:rFonts w:eastAsia="Calibri"/>
          <w:snapToGrid/>
          <w:kern w:val="0"/>
          <w:szCs w:val="22"/>
        </w:rPr>
      </w:pPr>
    </w:p>
    <w:p w:rsidR="00746444" w:rsidRPr="003567F1" w:rsidRDefault="00746444" w:rsidP="00746444">
      <w:pPr>
        <w:widowControl/>
        <w:ind w:left="1440"/>
        <w:rPr>
          <w:rFonts w:eastAsia="Calibri"/>
          <w:snapToGrid/>
          <w:kern w:val="0"/>
          <w:szCs w:val="22"/>
        </w:rPr>
      </w:pPr>
      <w:r>
        <w:rPr>
          <w:rFonts w:eastAsia="Calibri"/>
          <w:snapToGrid/>
          <w:kern w:val="0"/>
          <w:szCs w:val="22"/>
        </w:rPr>
        <w:t>(i) Each Rate-of-</w:t>
      </w:r>
      <w:r w:rsidRPr="003567F1">
        <w:rPr>
          <w:rFonts w:eastAsia="Calibri"/>
          <w:snapToGrid/>
          <w:kern w:val="0"/>
          <w:szCs w:val="22"/>
        </w:rPr>
        <w:t xml:space="preserve">Return Carrier shall calculate its 2017 Target Composite Terminating End Office Access Rate. </w:t>
      </w:r>
      <w:r>
        <w:rPr>
          <w:rFonts w:eastAsia="Calibri"/>
          <w:snapToGrid/>
          <w:kern w:val="0"/>
          <w:szCs w:val="22"/>
        </w:rPr>
        <w:t xml:space="preserve"> </w:t>
      </w:r>
      <w:r w:rsidRPr="00FD2BD8">
        <w:rPr>
          <w:rFonts w:eastAsia="Calibri"/>
          <w:snapToGrid/>
          <w:kern w:val="0"/>
          <w:szCs w:val="22"/>
        </w:rPr>
        <w:t>The 2017 Target Composite Terminating End Office Access Rate means $0.0007 per minute plus two-thirds of any difference between</w:t>
      </w:r>
      <w:r>
        <w:rPr>
          <w:rFonts w:eastAsia="Calibri"/>
          <w:snapToGrid/>
          <w:kern w:val="0"/>
          <w:szCs w:val="22"/>
        </w:rPr>
        <w:t xml:space="preserve"> that carrier’s </w:t>
      </w:r>
      <w:r>
        <w:rPr>
          <w:rFonts w:eastAsia="Calibri"/>
          <w:kern w:val="0"/>
          <w:szCs w:val="22"/>
        </w:rPr>
        <w:t>2016 Target Composite Terminating End Office Access Rate</w:t>
      </w:r>
      <w:r>
        <w:rPr>
          <w:rFonts w:eastAsia="Calibri"/>
          <w:snapToGrid/>
          <w:kern w:val="0"/>
          <w:szCs w:val="22"/>
        </w:rPr>
        <w:t xml:space="preserve"> </w:t>
      </w:r>
      <w:r w:rsidRPr="00FD2BD8">
        <w:rPr>
          <w:rFonts w:eastAsia="Calibri"/>
          <w:snapToGrid/>
          <w:kern w:val="0"/>
          <w:szCs w:val="22"/>
        </w:rPr>
        <w:t>and $0.0007 per minute.</w:t>
      </w:r>
    </w:p>
    <w:p w:rsidR="00746444" w:rsidRPr="003567F1" w:rsidRDefault="00746444" w:rsidP="00746444">
      <w:pPr>
        <w:widowControl/>
        <w:ind w:left="1440"/>
        <w:rPr>
          <w:rFonts w:eastAsia="Calibri"/>
          <w:snapToGrid/>
          <w:kern w:val="0"/>
          <w:szCs w:val="22"/>
        </w:rPr>
      </w:pPr>
    </w:p>
    <w:p w:rsidR="00746444" w:rsidRPr="00264DCA" w:rsidRDefault="00746444" w:rsidP="00746444">
      <w:pPr>
        <w:widowControl/>
        <w:ind w:left="1440"/>
        <w:rPr>
          <w:rFonts w:eastAsia="Calibri"/>
          <w:snapToGrid/>
          <w:kern w:val="0"/>
          <w:szCs w:val="22"/>
        </w:rPr>
      </w:pPr>
      <w:r w:rsidRPr="003567F1">
        <w:rPr>
          <w:rFonts w:eastAsia="Calibri"/>
          <w:snapToGrid/>
          <w:kern w:val="0"/>
          <w:szCs w:val="22"/>
        </w:rPr>
        <w:t>(ii) Beginning July 1, 2017, no Rate-of–Return Carrier's interstate Composite Terminating End Office Access Rate shall exceed its 2017 Target Composite Terminating End Office Access Rate.</w:t>
      </w:r>
      <w:r>
        <w:rPr>
          <w:rFonts w:eastAsia="Calibri"/>
          <w:snapToGrid/>
          <w:kern w:val="0"/>
          <w:szCs w:val="22"/>
        </w:rPr>
        <w:t xml:space="preserve"> </w:t>
      </w:r>
      <w:r w:rsidRPr="003567F1">
        <w:rPr>
          <w:rFonts w:eastAsia="Calibri"/>
          <w:snapToGrid/>
          <w:kern w:val="0"/>
          <w:szCs w:val="22"/>
        </w:rPr>
        <w:t xml:space="preserve"> </w:t>
      </w:r>
      <w:r w:rsidRPr="007D1106">
        <w:rPr>
          <w:rFonts w:eastAsia="Calibri"/>
          <w:snapToGrid/>
          <w:kern w:val="0"/>
          <w:szCs w:val="22"/>
        </w:rPr>
        <w:t xml:space="preserve">A rate-of-return carrier shall determine compliance by calculating interstate Composite Terminating End Office Access Rates using the relevant projected </w:t>
      </w:r>
      <w:r>
        <w:rPr>
          <w:rFonts w:eastAsia="Calibri"/>
          <w:snapToGrid/>
          <w:kern w:val="0"/>
          <w:szCs w:val="22"/>
        </w:rPr>
        <w:t xml:space="preserve">interstate </w:t>
      </w:r>
      <w:r w:rsidRPr="007D1106">
        <w:rPr>
          <w:rFonts w:eastAsia="Calibri"/>
          <w:snapToGrid/>
          <w:kern w:val="0"/>
          <w:szCs w:val="22"/>
        </w:rPr>
        <w:t>demand for the tariff period multiplied by the respective interstate rates as of July 1, 201</w:t>
      </w:r>
      <w:r>
        <w:rPr>
          <w:rFonts w:eastAsia="Calibri"/>
          <w:snapToGrid/>
          <w:kern w:val="0"/>
          <w:szCs w:val="22"/>
        </w:rPr>
        <w:t>7</w:t>
      </w:r>
      <w:r w:rsidRPr="007D1106">
        <w:rPr>
          <w:rFonts w:eastAsia="Calibri"/>
          <w:snapToGrid/>
          <w:kern w:val="0"/>
          <w:szCs w:val="22"/>
        </w:rPr>
        <w:t xml:space="preserve">, and then dividing by the projected </w:t>
      </w:r>
      <w:r>
        <w:rPr>
          <w:rFonts w:eastAsia="Calibri"/>
          <w:snapToGrid/>
          <w:kern w:val="0"/>
          <w:szCs w:val="22"/>
        </w:rPr>
        <w:t xml:space="preserve">interstate </w:t>
      </w:r>
      <w:r w:rsidRPr="007D1106">
        <w:rPr>
          <w:rFonts w:eastAsia="Calibri"/>
          <w:snapToGrid/>
          <w:kern w:val="0"/>
          <w:szCs w:val="22"/>
        </w:rPr>
        <w:t xml:space="preserve">terminating end office local switching demand for the tariff period.  </w:t>
      </w:r>
      <w:r w:rsidRPr="006C28AC">
        <w:rPr>
          <w:rFonts w:eastAsia="Calibri"/>
          <w:snapToGrid/>
          <w:kern w:val="0"/>
          <w:szCs w:val="22"/>
        </w:rPr>
        <w:t>A rate-of-return carrier’s intrastate terminating end office access rates may not exceed the comparable interstate terminating end office access rate</w:t>
      </w:r>
      <w:r w:rsidR="00AE1CBD">
        <w:rPr>
          <w:rFonts w:eastAsia="Calibri"/>
          <w:snapToGrid/>
          <w:kern w:val="0"/>
          <w:szCs w:val="22"/>
        </w:rPr>
        <w:t>s</w:t>
      </w:r>
      <w:r w:rsidRPr="006C28AC">
        <w:rPr>
          <w:rFonts w:eastAsia="Calibri"/>
          <w:snapToGrid/>
          <w:kern w:val="0"/>
          <w:szCs w:val="22"/>
        </w:rPr>
        <w:t xml:space="preserve">.  </w:t>
      </w:r>
      <w:r w:rsidRPr="007D1106">
        <w:rPr>
          <w:rFonts w:eastAsia="Calibri"/>
          <w:snapToGrid/>
          <w:kern w:val="0"/>
          <w:szCs w:val="22"/>
        </w:rPr>
        <w:t>In</w:t>
      </w:r>
      <w:r>
        <w:rPr>
          <w:rFonts w:eastAsia="Calibri"/>
          <w:snapToGrid/>
          <w:kern w:val="0"/>
          <w:szCs w:val="22"/>
        </w:rPr>
        <w:t xml:space="preserve"> the alternative, any Rate-of-</w:t>
      </w:r>
      <w:r w:rsidRPr="003567F1">
        <w:rPr>
          <w:rFonts w:eastAsia="Calibri"/>
          <w:snapToGrid/>
          <w:kern w:val="0"/>
          <w:szCs w:val="22"/>
        </w:rPr>
        <w:t xml:space="preserve">Return Carrier may elect to implement a single per minute rate element for </w:t>
      </w:r>
      <w:r w:rsidR="00AE1CBD">
        <w:rPr>
          <w:rFonts w:eastAsia="Calibri"/>
          <w:snapToGrid/>
          <w:kern w:val="0"/>
          <w:szCs w:val="22"/>
        </w:rPr>
        <w:t>both interstate and intrastate</w:t>
      </w:r>
      <w:r w:rsidR="00AE1CBD" w:rsidRPr="003567F1">
        <w:rPr>
          <w:rFonts w:eastAsia="Calibri"/>
          <w:snapToGrid/>
          <w:kern w:val="0"/>
          <w:szCs w:val="22"/>
        </w:rPr>
        <w:t xml:space="preserve"> </w:t>
      </w:r>
      <w:r w:rsidRPr="003567F1">
        <w:rPr>
          <w:rFonts w:eastAsia="Calibri"/>
          <w:snapToGrid/>
          <w:kern w:val="0"/>
          <w:szCs w:val="22"/>
        </w:rPr>
        <w:t>terminating End Office Access Service no greater than the 2017 Target Composite Terminating End Office Access Rate</w:t>
      </w:r>
      <w:r w:rsidRPr="00A0676F">
        <w:rPr>
          <w:rFonts w:eastAsia="Calibri"/>
          <w:snapToGrid/>
          <w:kern w:val="0"/>
          <w:szCs w:val="22"/>
        </w:rPr>
        <w:t xml:space="preserve"> </w:t>
      </w:r>
      <w:r w:rsidRPr="006C28AC">
        <w:rPr>
          <w:rFonts w:eastAsia="Calibri"/>
          <w:snapToGrid/>
          <w:kern w:val="0"/>
          <w:szCs w:val="22"/>
        </w:rPr>
        <w:t>if its intrastate terminating end office access rates would be at rate parity with its interstate terminating end office access rates</w:t>
      </w:r>
      <w:r w:rsidRPr="003567F1">
        <w:rPr>
          <w:rFonts w:eastAsia="Calibri"/>
          <w:snapToGrid/>
          <w:kern w:val="0"/>
          <w:szCs w:val="22"/>
        </w:rPr>
        <w:t>.</w:t>
      </w:r>
      <w:r>
        <w:rPr>
          <w:rFonts w:eastAsia="Calibri"/>
          <w:snapToGrid/>
          <w:kern w:val="0"/>
          <w:szCs w:val="22"/>
        </w:rPr>
        <w:t xml:space="preserve">  </w:t>
      </w:r>
      <w:r w:rsidRPr="00264DCA">
        <w:rPr>
          <w:color w:val="000000"/>
          <w:szCs w:val="22"/>
        </w:rPr>
        <w:t>Nothing in this section obligates or allows a Rate-of–Return Carrier that has intrastate rates lower than its functionally equivalent interstate rates to make any intrastate tariff filing or intrastate tariff revisions raising such rates.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(h) * * *</w:t>
      </w:r>
    </w:p>
    <w:p w:rsidR="00746444" w:rsidRPr="003567F1" w:rsidRDefault="00746444" w:rsidP="00746444">
      <w:pPr>
        <w:widowControl/>
        <w:rPr>
          <w:rFonts w:eastAsia="Calibri"/>
          <w:snapToGrid/>
          <w:kern w:val="0"/>
          <w:szCs w:val="22"/>
        </w:rPr>
      </w:pPr>
    </w:p>
    <w:p w:rsidR="00746444" w:rsidRPr="003567F1" w:rsidRDefault="00746444" w:rsidP="00746444">
      <w:pPr>
        <w:widowControl/>
        <w:numPr>
          <w:ilvl w:val="0"/>
          <w:numId w:val="17"/>
        </w:numPr>
        <w:spacing w:after="200"/>
        <w:contextualSpacing/>
        <w:rPr>
          <w:rFonts w:eastAsia="Calibri"/>
          <w:snapToGrid/>
          <w:kern w:val="0"/>
          <w:szCs w:val="22"/>
        </w:rPr>
      </w:pPr>
      <w:r>
        <w:rPr>
          <w:rFonts w:eastAsia="Calibri"/>
          <w:snapToGrid/>
          <w:kern w:val="0"/>
          <w:szCs w:val="22"/>
        </w:rPr>
        <w:t>Each Rate-of-</w:t>
      </w:r>
      <w:r w:rsidRPr="003567F1">
        <w:rPr>
          <w:rFonts w:eastAsia="Calibri"/>
          <w:snapToGrid/>
          <w:kern w:val="0"/>
          <w:szCs w:val="22"/>
        </w:rPr>
        <w:t>Return Carrier shall establish interstate and intrastate rates for terminating End Office Access Service using the following methodology:</w:t>
      </w:r>
    </w:p>
    <w:p w:rsidR="00746444" w:rsidRPr="003567F1" w:rsidRDefault="00746444" w:rsidP="00746444">
      <w:pPr>
        <w:widowControl/>
        <w:spacing w:after="200"/>
        <w:ind w:left="1080"/>
        <w:contextualSpacing/>
        <w:rPr>
          <w:rFonts w:eastAsia="Calibri"/>
          <w:snapToGrid/>
          <w:kern w:val="0"/>
          <w:szCs w:val="22"/>
        </w:rPr>
      </w:pPr>
    </w:p>
    <w:p w:rsidR="00746444" w:rsidRPr="003567F1" w:rsidRDefault="00746444" w:rsidP="00746444">
      <w:pPr>
        <w:widowControl/>
        <w:spacing w:after="200"/>
        <w:ind w:left="1440"/>
        <w:contextualSpacing/>
        <w:rPr>
          <w:rFonts w:eastAsia="Calibri"/>
          <w:snapToGrid/>
          <w:kern w:val="0"/>
          <w:szCs w:val="22"/>
        </w:rPr>
      </w:pPr>
      <w:r>
        <w:rPr>
          <w:rFonts w:eastAsia="Calibri"/>
          <w:snapToGrid/>
          <w:kern w:val="0"/>
          <w:szCs w:val="22"/>
        </w:rPr>
        <w:t>(i) Each Rate-of-</w:t>
      </w:r>
      <w:r w:rsidRPr="003567F1">
        <w:rPr>
          <w:rFonts w:eastAsia="Calibri"/>
          <w:snapToGrid/>
          <w:kern w:val="0"/>
          <w:szCs w:val="22"/>
        </w:rPr>
        <w:t xml:space="preserve">Return Carrier shall calculate its 2018 Target Composite Terminating End Office Access Rate. </w:t>
      </w:r>
      <w:r>
        <w:rPr>
          <w:rFonts w:eastAsia="Calibri"/>
          <w:snapToGrid/>
          <w:kern w:val="0"/>
          <w:szCs w:val="22"/>
        </w:rPr>
        <w:t xml:space="preserve"> </w:t>
      </w:r>
      <w:r w:rsidRPr="00FD2BD8">
        <w:rPr>
          <w:rFonts w:eastAsia="Calibri"/>
          <w:snapToGrid/>
          <w:kern w:val="0"/>
          <w:szCs w:val="22"/>
        </w:rPr>
        <w:t xml:space="preserve">The 2018 Target Composite Terminating End Office Access Rate means $0.0007 per minute plus one-third of any difference between </w:t>
      </w:r>
      <w:r>
        <w:rPr>
          <w:rFonts w:eastAsia="Calibri"/>
          <w:snapToGrid/>
          <w:kern w:val="0"/>
          <w:szCs w:val="22"/>
        </w:rPr>
        <w:t xml:space="preserve">that carrier’s </w:t>
      </w:r>
      <w:r>
        <w:rPr>
          <w:rFonts w:eastAsia="Calibri"/>
          <w:kern w:val="0"/>
          <w:szCs w:val="22"/>
        </w:rPr>
        <w:t xml:space="preserve">2016 Target Composite Terminating End Office Access Rate </w:t>
      </w:r>
      <w:r w:rsidRPr="00FD2BD8">
        <w:rPr>
          <w:rFonts w:eastAsia="Calibri"/>
          <w:snapToGrid/>
          <w:kern w:val="0"/>
          <w:szCs w:val="22"/>
        </w:rPr>
        <w:t>and $0.0007 per minute.</w:t>
      </w:r>
    </w:p>
    <w:p w:rsidR="00746444" w:rsidRPr="003567F1" w:rsidRDefault="00746444" w:rsidP="00746444">
      <w:pPr>
        <w:widowControl/>
        <w:spacing w:after="200"/>
        <w:ind w:left="1440"/>
        <w:contextualSpacing/>
        <w:rPr>
          <w:rFonts w:eastAsia="Calibri"/>
          <w:snapToGrid/>
          <w:kern w:val="0"/>
          <w:szCs w:val="22"/>
        </w:rPr>
      </w:pPr>
    </w:p>
    <w:p w:rsidR="00746444" w:rsidRPr="00264DCA" w:rsidRDefault="00746444" w:rsidP="00746444">
      <w:pPr>
        <w:widowControl/>
        <w:spacing w:after="200"/>
        <w:ind w:left="1440"/>
        <w:contextualSpacing/>
        <w:rPr>
          <w:rFonts w:eastAsia="Calibri"/>
          <w:snapToGrid/>
          <w:kern w:val="0"/>
          <w:szCs w:val="22"/>
        </w:rPr>
      </w:pPr>
      <w:r>
        <w:rPr>
          <w:rFonts w:eastAsia="Calibri"/>
          <w:snapToGrid/>
          <w:kern w:val="0"/>
          <w:szCs w:val="22"/>
        </w:rPr>
        <w:t xml:space="preserve">(ii) </w:t>
      </w:r>
      <w:r w:rsidRPr="003567F1">
        <w:rPr>
          <w:rFonts w:eastAsia="Calibri"/>
          <w:snapToGrid/>
          <w:kern w:val="0"/>
          <w:szCs w:val="22"/>
        </w:rPr>
        <w:t>Beg</w:t>
      </w:r>
      <w:r>
        <w:rPr>
          <w:rFonts w:eastAsia="Calibri"/>
          <w:snapToGrid/>
          <w:kern w:val="0"/>
          <w:szCs w:val="22"/>
        </w:rPr>
        <w:t>inning July 1, 2018, no Rate-of-</w:t>
      </w:r>
      <w:r w:rsidRPr="003567F1">
        <w:rPr>
          <w:rFonts w:eastAsia="Calibri"/>
          <w:snapToGrid/>
          <w:kern w:val="0"/>
          <w:szCs w:val="22"/>
        </w:rPr>
        <w:t xml:space="preserve">Return Carrier's interstate Composite Terminating End Office Access Rate shall exceed its 2018 Target Composite Terminating End Office Access Rate. </w:t>
      </w:r>
      <w:r>
        <w:rPr>
          <w:rFonts w:eastAsia="Calibri"/>
          <w:snapToGrid/>
          <w:kern w:val="0"/>
          <w:szCs w:val="22"/>
        </w:rPr>
        <w:t xml:space="preserve"> </w:t>
      </w:r>
      <w:r w:rsidRPr="007D1106">
        <w:rPr>
          <w:rFonts w:eastAsia="Calibri"/>
          <w:snapToGrid/>
          <w:kern w:val="0"/>
          <w:szCs w:val="22"/>
        </w:rPr>
        <w:t xml:space="preserve">A rate-of-return carrier shall determine compliance by calculating interstate Composite Terminating End Office Access Rates using the relevant projected </w:t>
      </w:r>
      <w:r>
        <w:rPr>
          <w:rFonts w:eastAsia="Calibri"/>
          <w:snapToGrid/>
          <w:kern w:val="0"/>
          <w:szCs w:val="22"/>
        </w:rPr>
        <w:t xml:space="preserve">interstate </w:t>
      </w:r>
      <w:r w:rsidRPr="007D1106">
        <w:rPr>
          <w:rFonts w:eastAsia="Calibri"/>
          <w:snapToGrid/>
          <w:kern w:val="0"/>
          <w:szCs w:val="22"/>
        </w:rPr>
        <w:t xml:space="preserve">demand for the tariff period multiplied by the respective interstate rates as of July 1, 2018 and then dividing by the projected </w:t>
      </w:r>
      <w:r>
        <w:rPr>
          <w:rFonts w:eastAsia="Calibri"/>
          <w:snapToGrid/>
          <w:kern w:val="0"/>
          <w:szCs w:val="22"/>
        </w:rPr>
        <w:t xml:space="preserve">interstate </w:t>
      </w:r>
      <w:r w:rsidRPr="007D1106">
        <w:rPr>
          <w:rFonts w:eastAsia="Calibri"/>
          <w:snapToGrid/>
          <w:kern w:val="0"/>
          <w:szCs w:val="22"/>
        </w:rPr>
        <w:t>terminating end office local switching demand for the tariff period.</w:t>
      </w:r>
      <w:r w:rsidRPr="003567F1">
        <w:rPr>
          <w:rFonts w:eastAsia="Calibri"/>
          <w:snapToGrid/>
          <w:kern w:val="0"/>
          <w:szCs w:val="22"/>
        </w:rPr>
        <w:t xml:space="preserve">  </w:t>
      </w:r>
      <w:r w:rsidRPr="006C28AC">
        <w:rPr>
          <w:rFonts w:eastAsia="Calibri"/>
          <w:snapToGrid/>
          <w:kern w:val="0"/>
          <w:szCs w:val="22"/>
        </w:rPr>
        <w:t>A rate-of-return carrier’s intrastate terminating end office access rates may not exceed the comparable interstate terminating end office access rate</w:t>
      </w:r>
      <w:r w:rsidR="00AE1CBD">
        <w:rPr>
          <w:rFonts w:eastAsia="Calibri"/>
          <w:snapToGrid/>
          <w:kern w:val="0"/>
          <w:szCs w:val="22"/>
        </w:rPr>
        <w:t>s</w:t>
      </w:r>
      <w:r w:rsidRPr="006C28AC">
        <w:rPr>
          <w:rFonts w:eastAsia="Calibri"/>
          <w:snapToGrid/>
          <w:kern w:val="0"/>
          <w:szCs w:val="22"/>
        </w:rPr>
        <w:t xml:space="preserve">. </w:t>
      </w:r>
      <w:r>
        <w:rPr>
          <w:rFonts w:eastAsia="Calibri"/>
          <w:snapToGrid/>
          <w:kern w:val="0"/>
          <w:szCs w:val="22"/>
        </w:rPr>
        <w:t xml:space="preserve"> </w:t>
      </w:r>
      <w:r w:rsidRPr="003567F1">
        <w:rPr>
          <w:rFonts w:eastAsia="Calibri"/>
          <w:snapToGrid/>
          <w:kern w:val="0"/>
          <w:szCs w:val="22"/>
        </w:rPr>
        <w:t>In</w:t>
      </w:r>
      <w:r>
        <w:rPr>
          <w:rFonts w:eastAsia="Calibri"/>
          <w:snapToGrid/>
          <w:kern w:val="0"/>
          <w:szCs w:val="22"/>
        </w:rPr>
        <w:t xml:space="preserve"> the alternative, any Rate-of-</w:t>
      </w:r>
      <w:r w:rsidRPr="003567F1">
        <w:rPr>
          <w:rFonts w:eastAsia="Calibri"/>
          <w:snapToGrid/>
          <w:kern w:val="0"/>
          <w:szCs w:val="22"/>
        </w:rPr>
        <w:t xml:space="preserve">Return Carrier may elect to implement a single per minute rate element for </w:t>
      </w:r>
      <w:r w:rsidR="00AE1CBD">
        <w:rPr>
          <w:rFonts w:eastAsia="Calibri"/>
          <w:snapToGrid/>
          <w:kern w:val="0"/>
          <w:szCs w:val="22"/>
        </w:rPr>
        <w:t>both interstate and intrastate</w:t>
      </w:r>
      <w:r w:rsidR="00AE1CBD" w:rsidRPr="003567F1">
        <w:rPr>
          <w:rFonts w:eastAsia="Calibri"/>
          <w:snapToGrid/>
          <w:kern w:val="0"/>
          <w:szCs w:val="22"/>
        </w:rPr>
        <w:t xml:space="preserve"> </w:t>
      </w:r>
      <w:r w:rsidRPr="003567F1">
        <w:rPr>
          <w:rFonts w:eastAsia="Calibri"/>
          <w:snapToGrid/>
          <w:kern w:val="0"/>
          <w:szCs w:val="22"/>
        </w:rPr>
        <w:t>terminating End Office Access Service no greater than the 2018 interstate Target Composite Terminating End Office Access Rate</w:t>
      </w:r>
      <w:r>
        <w:rPr>
          <w:rFonts w:eastAsia="Calibri"/>
          <w:snapToGrid/>
          <w:kern w:val="0"/>
          <w:szCs w:val="22"/>
        </w:rPr>
        <w:t xml:space="preserve"> if its intrastate terminating end office access rates would be at rate parity with its interstate terminating end office access rates</w:t>
      </w:r>
      <w:r w:rsidRPr="003567F1">
        <w:rPr>
          <w:rFonts w:eastAsia="Calibri"/>
          <w:snapToGrid/>
          <w:kern w:val="0"/>
          <w:szCs w:val="22"/>
        </w:rPr>
        <w:t>.</w:t>
      </w:r>
      <w:r>
        <w:rPr>
          <w:rFonts w:eastAsia="Calibri"/>
          <w:snapToGrid/>
          <w:kern w:val="0"/>
          <w:szCs w:val="22"/>
        </w:rPr>
        <w:t xml:space="preserve">  </w:t>
      </w:r>
      <w:r w:rsidRPr="00264DCA">
        <w:rPr>
          <w:color w:val="000000"/>
          <w:szCs w:val="22"/>
        </w:rPr>
        <w:t>Nothing in this section obligates or allows a Rate-of–Return Carrier that has intrastate rates lower than its functionally equivalent interstate rates to make any intrastate tariff filing or intrastate tariff revisions raising such rates.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Default="00746444" w:rsidP="00746444">
      <w:pPr>
        <w:widowControl/>
        <w:rPr>
          <w:rFonts w:eastAsia="Calibri"/>
          <w:snapToGrid/>
          <w:kern w:val="0"/>
          <w:szCs w:val="22"/>
        </w:rPr>
      </w:pPr>
      <w:r>
        <w:rPr>
          <w:rFonts w:eastAsia="Calibri"/>
          <w:snapToGrid/>
          <w:kern w:val="0"/>
          <w:szCs w:val="22"/>
        </w:rPr>
        <w:br w:type="page"/>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4.</w:t>
      </w:r>
      <w:r w:rsidRPr="003567F1">
        <w:rPr>
          <w:rFonts w:eastAsia="Calibri"/>
          <w:snapToGrid/>
          <w:kern w:val="0"/>
          <w:szCs w:val="22"/>
        </w:rPr>
        <w:tab/>
        <w:t>Amend 47 C.F.R. § 51.915 by adding (b)(14) and</w:t>
      </w:r>
      <w:r>
        <w:rPr>
          <w:rFonts w:eastAsia="Calibri"/>
          <w:snapToGrid/>
          <w:kern w:val="0"/>
          <w:szCs w:val="22"/>
        </w:rPr>
        <w:t xml:space="preserve"> (d)(4) and</w:t>
      </w:r>
      <w:r w:rsidRPr="003567F1">
        <w:rPr>
          <w:rFonts w:eastAsia="Calibri"/>
          <w:snapToGrid/>
          <w:kern w:val="0"/>
          <w:szCs w:val="22"/>
        </w:rPr>
        <w:t xml:space="preserve"> by revising (d)(1)(iii)(B)-(C), (d)(1)(iv)(B)-(C), (d)(1)(v)(B)-(C), (d)(1)(vi)(B), (d)(1)(vii)(B)</w:t>
      </w:r>
      <w:r>
        <w:rPr>
          <w:rFonts w:eastAsia="Calibri"/>
          <w:snapToGrid/>
          <w:kern w:val="0"/>
          <w:szCs w:val="22"/>
        </w:rPr>
        <w:t>, and</w:t>
      </w:r>
      <w:r>
        <w:t xml:space="preserve"> (d)(1)(viii)(2)</w:t>
      </w:r>
      <w:r>
        <w:rPr>
          <w:rFonts w:eastAsia="Calibri"/>
          <w:snapToGrid/>
          <w:kern w:val="0"/>
          <w:szCs w:val="22"/>
        </w:rPr>
        <w:t xml:space="preserve"> </w:t>
      </w:r>
      <w:r w:rsidRPr="003567F1">
        <w:rPr>
          <w:rFonts w:eastAsia="Calibri"/>
          <w:snapToGrid/>
          <w:kern w:val="0"/>
          <w:szCs w:val="22"/>
        </w:rPr>
        <w:t>to read as follows:</w:t>
      </w:r>
    </w:p>
    <w:p w:rsidR="00746444" w:rsidRPr="003567F1" w:rsidRDefault="00746444" w:rsidP="00746444">
      <w:pPr>
        <w:widowControl/>
        <w:rPr>
          <w:b/>
          <w:szCs w:val="22"/>
        </w:rPr>
      </w:pPr>
    </w:p>
    <w:p w:rsidR="00746444" w:rsidRPr="003567F1" w:rsidRDefault="00746444" w:rsidP="00746444">
      <w:pPr>
        <w:widowControl/>
        <w:spacing w:after="200"/>
        <w:rPr>
          <w:rFonts w:eastAsia="Calibri"/>
          <w:b/>
          <w:snapToGrid/>
          <w:kern w:val="0"/>
          <w:szCs w:val="22"/>
          <w:u w:val="single"/>
        </w:rPr>
      </w:pPr>
      <w:r w:rsidRPr="003567F1">
        <w:rPr>
          <w:rFonts w:eastAsia="Calibri"/>
          <w:b/>
          <w:snapToGrid/>
          <w:kern w:val="0"/>
          <w:szCs w:val="22"/>
          <w:u w:val="single"/>
        </w:rPr>
        <w:t>§ 51.915 Recovery mechanism for price cap carriers.</w:t>
      </w:r>
    </w:p>
    <w:p w:rsidR="00746444" w:rsidRPr="003567F1" w:rsidRDefault="00746444" w:rsidP="00746444">
      <w:pPr>
        <w:widowControl/>
        <w:spacing w:after="200"/>
        <w:rPr>
          <w:rFonts w:eastAsia="Calibri"/>
          <w:snapToGrid/>
          <w:kern w:val="0"/>
          <w:szCs w:val="22"/>
        </w:rPr>
      </w:pPr>
      <w:r w:rsidRPr="003567F1">
        <w:rPr>
          <w:rFonts w:eastAsia="Calibri"/>
          <w:snapToGrid/>
          <w:kern w:val="0"/>
          <w:szCs w:val="22"/>
        </w:rPr>
        <w:t>* * * * *</w:t>
      </w:r>
    </w:p>
    <w:p w:rsidR="00746444" w:rsidRPr="003567F1" w:rsidRDefault="00746444" w:rsidP="00746444">
      <w:pPr>
        <w:widowControl/>
        <w:spacing w:after="200"/>
        <w:rPr>
          <w:rFonts w:eastAsia="Calibri"/>
          <w:snapToGrid/>
          <w:kern w:val="0"/>
          <w:szCs w:val="22"/>
        </w:rPr>
      </w:pPr>
      <w:r w:rsidRPr="003567F1">
        <w:rPr>
          <w:rFonts w:eastAsia="Calibri"/>
          <w:snapToGrid/>
          <w:kern w:val="0"/>
          <w:szCs w:val="22"/>
        </w:rPr>
        <w:t xml:space="preserve"> (b) * * *</w:t>
      </w:r>
    </w:p>
    <w:p w:rsidR="00746444" w:rsidRDefault="00746444" w:rsidP="00746444">
      <w:pPr>
        <w:ind w:firstLine="720"/>
        <w:rPr>
          <w:szCs w:val="22"/>
        </w:rPr>
      </w:pPr>
      <w:r w:rsidRPr="003567F1">
        <w:rPr>
          <w:szCs w:val="22"/>
        </w:rPr>
        <w:t xml:space="preserve">(14)  Intrastate 2014 Composite Terminating End Office Access Rate.  The Intrastate 2014 Composite Terminating End Office Access Rate as used in this section is determined by (1) if a separate terminating rate is not already generally available, developing separate intrastate originating and terminating end office rates in accordance with section 51.907(d)(1) of this part using end office access rates at their June 30, 2014, rate caps; (2) multiplying the existing terminating </w:t>
      </w:r>
      <w:r>
        <w:rPr>
          <w:szCs w:val="22"/>
        </w:rPr>
        <w:t xml:space="preserve">June 30, </w:t>
      </w:r>
      <w:r w:rsidRPr="003567F1">
        <w:rPr>
          <w:szCs w:val="22"/>
        </w:rPr>
        <w:t>2014</w:t>
      </w:r>
      <w:r>
        <w:rPr>
          <w:szCs w:val="22"/>
        </w:rPr>
        <w:t>,</w:t>
      </w:r>
      <w:r w:rsidRPr="003567F1">
        <w:rPr>
          <w:szCs w:val="22"/>
        </w:rPr>
        <w:t xml:space="preserve"> intrastate end office access rates,  or the terminating rates developed in (1), by the re</w:t>
      </w:r>
      <w:r>
        <w:rPr>
          <w:szCs w:val="22"/>
        </w:rPr>
        <w:t>levant Fiscal Year 2011 intrastate demand;</w:t>
      </w:r>
      <w:r w:rsidRPr="003567F1">
        <w:rPr>
          <w:szCs w:val="22"/>
        </w:rPr>
        <w:t xml:space="preserve"> and (3) dividing the sum of the revenues determined in (2) by 2011 Fiscal Year </w:t>
      </w:r>
      <w:r>
        <w:rPr>
          <w:szCs w:val="22"/>
        </w:rPr>
        <w:t xml:space="preserve">intrastate </w:t>
      </w:r>
      <w:r w:rsidRPr="003567F1">
        <w:rPr>
          <w:szCs w:val="22"/>
        </w:rPr>
        <w:t>terminating local switching minutes.</w:t>
      </w:r>
    </w:p>
    <w:p w:rsidR="00746444" w:rsidRPr="003567F1" w:rsidRDefault="00746444" w:rsidP="00746444">
      <w:pPr>
        <w:ind w:firstLine="720"/>
        <w:rPr>
          <w:szCs w:val="22"/>
        </w:rPr>
      </w:pPr>
      <w:r w:rsidRPr="003567F1">
        <w:rPr>
          <w:szCs w:val="22"/>
        </w:rPr>
        <w:t xml:space="preserve">  </w:t>
      </w:r>
    </w:p>
    <w:p w:rsidR="00746444" w:rsidRDefault="00746444" w:rsidP="00746444">
      <w:pPr>
        <w:widowControl/>
        <w:spacing w:after="200"/>
        <w:rPr>
          <w:rFonts w:eastAsia="Calibri"/>
          <w:snapToGrid/>
          <w:kern w:val="0"/>
          <w:szCs w:val="22"/>
        </w:rPr>
      </w:pPr>
      <w:r>
        <w:rPr>
          <w:rFonts w:eastAsia="Calibri"/>
          <w:snapToGrid/>
          <w:kern w:val="0"/>
          <w:szCs w:val="22"/>
        </w:rPr>
        <w:t>(c</w:t>
      </w:r>
      <w:r w:rsidRPr="003567F1">
        <w:rPr>
          <w:rFonts w:eastAsia="Calibri"/>
          <w:snapToGrid/>
          <w:kern w:val="0"/>
          <w:szCs w:val="22"/>
        </w:rPr>
        <w:t>) * * *</w:t>
      </w:r>
    </w:p>
    <w:p w:rsidR="00746444" w:rsidRPr="003567F1" w:rsidRDefault="00746444" w:rsidP="00746444">
      <w:pPr>
        <w:widowControl/>
        <w:spacing w:after="200"/>
        <w:rPr>
          <w:rFonts w:eastAsia="Calibri"/>
          <w:snapToGrid/>
          <w:kern w:val="0"/>
          <w:szCs w:val="22"/>
        </w:rPr>
      </w:pPr>
      <w:r>
        <w:rPr>
          <w:rFonts w:eastAsia="Calibri"/>
          <w:snapToGrid/>
          <w:kern w:val="0"/>
          <w:szCs w:val="22"/>
        </w:rPr>
        <w:t>(d) * * *</w:t>
      </w:r>
    </w:p>
    <w:p w:rsidR="00746444" w:rsidRPr="003567F1" w:rsidRDefault="00746444" w:rsidP="00746444">
      <w:pPr>
        <w:widowControl/>
        <w:ind w:firstLine="720"/>
        <w:rPr>
          <w:rFonts w:eastAsia="Calibri"/>
          <w:snapToGrid/>
          <w:kern w:val="0"/>
          <w:szCs w:val="22"/>
        </w:rPr>
      </w:pPr>
      <w:r w:rsidRPr="003567F1">
        <w:rPr>
          <w:rFonts w:eastAsia="Calibri"/>
          <w:snapToGrid/>
          <w:kern w:val="0"/>
          <w:szCs w:val="22"/>
        </w:rPr>
        <w:t>(1) * * *</w:t>
      </w:r>
    </w:p>
    <w:p w:rsidR="00746444" w:rsidRPr="003567F1" w:rsidRDefault="00746444" w:rsidP="00746444">
      <w:pPr>
        <w:widowControl/>
        <w:ind w:firstLine="720"/>
        <w:rPr>
          <w:rFonts w:eastAsia="Calibri"/>
          <w:snapToGrid/>
          <w:kern w:val="0"/>
          <w:szCs w:val="22"/>
        </w:rPr>
      </w:pP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(iii)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(B) The reduction in interstate switched access revenues equal to the diff</w:t>
      </w:r>
      <w:r>
        <w:rPr>
          <w:rFonts w:eastAsia="Calibri"/>
          <w:snapToGrid/>
          <w:kern w:val="0"/>
          <w:szCs w:val="22"/>
        </w:rPr>
        <w:t xml:space="preserve">erence between the 2011 Baseline </w:t>
      </w:r>
      <w:r w:rsidRPr="003567F1">
        <w:rPr>
          <w:rFonts w:eastAsia="Calibri"/>
          <w:snapToGrid/>
          <w:kern w:val="0"/>
          <w:szCs w:val="22"/>
        </w:rPr>
        <w:t>Composite Terminating End Office Access Rate and the 2014 Target Composite Terminating End Office Access Rate determined pursuant to § 51.907(d) using Fiscal Year 2011 terminating interstate end office switching minutes, and then multiply by the Price Cap Carrier Traffic Demand Factor;</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 xml:space="preserve">(C) If the carrier reduced its 2014 Intrastate Terminating End Office Access Rate(s) pursuant to section 51.907(d)(2), the reduction in revenues equal to the difference between </w:t>
      </w:r>
      <w:r>
        <w:rPr>
          <w:rFonts w:eastAsia="Calibri"/>
          <w:snapToGrid/>
          <w:kern w:val="0"/>
          <w:szCs w:val="22"/>
        </w:rPr>
        <w:t xml:space="preserve">either </w:t>
      </w:r>
      <w:r w:rsidRPr="003567F1">
        <w:rPr>
          <w:rFonts w:eastAsia="Calibri"/>
          <w:snapToGrid/>
          <w:kern w:val="0"/>
          <w:szCs w:val="22"/>
        </w:rPr>
        <w:t>the Intrastate 2014 Composite Ter</w:t>
      </w:r>
      <w:r>
        <w:rPr>
          <w:rFonts w:eastAsia="Calibri"/>
          <w:snapToGrid/>
          <w:kern w:val="0"/>
          <w:szCs w:val="22"/>
        </w:rPr>
        <w:t>minating End Office Access Rate</w:t>
      </w:r>
      <w:r w:rsidRPr="003567F1">
        <w:rPr>
          <w:rFonts w:eastAsia="Calibri"/>
          <w:snapToGrid/>
          <w:kern w:val="0"/>
          <w:szCs w:val="22"/>
        </w:rPr>
        <w:t xml:space="preserve"> and the Composite Terminating End Office Access Rate </w:t>
      </w:r>
      <w:r>
        <w:rPr>
          <w:rFonts w:eastAsia="Calibri"/>
          <w:snapToGrid/>
          <w:kern w:val="0"/>
          <w:szCs w:val="22"/>
        </w:rPr>
        <w:t>based on the maximum terminating end office rates that could have been charged on July 1, 2014, or the 2014 Target Composite Terminating End Office Access Rate, as applicable,</w:t>
      </w:r>
      <w:r w:rsidRPr="003567F1">
        <w:rPr>
          <w:rFonts w:eastAsia="Calibri"/>
          <w:snapToGrid/>
          <w:kern w:val="0"/>
          <w:szCs w:val="22"/>
        </w:rPr>
        <w:t xml:space="preserve"> using Fiscal Year 2011 terminating intrastate end office switching minutes, and then multiply by the Price Cap Carrier Traffic Demand Factor;</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(iv)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(B) The reduction in interstate switched access revenues equal to the diff</w:t>
      </w:r>
      <w:r>
        <w:rPr>
          <w:rFonts w:eastAsia="Calibri"/>
          <w:snapToGrid/>
          <w:kern w:val="0"/>
          <w:szCs w:val="22"/>
        </w:rPr>
        <w:t xml:space="preserve">erence between the 2011 Baseline </w:t>
      </w:r>
      <w:r w:rsidRPr="003567F1">
        <w:rPr>
          <w:rFonts w:eastAsia="Calibri"/>
          <w:snapToGrid/>
          <w:kern w:val="0"/>
          <w:szCs w:val="22"/>
        </w:rPr>
        <w:t>Composite Terminating End Office Access Rate and the 2015 Target Composite Terminating End Office Access Rate determined pursuant to § 51.907(e) using Fiscal Year 2011 terminating interstate end office switching minutes, and then multiply by the Price Cap Carrier Traffic Demand Factor;</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 xml:space="preserve">(C) If the carrier reduced its Intrastate Terminating End Office Access Rate(s)  pursuant to section 51.907(e)(1), the reduction in intrastate switched access revenues equal to the difference between </w:t>
      </w:r>
      <w:r>
        <w:rPr>
          <w:rFonts w:eastAsia="Calibri"/>
          <w:snapToGrid/>
          <w:kern w:val="0"/>
          <w:szCs w:val="22"/>
        </w:rPr>
        <w:t xml:space="preserve">either </w:t>
      </w:r>
      <w:r w:rsidRPr="003567F1">
        <w:rPr>
          <w:rFonts w:eastAsia="Calibri"/>
          <w:snapToGrid/>
          <w:kern w:val="0"/>
          <w:szCs w:val="22"/>
        </w:rPr>
        <w:t xml:space="preserve">the intrastate 2014 Composite Terminating End Office Access Rate and the Composite Terminating End Office Access Rate </w:t>
      </w:r>
      <w:r>
        <w:rPr>
          <w:rFonts w:eastAsia="Calibri"/>
          <w:snapToGrid/>
          <w:kern w:val="0"/>
          <w:szCs w:val="22"/>
        </w:rPr>
        <w:t xml:space="preserve">based on the maximum terminating end office rates that could have been charged on July 1, 2015, or the 2015 Target Composite Terminating End Office Access Rate, as applicable, </w:t>
      </w:r>
      <w:r w:rsidRPr="003567F1">
        <w:rPr>
          <w:rFonts w:eastAsia="Calibri"/>
          <w:snapToGrid/>
          <w:kern w:val="0"/>
          <w:szCs w:val="22"/>
        </w:rPr>
        <w:t xml:space="preserve"> using Fiscal Year 2011 terminating intrastate end office switching minutes, and then multiply by the Price Cap Carrier Traffic Demand Factor; and</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(v)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(B) The reduction in interstate switched access revenues equal to the diffe</w:t>
      </w:r>
      <w:r>
        <w:rPr>
          <w:rFonts w:eastAsia="Calibri"/>
          <w:snapToGrid/>
          <w:kern w:val="0"/>
          <w:szCs w:val="22"/>
        </w:rPr>
        <w:t xml:space="preserve">rence between the 2011 Baseline </w:t>
      </w:r>
      <w:r w:rsidRPr="003567F1">
        <w:rPr>
          <w:rFonts w:eastAsia="Calibri"/>
          <w:snapToGrid/>
          <w:kern w:val="0"/>
          <w:szCs w:val="22"/>
        </w:rPr>
        <w:t>Composite Terminating End Office Access Rate and $0.0007 determined pursuant to § 51.907(f) using Fiscal Year 2011 terminating interstate end office switching minutes, and then multiply by the Price Cap Carrier Traffic Demand Factor;</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(C) If the carrier reduced its Intrastate Termina</w:t>
      </w:r>
      <w:r>
        <w:rPr>
          <w:rFonts w:eastAsia="Calibri"/>
          <w:snapToGrid/>
          <w:kern w:val="0"/>
          <w:szCs w:val="22"/>
        </w:rPr>
        <w:t xml:space="preserve">ting End Office Access Rate(s) </w:t>
      </w:r>
      <w:r w:rsidRPr="003567F1">
        <w:rPr>
          <w:rFonts w:eastAsia="Calibri"/>
          <w:snapToGrid/>
          <w:kern w:val="0"/>
          <w:szCs w:val="22"/>
        </w:rPr>
        <w:t xml:space="preserve">pursuant to section 51.907(f), the reduction in revenues equal to the difference between </w:t>
      </w:r>
      <w:r>
        <w:rPr>
          <w:rFonts w:eastAsia="Calibri"/>
          <w:snapToGrid/>
          <w:kern w:val="0"/>
          <w:szCs w:val="22"/>
        </w:rPr>
        <w:t xml:space="preserve">either </w:t>
      </w:r>
      <w:r w:rsidRPr="003567F1">
        <w:rPr>
          <w:rFonts w:eastAsia="Calibri"/>
          <w:snapToGrid/>
          <w:kern w:val="0"/>
          <w:szCs w:val="22"/>
        </w:rPr>
        <w:t>the Intrastate 2014 Composite Terminating End Office Access Rate and $0.0007</w:t>
      </w:r>
      <w:r>
        <w:rPr>
          <w:rFonts w:eastAsia="Calibri"/>
          <w:snapToGrid/>
          <w:kern w:val="0"/>
          <w:szCs w:val="22"/>
        </w:rPr>
        <w:t xml:space="preserve"> based on the maximum terminating end office rates that could have been charged on July 1, 2016, or the 201</w:t>
      </w:r>
      <w:r w:rsidR="00C81E57">
        <w:rPr>
          <w:rFonts w:eastAsia="Calibri"/>
          <w:snapToGrid/>
          <w:kern w:val="0"/>
          <w:szCs w:val="22"/>
        </w:rPr>
        <w:t>6</w:t>
      </w:r>
      <w:r>
        <w:rPr>
          <w:rFonts w:eastAsia="Calibri"/>
          <w:snapToGrid/>
          <w:kern w:val="0"/>
          <w:szCs w:val="22"/>
        </w:rPr>
        <w:t xml:space="preserve"> Target Composite Terminating End Office Access Rate, as applicable,</w:t>
      </w:r>
      <w:r w:rsidRPr="003567F1">
        <w:rPr>
          <w:rFonts w:eastAsia="Calibri"/>
          <w:snapToGrid/>
          <w:kern w:val="0"/>
          <w:szCs w:val="22"/>
        </w:rPr>
        <w:t xml:space="preserve"> using Fiscal Year 2011 terminating intrastate end office minutes, and then multiply by the Price Cap Carrier Traffic Demand Factor;</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(vi)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(B) The reduction in interstate switched access rev</w:t>
      </w:r>
      <w:r>
        <w:rPr>
          <w:rFonts w:eastAsia="Calibri"/>
          <w:snapToGrid/>
          <w:kern w:val="0"/>
          <w:szCs w:val="22"/>
        </w:rPr>
        <w:t xml:space="preserve">enues equal to the 2011 Baseline </w:t>
      </w:r>
      <w:r w:rsidRPr="003567F1">
        <w:rPr>
          <w:rFonts w:eastAsia="Calibri"/>
          <w:snapToGrid/>
          <w:kern w:val="0"/>
          <w:szCs w:val="22"/>
        </w:rPr>
        <w:t>Composite Terminating End Office Access Rate using Fiscal Year 2011 terminating interstate end office switching minutes, and then multiply by the Price Cap Carrier Traffic Demand Factor;</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(vii) * * *</w:t>
      </w:r>
    </w:p>
    <w:p w:rsidR="00746444" w:rsidRPr="003567F1" w:rsidRDefault="00746444" w:rsidP="00746444">
      <w:pPr>
        <w:widowControl/>
        <w:ind w:firstLine="720"/>
        <w:rPr>
          <w:rFonts w:eastAsia="Calibri"/>
          <w:snapToGrid/>
          <w:kern w:val="0"/>
          <w:szCs w:val="22"/>
        </w:rPr>
      </w:pPr>
    </w:p>
    <w:p w:rsidR="00746444" w:rsidRDefault="00746444" w:rsidP="00746444">
      <w:pPr>
        <w:widowControl/>
        <w:ind w:left="2160"/>
        <w:rPr>
          <w:rFonts w:eastAsia="Calibri"/>
          <w:snapToGrid/>
          <w:kern w:val="0"/>
          <w:szCs w:val="22"/>
        </w:rPr>
      </w:pPr>
      <w:r w:rsidRPr="003567F1">
        <w:rPr>
          <w:rFonts w:eastAsia="Calibri"/>
          <w:snapToGrid/>
          <w:kern w:val="0"/>
          <w:szCs w:val="22"/>
        </w:rPr>
        <w:t>(B) The reduction in interstate switched access rev</w:t>
      </w:r>
      <w:r>
        <w:rPr>
          <w:rFonts w:eastAsia="Calibri"/>
          <w:snapToGrid/>
          <w:kern w:val="0"/>
          <w:szCs w:val="22"/>
        </w:rPr>
        <w:t xml:space="preserve">enues equal to the 2011 Baseline </w:t>
      </w:r>
      <w:r w:rsidRPr="003567F1">
        <w:rPr>
          <w:rFonts w:eastAsia="Calibri"/>
          <w:snapToGrid/>
          <w:kern w:val="0"/>
          <w:szCs w:val="22"/>
        </w:rPr>
        <w:t>Composite Terminating End Office Access Rate using Fiscal Year 2011 terminating interstate end office switching minutes, and then multiply by the Price Cap Carrier Traffic Demand Factor;</w:t>
      </w:r>
    </w:p>
    <w:p w:rsidR="00746444" w:rsidRDefault="00746444" w:rsidP="00746444">
      <w:pPr>
        <w:widowControl/>
        <w:rPr>
          <w:rFonts w:eastAsia="Calibri"/>
          <w:snapToGrid/>
          <w:kern w:val="0"/>
          <w:szCs w:val="22"/>
        </w:rPr>
      </w:pPr>
      <w:r>
        <w:rPr>
          <w:rFonts w:eastAsia="Calibri"/>
          <w:snapToGrid/>
          <w:kern w:val="0"/>
          <w:szCs w:val="22"/>
        </w:rPr>
        <w:br w:type="page"/>
      </w:r>
    </w:p>
    <w:p w:rsidR="00746444" w:rsidRPr="003567F1" w:rsidRDefault="00746444" w:rsidP="00746444">
      <w:pPr>
        <w:widowControl/>
        <w:rPr>
          <w:rFonts w:eastAsia="Calibri"/>
          <w:snapToGrid/>
          <w:kern w:val="0"/>
          <w:szCs w:val="22"/>
        </w:rPr>
      </w:pPr>
    </w:p>
    <w:p w:rsidR="00746444" w:rsidRPr="003567F1" w:rsidRDefault="00746444" w:rsidP="00746444">
      <w:pPr>
        <w:keepNext/>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keepNext/>
        <w:widowControl/>
        <w:ind w:left="720" w:firstLine="720"/>
        <w:rPr>
          <w:rFonts w:eastAsia="Calibri"/>
          <w:snapToGrid/>
          <w:kern w:val="0"/>
          <w:szCs w:val="22"/>
        </w:rPr>
      </w:pPr>
      <w:r w:rsidRPr="003567F1">
        <w:rPr>
          <w:rFonts w:eastAsia="Calibri"/>
          <w:snapToGrid/>
          <w:kern w:val="0"/>
          <w:szCs w:val="22"/>
        </w:rPr>
        <w:t>(vii</w:t>
      </w:r>
      <w:r>
        <w:rPr>
          <w:rFonts w:eastAsia="Calibri"/>
          <w:snapToGrid/>
          <w:kern w:val="0"/>
          <w:szCs w:val="22"/>
        </w:rPr>
        <w:t>i</w:t>
      </w:r>
      <w:r w:rsidRPr="003567F1">
        <w:rPr>
          <w:rFonts w:eastAsia="Calibri"/>
          <w:snapToGrid/>
          <w:kern w:val="0"/>
          <w:szCs w:val="22"/>
        </w:rPr>
        <w:t>) * * *</w:t>
      </w:r>
    </w:p>
    <w:p w:rsidR="00746444" w:rsidRPr="003567F1" w:rsidRDefault="00746444" w:rsidP="00746444">
      <w:pPr>
        <w:widowControl/>
        <w:ind w:left="720" w:firstLine="720"/>
        <w:rPr>
          <w:rFonts w:eastAsia="Calibri"/>
          <w:snapToGrid/>
          <w:kern w:val="0"/>
          <w:szCs w:val="22"/>
        </w:rPr>
      </w:pPr>
    </w:p>
    <w:p w:rsidR="00746444" w:rsidRPr="003E4D2B" w:rsidRDefault="00746444" w:rsidP="00746444">
      <w:pPr>
        <w:widowControl/>
        <w:ind w:left="2160"/>
      </w:pPr>
      <w:r w:rsidRPr="00D84EAA">
        <w:rPr>
          <w:rFonts w:eastAsia="Calibri"/>
          <w:snapToGrid/>
          <w:kern w:val="0"/>
          <w:szCs w:val="22"/>
        </w:rPr>
        <w:t xml:space="preserve">(2) </w:t>
      </w:r>
      <w:r>
        <w:rPr>
          <w:rFonts w:eastAsia="Calibri"/>
          <w:snapToGrid/>
          <w:kern w:val="0"/>
          <w:szCs w:val="22"/>
        </w:rPr>
        <w:t xml:space="preserve">If a Price Cap Carrier recovers any costs or revenues that are already being recovered through Access Recovery Charges or the Connect America Fund from another source, that carrier’s ability to recover reduced switched access revenue from Access Recovery Charges or the Connect America Fund shall be reduced to the extent it receives duplicative recovery.  </w:t>
      </w:r>
      <w:r w:rsidRPr="00D84EAA">
        <w:t>Any duplicative recovery</w:t>
      </w:r>
      <w:r w:rsidRPr="003E4D2B">
        <w:t xml:space="preserve"> shall be reflected as a reduction to a carrier’s Eligible Recovery calculate</w:t>
      </w:r>
      <w:r>
        <w:t>d pursuant to section 51.915(d)</w:t>
      </w:r>
      <w:r w:rsidRPr="003E4D2B">
        <w:t xml:space="preserve"> of this Part.</w:t>
      </w:r>
      <w:r>
        <w:t xml:space="preserve">  </w:t>
      </w:r>
    </w:p>
    <w:p w:rsidR="00746444" w:rsidRPr="003567F1" w:rsidRDefault="00746444" w:rsidP="00746444">
      <w:pPr>
        <w:widowControl/>
        <w:ind w:left="2160"/>
        <w:rPr>
          <w:rFonts w:eastAsia="Calibri"/>
          <w:snapToGrid/>
          <w:kern w:val="0"/>
          <w:szCs w:val="22"/>
        </w:rPr>
      </w:pPr>
    </w:p>
    <w:p w:rsidR="00746444" w:rsidRPr="003567F1" w:rsidRDefault="00746444" w:rsidP="00746444">
      <w:pPr>
        <w:widowControl/>
        <w:rPr>
          <w:rFonts w:eastAsia="Calibri"/>
          <w:snapToGrid/>
          <w:kern w:val="0"/>
          <w:szCs w:val="22"/>
        </w:rPr>
      </w:pPr>
    </w:p>
    <w:p w:rsidR="00746444"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Default="00746444" w:rsidP="00746444">
      <w:pPr>
        <w:pStyle w:val="ParaNum"/>
        <w:numPr>
          <w:ilvl w:val="0"/>
          <w:numId w:val="0"/>
        </w:numPr>
        <w:ind w:left="720"/>
        <w:rPr>
          <w:rFonts w:eastAsia="Calibri"/>
          <w:snapToGrid/>
        </w:rPr>
      </w:pPr>
      <w:r>
        <w:rPr>
          <w:rFonts w:eastAsia="Calibri"/>
          <w:snapToGrid/>
        </w:rPr>
        <w:t>(4)  If a Price Cap Carrier receives payment for Access Recovery Charges after the period used to measure the adjustment to reflect the differences between estimated and actual revenues, it shall treat such payments as actual revenues in the year the payment is received and shall reflect this as an additional adjustment for that year.</w:t>
      </w:r>
    </w:p>
    <w:p w:rsidR="00746444" w:rsidRDefault="00746444" w:rsidP="00746444">
      <w:pPr>
        <w:widowControl/>
        <w:rPr>
          <w:rFonts w:eastAsia="Calibri"/>
          <w:snapToGrid/>
        </w:rPr>
      </w:pPr>
      <w:r>
        <w:rPr>
          <w:rFonts w:eastAsia="Calibri"/>
          <w:snapToGrid/>
        </w:rPr>
        <w:br w:type="page"/>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5.</w:t>
      </w:r>
      <w:r w:rsidRPr="003567F1">
        <w:rPr>
          <w:rFonts w:eastAsia="Calibri"/>
          <w:snapToGrid/>
          <w:kern w:val="0"/>
          <w:szCs w:val="22"/>
        </w:rPr>
        <w:tab/>
        <w:t>Amend 47 C.F.R. § 51.917 by revising (d)(1)(iii)(D)</w:t>
      </w:r>
      <w:r>
        <w:rPr>
          <w:rFonts w:eastAsia="Calibri"/>
          <w:snapToGrid/>
          <w:kern w:val="0"/>
          <w:szCs w:val="22"/>
        </w:rPr>
        <w:t xml:space="preserve"> and (d)(1)(vii)</w:t>
      </w:r>
      <w:r w:rsidRPr="003567F1">
        <w:rPr>
          <w:rFonts w:eastAsia="Calibri"/>
          <w:snapToGrid/>
          <w:kern w:val="0"/>
          <w:szCs w:val="22"/>
        </w:rPr>
        <w:t xml:space="preserve"> as follows:</w:t>
      </w:r>
    </w:p>
    <w:p w:rsidR="00746444" w:rsidRPr="003567F1" w:rsidRDefault="00746444" w:rsidP="00746444">
      <w:pPr>
        <w:widowControl/>
        <w:rPr>
          <w:rFonts w:eastAsia="Calibri"/>
          <w:snapToGrid/>
          <w:kern w:val="0"/>
          <w:szCs w:val="22"/>
        </w:rPr>
      </w:pPr>
    </w:p>
    <w:p w:rsidR="00746444" w:rsidRPr="003567F1" w:rsidRDefault="00746444" w:rsidP="00746444">
      <w:pPr>
        <w:widowControl/>
        <w:spacing w:after="200" w:line="276" w:lineRule="auto"/>
        <w:rPr>
          <w:rFonts w:eastAsia="Calibri"/>
          <w:b/>
          <w:snapToGrid/>
          <w:kern w:val="0"/>
          <w:szCs w:val="22"/>
          <w:u w:val="single"/>
        </w:rPr>
      </w:pPr>
      <w:r w:rsidRPr="003567F1">
        <w:rPr>
          <w:rFonts w:eastAsia="Calibri"/>
          <w:b/>
          <w:snapToGrid/>
          <w:kern w:val="0"/>
          <w:szCs w:val="22"/>
          <w:u w:val="single"/>
        </w:rPr>
        <w:t>§ 51.917 Revenue recovery for rate-of-return carriers.</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 * * * *</w:t>
      </w:r>
    </w:p>
    <w:p w:rsidR="00746444" w:rsidRPr="003567F1" w:rsidRDefault="00746444" w:rsidP="00746444">
      <w:pPr>
        <w:widowControl/>
        <w:rPr>
          <w:rFonts w:eastAsia="Calibri"/>
          <w:snapToGrid/>
          <w:kern w:val="0"/>
          <w:szCs w:val="22"/>
        </w:rPr>
      </w:pPr>
    </w:p>
    <w:p w:rsidR="00746444" w:rsidRPr="003567F1" w:rsidRDefault="00746444" w:rsidP="00746444">
      <w:pPr>
        <w:widowControl/>
        <w:rPr>
          <w:rFonts w:eastAsia="Calibri"/>
          <w:snapToGrid/>
          <w:kern w:val="0"/>
          <w:szCs w:val="22"/>
        </w:rPr>
      </w:pPr>
      <w:r w:rsidRPr="003567F1">
        <w:rPr>
          <w:rFonts w:eastAsia="Calibri"/>
          <w:snapToGrid/>
          <w:kern w:val="0"/>
          <w:szCs w:val="22"/>
        </w:rPr>
        <w:t>(d) * * *</w:t>
      </w:r>
    </w:p>
    <w:p w:rsidR="00746444" w:rsidRPr="003567F1" w:rsidRDefault="00746444" w:rsidP="00746444">
      <w:pPr>
        <w:widowControl/>
        <w:rPr>
          <w:rFonts w:eastAsia="Calibri"/>
          <w:snapToGrid/>
          <w:kern w:val="0"/>
          <w:szCs w:val="22"/>
        </w:rPr>
      </w:pPr>
    </w:p>
    <w:p w:rsidR="00746444" w:rsidRPr="003567F1" w:rsidRDefault="00746444" w:rsidP="00746444">
      <w:pPr>
        <w:widowControl/>
        <w:numPr>
          <w:ilvl w:val="0"/>
          <w:numId w:val="18"/>
        </w:numPr>
        <w:spacing w:after="200"/>
        <w:contextualSpacing/>
        <w:rPr>
          <w:rFonts w:eastAsia="Calibri"/>
          <w:snapToGrid/>
          <w:kern w:val="0"/>
          <w:szCs w:val="22"/>
        </w:rPr>
      </w:pPr>
      <w:r w:rsidRPr="003567F1">
        <w:rPr>
          <w:rFonts w:eastAsia="Calibri"/>
          <w:snapToGrid/>
          <w:kern w:val="0"/>
          <w:szCs w:val="22"/>
        </w:rPr>
        <w:t>* * *</w:t>
      </w:r>
    </w:p>
    <w:p w:rsidR="00746444" w:rsidRPr="003567F1" w:rsidRDefault="00746444" w:rsidP="00746444">
      <w:pPr>
        <w:widowControl/>
        <w:rPr>
          <w:rFonts w:eastAsia="Calibri"/>
          <w:snapToGrid/>
          <w:kern w:val="0"/>
          <w:szCs w:val="22"/>
        </w:rPr>
      </w:pPr>
      <w:r w:rsidRPr="003567F1">
        <w:rPr>
          <w:rFonts w:eastAsia="Calibri"/>
          <w:snapToGrid/>
          <w:kern w:val="0"/>
          <w:szCs w:val="22"/>
        </w:rPr>
        <w:tab/>
      </w:r>
    </w:p>
    <w:p w:rsidR="00746444" w:rsidRPr="003567F1" w:rsidRDefault="00746444" w:rsidP="00746444">
      <w:pPr>
        <w:widowControl/>
        <w:ind w:left="720" w:firstLine="720"/>
        <w:rPr>
          <w:rFonts w:eastAsia="Calibri"/>
          <w:snapToGrid/>
          <w:kern w:val="0"/>
          <w:szCs w:val="22"/>
        </w:rPr>
      </w:pPr>
      <w:r w:rsidRPr="003567F1">
        <w:rPr>
          <w:rFonts w:eastAsia="Calibri"/>
          <w:snapToGrid/>
          <w:kern w:val="0"/>
          <w:szCs w:val="22"/>
        </w:rPr>
        <w:t>(iii) * * *</w:t>
      </w:r>
    </w:p>
    <w:p w:rsidR="00746444" w:rsidRPr="003567F1" w:rsidRDefault="00746444" w:rsidP="00746444">
      <w:pPr>
        <w:widowControl/>
        <w:rPr>
          <w:rFonts w:eastAsia="Calibri"/>
          <w:snapToGrid/>
          <w:kern w:val="0"/>
          <w:szCs w:val="22"/>
        </w:rPr>
      </w:pPr>
    </w:p>
    <w:p w:rsidR="00746444" w:rsidRPr="003567F1" w:rsidRDefault="00746444" w:rsidP="00746444">
      <w:pPr>
        <w:widowControl/>
        <w:ind w:left="2160"/>
        <w:rPr>
          <w:rFonts w:eastAsia="Calibri"/>
          <w:snapToGrid/>
          <w:kern w:val="0"/>
          <w:szCs w:val="22"/>
        </w:rPr>
      </w:pPr>
      <w:r w:rsidRPr="003567F1">
        <w:rPr>
          <w:rFonts w:eastAsia="Calibri"/>
          <w:snapToGrid/>
          <w:kern w:val="0"/>
          <w:szCs w:val="22"/>
        </w:rPr>
        <w:t>(D) An amount equal to True-up Revenues for Access Recovery Charges for the year beginning July 1, 2012 multiplied by negative one.</w:t>
      </w:r>
    </w:p>
    <w:p w:rsidR="00746444" w:rsidRPr="003567F1" w:rsidRDefault="00746444" w:rsidP="00746444">
      <w:pPr>
        <w:widowControl/>
        <w:rPr>
          <w:rFonts w:eastAsia="Calibri"/>
          <w:snapToGrid/>
          <w:kern w:val="0"/>
          <w:szCs w:val="22"/>
        </w:rPr>
      </w:pPr>
    </w:p>
    <w:p w:rsidR="00746444" w:rsidRDefault="00746444" w:rsidP="00746444">
      <w:pPr>
        <w:widowControl/>
        <w:rPr>
          <w:rFonts w:eastAsia="Calibri"/>
          <w:snapToGrid/>
          <w:kern w:val="0"/>
          <w:szCs w:val="22"/>
        </w:rPr>
      </w:pPr>
      <w:r w:rsidRPr="003567F1">
        <w:rPr>
          <w:rFonts w:eastAsia="Calibri"/>
          <w:snapToGrid/>
          <w:kern w:val="0"/>
          <w:szCs w:val="22"/>
        </w:rPr>
        <w:t>* * * * *</w:t>
      </w:r>
    </w:p>
    <w:p w:rsidR="00746444" w:rsidRPr="00FD2B82" w:rsidRDefault="00746444" w:rsidP="00746444">
      <w:pPr>
        <w:ind w:left="2160"/>
        <w:rPr>
          <w:b/>
        </w:rPr>
      </w:pPr>
      <w:r>
        <w:rPr>
          <w:rFonts w:eastAsia="Calibri"/>
          <w:snapToGrid/>
          <w:kern w:val="0"/>
          <w:szCs w:val="22"/>
        </w:rPr>
        <w:t xml:space="preserve">(vii) If a Rate-of-Return Carrier recovers any costs or revenues that are already being recovered as Eligible Recovery through Access Recovery Charges or the Connect America Fund from another source, that carrier’s ability to recover reduced switched access revenue from Access Recovery Charges or the Connect America Fund shall be reduced to the extent it receives duplicative recovery.  </w:t>
      </w:r>
      <w:r w:rsidRPr="003E4D2B">
        <w:t>Any duplicative recovery shall be reflected as a reduction to a carrier’s Eligible Recovery calculate</w:t>
      </w:r>
      <w:r>
        <w:t>d pursuant to section 51.917(d)</w:t>
      </w:r>
      <w:r w:rsidRPr="003E4D2B">
        <w:t xml:space="preserve"> of this Part.</w:t>
      </w:r>
      <w:r>
        <w:t xml:space="preserve">  A Rate-of-Return Carrier seeking revenue recovery must annually certify as part of its tariff filings to the Commission and to the relevant state commission that the carrier is not seeking duplicative recovery in the state jurisdiction for any Eligible Recovery subject to the recovery mechanism.</w:t>
      </w:r>
    </w:p>
    <w:p w:rsidR="00746444" w:rsidRPr="003567F1" w:rsidRDefault="00746444" w:rsidP="00746444">
      <w:pPr>
        <w:widowControl/>
        <w:ind w:left="720" w:firstLine="720"/>
        <w:rPr>
          <w:rFonts w:eastAsia="Calibri"/>
          <w:snapToGrid/>
          <w:kern w:val="0"/>
          <w:szCs w:val="22"/>
        </w:rPr>
      </w:pPr>
    </w:p>
    <w:p w:rsidR="00746444" w:rsidRPr="003567F1" w:rsidRDefault="00746444" w:rsidP="00746444">
      <w:pPr>
        <w:widowControl/>
        <w:rPr>
          <w:rFonts w:eastAsia="Calibri"/>
          <w:snapToGrid/>
          <w:kern w:val="0"/>
          <w:szCs w:val="22"/>
        </w:rPr>
      </w:pPr>
    </w:p>
    <w:p w:rsidR="008715DB" w:rsidRPr="003567F1" w:rsidRDefault="008715DB" w:rsidP="008E254E">
      <w:pPr>
        <w:keepNext/>
        <w:keepLines/>
        <w:widowControl/>
        <w:rPr>
          <w:rFonts w:eastAsia="Calibri"/>
          <w:snapToGrid/>
          <w:kern w:val="0"/>
          <w:szCs w:val="22"/>
        </w:rPr>
      </w:pPr>
    </w:p>
    <w:sectPr w:rsidR="008715DB" w:rsidRPr="003567F1" w:rsidSect="00CB460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152" w:right="1440" w:bottom="1440" w:left="144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9B" w:rsidRDefault="00A24C9B">
      <w:pPr>
        <w:spacing w:line="20" w:lineRule="exact"/>
      </w:pPr>
    </w:p>
  </w:endnote>
  <w:endnote w:type="continuationSeparator" w:id="0">
    <w:p w:rsidR="00A24C9B" w:rsidRDefault="00A24C9B">
      <w:r>
        <w:t xml:space="preserve"> </w:t>
      </w:r>
    </w:p>
  </w:endnote>
  <w:endnote w:type="continuationNotice" w:id="1">
    <w:p w:rsidR="00A24C9B" w:rsidRDefault="00A24C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80" w:rsidRDefault="008A6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00560"/>
      <w:docPartObj>
        <w:docPartGallery w:val="Page Numbers (Bottom of Page)"/>
        <w:docPartUnique/>
      </w:docPartObj>
    </w:sdtPr>
    <w:sdtEndPr>
      <w:rPr>
        <w:noProof/>
      </w:rPr>
    </w:sdtEndPr>
    <w:sdtContent>
      <w:p w:rsidR="00AD054A" w:rsidRPr="003567F1" w:rsidRDefault="00AD054A">
        <w:pPr>
          <w:pStyle w:val="Footer"/>
          <w:jc w:val="center"/>
        </w:pPr>
        <w:r w:rsidRPr="003567F1">
          <w:fldChar w:fldCharType="begin"/>
        </w:r>
        <w:r w:rsidRPr="003567F1">
          <w:instrText xml:space="preserve"> PAGE   \* MERGEFORMAT </w:instrText>
        </w:r>
        <w:r w:rsidRPr="003567F1">
          <w:fldChar w:fldCharType="separate"/>
        </w:r>
        <w:r w:rsidR="00D31BF1">
          <w:rPr>
            <w:noProof/>
          </w:rPr>
          <w:t>2</w:t>
        </w:r>
        <w:r w:rsidRPr="003567F1">
          <w:rPr>
            <w:noProof/>
          </w:rPr>
          <w:fldChar w:fldCharType="end"/>
        </w:r>
      </w:p>
    </w:sdtContent>
  </w:sdt>
  <w:p w:rsidR="00AD054A" w:rsidRDefault="00AD0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4A" w:rsidRDefault="00AD054A" w:rsidP="00B566B4">
    <w:pPr>
      <w:pStyle w:val="Footer"/>
      <w:spacing w:before="160"/>
      <w:jc w:val="center"/>
    </w:pPr>
  </w:p>
  <w:p w:rsidR="00AD054A" w:rsidRDefault="00AD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9B" w:rsidRPr="00587145" w:rsidRDefault="00A24C9B" w:rsidP="00587145">
      <w:pPr>
        <w:spacing w:before="120"/>
        <w:rPr>
          <w:sz w:val="20"/>
        </w:rPr>
      </w:pPr>
      <w:r w:rsidRPr="00587145">
        <w:rPr>
          <w:sz w:val="20"/>
        </w:rPr>
        <w:separator/>
      </w:r>
    </w:p>
  </w:footnote>
  <w:footnote w:type="continuationSeparator" w:id="0">
    <w:p w:rsidR="00A24C9B" w:rsidRDefault="00A24C9B" w:rsidP="00587145">
      <w:pPr>
        <w:spacing w:before="120"/>
        <w:rPr>
          <w:sz w:val="20"/>
        </w:rPr>
      </w:pPr>
      <w:r>
        <w:rPr>
          <w:sz w:val="20"/>
        </w:rPr>
        <w:t>(Continued from previous page)</w:t>
      </w:r>
      <w:r>
        <w:rPr>
          <w:sz w:val="20"/>
        </w:rPr>
        <w:separator/>
      </w:r>
    </w:p>
  </w:footnote>
  <w:footnote w:type="continuationNotice" w:id="1">
    <w:p w:rsidR="00A24C9B" w:rsidRDefault="00A24C9B" w:rsidP="00587145">
      <w:pPr>
        <w:jc w:val="right"/>
        <w:rPr>
          <w:sz w:val="20"/>
        </w:rPr>
      </w:pPr>
      <w:r>
        <w:rPr>
          <w:sz w:val="20"/>
        </w:rPr>
        <w:t>(continued . . .)</w:t>
      </w:r>
    </w:p>
  </w:footnote>
  <w:footnote w:id="2">
    <w:p w:rsidR="00AD054A" w:rsidRPr="00914D24" w:rsidRDefault="00AD054A" w:rsidP="00571AF9">
      <w:pPr>
        <w:pStyle w:val="FootnoteText"/>
      </w:pPr>
      <w:r w:rsidRPr="00B27997">
        <w:rPr>
          <w:rStyle w:val="FootnoteReference"/>
        </w:rPr>
        <w:footnoteRef/>
      </w:r>
      <w:r w:rsidRPr="00B27997">
        <w:t xml:space="preserve"> </w:t>
      </w:r>
      <w:r w:rsidRPr="00E548E0">
        <w:rPr>
          <w:i/>
          <w:iCs/>
        </w:rPr>
        <w:t>Connect America Fund,</w:t>
      </w:r>
      <w:r w:rsidR="009B1FFD">
        <w:rPr>
          <w:i/>
          <w:iCs/>
        </w:rPr>
        <w:t xml:space="preserve"> </w:t>
      </w:r>
      <w:r>
        <w:rPr>
          <w:i/>
          <w:iCs/>
        </w:rPr>
        <w:t>et al.</w:t>
      </w:r>
      <w:r>
        <w:rPr>
          <w:iCs/>
        </w:rPr>
        <w:t xml:space="preserve">, </w:t>
      </w:r>
      <w:r w:rsidRPr="004F6775">
        <w:t xml:space="preserve"> WC Docket No. 10-90</w:t>
      </w:r>
      <w:r>
        <w:t xml:space="preserve"> </w:t>
      </w:r>
      <w:r w:rsidRPr="009B1FFD">
        <w:rPr>
          <w:i/>
        </w:rPr>
        <w:t>et al</w:t>
      </w:r>
      <w:r>
        <w:t>.</w:t>
      </w:r>
      <w:r w:rsidRPr="004F6775">
        <w:t xml:space="preserve">,  Report and Order and Further Notice of Proposed Rulemaking, 26 FCC Rcd 17663, </w:t>
      </w:r>
      <w:r>
        <w:t>18149</w:t>
      </w:r>
      <w:r w:rsidRPr="004F6775">
        <w:t xml:space="preserve">, para. </w:t>
      </w:r>
      <w:r>
        <w:t>1404</w:t>
      </w:r>
      <w:r w:rsidRPr="004F6775">
        <w:t xml:space="preserve"> (2011) (</w:t>
      </w:r>
      <w:r w:rsidRPr="004F6775">
        <w:rPr>
          <w:i/>
          <w:iCs/>
        </w:rPr>
        <w:t>USF/ICC Transformation Order</w:t>
      </w:r>
      <w:r w:rsidRPr="004F6775">
        <w:rPr>
          <w:iCs/>
        </w:rPr>
        <w:t>),</w:t>
      </w:r>
      <w:r w:rsidRPr="004F6775">
        <w:t xml:space="preserve"> </w:t>
      </w:r>
      <w:r w:rsidRPr="004F6775">
        <w:rPr>
          <w:i/>
          <w:iCs/>
        </w:rPr>
        <w:t>pets. for review pending sub nom. In re:  FCC</w:t>
      </w:r>
      <w:r>
        <w:rPr>
          <w:i/>
          <w:iCs/>
        </w:rPr>
        <w:t xml:space="preserve"> 11-161</w:t>
      </w:r>
      <w:r w:rsidRPr="004F6775">
        <w:t>, No. 11-9900 (10th Cir. filed Dec. 8, 2011).</w:t>
      </w:r>
      <w:r>
        <w:t xml:space="preserve">  </w:t>
      </w:r>
    </w:p>
  </w:footnote>
  <w:footnote w:id="3">
    <w:p w:rsidR="00AD054A" w:rsidRPr="00CB764B" w:rsidRDefault="00AD054A">
      <w:pPr>
        <w:pStyle w:val="FootnoteText"/>
      </w:pPr>
      <w:r>
        <w:rPr>
          <w:rStyle w:val="FootnoteReference"/>
        </w:rPr>
        <w:footnoteRef/>
      </w:r>
      <w:r>
        <w:t xml:space="preserve"> </w:t>
      </w:r>
      <w:r>
        <w:rPr>
          <w:i/>
        </w:rPr>
        <w:t xml:space="preserve">See </w:t>
      </w:r>
      <w:r>
        <w:t xml:space="preserve">47 C.F.R. §§ 51.907; </w:t>
      </w:r>
      <w:r>
        <w:rPr>
          <w:snapToGrid w:val="0"/>
        </w:rPr>
        <w:t xml:space="preserve">51.909; </w:t>
      </w:r>
      <w:bookmarkStart w:id="12" w:name="OLE_LINK8"/>
      <w:r>
        <w:rPr>
          <w:snapToGrid w:val="0"/>
        </w:rPr>
        <w:t>51.915; 51.91</w:t>
      </w:r>
      <w:bookmarkEnd w:id="12"/>
      <w:r>
        <w:rPr>
          <w:snapToGrid w:val="0"/>
        </w:rPr>
        <w:t>7</w:t>
      </w:r>
      <w:r>
        <w:t xml:space="preserve">. </w:t>
      </w:r>
    </w:p>
  </w:footnote>
  <w:footnote w:id="4">
    <w:p w:rsidR="00AD054A" w:rsidRPr="00DE7005" w:rsidRDefault="00AD054A">
      <w:pPr>
        <w:pStyle w:val="FootnoteText"/>
      </w:pPr>
      <w:r>
        <w:rPr>
          <w:rStyle w:val="FootnoteReference"/>
        </w:rPr>
        <w:footnoteRef/>
      </w:r>
      <w:r>
        <w:t xml:space="preserve"> </w:t>
      </w:r>
      <w:r w:rsidRPr="004F6775">
        <w:rPr>
          <w:i/>
          <w:iCs/>
        </w:rPr>
        <w:t>USF/ICC Transformation Order</w:t>
      </w:r>
      <w:r>
        <w:rPr>
          <w:iCs/>
        </w:rPr>
        <w:t xml:space="preserve">, 26 FCC Rcd at 17934-35, para. 801 and Fig. 9.  </w:t>
      </w:r>
      <w:r>
        <w:t xml:space="preserve">The </w:t>
      </w:r>
      <w:r w:rsidRPr="004F6775">
        <w:rPr>
          <w:i/>
          <w:iCs/>
        </w:rPr>
        <w:t>USF/ICC Transformation Order</w:t>
      </w:r>
      <w:r>
        <w:rPr>
          <w:iCs/>
        </w:rPr>
        <w:t xml:space="preserve"> altered the regulatory treatment of interstate and intrastate switched access traffic, which is now subject to the reciprocal compensation framework under section 251(b)(5) of the Communications Act, rather than the legacy access charge regime.  </w:t>
      </w:r>
      <w:r>
        <w:rPr>
          <w:i/>
          <w:iCs/>
        </w:rPr>
        <w:t xml:space="preserve">See </w:t>
      </w:r>
      <w:r w:rsidRPr="004F6775">
        <w:rPr>
          <w:i/>
          <w:iCs/>
        </w:rPr>
        <w:t>USF/ICC Transformation Order</w:t>
      </w:r>
      <w:r>
        <w:rPr>
          <w:iCs/>
        </w:rPr>
        <w:t xml:space="preserve">, 26 FCC Rcd at 17914-16, paras. 760-64; </w:t>
      </w:r>
      <w:r>
        <w:rPr>
          <w:i/>
          <w:iCs/>
        </w:rPr>
        <w:t xml:space="preserve">see also </w:t>
      </w:r>
      <w:r>
        <w:rPr>
          <w:iCs/>
        </w:rPr>
        <w:t xml:space="preserve">47 U.S.C. </w:t>
      </w:r>
      <w:r>
        <w:t>§ 251(b)(5).  In this Order, the term “legacy switched access” refers to switched access charges or rates under the pre-</w:t>
      </w:r>
      <w:r w:rsidRPr="004F6775">
        <w:rPr>
          <w:i/>
          <w:iCs/>
        </w:rPr>
        <w:t>USF/ICC Transformation Order</w:t>
      </w:r>
      <w:r>
        <w:rPr>
          <w:i/>
          <w:iCs/>
        </w:rPr>
        <w:t xml:space="preserve"> </w:t>
      </w:r>
      <w:r>
        <w:rPr>
          <w:iCs/>
        </w:rPr>
        <w:t xml:space="preserve">access charge regulatory regime as opposed to the reciprocal compensation framework adopted in the </w:t>
      </w:r>
      <w:r w:rsidRPr="004F6775">
        <w:rPr>
          <w:i/>
          <w:iCs/>
        </w:rPr>
        <w:t>USF/ICC Transformation Order</w:t>
      </w:r>
      <w:r>
        <w:rPr>
          <w:iCs/>
        </w:rPr>
        <w:t>.</w:t>
      </w:r>
    </w:p>
  </w:footnote>
  <w:footnote w:id="5">
    <w:p w:rsidR="00AD054A" w:rsidRPr="00F7327F" w:rsidRDefault="00AD054A">
      <w:pPr>
        <w:pStyle w:val="FootnoteText"/>
      </w:pPr>
      <w:r>
        <w:rPr>
          <w:rStyle w:val="FootnoteReference"/>
        </w:rPr>
        <w:footnoteRef/>
      </w:r>
      <w:r>
        <w:t xml:space="preserve"> </w:t>
      </w:r>
      <w:r w:rsidRPr="004F6775">
        <w:rPr>
          <w:i/>
          <w:iCs/>
        </w:rPr>
        <w:t>USF/ICC Transformation Order</w:t>
      </w:r>
      <w:r>
        <w:rPr>
          <w:iCs/>
        </w:rPr>
        <w:t>, 26 FCC Rcd</w:t>
      </w:r>
      <w:r>
        <w:t xml:space="preserve"> at 17677, para. 36.</w:t>
      </w:r>
    </w:p>
  </w:footnote>
  <w:footnote w:id="6">
    <w:p w:rsidR="00AD054A" w:rsidRDefault="00AD054A">
      <w:pPr>
        <w:pStyle w:val="FootnoteText"/>
      </w:pPr>
      <w:r>
        <w:rPr>
          <w:rStyle w:val="FootnoteReference"/>
        </w:rPr>
        <w:footnoteRef/>
      </w:r>
      <w:r>
        <w:t xml:space="preserve"> </w:t>
      </w:r>
      <w:r>
        <w:rPr>
          <w:i/>
        </w:rPr>
        <w:t>Id</w:t>
      </w:r>
      <w:r>
        <w:t>. at 17956-57, paras. 847, 850.</w:t>
      </w:r>
    </w:p>
  </w:footnote>
  <w:footnote w:id="7">
    <w:p w:rsidR="00AD054A" w:rsidRDefault="00AD054A">
      <w:pPr>
        <w:pStyle w:val="FootnoteText"/>
      </w:pPr>
      <w:r>
        <w:rPr>
          <w:rStyle w:val="FootnoteReference"/>
        </w:rPr>
        <w:footnoteRef/>
      </w:r>
      <w:r>
        <w:t xml:space="preserve"> </w:t>
      </w:r>
      <w:r>
        <w:rPr>
          <w:i/>
        </w:rPr>
        <w:t>Id</w:t>
      </w:r>
      <w:r>
        <w:t>. at 17994-95, para. 918; 47 C.F.R. §§ 51.915(d)-f); 51.917(d-f).</w:t>
      </w:r>
    </w:p>
  </w:footnote>
  <w:footnote w:id="8">
    <w:p w:rsidR="00AD054A" w:rsidRPr="00EB4383" w:rsidRDefault="00AD054A" w:rsidP="005322CE">
      <w:pPr>
        <w:pStyle w:val="FootnoteText"/>
      </w:pPr>
      <w:r>
        <w:rPr>
          <w:rStyle w:val="FootnoteReference"/>
        </w:rPr>
        <w:footnoteRef/>
      </w:r>
      <w:r>
        <w:t xml:space="preserve"> </w:t>
      </w:r>
      <w:r>
        <w:rPr>
          <w:i/>
        </w:rPr>
        <w:t>See Connect America Fund et. al</w:t>
      </w:r>
      <w:r>
        <w:t xml:space="preserve">, WC Docket Nos. 10-90, 12-63, CC Docket No. 01-92 </w:t>
      </w:r>
      <w:r>
        <w:rPr>
          <w:i/>
        </w:rPr>
        <w:t>et. al</w:t>
      </w:r>
      <w:r>
        <w:t>, Order, 28 FCC Rcd 3319 (</w:t>
      </w:r>
      <w:r w:rsidRPr="00510770">
        <w:t>Wireline Comp. Bur.</w:t>
      </w:r>
      <w:r>
        <w:rPr>
          <w:u w:val="words"/>
        </w:rPr>
        <w:t xml:space="preserve"> </w:t>
      </w:r>
      <w:r>
        <w:t>2013) (</w:t>
      </w:r>
      <w:r>
        <w:rPr>
          <w:i/>
        </w:rPr>
        <w:t>2013 ICC Clarification Order</w:t>
      </w:r>
      <w:r>
        <w:t>).</w:t>
      </w:r>
    </w:p>
  </w:footnote>
  <w:footnote w:id="9">
    <w:p w:rsidR="00AD054A" w:rsidRDefault="00AD054A">
      <w:pPr>
        <w:pStyle w:val="FootnoteText"/>
      </w:pPr>
      <w:r>
        <w:rPr>
          <w:rStyle w:val="FootnoteReference"/>
        </w:rPr>
        <w:footnoteRef/>
      </w:r>
      <w:r>
        <w:t xml:space="preserve"> </w:t>
      </w:r>
      <w:r>
        <w:rPr>
          <w:i/>
        </w:rPr>
        <w:t xml:space="preserve">See </w:t>
      </w:r>
      <w:r>
        <w:rPr>
          <w:i/>
          <w:iCs/>
        </w:rPr>
        <w:t>USF/ICC Transformation Order</w:t>
      </w:r>
      <w:r>
        <w:rPr>
          <w:iCs/>
        </w:rPr>
        <w:t>, 26 FCC Rcd</w:t>
      </w:r>
      <w:r>
        <w:t xml:space="preserve"> at 17934-35, para. 801 and Fig. 9.</w:t>
      </w:r>
    </w:p>
  </w:footnote>
  <w:footnote w:id="10">
    <w:p w:rsidR="00AD054A" w:rsidRPr="003367B8" w:rsidRDefault="00AD054A">
      <w:pPr>
        <w:pStyle w:val="FootnoteText"/>
      </w:pPr>
      <w:r>
        <w:rPr>
          <w:rStyle w:val="FootnoteReference"/>
        </w:rPr>
        <w:footnoteRef/>
      </w:r>
      <w:r>
        <w:t xml:space="preserve"> Carriers that had some intrastate switched access rates above the comparable interstate rate and some below were allowed to increase the intrastate rate(s) that were below the comparable interstate(s) rate in a manner that was revenue neutral.  </w:t>
      </w:r>
      <w:r>
        <w:rPr>
          <w:i/>
        </w:rPr>
        <w:t>See</w:t>
      </w:r>
      <w:r>
        <w:t xml:space="preserve">, </w:t>
      </w:r>
      <w:r>
        <w:rPr>
          <w:i/>
        </w:rPr>
        <w:t>e.g.</w:t>
      </w:r>
      <w:r>
        <w:t xml:space="preserve">, </w:t>
      </w:r>
      <w:r>
        <w:rPr>
          <w:i/>
        </w:rPr>
        <w:t>2013 ICC Clarification Order</w:t>
      </w:r>
      <w:r>
        <w:t>,28 FCC Rcd 3319.</w:t>
      </w:r>
    </w:p>
  </w:footnote>
  <w:footnote w:id="11">
    <w:p w:rsidR="00AD054A" w:rsidRDefault="00AD054A">
      <w:pPr>
        <w:pStyle w:val="FootnoteText"/>
      </w:pPr>
      <w:r>
        <w:rPr>
          <w:rStyle w:val="FootnoteReference"/>
        </w:rPr>
        <w:footnoteRef/>
      </w:r>
      <w:r>
        <w:t xml:space="preserve"> </w:t>
      </w:r>
      <w:r>
        <w:rPr>
          <w:i/>
          <w:iCs/>
        </w:rPr>
        <w:t>USF/ICC Transformation Order</w:t>
      </w:r>
      <w:r>
        <w:rPr>
          <w:iCs/>
        </w:rPr>
        <w:t>, 26 FCC Rcd</w:t>
      </w:r>
      <w:r>
        <w:t xml:space="preserve"> at 17934-35, para. 801 and Fig. 9.</w:t>
      </w:r>
    </w:p>
  </w:footnote>
  <w:footnote w:id="12">
    <w:p w:rsidR="00AD054A" w:rsidRPr="00ED1D9B" w:rsidRDefault="00AD054A">
      <w:pPr>
        <w:pStyle w:val="FootnoteText"/>
      </w:pPr>
      <w:r>
        <w:rPr>
          <w:rStyle w:val="FootnoteReference"/>
        </w:rPr>
        <w:footnoteRef/>
      </w:r>
      <w:r>
        <w:t xml:space="preserve"> </w:t>
      </w:r>
      <w:r>
        <w:rPr>
          <w:i/>
        </w:rPr>
        <w:t>Id</w:t>
      </w:r>
      <w:r>
        <w:t>.</w:t>
      </w:r>
    </w:p>
  </w:footnote>
  <w:footnote w:id="13">
    <w:p w:rsidR="00AD054A" w:rsidRPr="00E36333" w:rsidRDefault="00AD054A">
      <w:pPr>
        <w:pStyle w:val="FootnoteText"/>
        <w:rPr>
          <w:i/>
        </w:rPr>
      </w:pPr>
      <w:r>
        <w:rPr>
          <w:rStyle w:val="FootnoteReference"/>
        </w:rPr>
        <w:footnoteRef/>
      </w:r>
      <w:r>
        <w:t xml:space="preserve"> </w:t>
      </w:r>
      <w:r>
        <w:rPr>
          <w:i/>
        </w:rPr>
        <w:t xml:space="preserve">See </w:t>
      </w:r>
      <w:r w:rsidRPr="00AD054A">
        <w:rPr>
          <w:i/>
        </w:rPr>
        <w:t>id</w:t>
      </w:r>
      <w:r>
        <w:t>. at 17934, para. 801.</w:t>
      </w:r>
    </w:p>
  </w:footnote>
  <w:footnote w:id="14">
    <w:p w:rsidR="00AD054A" w:rsidRPr="003D76A9" w:rsidRDefault="00AD054A" w:rsidP="00FF02B1">
      <w:pPr>
        <w:pStyle w:val="FootnoteText"/>
      </w:pPr>
      <w:r>
        <w:rPr>
          <w:rStyle w:val="FootnoteReference"/>
        </w:rPr>
        <w:footnoteRef/>
      </w:r>
      <w:r>
        <w:t xml:space="preserve"> </w:t>
      </w:r>
      <w:r>
        <w:rPr>
          <w:i/>
        </w:rPr>
        <w:t>See id</w:t>
      </w:r>
      <w:r>
        <w:t xml:space="preserve">. at 17676-77, para. 35 (“To reduce the disparity between interstate and intrastate terminating end office rates, we next require carriers to bring these rates to parity within two steps, by July 2013.  Thereafter, we require carriers to reduce their termination (and for some carriers also transport) rates to bill-and-keep, within six years for price cap carriers and nine for rate-of-return carriers”).  </w:t>
      </w:r>
      <w:r>
        <w:rPr>
          <w:i/>
        </w:rPr>
        <w:t>See also id</w:t>
      </w:r>
      <w:r>
        <w:t xml:space="preserve">. at 17930-31, para. 794, n. 1479 (citing with approval Missouri Public Service Commission comments stating “Assuming the FCC’s initial goal of intercarrier compensation reform is for parity between intrastate and interstate rates then the FCC should set a schedule for achieving that objective”). </w:t>
      </w:r>
    </w:p>
  </w:footnote>
  <w:footnote w:id="15">
    <w:p w:rsidR="00AD054A" w:rsidRPr="001971C4" w:rsidRDefault="00AD054A" w:rsidP="007A6886">
      <w:pPr>
        <w:pStyle w:val="FootnoteText"/>
      </w:pPr>
      <w:r w:rsidRPr="009433CE">
        <w:rPr>
          <w:rStyle w:val="FootnoteReference"/>
          <w:sz w:val="22"/>
          <w:szCs w:val="22"/>
        </w:rPr>
        <w:footnoteRef/>
      </w:r>
      <w:r w:rsidRPr="009433CE">
        <w:rPr>
          <w:sz w:val="22"/>
          <w:szCs w:val="22"/>
        </w:rPr>
        <w:t xml:space="preserve"> </w:t>
      </w:r>
      <w:r w:rsidRPr="001971C4">
        <w:rPr>
          <w:i/>
          <w:iCs/>
          <w:snapToGrid w:val="0"/>
        </w:rPr>
        <w:t>USF/ICC Transformation Order</w:t>
      </w:r>
      <w:r w:rsidRPr="001971C4">
        <w:rPr>
          <w:iCs/>
          <w:snapToGrid w:val="0"/>
        </w:rPr>
        <w:t>, 26 FCC Rcd</w:t>
      </w:r>
      <w:r>
        <w:rPr>
          <w:snapToGrid w:val="0"/>
        </w:rPr>
        <w:t xml:space="preserve"> at 17929-30, </w:t>
      </w:r>
      <w:r>
        <w:t>p</w:t>
      </w:r>
      <w:r w:rsidRPr="001971C4">
        <w:t>ara. 791.</w:t>
      </w:r>
    </w:p>
  </w:footnote>
  <w:footnote w:id="16">
    <w:p w:rsidR="00AD054A" w:rsidRPr="001971C4" w:rsidRDefault="00AD054A" w:rsidP="007A6886">
      <w:pPr>
        <w:pStyle w:val="FootnoteText"/>
      </w:pPr>
      <w:r w:rsidRPr="001971C4">
        <w:rPr>
          <w:rStyle w:val="FootnoteReference"/>
        </w:rPr>
        <w:footnoteRef/>
      </w:r>
      <w:r w:rsidRPr="001971C4">
        <w:t xml:space="preserve"> </w:t>
      </w:r>
      <w:r w:rsidRPr="001971C4">
        <w:rPr>
          <w:i/>
        </w:rPr>
        <w:t>Id</w:t>
      </w:r>
      <w:r>
        <w:t>. at 17930, para. 792.</w:t>
      </w:r>
    </w:p>
  </w:footnote>
  <w:footnote w:id="17">
    <w:p w:rsidR="00AD054A" w:rsidRPr="003367B8" w:rsidRDefault="00AD054A" w:rsidP="00027E4C">
      <w:pPr>
        <w:spacing w:after="120"/>
        <w:rPr>
          <w:sz w:val="20"/>
        </w:rPr>
      </w:pPr>
      <w:r>
        <w:rPr>
          <w:rStyle w:val="FootnoteReference"/>
        </w:rPr>
        <w:footnoteRef/>
      </w:r>
      <w:r>
        <w:t xml:space="preserve"> </w:t>
      </w:r>
      <w:r>
        <w:rPr>
          <w:sz w:val="20"/>
        </w:rPr>
        <w:t>For instance, i</w:t>
      </w:r>
      <w:r w:rsidRPr="001971C4">
        <w:rPr>
          <w:sz w:val="20"/>
        </w:rPr>
        <w:t xml:space="preserve">n the </w:t>
      </w:r>
      <w:r w:rsidRPr="001971C4">
        <w:rPr>
          <w:i/>
          <w:sz w:val="20"/>
        </w:rPr>
        <w:t>2013 ICC Clarification Order,</w:t>
      </w:r>
      <w:r w:rsidRPr="001971C4">
        <w:rPr>
          <w:sz w:val="20"/>
        </w:rPr>
        <w:t xml:space="preserve"> the Bureau clarified that rate changes to NECA’s switched access rates resulting from carrier entry or exit from the NECA switched access tariff were to be reflected in intrastate rates.  The Bureau stated that “[b]ecause </w:t>
      </w:r>
      <w:r w:rsidRPr="001971C4">
        <w:rPr>
          <w:color w:val="333333"/>
          <w:sz w:val="20"/>
          <w:lang w:val="en"/>
        </w:rPr>
        <w:t xml:space="preserve">the Commission’s rules require intrastate switched access rate levels to be set based on interstate rate levels, we clarify that if NECA’s interstate switched access rates decrease, pooling carriers must also reduce their intrastate rates, consistent with the framework established in the </w:t>
      </w:r>
      <w:r w:rsidRPr="001971C4">
        <w:rPr>
          <w:i/>
          <w:iCs/>
          <w:color w:val="333333"/>
          <w:sz w:val="20"/>
          <w:lang w:val="en"/>
        </w:rPr>
        <w:t>USF/ICC Transformation Order</w:t>
      </w:r>
      <w:r w:rsidRPr="001971C4">
        <w:rPr>
          <w:color w:val="333333"/>
          <w:sz w:val="20"/>
          <w:lang w:val="en"/>
        </w:rPr>
        <w:t xml:space="preserve">. Similarly, we clarify that if NECA’s switched access rates increase, pooling carriers whose intrastate rates would have been at parity with interstate rates in 2013 or that already were at parity with interstate rates are required to increase their intrastate rates.”  </w:t>
      </w:r>
      <w:r w:rsidRPr="001971C4">
        <w:rPr>
          <w:i/>
          <w:sz w:val="20"/>
        </w:rPr>
        <w:t>2013 ICC Clarification Order</w:t>
      </w:r>
      <w:r w:rsidRPr="003367B8">
        <w:rPr>
          <w:sz w:val="20"/>
        </w:rPr>
        <w:t xml:space="preserve">, 28 FCC Rcd at </w:t>
      </w:r>
      <w:r>
        <w:rPr>
          <w:sz w:val="20"/>
        </w:rPr>
        <w:t>3326</w:t>
      </w:r>
      <w:r w:rsidRPr="003367B8">
        <w:rPr>
          <w:sz w:val="20"/>
        </w:rPr>
        <w:t>, para.</w:t>
      </w:r>
      <w:r>
        <w:rPr>
          <w:sz w:val="20"/>
        </w:rPr>
        <w:t xml:space="preserve"> 15.</w:t>
      </w:r>
    </w:p>
  </w:footnote>
  <w:footnote w:id="18">
    <w:p w:rsidR="00AD054A" w:rsidRPr="001971C4" w:rsidRDefault="00AD054A">
      <w:pPr>
        <w:pStyle w:val="FootnoteText"/>
      </w:pPr>
      <w:r w:rsidRPr="001971C4">
        <w:rPr>
          <w:rStyle w:val="FootnoteReference"/>
        </w:rPr>
        <w:footnoteRef/>
      </w:r>
      <w:r w:rsidRPr="001971C4">
        <w:t xml:space="preserve"> </w:t>
      </w:r>
      <w:r>
        <w:t xml:space="preserve">Appendix at </w:t>
      </w:r>
      <w:r w:rsidRPr="001971C4">
        <w:t xml:space="preserve">47 C.F.R. §§ 51.907(d), (e), and (f); 51.909(d), (e), (f), </w:t>
      </w:r>
      <w:r>
        <w:t xml:space="preserve">(g), </w:t>
      </w:r>
      <w:r w:rsidRPr="001971C4">
        <w:t>and (h).</w:t>
      </w:r>
    </w:p>
  </w:footnote>
  <w:footnote w:id="19">
    <w:p w:rsidR="00AD054A" w:rsidRPr="00457EDC" w:rsidRDefault="00AD054A">
      <w:pPr>
        <w:pStyle w:val="FootnoteText"/>
      </w:pPr>
      <w:r>
        <w:rPr>
          <w:rStyle w:val="FootnoteReference"/>
        </w:rPr>
        <w:footnoteRef/>
      </w:r>
      <w:r>
        <w:t xml:space="preserve"> </w:t>
      </w:r>
      <w:r>
        <w:rPr>
          <w:i/>
        </w:rPr>
        <w:t>See id</w:t>
      </w:r>
      <w:r>
        <w:t xml:space="preserve">.; </w:t>
      </w:r>
      <w:r>
        <w:rPr>
          <w:i/>
        </w:rPr>
        <w:t xml:space="preserve">see also </w:t>
      </w:r>
      <w:r>
        <w:t xml:space="preserve">para. </w:t>
      </w:r>
      <w:r w:rsidRPr="00457EDC">
        <w:t xml:space="preserve">6 </w:t>
      </w:r>
      <w:r w:rsidRPr="00C77019">
        <w:t>infra</w:t>
      </w:r>
      <w:r>
        <w:t>.</w:t>
      </w:r>
    </w:p>
  </w:footnote>
  <w:footnote w:id="20">
    <w:p w:rsidR="00AD054A" w:rsidRPr="001971C4" w:rsidRDefault="00AD054A">
      <w:pPr>
        <w:pStyle w:val="FootnoteText"/>
      </w:pPr>
      <w:r w:rsidRPr="001971C4">
        <w:rPr>
          <w:rStyle w:val="FootnoteReference"/>
        </w:rPr>
        <w:footnoteRef/>
      </w:r>
      <w:r w:rsidRPr="001971C4">
        <w:t xml:space="preserve"> </w:t>
      </w:r>
      <w:r w:rsidRPr="001971C4">
        <w:rPr>
          <w:i/>
          <w:iCs/>
          <w:snapToGrid w:val="0"/>
        </w:rPr>
        <w:t>USF/ICC Transformation Order</w:t>
      </w:r>
      <w:r w:rsidRPr="001971C4">
        <w:rPr>
          <w:iCs/>
          <w:snapToGrid w:val="0"/>
        </w:rPr>
        <w:t>, 26 FCC Rcd</w:t>
      </w:r>
      <w:r>
        <w:rPr>
          <w:snapToGrid w:val="0"/>
        </w:rPr>
        <w:t xml:space="preserve"> at 17936</w:t>
      </w:r>
      <w:r w:rsidRPr="001971C4">
        <w:rPr>
          <w:snapToGrid w:val="0"/>
        </w:rPr>
        <w:t>, para. 804.</w:t>
      </w:r>
    </w:p>
  </w:footnote>
  <w:footnote w:id="21">
    <w:p w:rsidR="00AD054A" w:rsidRPr="001971C4" w:rsidRDefault="00AD054A" w:rsidP="00567D53">
      <w:pPr>
        <w:pStyle w:val="FootnoteText"/>
      </w:pPr>
      <w:r w:rsidRPr="001971C4">
        <w:rPr>
          <w:rStyle w:val="FootnoteReference"/>
        </w:rPr>
        <w:footnoteRef/>
      </w:r>
      <w:r w:rsidRPr="001971C4">
        <w:t xml:space="preserve"> </w:t>
      </w:r>
      <w:r w:rsidRPr="001971C4">
        <w:rPr>
          <w:i/>
        </w:rPr>
        <w:t xml:space="preserve">See </w:t>
      </w:r>
      <w:r w:rsidRPr="001971C4">
        <w:t>47 C.F.R. §§ 51.907(d)(2)(i); 51.909(d)(3)(i).</w:t>
      </w:r>
      <w:r w:rsidRPr="001971C4">
        <w:rPr>
          <w:i/>
        </w:rPr>
        <w:t xml:space="preserve"> </w:t>
      </w:r>
    </w:p>
  </w:footnote>
  <w:footnote w:id="22">
    <w:p w:rsidR="00AD054A" w:rsidRPr="001971C4" w:rsidRDefault="00AD054A" w:rsidP="00567D53">
      <w:pPr>
        <w:pStyle w:val="FootnoteText"/>
      </w:pPr>
      <w:r w:rsidRPr="001971C4">
        <w:rPr>
          <w:rStyle w:val="FootnoteReference"/>
        </w:rPr>
        <w:footnoteRef/>
      </w:r>
      <w:r w:rsidRPr="001971C4">
        <w:t xml:space="preserve"> </w:t>
      </w:r>
      <w:r>
        <w:rPr>
          <w:i/>
        </w:rPr>
        <w:t xml:space="preserve">See </w:t>
      </w:r>
      <w:r w:rsidRPr="001971C4">
        <w:t>47 C.F.R. §§ 51.907(d)(2)(i</w:t>
      </w:r>
      <w:r>
        <w:t>i</w:t>
      </w:r>
      <w:r w:rsidRPr="001971C4">
        <w:t>); 51.909(d)(3)(i</w:t>
      </w:r>
      <w:r>
        <w:t>i</w:t>
      </w:r>
      <w:r w:rsidRPr="001971C4">
        <w:t>).</w:t>
      </w:r>
      <w:r w:rsidRPr="001971C4">
        <w:rPr>
          <w:i/>
        </w:rPr>
        <w:t xml:space="preserve"> </w:t>
      </w:r>
    </w:p>
  </w:footnote>
  <w:footnote w:id="23">
    <w:p w:rsidR="00AD054A" w:rsidRPr="001971C4" w:rsidRDefault="00AD054A" w:rsidP="00567D53">
      <w:pPr>
        <w:pStyle w:val="FootnoteText"/>
      </w:pPr>
      <w:r w:rsidRPr="001971C4">
        <w:rPr>
          <w:rStyle w:val="FootnoteReference"/>
        </w:rPr>
        <w:footnoteRef/>
      </w:r>
      <w:r w:rsidRPr="001971C4">
        <w:t xml:space="preserve"> </w:t>
      </w:r>
      <w:r w:rsidRPr="001971C4">
        <w:rPr>
          <w:i/>
        </w:rPr>
        <w:t xml:space="preserve">See </w:t>
      </w:r>
      <w:r w:rsidRPr="001971C4">
        <w:t>47 C.F.R. §§ 51.907(d)(2)(iii); 51.909(d)(3)(iii).</w:t>
      </w:r>
    </w:p>
  </w:footnote>
  <w:footnote w:id="24">
    <w:p w:rsidR="00AD054A" w:rsidRPr="0029420A" w:rsidRDefault="00AD054A">
      <w:pPr>
        <w:pStyle w:val="FootnoteText"/>
      </w:pPr>
      <w:r>
        <w:rPr>
          <w:rStyle w:val="FootnoteReference"/>
        </w:rPr>
        <w:footnoteRef/>
      </w:r>
      <w:r>
        <w:t xml:space="preserve"> </w:t>
      </w:r>
      <w:r>
        <w:rPr>
          <w:i/>
        </w:rPr>
        <w:t xml:space="preserve">See </w:t>
      </w:r>
      <w:r>
        <w:t>para. 5 supra.</w:t>
      </w:r>
    </w:p>
  </w:footnote>
  <w:footnote w:id="25">
    <w:p w:rsidR="00AD054A" w:rsidRPr="002F30A0" w:rsidRDefault="00AD054A" w:rsidP="002C723D">
      <w:pPr>
        <w:pStyle w:val="FootnoteText"/>
      </w:pPr>
      <w:r>
        <w:rPr>
          <w:rStyle w:val="FootnoteReference"/>
        </w:rPr>
        <w:footnoteRef/>
      </w:r>
      <w:r>
        <w:t xml:space="preserve"> 47 C.F.R. §§ 51.907(d); 51.909(d).</w:t>
      </w:r>
    </w:p>
  </w:footnote>
  <w:footnote w:id="26">
    <w:p w:rsidR="00AD054A" w:rsidRDefault="00AD054A">
      <w:pPr>
        <w:pStyle w:val="FootnoteText"/>
      </w:pPr>
      <w:r>
        <w:rPr>
          <w:rStyle w:val="FootnoteReference"/>
        </w:rPr>
        <w:footnoteRef/>
      </w:r>
      <w:r>
        <w:t xml:space="preserve"> </w:t>
      </w:r>
      <w:r w:rsidRPr="001971C4">
        <w:rPr>
          <w:i/>
        </w:rPr>
        <w:t xml:space="preserve">See </w:t>
      </w:r>
      <w:r>
        <w:t>47 C.F.R. §§ 51.909(d)(3)(i)</w:t>
      </w:r>
      <w:r w:rsidRPr="001971C4">
        <w:t>.</w:t>
      </w:r>
    </w:p>
  </w:footnote>
  <w:footnote w:id="27">
    <w:p w:rsidR="00AD054A" w:rsidRDefault="00AD054A" w:rsidP="002C723D">
      <w:pPr>
        <w:pStyle w:val="FootnoteText"/>
      </w:pPr>
      <w:r>
        <w:rPr>
          <w:rStyle w:val="FootnoteReference"/>
        </w:rPr>
        <w:footnoteRef/>
      </w:r>
      <w:r>
        <w:t xml:space="preserve"> </w:t>
      </w:r>
      <w:r w:rsidRPr="0000547A">
        <w:rPr>
          <w:i/>
        </w:rPr>
        <w:t>See</w:t>
      </w:r>
      <w:r>
        <w:t xml:space="preserve"> 47 C.F.R. §§ 51.907(b) and (c).  Transitional Intrastate Access Service is defined at 47 C.F.R. 51.903(j). </w:t>
      </w:r>
    </w:p>
  </w:footnote>
  <w:footnote w:id="28">
    <w:p w:rsidR="00AD054A" w:rsidRDefault="00AD054A" w:rsidP="00B00382">
      <w:pPr>
        <w:pStyle w:val="FootnoteText"/>
      </w:pPr>
      <w:r>
        <w:rPr>
          <w:rStyle w:val="FootnoteReference"/>
        </w:rPr>
        <w:footnoteRef/>
      </w:r>
      <w:r>
        <w:t xml:space="preserve"> We also clarify that, for both price cap and rate-of-return carriers that file interstate tariffs assessing a single rate applicable in different states, the interstate demand used shall be the sum of the demand for all of the states included in the tariff, rather than making separate state-by-state calculations.</w:t>
      </w:r>
    </w:p>
  </w:footnote>
  <w:footnote w:id="29">
    <w:p w:rsidR="00AD054A" w:rsidRPr="00707ABC" w:rsidRDefault="00AD054A" w:rsidP="00CA36EB">
      <w:pPr>
        <w:pStyle w:val="FootnoteText"/>
      </w:pPr>
      <w:r>
        <w:rPr>
          <w:rStyle w:val="FootnoteReference"/>
        </w:rPr>
        <w:footnoteRef/>
      </w:r>
      <w:r>
        <w:t xml:space="preserve"> </w:t>
      </w:r>
      <w:r>
        <w:rPr>
          <w:i/>
        </w:rPr>
        <w:t xml:space="preserve">See </w:t>
      </w:r>
      <w:r>
        <w:t xml:space="preserve">47 C.F.R. §§ 51.907(d)(2)(ii), (e)(1)(i); 51.909(d)(3)(ii), (e)(1)(i), (g)(1)(i), and (h)(1)(i). </w:t>
      </w:r>
    </w:p>
  </w:footnote>
  <w:footnote w:id="30">
    <w:p w:rsidR="00AD054A" w:rsidRDefault="00AD054A" w:rsidP="00E23777">
      <w:pPr>
        <w:spacing w:after="120"/>
      </w:pPr>
      <w:r>
        <w:rPr>
          <w:rStyle w:val="FootnoteReference"/>
        </w:rPr>
        <w:footnoteRef/>
      </w:r>
      <w:r>
        <w:t xml:space="preserve"> </w:t>
      </w:r>
      <w:r w:rsidRPr="00E23777">
        <w:rPr>
          <w:sz w:val="20"/>
        </w:rPr>
        <w:t>To facilitate consistent calculation of the Composite Terminating End Office Access Rate</w:t>
      </w:r>
      <w:r>
        <w:rPr>
          <w:sz w:val="20"/>
        </w:rPr>
        <w:t xml:space="preserve"> to determine compliance</w:t>
      </w:r>
      <w:r w:rsidRPr="00E23777">
        <w:rPr>
          <w:sz w:val="20"/>
        </w:rPr>
        <w:t xml:space="preserve">, we clarify that price cap carriers shall use the relevant Fiscal Year 2011 demand multiplied by the respective interstate rates as of July 1 of the year in question and then divide by 2011 terminating end office local switching </w:t>
      </w:r>
      <w:r>
        <w:rPr>
          <w:sz w:val="20"/>
        </w:rPr>
        <w:t>minutes.  In calculating their Composite T</w:t>
      </w:r>
      <w:r w:rsidRPr="00E23777">
        <w:rPr>
          <w:sz w:val="20"/>
        </w:rPr>
        <w:t>erm</w:t>
      </w:r>
      <w:r>
        <w:rPr>
          <w:sz w:val="20"/>
        </w:rPr>
        <w:t>inating End Office Access R</w:t>
      </w:r>
      <w:r w:rsidRPr="00E23777">
        <w:rPr>
          <w:sz w:val="20"/>
        </w:rPr>
        <w:t>ate</w:t>
      </w:r>
      <w:r>
        <w:rPr>
          <w:sz w:val="20"/>
        </w:rPr>
        <w:t xml:space="preserve"> to determine compliance</w:t>
      </w:r>
      <w:r w:rsidRPr="00E23777">
        <w:rPr>
          <w:sz w:val="20"/>
        </w:rPr>
        <w:t xml:space="preserve">, rate-of–return carriers shall use the relevant projected demand for the tariff period multiplied by the respective interstate and intrastate rates as of July 1 of the year in question and then divide by the relevant projected terminating end office local switching demand for the tariff period.  </w:t>
      </w:r>
    </w:p>
  </w:footnote>
  <w:footnote w:id="31">
    <w:p w:rsidR="00713FEC" w:rsidRPr="00713FEC" w:rsidRDefault="00713FEC">
      <w:pPr>
        <w:pStyle w:val="FootnoteText"/>
      </w:pPr>
      <w:r>
        <w:rPr>
          <w:rStyle w:val="FootnoteReference"/>
        </w:rPr>
        <w:footnoteRef/>
      </w:r>
      <w:r>
        <w:t xml:space="preserve"> </w:t>
      </w:r>
      <w:r>
        <w:rPr>
          <w:i/>
        </w:rPr>
        <w:t xml:space="preserve">See </w:t>
      </w:r>
      <w:r>
        <w:t>Appendix at 47 C.F.R. § 51.915(b)(14).</w:t>
      </w:r>
    </w:p>
  </w:footnote>
  <w:footnote w:id="32">
    <w:p w:rsidR="00AD054A" w:rsidRDefault="00AD054A" w:rsidP="004342EC">
      <w:pPr>
        <w:pStyle w:val="FootnoteText"/>
      </w:pPr>
      <w:r>
        <w:rPr>
          <w:rStyle w:val="FootnoteReference"/>
        </w:rPr>
        <w:footnoteRef/>
      </w:r>
      <w:r>
        <w:t xml:space="preserve"> </w:t>
      </w:r>
      <w:r>
        <w:rPr>
          <w:i/>
        </w:rPr>
        <w:t>See</w:t>
      </w:r>
      <w:r>
        <w:t xml:space="preserve"> 47 C.F.R. § 51.907(d)(2).</w:t>
      </w:r>
    </w:p>
  </w:footnote>
  <w:footnote w:id="33">
    <w:p w:rsidR="00AD054A" w:rsidRDefault="00AD054A" w:rsidP="00612CAF">
      <w:pPr>
        <w:pStyle w:val="FootnoteText"/>
      </w:pPr>
      <w:r>
        <w:rPr>
          <w:rStyle w:val="FootnoteReference"/>
        </w:rPr>
        <w:footnoteRef/>
      </w:r>
      <w:r>
        <w:t xml:space="preserve"> </w:t>
      </w:r>
      <w:r>
        <w:rPr>
          <w:i/>
        </w:rPr>
        <w:t xml:space="preserve">See </w:t>
      </w:r>
      <w:r>
        <w:t>47 C.F.R. §§ 51.907(d)(2)(iii); 51.907(e)(1)(ii).</w:t>
      </w:r>
    </w:p>
  </w:footnote>
  <w:footnote w:id="34">
    <w:p w:rsidR="00AD054A" w:rsidRDefault="00AD054A">
      <w:pPr>
        <w:pStyle w:val="FootnoteText"/>
      </w:pPr>
      <w:r>
        <w:rPr>
          <w:rStyle w:val="FootnoteReference"/>
        </w:rPr>
        <w:footnoteRef/>
      </w:r>
      <w:r>
        <w:t xml:space="preserve"> </w:t>
      </w:r>
      <w:r>
        <w:rPr>
          <w:i/>
        </w:rPr>
        <w:t xml:space="preserve">See </w:t>
      </w:r>
      <w:r>
        <w:t>Appendix at 47 C.F.R. §§ 51.909(d)(3)(ii); 51.909(e)(1)(i); 51.909(g)(1)(i); 51.909(h)(1)(i).</w:t>
      </w:r>
    </w:p>
  </w:footnote>
  <w:footnote w:id="35">
    <w:p w:rsidR="00AD054A" w:rsidRDefault="00AD054A" w:rsidP="00836816">
      <w:pPr>
        <w:pStyle w:val="FootnoteText"/>
      </w:pPr>
      <w:r>
        <w:rPr>
          <w:rStyle w:val="FootnoteReference"/>
        </w:rPr>
        <w:footnoteRef/>
      </w:r>
      <w:r>
        <w:t xml:space="preserve"> </w:t>
      </w:r>
      <w:r>
        <w:rPr>
          <w:i/>
        </w:rPr>
        <w:t xml:space="preserve">See </w:t>
      </w:r>
      <w:r>
        <w:t xml:space="preserve">Appendix at 47 C.F.R. §§ 51.909(g)(1)(i); 51.909(h)(1)(i). </w:t>
      </w:r>
      <w:r>
        <w:rPr>
          <w:i/>
        </w:rPr>
        <w:t xml:space="preserve"> </w:t>
      </w:r>
    </w:p>
  </w:footnote>
  <w:footnote w:id="36">
    <w:p w:rsidR="00AD054A" w:rsidRDefault="00AD054A">
      <w:pPr>
        <w:pStyle w:val="FootnoteText"/>
      </w:pPr>
      <w:r>
        <w:rPr>
          <w:rStyle w:val="FootnoteReference"/>
        </w:rPr>
        <w:footnoteRef/>
      </w:r>
      <w:r>
        <w:t xml:space="preserve"> </w:t>
      </w:r>
      <w:r>
        <w:rPr>
          <w:i/>
        </w:rPr>
        <w:t xml:space="preserve">See </w:t>
      </w:r>
      <w:r>
        <w:t xml:space="preserve">Appendix at 47 C.F.R. §§ ; </w:t>
      </w:r>
      <w:r w:rsidR="0006149E">
        <w:t>51.909</w:t>
      </w:r>
      <w:r w:rsidR="009B1FFD">
        <w:t xml:space="preserve">(f); </w:t>
      </w:r>
      <w:r>
        <w:t>51.909(g)(1);</w:t>
      </w:r>
      <w:r w:rsidRPr="00024F60">
        <w:t xml:space="preserve"> </w:t>
      </w:r>
      <w:r>
        <w:t>51.909(h)(1).</w:t>
      </w:r>
    </w:p>
  </w:footnote>
  <w:footnote w:id="37">
    <w:p w:rsidR="00AD054A" w:rsidRDefault="00AD054A">
      <w:pPr>
        <w:pStyle w:val="FootnoteText"/>
      </w:pPr>
      <w:r>
        <w:rPr>
          <w:rStyle w:val="FootnoteReference"/>
        </w:rPr>
        <w:footnoteRef/>
      </w:r>
      <w:r>
        <w:t xml:space="preserve"> 47 C.F.R. § 51.917(d)(1)(iii)(D).</w:t>
      </w:r>
    </w:p>
  </w:footnote>
  <w:footnote w:id="38">
    <w:p w:rsidR="00AD054A" w:rsidRDefault="00AD054A">
      <w:pPr>
        <w:pStyle w:val="FootnoteText"/>
      </w:pPr>
      <w:r>
        <w:rPr>
          <w:rStyle w:val="FootnoteReference"/>
        </w:rPr>
        <w:footnoteRef/>
      </w:r>
      <w:r>
        <w:t xml:space="preserve"> </w:t>
      </w:r>
      <w:r>
        <w:rPr>
          <w:i/>
          <w:snapToGrid w:val="0"/>
        </w:rPr>
        <w:t>2013 ICC Clarification Order</w:t>
      </w:r>
      <w:r w:rsidRPr="00AF65B9">
        <w:rPr>
          <w:snapToGrid w:val="0"/>
        </w:rPr>
        <w:t xml:space="preserve">, </w:t>
      </w:r>
      <w:r>
        <w:t>28 FCC Rcd at 3333, para. 32.</w:t>
      </w:r>
    </w:p>
  </w:footnote>
  <w:footnote w:id="39">
    <w:p w:rsidR="00AD054A" w:rsidRDefault="00AD054A">
      <w:pPr>
        <w:pStyle w:val="FootnoteText"/>
      </w:pPr>
      <w:r>
        <w:rPr>
          <w:rStyle w:val="FootnoteReference"/>
        </w:rPr>
        <w:footnoteRef/>
      </w:r>
      <w:r>
        <w:t xml:space="preserve"> </w:t>
      </w:r>
      <w:r>
        <w:rPr>
          <w:i/>
        </w:rPr>
        <w:t xml:space="preserve">See </w:t>
      </w:r>
      <w:r>
        <w:t xml:space="preserve">Appendix at 47 C.F.R. </w:t>
      </w:r>
      <w:r w:rsidRPr="0056448C">
        <w:t>§ 51.</w:t>
      </w:r>
      <w:r>
        <w:t>917(d)(1)(iii)(D).</w:t>
      </w:r>
    </w:p>
  </w:footnote>
  <w:footnote w:id="40">
    <w:p w:rsidR="00AD054A" w:rsidRPr="00357641" w:rsidRDefault="00AD054A" w:rsidP="00BA7358">
      <w:pPr>
        <w:pStyle w:val="FootnoteText"/>
      </w:pPr>
      <w:r>
        <w:rPr>
          <w:rStyle w:val="FootnoteReference"/>
        </w:rPr>
        <w:footnoteRef/>
      </w:r>
      <w:r>
        <w:t xml:space="preserve"> </w:t>
      </w:r>
      <w:r>
        <w:rPr>
          <w:i/>
        </w:rPr>
        <w:t>See Material to be Filed in Support of 2012 Annual Access Tariff Filings</w:t>
      </w:r>
      <w:r>
        <w:t>, WCB/Pricing File No. 12-08, Order, 27 FCC Rcd 3960, 3962-63, para. 7 (Wireline Comp. Bur. 2012).</w:t>
      </w:r>
    </w:p>
  </w:footnote>
  <w:footnote w:id="41">
    <w:p w:rsidR="00AD054A" w:rsidRPr="001E6E86" w:rsidRDefault="00AD054A" w:rsidP="00C90089">
      <w:pPr>
        <w:pStyle w:val="FootnoteText"/>
      </w:pPr>
      <w:r w:rsidRPr="001E6E86">
        <w:rPr>
          <w:rStyle w:val="FootnoteReference"/>
        </w:rPr>
        <w:footnoteRef/>
      </w:r>
      <w:r w:rsidRPr="001E6E86">
        <w:t xml:space="preserve"> 47 C.F.R. §§ 51.915(d)(1)(viii)(2); 51.917(d)(1)(vii).</w:t>
      </w:r>
    </w:p>
  </w:footnote>
  <w:footnote w:id="42">
    <w:p w:rsidR="00AD054A" w:rsidRDefault="00AD054A">
      <w:pPr>
        <w:pStyle w:val="FootnoteText"/>
      </w:pPr>
      <w:r>
        <w:rPr>
          <w:rStyle w:val="FootnoteReference"/>
        </w:rPr>
        <w:footnoteRef/>
      </w:r>
      <w:r>
        <w:t xml:space="preserve"> </w:t>
      </w:r>
      <w:r w:rsidR="002E2BFD" w:rsidRPr="004B6EA3">
        <w:rPr>
          <w:i/>
        </w:rPr>
        <w:t>See, e.g</w:t>
      </w:r>
      <w:r w:rsidR="002E2BFD">
        <w:t xml:space="preserve">., </w:t>
      </w:r>
      <w:r>
        <w:t>47 C.F.R. §§ 51.907(d)(2)(iii); 51.907(e)(1)(ii).</w:t>
      </w:r>
    </w:p>
  </w:footnote>
  <w:footnote w:id="43">
    <w:p w:rsidR="00AD054A" w:rsidRDefault="00AD054A">
      <w:pPr>
        <w:pStyle w:val="FootnoteText"/>
      </w:pPr>
      <w:r>
        <w:rPr>
          <w:rStyle w:val="FootnoteReference"/>
        </w:rPr>
        <w:footnoteRef/>
      </w:r>
      <w:r>
        <w:t xml:space="preserve"> </w:t>
      </w:r>
      <w:r>
        <w:rPr>
          <w:i/>
        </w:rPr>
        <w:t>See</w:t>
      </w:r>
      <w:r>
        <w:t>,</w:t>
      </w:r>
      <w:r>
        <w:rPr>
          <w:i/>
        </w:rPr>
        <w:t xml:space="preserve"> e.g.</w:t>
      </w:r>
      <w:r>
        <w:t>,</w:t>
      </w:r>
      <w:r>
        <w:rPr>
          <w:i/>
        </w:rPr>
        <w:t xml:space="preserve"> </w:t>
      </w:r>
      <w:r w:rsidRPr="001971C4">
        <w:rPr>
          <w:i/>
          <w:iCs/>
          <w:snapToGrid w:val="0"/>
        </w:rPr>
        <w:t>USF/ICC Transformation Order</w:t>
      </w:r>
      <w:r w:rsidRPr="001971C4">
        <w:rPr>
          <w:iCs/>
          <w:snapToGrid w:val="0"/>
        </w:rPr>
        <w:t>, 26 FCC Rcd</w:t>
      </w:r>
      <w:r>
        <w:rPr>
          <w:snapToGrid w:val="0"/>
        </w:rPr>
        <w:t xml:space="preserve"> at 17932-33</w:t>
      </w:r>
      <w:r w:rsidRPr="001971C4">
        <w:rPr>
          <w:snapToGrid w:val="0"/>
        </w:rPr>
        <w:t>, para</w:t>
      </w:r>
      <w:r>
        <w:rPr>
          <w:snapToGrid w:val="0"/>
        </w:rPr>
        <w:t xml:space="preserve"> 798</w:t>
      </w:r>
      <w:r w:rsidRPr="001971C4">
        <w:rPr>
          <w:snapToGrid w:val="0"/>
        </w:rPr>
        <w:t xml:space="preserve">. </w:t>
      </w:r>
    </w:p>
  </w:footnote>
  <w:footnote w:id="44">
    <w:p w:rsidR="00AD054A" w:rsidRDefault="00AD054A">
      <w:pPr>
        <w:pStyle w:val="FootnoteText"/>
      </w:pPr>
      <w:r>
        <w:rPr>
          <w:rStyle w:val="FootnoteReference"/>
        </w:rPr>
        <w:footnoteRef/>
      </w:r>
      <w:r>
        <w:t xml:space="preserve"> The terminating local switching rate element is used for this purpose because it is assessed on all terminating minutes of use, just as a composite terminating end office access rate would be assessed on all terminating minutes of use.</w:t>
      </w:r>
    </w:p>
  </w:footnote>
  <w:footnote w:id="45">
    <w:p w:rsidR="00AD054A" w:rsidRDefault="00AD054A" w:rsidP="00705331">
      <w:pPr>
        <w:pStyle w:val="FootnoteText"/>
      </w:pPr>
      <w:r>
        <w:rPr>
          <w:rStyle w:val="FootnoteReference"/>
        </w:rPr>
        <w:footnoteRef/>
      </w:r>
      <w:r>
        <w:t xml:space="preserve"> </w:t>
      </w:r>
      <w:r>
        <w:rPr>
          <w:i/>
        </w:rPr>
        <w:t>See</w:t>
      </w:r>
      <w:r>
        <w:t xml:space="preserve"> 47 C.F.R. §§ 51.915(d)(iii); 51.917(d)(iii). </w:t>
      </w:r>
    </w:p>
  </w:footnote>
  <w:footnote w:id="46">
    <w:p w:rsidR="00AD054A" w:rsidRPr="00E63FF8" w:rsidRDefault="00AD054A" w:rsidP="00705331">
      <w:pPr>
        <w:pStyle w:val="FootnoteText"/>
      </w:pPr>
      <w:r w:rsidRPr="00E63FF8">
        <w:rPr>
          <w:rStyle w:val="FootnoteReference"/>
        </w:rPr>
        <w:footnoteRef/>
      </w:r>
      <w:r w:rsidRPr="00E63FF8">
        <w:t xml:space="preserve"> </w:t>
      </w:r>
      <w:r>
        <w:rPr>
          <w:i/>
        </w:rPr>
        <w:t xml:space="preserve">See </w:t>
      </w:r>
      <w:r>
        <w:t>47 C.F.R. §§ 51.917(d)(1)(v); 51.917(d)(1)(vi).</w:t>
      </w:r>
    </w:p>
  </w:footnote>
  <w:footnote w:id="47">
    <w:p w:rsidR="00AD054A" w:rsidRPr="00E63FF8" w:rsidRDefault="00AD054A" w:rsidP="00705331">
      <w:pPr>
        <w:pStyle w:val="FootnoteText"/>
      </w:pPr>
      <w:r w:rsidRPr="00E63FF8">
        <w:rPr>
          <w:rStyle w:val="FootnoteReference"/>
        </w:rPr>
        <w:footnoteRef/>
      </w:r>
      <w:r w:rsidRPr="00E63FF8">
        <w:t xml:space="preserve"> </w:t>
      </w:r>
      <w:r w:rsidRPr="00E63FF8">
        <w:rPr>
          <w:i/>
        </w:rPr>
        <w:t>See</w:t>
      </w:r>
      <w:r w:rsidRPr="00E63FF8">
        <w:t xml:space="preserve"> </w:t>
      </w:r>
      <w:r>
        <w:t xml:space="preserve">47 C.F.R. §§ </w:t>
      </w:r>
      <w:r w:rsidRPr="00E63FF8">
        <w:t>51.9</w:t>
      </w:r>
      <w:r>
        <w:t>15</w:t>
      </w:r>
      <w:r w:rsidRPr="00E63FF8">
        <w:t>(b)(13); 51.9</w:t>
      </w:r>
      <w:r>
        <w:t>17</w:t>
      </w:r>
      <w:r w:rsidRPr="00E63FF8">
        <w:t>(b)(</w:t>
      </w:r>
      <w:r>
        <w:t>5</w:t>
      </w:r>
      <w:r w:rsidRPr="00E63FF8">
        <w:t>)</w:t>
      </w:r>
      <w:r w:rsidR="00713FEC">
        <w:t>-(6)</w:t>
      </w:r>
      <w:r>
        <w:t>.</w:t>
      </w:r>
    </w:p>
  </w:footnote>
  <w:footnote w:id="48">
    <w:p w:rsidR="00AD054A" w:rsidRPr="00581CF4" w:rsidRDefault="00AD054A" w:rsidP="00705331">
      <w:pPr>
        <w:pStyle w:val="FootnoteText"/>
      </w:pPr>
      <w:r>
        <w:rPr>
          <w:rStyle w:val="FootnoteReference"/>
        </w:rPr>
        <w:footnoteRef/>
      </w:r>
      <w:r>
        <w:t xml:space="preserve"> </w:t>
      </w:r>
      <w:r>
        <w:rPr>
          <w:i/>
        </w:rPr>
        <w:t>Id</w:t>
      </w:r>
      <w:r>
        <w:t>.</w:t>
      </w:r>
    </w:p>
  </w:footnote>
  <w:footnote w:id="49">
    <w:p w:rsidR="00AD054A" w:rsidRPr="00FF00E8" w:rsidRDefault="00AD054A">
      <w:pPr>
        <w:pStyle w:val="FootnoteText"/>
      </w:pPr>
      <w:r>
        <w:rPr>
          <w:rStyle w:val="FootnoteReference"/>
        </w:rPr>
        <w:footnoteRef/>
      </w:r>
      <w:r>
        <w:t xml:space="preserve"> Pub. Law No. 104-13; 44 U.S.C. Part 35. </w:t>
      </w:r>
    </w:p>
  </w:footnote>
  <w:footnote w:id="50">
    <w:p w:rsidR="00AD054A" w:rsidRPr="00FF00E8" w:rsidRDefault="00AD054A">
      <w:pPr>
        <w:pStyle w:val="FootnoteText"/>
      </w:pPr>
      <w:r>
        <w:rPr>
          <w:rStyle w:val="FootnoteReference"/>
        </w:rPr>
        <w:footnoteRef/>
      </w:r>
      <w:r>
        <w:t xml:space="preserve"> Pub. Law No. 107-198; </w:t>
      </w:r>
      <w:r>
        <w:rPr>
          <w:i/>
        </w:rPr>
        <w:t xml:space="preserve">see </w:t>
      </w:r>
      <w:r>
        <w:t>44 U.S.C. § 3606(c)(4).</w:t>
      </w:r>
    </w:p>
  </w:footnote>
  <w:footnote w:id="51">
    <w:p w:rsidR="00AD054A" w:rsidRPr="00ED0B16" w:rsidRDefault="00AD054A">
      <w:pPr>
        <w:pStyle w:val="FootnoteText"/>
      </w:pPr>
      <w:r>
        <w:rPr>
          <w:rStyle w:val="FootnoteReference"/>
        </w:rPr>
        <w:footnoteRef/>
      </w:r>
      <w:r>
        <w:t xml:space="preserve"> The RFA, </w:t>
      </w:r>
      <w:r>
        <w:rPr>
          <w:i/>
        </w:rPr>
        <w:t xml:space="preserve">see </w:t>
      </w:r>
      <w:r>
        <w:t xml:space="preserve">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52">
    <w:p w:rsidR="00AD054A" w:rsidRDefault="00AD054A">
      <w:pPr>
        <w:pStyle w:val="FootnoteText"/>
      </w:pPr>
      <w:r>
        <w:rPr>
          <w:rStyle w:val="FootnoteReference"/>
        </w:rPr>
        <w:footnoteRef/>
      </w:r>
      <w:r>
        <w:t xml:space="preserve"> 5 U.S.C. § 605(b).</w:t>
      </w:r>
    </w:p>
  </w:footnote>
  <w:footnote w:id="53">
    <w:p w:rsidR="00AD054A" w:rsidRDefault="00AD054A">
      <w:pPr>
        <w:pStyle w:val="FootnoteText"/>
      </w:pPr>
      <w:r>
        <w:rPr>
          <w:rStyle w:val="FootnoteReference"/>
        </w:rPr>
        <w:footnoteRef/>
      </w:r>
      <w:r>
        <w:t xml:space="preserve"> 5 U.S.C. § 601(b).</w:t>
      </w:r>
    </w:p>
  </w:footnote>
  <w:footnote w:id="54">
    <w:p w:rsidR="00AD054A" w:rsidRPr="00FA6A5A" w:rsidRDefault="00AD054A" w:rsidP="00FA6A5A">
      <w:pPr>
        <w:widowControl/>
        <w:autoSpaceDE w:val="0"/>
        <w:autoSpaceDN w:val="0"/>
        <w:adjustRightInd w:val="0"/>
        <w:rPr>
          <w:snapToGrid/>
          <w:kern w:val="0"/>
          <w:sz w:val="20"/>
        </w:rPr>
      </w:pPr>
      <w:r>
        <w:rPr>
          <w:rStyle w:val="FootnoteReference"/>
        </w:rPr>
        <w:footnoteRef/>
      </w:r>
      <w:r>
        <w:t xml:space="preserve"> </w:t>
      </w:r>
      <w:r w:rsidRPr="00FA6A5A">
        <w:rPr>
          <w:snapToGrid/>
          <w:kern w:val="0"/>
          <w:sz w:val="20"/>
        </w:rPr>
        <w:t>5 U.S.C. § 601(3) (incorporating by reference the definition of “small business concern” in Small Business Act,</w:t>
      </w:r>
    </w:p>
    <w:p w:rsidR="00AD054A" w:rsidRPr="007B35F5" w:rsidRDefault="00AD054A" w:rsidP="00D34510">
      <w:pPr>
        <w:pStyle w:val="FootnoteText"/>
      </w:pPr>
      <w:r w:rsidRPr="00FA6A5A">
        <w:t xml:space="preserve">15 U.S.C. § 632). </w:t>
      </w:r>
      <w:r>
        <w:t xml:space="preserve"> </w:t>
      </w:r>
      <w:r w:rsidRPr="00FA6A5A">
        <w:t>Pursuant to 5 U.S.C. § 601(3), the statutory definition of a small business applies “unless an</w:t>
      </w:r>
      <w:r>
        <w:t xml:space="preserve"> </w:t>
      </w:r>
      <w:r w:rsidRPr="00FA6A5A">
        <w:t>agency, after consultation with the Office of Advocacy of the Small Business Administration and after opportunity</w:t>
      </w:r>
      <w:r>
        <w:t xml:space="preserve"> </w:t>
      </w:r>
      <w:r w:rsidRPr="00FA6A5A">
        <w:t>for public comment, establishes one or more definitions of such term which are appropriate to the activities of the</w:t>
      </w:r>
      <w:r>
        <w:t xml:space="preserve"> </w:t>
      </w:r>
      <w:r w:rsidRPr="00FA6A5A">
        <w:t>agency and publishes such definition(s) in the Federal Register.”</w:t>
      </w:r>
      <w:r>
        <w:t xml:space="preserve"> </w:t>
      </w:r>
      <w:r w:rsidRPr="00FA6A5A">
        <w:t xml:space="preserve"> 5 U.S.C. § 601(3).</w:t>
      </w:r>
    </w:p>
  </w:footnote>
  <w:footnote w:id="55">
    <w:p w:rsidR="00AD054A" w:rsidRDefault="00AD054A">
      <w:pPr>
        <w:pStyle w:val="FootnoteText"/>
      </w:pPr>
      <w:r>
        <w:rPr>
          <w:rStyle w:val="FootnoteReference"/>
        </w:rPr>
        <w:footnoteRef/>
      </w:r>
      <w:r>
        <w:t xml:space="preserve"> Small Business Act, 15 U.S.C. § 632.</w:t>
      </w:r>
    </w:p>
  </w:footnote>
  <w:footnote w:id="56">
    <w:p w:rsidR="00AD054A" w:rsidRPr="00920C59" w:rsidRDefault="00AD054A">
      <w:pPr>
        <w:pStyle w:val="FootnoteText"/>
        <w:rPr>
          <w:i/>
        </w:rPr>
      </w:pPr>
      <w:r>
        <w:rPr>
          <w:rStyle w:val="FootnoteReference"/>
        </w:rPr>
        <w:footnoteRef/>
      </w:r>
      <w:r>
        <w:t xml:space="preserve"> </w:t>
      </w:r>
      <w:r>
        <w:rPr>
          <w:i/>
        </w:rPr>
        <w:t xml:space="preserve">See </w:t>
      </w:r>
      <w:r w:rsidRPr="004F6775">
        <w:rPr>
          <w:i/>
          <w:iCs/>
        </w:rPr>
        <w:t>USF/ICC Transformation Order</w:t>
      </w:r>
      <w:r>
        <w:rPr>
          <w:iCs/>
        </w:rPr>
        <w:t>, 26 FCC Rcd at 18324-63, App O</w:t>
      </w:r>
      <w:r w:rsidRPr="004F6775">
        <w:t>.</w:t>
      </w:r>
    </w:p>
  </w:footnote>
  <w:footnote w:id="57">
    <w:p w:rsidR="00AD054A" w:rsidRDefault="00AD054A">
      <w:pPr>
        <w:pStyle w:val="FootnoteText"/>
      </w:pPr>
      <w:r>
        <w:rPr>
          <w:rStyle w:val="FootnoteReference"/>
        </w:rPr>
        <w:footnoteRef/>
      </w:r>
      <w:r>
        <w:t xml:space="preserve"> 15 U.S.C. § 632.</w:t>
      </w:r>
    </w:p>
  </w:footnote>
  <w:footnote w:id="58">
    <w:p w:rsidR="00AD054A" w:rsidRPr="00D97FB7" w:rsidRDefault="00AD054A">
      <w:pPr>
        <w:pStyle w:val="FootnoteText"/>
        <w:rPr>
          <w:i/>
        </w:rPr>
      </w:pPr>
      <w:r>
        <w:rPr>
          <w:rStyle w:val="FootnoteReference"/>
        </w:rPr>
        <w:footnoteRef/>
      </w:r>
      <w:r>
        <w:t xml:space="preserve"> </w:t>
      </w:r>
      <w:r>
        <w:rPr>
          <w:i/>
        </w:rPr>
        <w:t>Id.</w:t>
      </w:r>
    </w:p>
  </w:footnote>
  <w:footnote w:id="59">
    <w:p w:rsidR="00AD054A" w:rsidRPr="00D97FB7" w:rsidRDefault="00AD054A">
      <w:pPr>
        <w:pStyle w:val="FootnoteText"/>
      </w:pPr>
      <w:r>
        <w:rPr>
          <w:rStyle w:val="FootnoteReference"/>
        </w:rPr>
        <w:footnoteRef/>
      </w:r>
      <w:r>
        <w:t xml:space="preserve"> </w:t>
      </w:r>
      <w:r>
        <w:rPr>
          <w:i/>
        </w:rPr>
        <w:t>See</w:t>
      </w:r>
      <w:r>
        <w:t xml:space="preserve"> 5 U.S.C. § 801(a)(1)(A).</w:t>
      </w:r>
    </w:p>
  </w:footnote>
  <w:footnote w:id="60">
    <w:p w:rsidR="00AD054A" w:rsidRPr="00892F01" w:rsidRDefault="00AD054A">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80" w:rsidRDefault="008A6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4A" w:rsidRDefault="00AD054A" w:rsidP="00D2122E">
    <w:pPr>
      <w:pStyle w:val="Header"/>
    </w:pPr>
  </w:p>
  <w:p w:rsidR="00BD269B" w:rsidRDefault="00BD269B" w:rsidP="00D553B1">
    <w:pPr>
      <w:pBdr>
        <w:bottom w:val="single" w:sz="12" w:space="1" w:color="auto"/>
      </w:pBdr>
      <w:tabs>
        <w:tab w:val="center" w:pos="4680"/>
        <w:tab w:val="right" w:pos="9360"/>
      </w:tabs>
      <w:jc w:val="center"/>
      <w:rPr>
        <w:b/>
        <w:szCs w:val="24"/>
      </w:rPr>
    </w:pPr>
  </w:p>
  <w:p w:rsidR="00BD269B" w:rsidRDefault="00BD269B" w:rsidP="00D553B1">
    <w:pPr>
      <w:pBdr>
        <w:bottom w:val="single" w:sz="12" w:space="1" w:color="auto"/>
      </w:pBdr>
      <w:tabs>
        <w:tab w:val="center" w:pos="4680"/>
        <w:tab w:val="right" w:pos="9360"/>
      </w:tabs>
      <w:jc w:val="center"/>
      <w:rPr>
        <w:b/>
        <w:szCs w:val="24"/>
      </w:rPr>
    </w:pPr>
  </w:p>
  <w:p w:rsidR="00AD054A" w:rsidRPr="00FC4E17" w:rsidRDefault="00BD269B" w:rsidP="00D553B1">
    <w:pPr>
      <w:pBdr>
        <w:bottom w:val="single" w:sz="12" w:space="1" w:color="auto"/>
      </w:pBdr>
      <w:tabs>
        <w:tab w:val="center" w:pos="4680"/>
        <w:tab w:val="right" w:pos="9360"/>
      </w:tabs>
      <w:jc w:val="center"/>
      <w:rPr>
        <w:b/>
        <w:szCs w:val="24"/>
      </w:rPr>
    </w:pPr>
    <w:r>
      <w:rPr>
        <w:b/>
        <w:szCs w:val="24"/>
      </w:rPr>
      <w:t xml:space="preserve">                                                   Federal Communications Commission                                   DA 14-</w:t>
    </w:r>
    <w:r w:rsidR="000B0886">
      <w:rPr>
        <w:b/>
        <w:szCs w:val="24"/>
      </w:rPr>
      <w:t>434</w:t>
    </w:r>
    <w:r w:rsidR="00AD054A">
      <w:rPr>
        <w:b/>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4A" w:rsidRDefault="00AD054A" w:rsidP="00D2122E">
    <w:pPr>
      <w:pStyle w:val="Header"/>
    </w:pPr>
  </w:p>
  <w:p w:rsidR="00AD054A" w:rsidRDefault="00AD054A" w:rsidP="00F40CCC">
    <w:pPr>
      <w:pBdr>
        <w:bottom w:val="single" w:sz="12" w:space="1" w:color="auto"/>
      </w:pBdr>
      <w:tabs>
        <w:tab w:val="center" w:pos="4680"/>
        <w:tab w:val="right" w:pos="9360"/>
      </w:tabs>
      <w:jc w:val="center"/>
      <w:rPr>
        <w:b/>
        <w:szCs w:val="24"/>
      </w:rPr>
    </w:pPr>
  </w:p>
  <w:p w:rsidR="00BD269B" w:rsidRDefault="00BD269B" w:rsidP="00F40CCC">
    <w:pPr>
      <w:pBdr>
        <w:bottom w:val="single" w:sz="12" w:space="1" w:color="auto"/>
      </w:pBdr>
      <w:tabs>
        <w:tab w:val="center" w:pos="4680"/>
        <w:tab w:val="right" w:pos="9360"/>
      </w:tabs>
      <w:jc w:val="center"/>
      <w:rPr>
        <w:b/>
        <w:szCs w:val="24"/>
      </w:rPr>
    </w:pPr>
  </w:p>
  <w:p w:rsidR="00BD269B" w:rsidRPr="00D2122E" w:rsidRDefault="00BD269B" w:rsidP="00BD269B">
    <w:pPr>
      <w:pBdr>
        <w:bottom w:val="single" w:sz="12" w:space="1" w:color="auto"/>
      </w:pBdr>
      <w:tabs>
        <w:tab w:val="center" w:pos="4680"/>
        <w:tab w:val="right" w:pos="9360"/>
      </w:tabs>
      <w:jc w:val="center"/>
      <w:rPr>
        <w:b/>
        <w:szCs w:val="24"/>
      </w:rPr>
    </w:pPr>
    <w:r>
      <w:rPr>
        <w:b/>
        <w:szCs w:val="24"/>
      </w:rPr>
      <w:tab/>
      <w:t xml:space="preserve">                                                   Federal Communications Commission                                   DA 14-</w:t>
    </w:r>
    <w:r w:rsidR="000B0886">
      <w:rPr>
        <w:b/>
        <w:szCs w:val="24"/>
      </w:rPr>
      <w:t>434</w:t>
    </w:r>
  </w:p>
  <w:p w:rsidR="00AD054A" w:rsidRPr="00D2122E" w:rsidRDefault="00AD054A" w:rsidP="00D2122E">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11953FCE"/>
    <w:multiLevelType w:val="hybridMultilevel"/>
    <w:tmpl w:val="864A66F8"/>
    <w:lvl w:ilvl="0" w:tplc="FFFFFFFF">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CC468EF"/>
    <w:multiLevelType w:val="hybridMultilevel"/>
    <w:tmpl w:val="2022189E"/>
    <w:lvl w:ilvl="0" w:tplc="8C423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E07E17"/>
    <w:multiLevelType w:val="hybridMultilevel"/>
    <w:tmpl w:val="FB1CE84C"/>
    <w:lvl w:ilvl="0" w:tplc="6E066B36">
      <w:start w:val="1"/>
      <w:numFmt w:val="lowerRoman"/>
      <w:lvlText w:val="(%1)"/>
      <w:lvlJc w:val="left"/>
      <w:pPr>
        <w:ind w:left="2160" w:hanging="72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6">
    <w:nsid w:val="59D93575"/>
    <w:multiLevelType w:val="hybridMultilevel"/>
    <w:tmpl w:val="D14E58CA"/>
    <w:lvl w:ilvl="0" w:tplc="10DC3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E75908"/>
    <w:multiLevelType w:val="hybridMultilevel"/>
    <w:tmpl w:val="359024A2"/>
    <w:lvl w:ilvl="0" w:tplc="EF1ED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182925"/>
    <w:multiLevelType w:val="singleLevel"/>
    <w:tmpl w:val="A9A49A36"/>
    <w:lvl w:ilvl="0">
      <w:start w:val="1"/>
      <w:numFmt w:val="decimal"/>
      <w:pStyle w:val="ParaNum"/>
      <w:lvlText w:val="%1."/>
      <w:lvlJc w:val="left"/>
      <w:pPr>
        <w:tabs>
          <w:tab w:val="num" w:pos="1080"/>
        </w:tabs>
        <w:ind w:left="0" w:firstLine="720"/>
      </w:pPr>
      <w:rPr>
        <w:sz w:val="22"/>
        <w:szCs w:val="22"/>
      </w:rPr>
    </w:lvl>
  </w:abstractNum>
  <w:abstractNum w:abstractNumId="19">
    <w:nsid w:val="6625691D"/>
    <w:multiLevelType w:val="hybridMultilevel"/>
    <w:tmpl w:val="B2F4E8AE"/>
    <w:lvl w:ilvl="0" w:tplc="D0EEE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2F647F"/>
    <w:multiLevelType w:val="hybridMultilevel"/>
    <w:tmpl w:val="0E24DC76"/>
    <w:lvl w:ilvl="0" w:tplc="A5D67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3668E3"/>
    <w:multiLevelType w:val="hybridMultilevel"/>
    <w:tmpl w:val="884C54E2"/>
    <w:lvl w:ilvl="0" w:tplc="1FB0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5"/>
  </w:num>
  <w:num w:numId="4">
    <w:abstractNumId w:val="5"/>
  </w:num>
  <w:num w:numId="5">
    <w:abstractNumId w:val="3"/>
  </w:num>
  <w:num w:numId="6">
    <w:abstractNumId w:val="2"/>
  </w:num>
  <w:num w:numId="7">
    <w:abstractNumId w:val="1"/>
  </w:num>
  <w:num w:numId="8">
    <w:abstractNumId w:val="0"/>
  </w:num>
  <w:num w:numId="9">
    <w:abstractNumId w:val="12"/>
  </w:num>
  <w:num w:numId="10">
    <w:abstractNumId w:val="7"/>
  </w:num>
  <w:num w:numId="11">
    <w:abstractNumId w:val="18"/>
  </w:num>
  <w:num w:numId="12">
    <w:abstractNumId w:val="16"/>
  </w:num>
  <w:num w:numId="13">
    <w:abstractNumId w:val="21"/>
  </w:num>
  <w:num w:numId="14">
    <w:abstractNumId w:val="14"/>
  </w:num>
  <w:num w:numId="15">
    <w:abstractNumId w:val="17"/>
  </w:num>
  <w:num w:numId="16">
    <w:abstractNumId w:val="11"/>
  </w:num>
  <w:num w:numId="17">
    <w:abstractNumId w:val="19"/>
  </w:num>
  <w:num w:numId="18">
    <w:abstractNumId w:val="20"/>
  </w:num>
  <w:num w:numId="19">
    <w:abstractNumId w:val="8"/>
  </w:num>
  <w:num w:numId="20">
    <w:abstractNumId w:val="13"/>
  </w:num>
  <w:num w:numId="21">
    <w:abstractNumId w:val="9"/>
  </w:num>
  <w:num w:numId="22">
    <w:abstractNumId w:val="6"/>
  </w:num>
  <w:num w:numId="23">
    <w:abstractNumId w:val="18"/>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0"/>
  </w:num>
  <w:num w:numId="41">
    <w:abstractNumId w:val="10"/>
  </w:num>
  <w:num w:numId="42">
    <w:abstractNumId w:val="18"/>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73"/>
    <w:rsid w:val="0000006C"/>
    <w:rsid w:val="000005E4"/>
    <w:rsid w:val="00000667"/>
    <w:rsid w:val="00000F36"/>
    <w:rsid w:val="00001010"/>
    <w:rsid w:val="00001944"/>
    <w:rsid w:val="0000230C"/>
    <w:rsid w:val="0000257B"/>
    <w:rsid w:val="00002ED9"/>
    <w:rsid w:val="000039E3"/>
    <w:rsid w:val="00003E33"/>
    <w:rsid w:val="00003F24"/>
    <w:rsid w:val="000047DD"/>
    <w:rsid w:val="000048D0"/>
    <w:rsid w:val="00004A82"/>
    <w:rsid w:val="00004C7D"/>
    <w:rsid w:val="0000547A"/>
    <w:rsid w:val="00005615"/>
    <w:rsid w:val="00005757"/>
    <w:rsid w:val="00005CD3"/>
    <w:rsid w:val="00006872"/>
    <w:rsid w:val="00006A2D"/>
    <w:rsid w:val="00006CBB"/>
    <w:rsid w:val="00006F8F"/>
    <w:rsid w:val="000072AD"/>
    <w:rsid w:val="00007577"/>
    <w:rsid w:val="0001072B"/>
    <w:rsid w:val="00010865"/>
    <w:rsid w:val="000123C9"/>
    <w:rsid w:val="00014973"/>
    <w:rsid w:val="00015EEC"/>
    <w:rsid w:val="00016089"/>
    <w:rsid w:val="000160D1"/>
    <w:rsid w:val="000166C8"/>
    <w:rsid w:val="00016F04"/>
    <w:rsid w:val="0001740D"/>
    <w:rsid w:val="000176A9"/>
    <w:rsid w:val="00017CDC"/>
    <w:rsid w:val="00017F6D"/>
    <w:rsid w:val="00020941"/>
    <w:rsid w:val="0002094C"/>
    <w:rsid w:val="00020BE5"/>
    <w:rsid w:val="00020CED"/>
    <w:rsid w:val="00021063"/>
    <w:rsid w:val="000234AF"/>
    <w:rsid w:val="00023D59"/>
    <w:rsid w:val="000243CD"/>
    <w:rsid w:val="0002468A"/>
    <w:rsid w:val="00024A63"/>
    <w:rsid w:val="00024ADD"/>
    <w:rsid w:val="00024F60"/>
    <w:rsid w:val="0002723C"/>
    <w:rsid w:val="00027827"/>
    <w:rsid w:val="00027E4C"/>
    <w:rsid w:val="00027F66"/>
    <w:rsid w:val="00030C87"/>
    <w:rsid w:val="00030D7F"/>
    <w:rsid w:val="00031E40"/>
    <w:rsid w:val="0003298F"/>
    <w:rsid w:val="00032B8A"/>
    <w:rsid w:val="00032D51"/>
    <w:rsid w:val="00033185"/>
    <w:rsid w:val="00033E13"/>
    <w:rsid w:val="00034E5E"/>
    <w:rsid w:val="00035B6A"/>
    <w:rsid w:val="0003702C"/>
    <w:rsid w:val="0004010E"/>
    <w:rsid w:val="00040170"/>
    <w:rsid w:val="00040C55"/>
    <w:rsid w:val="00040F29"/>
    <w:rsid w:val="00041551"/>
    <w:rsid w:val="00042400"/>
    <w:rsid w:val="00043A65"/>
    <w:rsid w:val="0004447C"/>
    <w:rsid w:val="000444B9"/>
    <w:rsid w:val="000444CF"/>
    <w:rsid w:val="00044E1E"/>
    <w:rsid w:val="00044E41"/>
    <w:rsid w:val="00045C55"/>
    <w:rsid w:val="00046349"/>
    <w:rsid w:val="0004647B"/>
    <w:rsid w:val="00046CC1"/>
    <w:rsid w:val="00047336"/>
    <w:rsid w:val="00047C94"/>
    <w:rsid w:val="00047CB7"/>
    <w:rsid w:val="00050A85"/>
    <w:rsid w:val="00050DDB"/>
    <w:rsid w:val="0005105B"/>
    <w:rsid w:val="00051EF8"/>
    <w:rsid w:val="000527F1"/>
    <w:rsid w:val="00054384"/>
    <w:rsid w:val="00054E7D"/>
    <w:rsid w:val="00055CD5"/>
    <w:rsid w:val="0005643A"/>
    <w:rsid w:val="000569D8"/>
    <w:rsid w:val="00057FE3"/>
    <w:rsid w:val="00060704"/>
    <w:rsid w:val="0006126C"/>
    <w:rsid w:val="0006149E"/>
    <w:rsid w:val="00061C81"/>
    <w:rsid w:val="00062512"/>
    <w:rsid w:val="0006284B"/>
    <w:rsid w:val="00063690"/>
    <w:rsid w:val="00064389"/>
    <w:rsid w:val="000651C8"/>
    <w:rsid w:val="00065380"/>
    <w:rsid w:val="000658DA"/>
    <w:rsid w:val="00065EB7"/>
    <w:rsid w:val="00066534"/>
    <w:rsid w:val="00066F73"/>
    <w:rsid w:val="000671F8"/>
    <w:rsid w:val="000711C6"/>
    <w:rsid w:val="000712B7"/>
    <w:rsid w:val="00071781"/>
    <w:rsid w:val="000725FD"/>
    <w:rsid w:val="00072DD9"/>
    <w:rsid w:val="00072E85"/>
    <w:rsid w:val="000731A2"/>
    <w:rsid w:val="00073618"/>
    <w:rsid w:val="0007449A"/>
    <w:rsid w:val="00074573"/>
    <w:rsid w:val="00074CAF"/>
    <w:rsid w:val="00075774"/>
    <w:rsid w:val="0007636C"/>
    <w:rsid w:val="00077724"/>
    <w:rsid w:val="000816AD"/>
    <w:rsid w:val="0008338A"/>
    <w:rsid w:val="0008434C"/>
    <w:rsid w:val="000853D7"/>
    <w:rsid w:val="00085793"/>
    <w:rsid w:val="00085A11"/>
    <w:rsid w:val="00086562"/>
    <w:rsid w:val="00086633"/>
    <w:rsid w:val="000870B4"/>
    <w:rsid w:val="0008726C"/>
    <w:rsid w:val="0008750A"/>
    <w:rsid w:val="00090C31"/>
    <w:rsid w:val="00092F3C"/>
    <w:rsid w:val="0009309A"/>
    <w:rsid w:val="00093117"/>
    <w:rsid w:val="000934A8"/>
    <w:rsid w:val="0009374A"/>
    <w:rsid w:val="00093CE9"/>
    <w:rsid w:val="00093DCE"/>
    <w:rsid w:val="000940B7"/>
    <w:rsid w:val="0009443E"/>
    <w:rsid w:val="000956CD"/>
    <w:rsid w:val="00095A5A"/>
    <w:rsid w:val="00095B49"/>
    <w:rsid w:val="00095E3C"/>
    <w:rsid w:val="00095E92"/>
    <w:rsid w:val="0009686C"/>
    <w:rsid w:val="00096977"/>
    <w:rsid w:val="000969D9"/>
    <w:rsid w:val="00096C34"/>
    <w:rsid w:val="00097352"/>
    <w:rsid w:val="0009794F"/>
    <w:rsid w:val="00097F8A"/>
    <w:rsid w:val="000A0D6C"/>
    <w:rsid w:val="000A0DA8"/>
    <w:rsid w:val="000A0F58"/>
    <w:rsid w:val="000A1815"/>
    <w:rsid w:val="000A1B7A"/>
    <w:rsid w:val="000A27E5"/>
    <w:rsid w:val="000A4009"/>
    <w:rsid w:val="000A4050"/>
    <w:rsid w:val="000A4123"/>
    <w:rsid w:val="000A4332"/>
    <w:rsid w:val="000A4371"/>
    <w:rsid w:val="000A4B88"/>
    <w:rsid w:val="000A6AC9"/>
    <w:rsid w:val="000A6C71"/>
    <w:rsid w:val="000A6C77"/>
    <w:rsid w:val="000A6F0E"/>
    <w:rsid w:val="000A7977"/>
    <w:rsid w:val="000B001B"/>
    <w:rsid w:val="000B0886"/>
    <w:rsid w:val="000B0AE0"/>
    <w:rsid w:val="000B1814"/>
    <w:rsid w:val="000B1B85"/>
    <w:rsid w:val="000B1D9F"/>
    <w:rsid w:val="000B2BAF"/>
    <w:rsid w:val="000B2E9A"/>
    <w:rsid w:val="000B319E"/>
    <w:rsid w:val="000B4F29"/>
    <w:rsid w:val="000B567B"/>
    <w:rsid w:val="000B5803"/>
    <w:rsid w:val="000B600A"/>
    <w:rsid w:val="000B6536"/>
    <w:rsid w:val="000B6C3D"/>
    <w:rsid w:val="000C02B5"/>
    <w:rsid w:val="000C0C46"/>
    <w:rsid w:val="000C0CAA"/>
    <w:rsid w:val="000C1B28"/>
    <w:rsid w:val="000C2078"/>
    <w:rsid w:val="000C25D3"/>
    <w:rsid w:val="000C2A05"/>
    <w:rsid w:val="000C2D50"/>
    <w:rsid w:val="000C35BB"/>
    <w:rsid w:val="000C3EB5"/>
    <w:rsid w:val="000C4B7D"/>
    <w:rsid w:val="000C4B7E"/>
    <w:rsid w:val="000C51D0"/>
    <w:rsid w:val="000C5784"/>
    <w:rsid w:val="000C579C"/>
    <w:rsid w:val="000C6B80"/>
    <w:rsid w:val="000C6BC0"/>
    <w:rsid w:val="000C7E8F"/>
    <w:rsid w:val="000D0E1A"/>
    <w:rsid w:val="000D1F32"/>
    <w:rsid w:val="000D27B4"/>
    <w:rsid w:val="000D31BB"/>
    <w:rsid w:val="000D38E5"/>
    <w:rsid w:val="000D3A0B"/>
    <w:rsid w:val="000D3DD7"/>
    <w:rsid w:val="000D4B91"/>
    <w:rsid w:val="000D66D6"/>
    <w:rsid w:val="000D6749"/>
    <w:rsid w:val="000D6ABC"/>
    <w:rsid w:val="000E0B2C"/>
    <w:rsid w:val="000E142B"/>
    <w:rsid w:val="000E156F"/>
    <w:rsid w:val="000E246E"/>
    <w:rsid w:val="000E2501"/>
    <w:rsid w:val="000E265F"/>
    <w:rsid w:val="000E2765"/>
    <w:rsid w:val="000E4EFD"/>
    <w:rsid w:val="000E5203"/>
    <w:rsid w:val="000E6B6F"/>
    <w:rsid w:val="000E6D71"/>
    <w:rsid w:val="000E6E93"/>
    <w:rsid w:val="000E7606"/>
    <w:rsid w:val="000F02DD"/>
    <w:rsid w:val="000F0614"/>
    <w:rsid w:val="000F0875"/>
    <w:rsid w:val="000F0884"/>
    <w:rsid w:val="000F15A3"/>
    <w:rsid w:val="000F1917"/>
    <w:rsid w:val="000F218B"/>
    <w:rsid w:val="000F4FDF"/>
    <w:rsid w:val="000F5DC3"/>
    <w:rsid w:val="000F60B8"/>
    <w:rsid w:val="000F61F7"/>
    <w:rsid w:val="000F6451"/>
    <w:rsid w:val="000F6719"/>
    <w:rsid w:val="000F79F0"/>
    <w:rsid w:val="000F7BD1"/>
    <w:rsid w:val="000F7D55"/>
    <w:rsid w:val="0010005A"/>
    <w:rsid w:val="00100529"/>
    <w:rsid w:val="00101207"/>
    <w:rsid w:val="00101236"/>
    <w:rsid w:val="00101F85"/>
    <w:rsid w:val="0010318B"/>
    <w:rsid w:val="001033F5"/>
    <w:rsid w:val="00105B03"/>
    <w:rsid w:val="00105CD5"/>
    <w:rsid w:val="00106148"/>
    <w:rsid w:val="00107A75"/>
    <w:rsid w:val="00107AF9"/>
    <w:rsid w:val="001105DC"/>
    <w:rsid w:val="0011070A"/>
    <w:rsid w:val="00110C9C"/>
    <w:rsid w:val="0011100E"/>
    <w:rsid w:val="001111DB"/>
    <w:rsid w:val="00111E82"/>
    <w:rsid w:val="00112176"/>
    <w:rsid w:val="00112842"/>
    <w:rsid w:val="00112907"/>
    <w:rsid w:val="001129BF"/>
    <w:rsid w:val="00112BA8"/>
    <w:rsid w:val="00112CBC"/>
    <w:rsid w:val="00113061"/>
    <w:rsid w:val="0011309C"/>
    <w:rsid w:val="00113209"/>
    <w:rsid w:val="00114E91"/>
    <w:rsid w:val="00115628"/>
    <w:rsid w:val="00115953"/>
    <w:rsid w:val="00115C8A"/>
    <w:rsid w:val="00116697"/>
    <w:rsid w:val="001167AB"/>
    <w:rsid w:val="00116A19"/>
    <w:rsid w:val="00117453"/>
    <w:rsid w:val="00117519"/>
    <w:rsid w:val="00120C82"/>
    <w:rsid w:val="001213FB"/>
    <w:rsid w:val="00121982"/>
    <w:rsid w:val="00122D2F"/>
    <w:rsid w:val="00123360"/>
    <w:rsid w:val="00123424"/>
    <w:rsid w:val="0012504E"/>
    <w:rsid w:val="0012540C"/>
    <w:rsid w:val="001254DE"/>
    <w:rsid w:val="0012596F"/>
    <w:rsid w:val="001259BD"/>
    <w:rsid w:val="0012635C"/>
    <w:rsid w:val="0012642B"/>
    <w:rsid w:val="00126B5D"/>
    <w:rsid w:val="00126E51"/>
    <w:rsid w:val="001278D8"/>
    <w:rsid w:val="00127CF9"/>
    <w:rsid w:val="00131466"/>
    <w:rsid w:val="001318F8"/>
    <w:rsid w:val="00133BF9"/>
    <w:rsid w:val="0013438E"/>
    <w:rsid w:val="00134BA6"/>
    <w:rsid w:val="00135786"/>
    <w:rsid w:val="001366C2"/>
    <w:rsid w:val="001368E9"/>
    <w:rsid w:val="00136B08"/>
    <w:rsid w:val="00137DDB"/>
    <w:rsid w:val="00140140"/>
    <w:rsid w:val="001402B3"/>
    <w:rsid w:val="00141932"/>
    <w:rsid w:val="00141AD1"/>
    <w:rsid w:val="00142295"/>
    <w:rsid w:val="00142963"/>
    <w:rsid w:val="001429A8"/>
    <w:rsid w:val="00142C9A"/>
    <w:rsid w:val="001443FF"/>
    <w:rsid w:val="00144730"/>
    <w:rsid w:val="00144C44"/>
    <w:rsid w:val="00144C8C"/>
    <w:rsid w:val="00145439"/>
    <w:rsid w:val="0014608E"/>
    <w:rsid w:val="001461DF"/>
    <w:rsid w:val="00146CDD"/>
    <w:rsid w:val="00147274"/>
    <w:rsid w:val="00150871"/>
    <w:rsid w:val="00150E52"/>
    <w:rsid w:val="00150EBB"/>
    <w:rsid w:val="00151026"/>
    <w:rsid w:val="0015108C"/>
    <w:rsid w:val="00151271"/>
    <w:rsid w:val="0015247F"/>
    <w:rsid w:val="001531A2"/>
    <w:rsid w:val="00155D8B"/>
    <w:rsid w:val="00156C88"/>
    <w:rsid w:val="00156D6F"/>
    <w:rsid w:val="00157B60"/>
    <w:rsid w:val="00157D5F"/>
    <w:rsid w:val="00157E2B"/>
    <w:rsid w:val="00160200"/>
    <w:rsid w:val="001604C8"/>
    <w:rsid w:val="00160787"/>
    <w:rsid w:val="00160CB9"/>
    <w:rsid w:val="0016197A"/>
    <w:rsid w:val="00161BEE"/>
    <w:rsid w:val="00161E6B"/>
    <w:rsid w:val="00162244"/>
    <w:rsid w:val="00162C59"/>
    <w:rsid w:val="0016330C"/>
    <w:rsid w:val="0016339A"/>
    <w:rsid w:val="001634A1"/>
    <w:rsid w:val="001649C8"/>
    <w:rsid w:val="0016578D"/>
    <w:rsid w:val="00165960"/>
    <w:rsid w:val="00165DAC"/>
    <w:rsid w:val="00166250"/>
    <w:rsid w:val="00167EB9"/>
    <w:rsid w:val="001703AE"/>
    <w:rsid w:val="0017068E"/>
    <w:rsid w:val="001714FE"/>
    <w:rsid w:val="001734D8"/>
    <w:rsid w:val="00173507"/>
    <w:rsid w:val="00174202"/>
    <w:rsid w:val="0017474D"/>
    <w:rsid w:val="001751DA"/>
    <w:rsid w:val="00175A08"/>
    <w:rsid w:val="00175B00"/>
    <w:rsid w:val="00175B33"/>
    <w:rsid w:val="001766B2"/>
    <w:rsid w:val="0017691E"/>
    <w:rsid w:val="00177253"/>
    <w:rsid w:val="00177EA8"/>
    <w:rsid w:val="00180598"/>
    <w:rsid w:val="00180B4D"/>
    <w:rsid w:val="0018130D"/>
    <w:rsid w:val="001816AC"/>
    <w:rsid w:val="00182B0F"/>
    <w:rsid w:val="00182FA0"/>
    <w:rsid w:val="00183092"/>
    <w:rsid w:val="001843E3"/>
    <w:rsid w:val="00185EBF"/>
    <w:rsid w:val="001870D1"/>
    <w:rsid w:val="0018758E"/>
    <w:rsid w:val="001876F3"/>
    <w:rsid w:val="00187743"/>
    <w:rsid w:val="00190203"/>
    <w:rsid w:val="00190768"/>
    <w:rsid w:val="00190D7F"/>
    <w:rsid w:val="00191126"/>
    <w:rsid w:val="00191151"/>
    <w:rsid w:val="001919F3"/>
    <w:rsid w:val="00191E80"/>
    <w:rsid w:val="00192732"/>
    <w:rsid w:val="001929B2"/>
    <w:rsid w:val="001935BC"/>
    <w:rsid w:val="00193D78"/>
    <w:rsid w:val="0019495C"/>
    <w:rsid w:val="001949E5"/>
    <w:rsid w:val="001949F6"/>
    <w:rsid w:val="00194F6A"/>
    <w:rsid w:val="00195939"/>
    <w:rsid w:val="00196344"/>
    <w:rsid w:val="00196392"/>
    <w:rsid w:val="00196F19"/>
    <w:rsid w:val="001971C4"/>
    <w:rsid w:val="001972AA"/>
    <w:rsid w:val="001A09FA"/>
    <w:rsid w:val="001A0C26"/>
    <w:rsid w:val="001A1A57"/>
    <w:rsid w:val="001A1FDC"/>
    <w:rsid w:val="001A2D5B"/>
    <w:rsid w:val="001A2DED"/>
    <w:rsid w:val="001A2F6C"/>
    <w:rsid w:val="001A4649"/>
    <w:rsid w:val="001A4665"/>
    <w:rsid w:val="001A59B8"/>
    <w:rsid w:val="001A5A21"/>
    <w:rsid w:val="001A5CD0"/>
    <w:rsid w:val="001A5F23"/>
    <w:rsid w:val="001A66DF"/>
    <w:rsid w:val="001A76EE"/>
    <w:rsid w:val="001A7E44"/>
    <w:rsid w:val="001B0A14"/>
    <w:rsid w:val="001B0F57"/>
    <w:rsid w:val="001B227C"/>
    <w:rsid w:val="001B293B"/>
    <w:rsid w:val="001B2C85"/>
    <w:rsid w:val="001B3120"/>
    <w:rsid w:val="001B33BE"/>
    <w:rsid w:val="001B3EB6"/>
    <w:rsid w:val="001B45DA"/>
    <w:rsid w:val="001B4CDE"/>
    <w:rsid w:val="001B50B8"/>
    <w:rsid w:val="001B5274"/>
    <w:rsid w:val="001B5C36"/>
    <w:rsid w:val="001B6D8B"/>
    <w:rsid w:val="001B7E6D"/>
    <w:rsid w:val="001C014B"/>
    <w:rsid w:val="001C0391"/>
    <w:rsid w:val="001C1273"/>
    <w:rsid w:val="001C1AB3"/>
    <w:rsid w:val="001C20F8"/>
    <w:rsid w:val="001C2D5F"/>
    <w:rsid w:val="001C3665"/>
    <w:rsid w:val="001C385C"/>
    <w:rsid w:val="001C5CE6"/>
    <w:rsid w:val="001C6F33"/>
    <w:rsid w:val="001C72BB"/>
    <w:rsid w:val="001C7D03"/>
    <w:rsid w:val="001D0794"/>
    <w:rsid w:val="001D160E"/>
    <w:rsid w:val="001D1A30"/>
    <w:rsid w:val="001D1AD2"/>
    <w:rsid w:val="001D2E62"/>
    <w:rsid w:val="001D33F4"/>
    <w:rsid w:val="001D3FAA"/>
    <w:rsid w:val="001D6000"/>
    <w:rsid w:val="001D6790"/>
    <w:rsid w:val="001D7265"/>
    <w:rsid w:val="001E00D5"/>
    <w:rsid w:val="001E0182"/>
    <w:rsid w:val="001E095C"/>
    <w:rsid w:val="001E28BE"/>
    <w:rsid w:val="001E4202"/>
    <w:rsid w:val="001E4B91"/>
    <w:rsid w:val="001E5458"/>
    <w:rsid w:val="001E56D8"/>
    <w:rsid w:val="001E6AAA"/>
    <w:rsid w:val="001E6D78"/>
    <w:rsid w:val="001E6FCF"/>
    <w:rsid w:val="001E7500"/>
    <w:rsid w:val="001E7592"/>
    <w:rsid w:val="001E75A1"/>
    <w:rsid w:val="001E7C85"/>
    <w:rsid w:val="001F0237"/>
    <w:rsid w:val="001F08EC"/>
    <w:rsid w:val="001F0AF2"/>
    <w:rsid w:val="001F16B5"/>
    <w:rsid w:val="001F37FC"/>
    <w:rsid w:val="001F3CA4"/>
    <w:rsid w:val="001F56E8"/>
    <w:rsid w:val="001F5797"/>
    <w:rsid w:val="001F57F6"/>
    <w:rsid w:val="001F6635"/>
    <w:rsid w:val="001F67F4"/>
    <w:rsid w:val="001F6A0A"/>
    <w:rsid w:val="001F6E77"/>
    <w:rsid w:val="001F7138"/>
    <w:rsid w:val="001F7DD3"/>
    <w:rsid w:val="001F7F77"/>
    <w:rsid w:val="002000F6"/>
    <w:rsid w:val="002014E6"/>
    <w:rsid w:val="002019EC"/>
    <w:rsid w:val="00201E23"/>
    <w:rsid w:val="002022A1"/>
    <w:rsid w:val="00202310"/>
    <w:rsid w:val="002023AD"/>
    <w:rsid w:val="0020444E"/>
    <w:rsid w:val="00204531"/>
    <w:rsid w:val="00204687"/>
    <w:rsid w:val="0020655B"/>
    <w:rsid w:val="00207B15"/>
    <w:rsid w:val="00210D66"/>
    <w:rsid w:val="002126DA"/>
    <w:rsid w:val="00212BED"/>
    <w:rsid w:val="00212FCA"/>
    <w:rsid w:val="0021329F"/>
    <w:rsid w:val="0021347C"/>
    <w:rsid w:val="002138BE"/>
    <w:rsid w:val="00214B86"/>
    <w:rsid w:val="00215527"/>
    <w:rsid w:val="00215B9E"/>
    <w:rsid w:val="00216241"/>
    <w:rsid w:val="002175D6"/>
    <w:rsid w:val="00217A54"/>
    <w:rsid w:val="00217B94"/>
    <w:rsid w:val="00221AFF"/>
    <w:rsid w:val="00222549"/>
    <w:rsid w:val="002227F5"/>
    <w:rsid w:val="00222DA5"/>
    <w:rsid w:val="002231C1"/>
    <w:rsid w:val="002238E3"/>
    <w:rsid w:val="002247F2"/>
    <w:rsid w:val="00225734"/>
    <w:rsid w:val="0022723E"/>
    <w:rsid w:val="002305D8"/>
    <w:rsid w:val="00230766"/>
    <w:rsid w:val="0023089B"/>
    <w:rsid w:val="00230FE7"/>
    <w:rsid w:val="002331BB"/>
    <w:rsid w:val="00233387"/>
    <w:rsid w:val="00233D39"/>
    <w:rsid w:val="002343E1"/>
    <w:rsid w:val="00234465"/>
    <w:rsid w:val="00235147"/>
    <w:rsid w:val="0023668E"/>
    <w:rsid w:val="00236900"/>
    <w:rsid w:val="00236D81"/>
    <w:rsid w:val="0023719B"/>
    <w:rsid w:val="0023745E"/>
    <w:rsid w:val="00237F8F"/>
    <w:rsid w:val="00240484"/>
    <w:rsid w:val="0024122B"/>
    <w:rsid w:val="002412F1"/>
    <w:rsid w:val="00241582"/>
    <w:rsid w:val="00241EFA"/>
    <w:rsid w:val="00243285"/>
    <w:rsid w:val="002437F0"/>
    <w:rsid w:val="00243FF3"/>
    <w:rsid w:val="00244872"/>
    <w:rsid w:val="00245051"/>
    <w:rsid w:val="00245B3C"/>
    <w:rsid w:val="00246841"/>
    <w:rsid w:val="002477C1"/>
    <w:rsid w:val="00250D19"/>
    <w:rsid w:val="00251BEB"/>
    <w:rsid w:val="002520EE"/>
    <w:rsid w:val="00252F9A"/>
    <w:rsid w:val="002535E0"/>
    <w:rsid w:val="00253CD2"/>
    <w:rsid w:val="0025436E"/>
    <w:rsid w:val="00254619"/>
    <w:rsid w:val="002555A9"/>
    <w:rsid w:val="00255D59"/>
    <w:rsid w:val="00256465"/>
    <w:rsid w:val="00256F06"/>
    <w:rsid w:val="00256F0B"/>
    <w:rsid w:val="0025715D"/>
    <w:rsid w:val="00257962"/>
    <w:rsid w:val="00257E98"/>
    <w:rsid w:val="00260082"/>
    <w:rsid w:val="002602BC"/>
    <w:rsid w:val="002606D9"/>
    <w:rsid w:val="00261B0A"/>
    <w:rsid w:val="00262097"/>
    <w:rsid w:val="00262606"/>
    <w:rsid w:val="00262953"/>
    <w:rsid w:val="00265A79"/>
    <w:rsid w:val="00265D24"/>
    <w:rsid w:val="002663E2"/>
    <w:rsid w:val="00266810"/>
    <w:rsid w:val="00267D45"/>
    <w:rsid w:val="00267E5E"/>
    <w:rsid w:val="00270518"/>
    <w:rsid w:val="00271010"/>
    <w:rsid w:val="00271C2E"/>
    <w:rsid w:val="00271CCF"/>
    <w:rsid w:val="00272C1D"/>
    <w:rsid w:val="002734F9"/>
    <w:rsid w:val="00273D14"/>
    <w:rsid w:val="00273DF8"/>
    <w:rsid w:val="00273F0B"/>
    <w:rsid w:val="00273F6C"/>
    <w:rsid w:val="00275662"/>
    <w:rsid w:val="002758BE"/>
    <w:rsid w:val="00276458"/>
    <w:rsid w:val="00277A66"/>
    <w:rsid w:val="00277E20"/>
    <w:rsid w:val="00277FC3"/>
    <w:rsid w:val="00280552"/>
    <w:rsid w:val="00280FA2"/>
    <w:rsid w:val="0028144C"/>
    <w:rsid w:val="002815C8"/>
    <w:rsid w:val="00281A0C"/>
    <w:rsid w:val="00281E03"/>
    <w:rsid w:val="00282BFF"/>
    <w:rsid w:val="00282FAB"/>
    <w:rsid w:val="002842A3"/>
    <w:rsid w:val="002844AC"/>
    <w:rsid w:val="002847A7"/>
    <w:rsid w:val="0028505D"/>
    <w:rsid w:val="00285623"/>
    <w:rsid w:val="0028564F"/>
    <w:rsid w:val="002857E2"/>
    <w:rsid w:val="00285A3B"/>
    <w:rsid w:val="0028664C"/>
    <w:rsid w:val="00286B57"/>
    <w:rsid w:val="002871E0"/>
    <w:rsid w:val="00287AFC"/>
    <w:rsid w:val="00291475"/>
    <w:rsid w:val="00291B14"/>
    <w:rsid w:val="00291B29"/>
    <w:rsid w:val="002925FD"/>
    <w:rsid w:val="00292894"/>
    <w:rsid w:val="0029420A"/>
    <w:rsid w:val="00294316"/>
    <w:rsid w:val="00294A88"/>
    <w:rsid w:val="00294B4A"/>
    <w:rsid w:val="00295061"/>
    <w:rsid w:val="00295A2F"/>
    <w:rsid w:val="002967EA"/>
    <w:rsid w:val="00296B2C"/>
    <w:rsid w:val="002A1A29"/>
    <w:rsid w:val="002A225C"/>
    <w:rsid w:val="002A2325"/>
    <w:rsid w:val="002A2F33"/>
    <w:rsid w:val="002A31EF"/>
    <w:rsid w:val="002A3FAE"/>
    <w:rsid w:val="002A453A"/>
    <w:rsid w:val="002A4810"/>
    <w:rsid w:val="002A558F"/>
    <w:rsid w:val="002A56D1"/>
    <w:rsid w:val="002A58F1"/>
    <w:rsid w:val="002A599D"/>
    <w:rsid w:val="002A6106"/>
    <w:rsid w:val="002A66A5"/>
    <w:rsid w:val="002A6F4D"/>
    <w:rsid w:val="002A7A11"/>
    <w:rsid w:val="002B0505"/>
    <w:rsid w:val="002B0557"/>
    <w:rsid w:val="002B05BC"/>
    <w:rsid w:val="002B0945"/>
    <w:rsid w:val="002B0A4F"/>
    <w:rsid w:val="002B0ACD"/>
    <w:rsid w:val="002B0C55"/>
    <w:rsid w:val="002B1D7F"/>
    <w:rsid w:val="002B3185"/>
    <w:rsid w:val="002B3229"/>
    <w:rsid w:val="002B6395"/>
    <w:rsid w:val="002B66B9"/>
    <w:rsid w:val="002B6832"/>
    <w:rsid w:val="002B6C2A"/>
    <w:rsid w:val="002B6E72"/>
    <w:rsid w:val="002B759D"/>
    <w:rsid w:val="002B78A0"/>
    <w:rsid w:val="002B79B0"/>
    <w:rsid w:val="002C04A4"/>
    <w:rsid w:val="002C1132"/>
    <w:rsid w:val="002C1343"/>
    <w:rsid w:val="002C295B"/>
    <w:rsid w:val="002C339E"/>
    <w:rsid w:val="002C3F1B"/>
    <w:rsid w:val="002C4446"/>
    <w:rsid w:val="002C5CD9"/>
    <w:rsid w:val="002C68F0"/>
    <w:rsid w:val="002C723D"/>
    <w:rsid w:val="002C7966"/>
    <w:rsid w:val="002D0436"/>
    <w:rsid w:val="002D045A"/>
    <w:rsid w:val="002D0993"/>
    <w:rsid w:val="002D151A"/>
    <w:rsid w:val="002D1690"/>
    <w:rsid w:val="002D198A"/>
    <w:rsid w:val="002D25C4"/>
    <w:rsid w:val="002D4137"/>
    <w:rsid w:val="002D4BEC"/>
    <w:rsid w:val="002D7B77"/>
    <w:rsid w:val="002E1A07"/>
    <w:rsid w:val="002E248A"/>
    <w:rsid w:val="002E27C8"/>
    <w:rsid w:val="002E2920"/>
    <w:rsid w:val="002E2992"/>
    <w:rsid w:val="002E2BFD"/>
    <w:rsid w:val="002E2EE9"/>
    <w:rsid w:val="002E34A4"/>
    <w:rsid w:val="002E3690"/>
    <w:rsid w:val="002E3C07"/>
    <w:rsid w:val="002E3D24"/>
    <w:rsid w:val="002E4A18"/>
    <w:rsid w:val="002E4A4A"/>
    <w:rsid w:val="002E4DD6"/>
    <w:rsid w:val="002E508C"/>
    <w:rsid w:val="002E5662"/>
    <w:rsid w:val="002E579F"/>
    <w:rsid w:val="002E6991"/>
    <w:rsid w:val="002E6FD3"/>
    <w:rsid w:val="002E72D6"/>
    <w:rsid w:val="002E7A0A"/>
    <w:rsid w:val="002F018F"/>
    <w:rsid w:val="002F04ED"/>
    <w:rsid w:val="002F0D1B"/>
    <w:rsid w:val="002F0D91"/>
    <w:rsid w:val="002F120A"/>
    <w:rsid w:val="002F14EC"/>
    <w:rsid w:val="002F1D28"/>
    <w:rsid w:val="002F1D9A"/>
    <w:rsid w:val="002F26F9"/>
    <w:rsid w:val="002F2DB8"/>
    <w:rsid w:val="002F30A0"/>
    <w:rsid w:val="002F311A"/>
    <w:rsid w:val="002F4E3A"/>
    <w:rsid w:val="002F50FB"/>
    <w:rsid w:val="002F5600"/>
    <w:rsid w:val="002F6778"/>
    <w:rsid w:val="002F6D3F"/>
    <w:rsid w:val="002F6EB8"/>
    <w:rsid w:val="002F74C1"/>
    <w:rsid w:val="0030014A"/>
    <w:rsid w:val="00300DCC"/>
    <w:rsid w:val="003018AB"/>
    <w:rsid w:val="003020C7"/>
    <w:rsid w:val="00302198"/>
    <w:rsid w:val="00302440"/>
    <w:rsid w:val="0030259E"/>
    <w:rsid w:val="00302DA6"/>
    <w:rsid w:val="003031E9"/>
    <w:rsid w:val="00303606"/>
    <w:rsid w:val="003039B3"/>
    <w:rsid w:val="00304446"/>
    <w:rsid w:val="003044D2"/>
    <w:rsid w:val="0030492A"/>
    <w:rsid w:val="00305178"/>
    <w:rsid w:val="003052A7"/>
    <w:rsid w:val="003062D5"/>
    <w:rsid w:val="0030653C"/>
    <w:rsid w:val="00307DE2"/>
    <w:rsid w:val="0031050D"/>
    <w:rsid w:val="00310E7C"/>
    <w:rsid w:val="0031172B"/>
    <w:rsid w:val="00313535"/>
    <w:rsid w:val="00313982"/>
    <w:rsid w:val="003139F7"/>
    <w:rsid w:val="00314187"/>
    <w:rsid w:val="003141B1"/>
    <w:rsid w:val="0031422F"/>
    <w:rsid w:val="00315BAB"/>
    <w:rsid w:val="00315CCE"/>
    <w:rsid w:val="00316A9E"/>
    <w:rsid w:val="003177FB"/>
    <w:rsid w:val="0031789D"/>
    <w:rsid w:val="003179A2"/>
    <w:rsid w:val="00317FAE"/>
    <w:rsid w:val="003203C4"/>
    <w:rsid w:val="00320C55"/>
    <w:rsid w:val="0032105E"/>
    <w:rsid w:val="003218BC"/>
    <w:rsid w:val="003220E4"/>
    <w:rsid w:val="00322B1F"/>
    <w:rsid w:val="00322B5B"/>
    <w:rsid w:val="00323071"/>
    <w:rsid w:val="00323A0B"/>
    <w:rsid w:val="00323E8D"/>
    <w:rsid w:val="0032483D"/>
    <w:rsid w:val="00324F55"/>
    <w:rsid w:val="00327E90"/>
    <w:rsid w:val="00330171"/>
    <w:rsid w:val="00331DBC"/>
    <w:rsid w:val="0033393D"/>
    <w:rsid w:val="00334151"/>
    <w:rsid w:val="00334180"/>
    <w:rsid w:val="003343B1"/>
    <w:rsid w:val="00335099"/>
    <w:rsid w:val="003361E2"/>
    <w:rsid w:val="003367B8"/>
    <w:rsid w:val="00336B8C"/>
    <w:rsid w:val="0033769E"/>
    <w:rsid w:val="00340D55"/>
    <w:rsid w:val="00340FCD"/>
    <w:rsid w:val="00341392"/>
    <w:rsid w:val="00341DD3"/>
    <w:rsid w:val="00342CCF"/>
    <w:rsid w:val="0034303F"/>
    <w:rsid w:val="00343067"/>
    <w:rsid w:val="00343118"/>
    <w:rsid w:val="0034396E"/>
    <w:rsid w:val="00343E13"/>
    <w:rsid w:val="00344360"/>
    <w:rsid w:val="00344854"/>
    <w:rsid w:val="003453C2"/>
    <w:rsid w:val="00346522"/>
    <w:rsid w:val="00346550"/>
    <w:rsid w:val="00346BA7"/>
    <w:rsid w:val="00346CFE"/>
    <w:rsid w:val="003476E6"/>
    <w:rsid w:val="003503AD"/>
    <w:rsid w:val="003514FD"/>
    <w:rsid w:val="0035175B"/>
    <w:rsid w:val="00351D5A"/>
    <w:rsid w:val="0035235C"/>
    <w:rsid w:val="00352455"/>
    <w:rsid w:val="00352C09"/>
    <w:rsid w:val="00352EF3"/>
    <w:rsid w:val="0035353E"/>
    <w:rsid w:val="003542C9"/>
    <w:rsid w:val="003545B4"/>
    <w:rsid w:val="00354717"/>
    <w:rsid w:val="00354A3C"/>
    <w:rsid w:val="00354AD2"/>
    <w:rsid w:val="00354C49"/>
    <w:rsid w:val="0035524D"/>
    <w:rsid w:val="003567F1"/>
    <w:rsid w:val="00356CFA"/>
    <w:rsid w:val="003601DC"/>
    <w:rsid w:val="003609E4"/>
    <w:rsid w:val="003611FA"/>
    <w:rsid w:val="003618FD"/>
    <w:rsid w:val="00361BD5"/>
    <w:rsid w:val="00361D3C"/>
    <w:rsid w:val="00362B7F"/>
    <w:rsid w:val="0036453D"/>
    <w:rsid w:val="003654BC"/>
    <w:rsid w:val="00365732"/>
    <w:rsid w:val="00365D6D"/>
    <w:rsid w:val="00365E5E"/>
    <w:rsid w:val="00366E0A"/>
    <w:rsid w:val="00367D29"/>
    <w:rsid w:val="00367EA9"/>
    <w:rsid w:val="0037006F"/>
    <w:rsid w:val="0037057B"/>
    <w:rsid w:val="003711C8"/>
    <w:rsid w:val="00371F7C"/>
    <w:rsid w:val="00372713"/>
    <w:rsid w:val="0037274E"/>
    <w:rsid w:val="0037289E"/>
    <w:rsid w:val="00373796"/>
    <w:rsid w:val="003741CA"/>
    <w:rsid w:val="003746CE"/>
    <w:rsid w:val="00375292"/>
    <w:rsid w:val="00375BB5"/>
    <w:rsid w:val="00375F72"/>
    <w:rsid w:val="003768F6"/>
    <w:rsid w:val="00376DA3"/>
    <w:rsid w:val="00377162"/>
    <w:rsid w:val="0037717B"/>
    <w:rsid w:val="00377647"/>
    <w:rsid w:val="00380F3B"/>
    <w:rsid w:val="00380F49"/>
    <w:rsid w:val="00382276"/>
    <w:rsid w:val="003828EA"/>
    <w:rsid w:val="00382B22"/>
    <w:rsid w:val="00382EC7"/>
    <w:rsid w:val="00384793"/>
    <w:rsid w:val="00384A97"/>
    <w:rsid w:val="00385BE7"/>
    <w:rsid w:val="00385F3E"/>
    <w:rsid w:val="003866D8"/>
    <w:rsid w:val="00386948"/>
    <w:rsid w:val="003877EF"/>
    <w:rsid w:val="0038794C"/>
    <w:rsid w:val="00390045"/>
    <w:rsid w:val="003902AD"/>
    <w:rsid w:val="00392508"/>
    <w:rsid w:val="0039252C"/>
    <w:rsid w:val="00393EB4"/>
    <w:rsid w:val="00394AD4"/>
    <w:rsid w:val="00395C85"/>
    <w:rsid w:val="0039702B"/>
    <w:rsid w:val="00397212"/>
    <w:rsid w:val="0039724C"/>
    <w:rsid w:val="00397ADB"/>
    <w:rsid w:val="00397B8A"/>
    <w:rsid w:val="003A06EF"/>
    <w:rsid w:val="003A147A"/>
    <w:rsid w:val="003A1743"/>
    <w:rsid w:val="003A174F"/>
    <w:rsid w:val="003A1C04"/>
    <w:rsid w:val="003A1D67"/>
    <w:rsid w:val="003A1DA3"/>
    <w:rsid w:val="003A1E6A"/>
    <w:rsid w:val="003A2032"/>
    <w:rsid w:val="003A211F"/>
    <w:rsid w:val="003A2E1D"/>
    <w:rsid w:val="003A343A"/>
    <w:rsid w:val="003A7196"/>
    <w:rsid w:val="003A7C5F"/>
    <w:rsid w:val="003B0470"/>
    <w:rsid w:val="003B07DF"/>
    <w:rsid w:val="003B0844"/>
    <w:rsid w:val="003B0F3A"/>
    <w:rsid w:val="003B193D"/>
    <w:rsid w:val="003B2283"/>
    <w:rsid w:val="003B3C1F"/>
    <w:rsid w:val="003B4052"/>
    <w:rsid w:val="003B41D5"/>
    <w:rsid w:val="003B4B5D"/>
    <w:rsid w:val="003B4EF5"/>
    <w:rsid w:val="003B7145"/>
    <w:rsid w:val="003B751C"/>
    <w:rsid w:val="003B798E"/>
    <w:rsid w:val="003C0973"/>
    <w:rsid w:val="003C0DA7"/>
    <w:rsid w:val="003C119B"/>
    <w:rsid w:val="003C1727"/>
    <w:rsid w:val="003C1CA6"/>
    <w:rsid w:val="003C263A"/>
    <w:rsid w:val="003C265C"/>
    <w:rsid w:val="003C2C0A"/>
    <w:rsid w:val="003C2F5E"/>
    <w:rsid w:val="003C334A"/>
    <w:rsid w:val="003C4E65"/>
    <w:rsid w:val="003C4EC8"/>
    <w:rsid w:val="003C6585"/>
    <w:rsid w:val="003C6B6C"/>
    <w:rsid w:val="003C7554"/>
    <w:rsid w:val="003C79EC"/>
    <w:rsid w:val="003D016C"/>
    <w:rsid w:val="003D05B1"/>
    <w:rsid w:val="003D0878"/>
    <w:rsid w:val="003D08D8"/>
    <w:rsid w:val="003D09E2"/>
    <w:rsid w:val="003D1135"/>
    <w:rsid w:val="003D13DE"/>
    <w:rsid w:val="003D1690"/>
    <w:rsid w:val="003D1697"/>
    <w:rsid w:val="003D1B31"/>
    <w:rsid w:val="003D3071"/>
    <w:rsid w:val="003D31F2"/>
    <w:rsid w:val="003D324F"/>
    <w:rsid w:val="003D33A5"/>
    <w:rsid w:val="003D358B"/>
    <w:rsid w:val="003D46F7"/>
    <w:rsid w:val="003D4BF0"/>
    <w:rsid w:val="003D4FC0"/>
    <w:rsid w:val="003D59E6"/>
    <w:rsid w:val="003D5F80"/>
    <w:rsid w:val="003D66EB"/>
    <w:rsid w:val="003D7D44"/>
    <w:rsid w:val="003D7D99"/>
    <w:rsid w:val="003E015A"/>
    <w:rsid w:val="003E23E8"/>
    <w:rsid w:val="003E25B6"/>
    <w:rsid w:val="003E26DD"/>
    <w:rsid w:val="003E2A4E"/>
    <w:rsid w:val="003E36C6"/>
    <w:rsid w:val="003E3DDA"/>
    <w:rsid w:val="003E5582"/>
    <w:rsid w:val="003E565A"/>
    <w:rsid w:val="003E5A62"/>
    <w:rsid w:val="003E5B4B"/>
    <w:rsid w:val="003E61B5"/>
    <w:rsid w:val="003E705D"/>
    <w:rsid w:val="003E722B"/>
    <w:rsid w:val="003E73E7"/>
    <w:rsid w:val="003E7ED9"/>
    <w:rsid w:val="003F0B0C"/>
    <w:rsid w:val="003F1517"/>
    <w:rsid w:val="003F179E"/>
    <w:rsid w:val="003F1C5C"/>
    <w:rsid w:val="003F3D76"/>
    <w:rsid w:val="003F4084"/>
    <w:rsid w:val="003F50BB"/>
    <w:rsid w:val="003F515D"/>
    <w:rsid w:val="003F5511"/>
    <w:rsid w:val="003F6810"/>
    <w:rsid w:val="003F72F1"/>
    <w:rsid w:val="003F7C4F"/>
    <w:rsid w:val="00400501"/>
    <w:rsid w:val="00400C55"/>
    <w:rsid w:val="0040107B"/>
    <w:rsid w:val="00403256"/>
    <w:rsid w:val="004033C3"/>
    <w:rsid w:val="00404718"/>
    <w:rsid w:val="00404BEF"/>
    <w:rsid w:val="00404F70"/>
    <w:rsid w:val="00405429"/>
    <w:rsid w:val="00405E70"/>
    <w:rsid w:val="00406624"/>
    <w:rsid w:val="00406949"/>
    <w:rsid w:val="00406DB8"/>
    <w:rsid w:val="00407418"/>
    <w:rsid w:val="004075FF"/>
    <w:rsid w:val="00410962"/>
    <w:rsid w:val="00411044"/>
    <w:rsid w:val="00411859"/>
    <w:rsid w:val="00411AFE"/>
    <w:rsid w:val="004122BE"/>
    <w:rsid w:val="004123C8"/>
    <w:rsid w:val="004134F7"/>
    <w:rsid w:val="004138A2"/>
    <w:rsid w:val="00413AE1"/>
    <w:rsid w:val="0041470D"/>
    <w:rsid w:val="00414DE7"/>
    <w:rsid w:val="004153B3"/>
    <w:rsid w:val="004156E0"/>
    <w:rsid w:val="004160B5"/>
    <w:rsid w:val="004162F0"/>
    <w:rsid w:val="00416734"/>
    <w:rsid w:val="004173CC"/>
    <w:rsid w:val="0041796D"/>
    <w:rsid w:val="00420B6B"/>
    <w:rsid w:val="004219C9"/>
    <w:rsid w:val="00422500"/>
    <w:rsid w:val="0042275C"/>
    <w:rsid w:val="00422D08"/>
    <w:rsid w:val="00424330"/>
    <w:rsid w:val="00424653"/>
    <w:rsid w:val="00424FC7"/>
    <w:rsid w:val="00425A40"/>
    <w:rsid w:val="00425BEB"/>
    <w:rsid w:val="00427057"/>
    <w:rsid w:val="004278A8"/>
    <w:rsid w:val="00427A81"/>
    <w:rsid w:val="00427AD7"/>
    <w:rsid w:val="00427F31"/>
    <w:rsid w:val="004303D9"/>
    <w:rsid w:val="00430EDA"/>
    <w:rsid w:val="004319EC"/>
    <w:rsid w:val="004324F2"/>
    <w:rsid w:val="00432A6F"/>
    <w:rsid w:val="0043384D"/>
    <w:rsid w:val="004338C6"/>
    <w:rsid w:val="004338E3"/>
    <w:rsid w:val="00433A4F"/>
    <w:rsid w:val="00433F6A"/>
    <w:rsid w:val="0043404C"/>
    <w:rsid w:val="004342EC"/>
    <w:rsid w:val="00434FAD"/>
    <w:rsid w:val="0043527B"/>
    <w:rsid w:val="00435F3C"/>
    <w:rsid w:val="00436AAA"/>
    <w:rsid w:val="00437464"/>
    <w:rsid w:val="004374AF"/>
    <w:rsid w:val="0043770E"/>
    <w:rsid w:val="00437970"/>
    <w:rsid w:val="00440359"/>
    <w:rsid w:val="00441E44"/>
    <w:rsid w:val="00442515"/>
    <w:rsid w:val="004425E0"/>
    <w:rsid w:val="0044260A"/>
    <w:rsid w:val="004428F1"/>
    <w:rsid w:val="00442FDF"/>
    <w:rsid w:val="004432B8"/>
    <w:rsid w:val="00443905"/>
    <w:rsid w:val="00443BC2"/>
    <w:rsid w:val="00443BE5"/>
    <w:rsid w:val="004446A7"/>
    <w:rsid w:val="00446458"/>
    <w:rsid w:val="00446639"/>
    <w:rsid w:val="00446CB7"/>
    <w:rsid w:val="00447EAA"/>
    <w:rsid w:val="00451792"/>
    <w:rsid w:val="00451833"/>
    <w:rsid w:val="00452767"/>
    <w:rsid w:val="00452935"/>
    <w:rsid w:val="00452AC4"/>
    <w:rsid w:val="00452C4E"/>
    <w:rsid w:val="00452CD8"/>
    <w:rsid w:val="004536E5"/>
    <w:rsid w:val="004536F3"/>
    <w:rsid w:val="00454B52"/>
    <w:rsid w:val="0045654B"/>
    <w:rsid w:val="00457556"/>
    <w:rsid w:val="004578CF"/>
    <w:rsid w:val="00457E55"/>
    <w:rsid w:val="00457EDC"/>
    <w:rsid w:val="004610B7"/>
    <w:rsid w:val="00461E8C"/>
    <w:rsid w:val="00462193"/>
    <w:rsid w:val="0046374A"/>
    <w:rsid w:val="00463BFF"/>
    <w:rsid w:val="004645B6"/>
    <w:rsid w:val="00464AF3"/>
    <w:rsid w:val="00465106"/>
    <w:rsid w:val="004664A1"/>
    <w:rsid w:val="00466837"/>
    <w:rsid w:val="004675BB"/>
    <w:rsid w:val="004701F2"/>
    <w:rsid w:val="00470658"/>
    <w:rsid w:val="0047088D"/>
    <w:rsid w:val="00471B20"/>
    <w:rsid w:val="00471CAC"/>
    <w:rsid w:val="00471D20"/>
    <w:rsid w:val="00472A56"/>
    <w:rsid w:val="00473767"/>
    <w:rsid w:val="004744E0"/>
    <w:rsid w:val="00474744"/>
    <w:rsid w:val="00476450"/>
    <w:rsid w:val="00476724"/>
    <w:rsid w:val="004773A1"/>
    <w:rsid w:val="004777D7"/>
    <w:rsid w:val="004777FA"/>
    <w:rsid w:val="004778D4"/>
    <w:rsid w:val="00477F21"/>
    <w:rsid w:val="00480508"/>
    <w:rsid w:val="00480869"/>
    <w:rsid w:val="004824B9"/>
    <w:rsid w:val="0048263C"/>
    <w:rsid w:val="00483061"/>
    <w:rsid w:val="0048324D"/>
    <w:rsid w:val="00483D23"/>
    <w:rsid w:val="00483FAD"/>
    <w:rsid w:val="004844A2"/>
    <w:rsid w:val="00484653"/>
    <w:rsid w:val="00484CF1"/>
    <w:rsid w:val="00484D89"/>
    <w:rsid w:val="004861DE"/>
    <w:rsid w:val="004868F2"/>
    <w:rsid w:val="00487812"/>
    <w:rsid w:val="00487C5A"/>
    <w:rsid w:val="004907B0"/>
    <w:rsid w:val="0049205F"/>
    <w:rsid w:val="00492D7C"/>
    <w:rsid w:val="00492F22"/>
    <w:rsid w:val="00493504"/>
    <w:rsid w:val="00494123"/>
    <w:rsid w:val="004961EF"/>
    <w:rsid w:val="004967C6"/>
    <w:rsid w:val="00497245"/>
    <w:rsid w:val="004A027D"/>
    <w:rsid w:val="004A03EB"/>
    <w:rsid w:val="004A0867"/>
    <w:rsid w:val="004A0F88"/>
    <w:rsid w:val="004A13EC"/>
    <w:rsid w:val="004A1857"/>
    <w:rsid w:val="004A1B08"/>
    <w:rsid w:val="004A22A6"/>
    <w:rsid w:val="004A25E6"/>
    <w:rsid w:val="004A2632"/>
    <w:rsid w:val="004A2707"/>
    <w:rsid w:val="004A3C64"/>
    <w:rsid w:val="004A479A"/>
    <w:rsid w:val="004A4885"/>
    <w:rsid w:val="004A6520"/>
    <w:rsid w:val="004A6598"/>
    <w:rsid w:val="004A6908"/>
    <w:rsid w:val="004A7B0F"/>
    <w:rsid w:val="004A7D36"/>
    <w:rsid w:val="004A7E38"/>
    <w:rsid w:val="004B03AA"/>
    <w:rsid w:val="004B12CC"/>
    <w:rsid w:val="004B1969"/>
    <w:rsid w:val="004B1FA2"/>
    <w:rsid w:val="004B22A6"/>
    <w:rsid w:val="004B22D4"/>
    <w:rsid w:val="004B3FF1"/>
    <w:rsid w:val="004B4001"/>
    <w:rsid w:val="004B401F"/>
    <w:rsid w:val="004B4203"/>
    <w:rsid w:val="004B605D"/>
    <w:rsid w:val="004B61C8"/>
    <w:rsid w:val="004B625D"/>
    <w:rsid w:val="004B666F"/>
    <w:rsid w:val="004B6790"/>
    <w:rsid w:val="004B686B"/>
    <w:rsid w:val="004B6C99"/>
    <w:rsid w:val="004B6EA3"/>
    <w:rsid w:val="004B7933"/>
    <w:rsid w:val="004C05EA"/>
    <w:rsid w:val="004C0F74"/>
    <w:rsid w:val="004C115D"/>
    <w:rsid w:val="004C146E"/>
    <w:rsid w:val="004C14B7"/>
    <w:rsid w:val="004C174E"/>
    <w:rsid w:val="004C2357"/>
    <w:rsid w:val="004C28C4"/>
    <w:rsid w:val="004C2B26"/>
    <w:rsid w:val="004C2B72"/>
    <w:rsid w:val="004C2D49"/>
    <w:rsid w:val="004C3199"/>
    <w:rsid w:val="004C3653"/>
    <w:rsid w:val="004C3BE3"/>
    <w:rsid w:val="004C4788"/>
    <w:rsid w:val="004C5825"/>
    <w:rsid w:val="004C5DEA"/>
    <w:rsid w:val="004C6B98"/>
    <w:rsid w:val="004C7998"/>
    <w:rsid w:val="004C7B42"/>
    <w:rsid w:val="004D09CD"/>
    <w:rsid w:val="004D09E0"/>
    <w:rsid w:val="004D0E4B"/>
    <w:rsid w:val="004D189C"/>
    <w:rsid w:val="004D278C"/>
    <w:rsid w:val="004D3159"/>
    <w:rsid w:val="004D3359"/>
    <w:rsid w:val="004D3CA0"/>
    <w:rsid w:val="004D4054"/>
    <w:rsid w:val="004D45E1"/>
    <w:rsid w:val="004D49AB"/>
    <w:rsid w:val="004D52C4"/>
    <w:rsid w:val="004D5EEC"/>
    <w:rsid w:val="004D62EC"/>
    <w:rsid w:val="004D6AB8"/>
    <w:rsid w:val="004D765A"/>
    <w:rsid w:val="004E0337"/>
    <w:rsid w:val="004E0A4F"/>
    <w:rsid w:val="004E17E8"/>
    <w:rsid w:val="004E1812"/>
    <w:rsid w:val="004E1906"/>
    <w:rsid w:val="004E1DD8"/>
    <w:rsid w:val="004E3120"/>
    <w:rsid w:val="004E4004"/>
    <w:rsid w:val="004E404E"/>
    <w:rsid w:val="004E4657"/>
    <w:rsid w:val="004E4F08"/>
    <w:rsid w:val="004E5952"/>
    <w:rsid w:val="004E5AFF"/>
    <w:rsid w:val="004E5C93"/>
    <w:rsid w:val="004E752F"/>
    <w:rsid w:val="004E7B95"/>
    <w:rsid w:val="004E7DEF"/>
    <w:rsid w:val="004F02B5"/>
    <w:rsid w:val="004F02B9"/>
    <w:rsid w:val="004F18C2"/>
    <w:rsid w:val="004F22C7"/>
    <w:rsid w:val="004F46C2"/>
    <w:rsid w:val="004F52FD"/>
    <w:rsid w:val="004F594D"/>
    <w:rsid w:val="004F6775"/>
    <w:rsid w:val="004F6B87"/>
    <w:rsid w:val="004F6E3D"/>
    <w:rsid w:val="004F7FB8"/>
    <w:rsid w:val="0050068C"/>
    <w:rsid w:val="00500B4E"/>
    <w:rsid w:val="00500DAF"/>
    <w:rsid w:val="00501668"/>
    <w:rsid w:val="00501710"/>
    <w:rsid w:val="00501989"/>
    <w:rsid w:val="00501A80"/>
    <w:rsid w:val="00502D45"/>
    <w:rsid w:val="00502EC5"/>
    <w:rsid w:val="005035BE"/>
    <w:rsid w:val="00504281"/>
    <w:rsid w:val="00506F00"/>
    <w:rsid w:val="005075D4"/>
    <w:rsid w:val="00510506"/>
    <w:rsid w:val="00510770"/>
    <w:rsid w:val="00510C19"/>
    <w:rsid w:val="0051100A"/>
    <w:rsid w:val="00511FE0"/>
    <w:rsid w:val="00512681"/>
    <w:rsid w:val="005126C5"/>
    <w:rsid w:val="005128D0"/>
    <w:rsid w:val="00513C2E"/>
    <w:rsid w:val="00514949"/>
    <w:rsid w:val="00515510"/>
    <w:rsid w:val="00515851"/>
    <w:rsid w:val="0051594E"/>
    <w:rsid w:val="00516B94"/>
    <w:rsid w:val="00516E5C"/>
    <w:rsid w:val="00516EFA"/>
    <w:rsid w:val="00517EBD"/>
    <w:rsid w:val="00521203"/>
    <w:rsid w:val="00521EB8"/>
    <w:rsid w:val="005227A1"/>
    <w:rsid w:val="005227BD"/>
    <w:rsid w:val="00522C14"/>
    <w:rsid w:val="00522C17"/>
    <w:rsid w:val="00522E9F"/>
    <w:rsid w:val="00523DEB"/>
    <w:rsid w:val="00524267"/>
    <w:rsid w:val="005242C6"/>
    <w:rsid w:val="00525946"/>
    <w:rsid w:val="00526674"/>
    <w:rsid w:val="005268D3"/>
    <w:rsid w:val="00526D9C"/>
    <w:rsid w:val="0052722F"/>
    <w:rsid w:val="00527725"/>
    <w:rsid w:val="00527C93"/>
    <w:rsid w:val="00527FC4"/>
    <w:rsid w:val="005308C6"/>
    <w:rsid w:val="00530F45"/>
    <w:rsid w:val="00531E89"/>
    <w:rsid w:val="005322CE"/>
    <w:rsid w:val="00532414"/>
    <w:rsid w:val="00534365"/>
    <w:rsid w:val="0053438D"/>
    <w:rsid w:val="00534715"/>
    <w:rsid w:val="00534844"/>
    <w:rsid w:val="00534F21"/>
    <w:rsid w:val="00535103"/>
    <w:rsid w:val="005372EB"/>
    <w:rsid w:val="005403EA"/>
    <w:rsid w:val="00541DC2"/>
    <w:rsid w:val="0054243A"/>
    <w:rsid w:val="00542730"/>
    <w:rsid w:val="00542F99"/>
    <w:rsid w:val="0054390A"/>
    <w:rsid w:val="00543DA7"/>
    <w:rsid w:val="00543E84"/>
    <w:rsid w:val="00544056"/>
    <w:rsid w:val="005446B0"/>
    <w:rsid w:val="00544B29"/>
    <w:rsid w:val="00544EF4"/>
    <w:rsid w:val="005453DC"/>
    <w:rsid w:val="005458D7"/>
    <w:rsid w:val="0054637C"/>
    <w:rsid w:val="0054713E"/>
    <w:rsid w:val="005501E0"/>
    <w:rsid w:val="00551A6D"/>
    <w:rsid w:val="00551C1B"/>
    <w:rsid w:val="00551DC0"/>
    <w:rsid w:val="00552878"/>
    <w:rsid w:val="00552B62"/>
    <w:rsid w:val="005530AD"/>
    <w:rsid w:val="00553667"/>
    <w:rsid w:val="00553718"/>
    <w:rsid w:val="00554031"/>
    <w:rsid w:val="0055443C"/>
    <w:rsid w:val="005548A7"/>
    <w:rsid w:val="00554EEF"/>
    <w:rsid w:val="0055585D"/>
    <w:rsid w:val="00555B7E"/>
    <w:rsid w:val="00555FD6"/>
    <w:rsid w:val="00557D09"/>
    <w:rsid w:val="00557E7B"/>
    <w:rsid w:val="00560578"/>
    <w:rsid w:val="00560EF8"/>
    <w:rsid w:val="00561650"/>
    <w:rsid w:val="00562EDF"/>
    <w:rsid w:val="005635BB"/>
    <w:rsid w:val="00563AB6"/>
    <w:rsid w:val="00563EC0"/>
    <w:rsid w:val="00564332"/>
    <w:rsid w:val="0056448C"/>
    <w:rsid w:val="005653E3"/>
    <w:rsid w:val="00566F16"/>
    <w:rsid w:val="005670DB"/>
    <w:rsid w:val="00567843"/>
    <w:rsid w:val="00567D53"/>
    <w:rsid w:val="005706A0"/>
    <w:rsid w:val="005708FC"/>
    <w:rsid w:val="00571168"/>
    <w:rsid w:val="0057163B"/>
    <w:rsid w:val="005719DE"/>
    <w:rsid w:val="00571AF9"/>
    <w:rsid w:val="00571DA4"/>
    <w:rsid w:val="005723C3"/>
    <w:rsid w:val="005727AF"/>
    <w:rsid w:val="00572A1B"/>
    <w:rsid w:val="00572AD5"/>
    <w:rsid w:val="005730C2"/>
    <w:rsid w:val="0057398C"/>
    <w:rsid w:val="00574DD3"/>
    <w:rsid w:val="0057506F"/>
    <w:rsid w:val="00575166"/>
    <w:rsid w:val="0057537E"/>
    <w:rsid w:val="00575694"/>
    <w:rsid w:val="0057586A"/>
    <w:rsid w:val="00575BBD"/>
    <w:rsid w:val="005768D5"/>
    <w:rsid w:val="0057771C"/>
    <w:rsid w:val="00577764"/>
    <w:rsid w:val="00577FE3"/>
    <w:rsid w:val="005805C2"/>
    <w:rsid w:val="0058098F"/>
    <w:rsid w:val="00581B6E"/>
    <w:rsid w:val="00581CF4"/>
    <w:rsid w:val="00581F25"/>
    <w:rsid w:val="00582370"/>
    <w:rsid w:val="0058363F"/>
    <w:rsid w:val="00583F8C"/>
    <w:rsid w:val="00584726"/>
    <w:rsid w:val="00584C3A"/>
    <w:rsid w:val="00584EB3"/>
    <w:rsid w:val="00586502"/>
    <w:rsid w:val="00586930"/>
    <w:rsid w:val="00587145"/>
    <w:rsid w:val="005872A4"/>
    <w:rsid w:val="00587D20"/>
    <w:rsid w:val="005902AA"/>
    <w:rsid w:val="00590FB6"/>
    <w:rsid w:val="005912F0"/>
    <w:rsid w:val="005913EA"/>
    <w:rsid w:val="00591449"/>
    <w:rsid w:val="005915BA"/>
    <w:rsid w:val="00594573"/>
    <w:rsid w:val="00594F29"/>
    <w:rsid w:val="00594F57"/>
    <w:rsid w:val="00596C86"/>
    <w:rsid w:val="005A03B3"/>
    <w:rsid w:val="005A1303"/>
    <w:rsid w:val="005A1612"/>
    <w:rsid w:val="005A1882"/>
    <w:rsid w:val="005A18E3"/>
    <w:rsid w:val="005A2ADA"/>
    <w:rsid w:val="005A31CD"/>
    <w:rsid w:val="005A4747"/>
    <w:rsid w:val="005A4B5E"/>
    <w:rsid w:val="005A4CB5"/>
    <w:rsid w:val="005A5FF6"/>
    <w:rsid w:val="005A6778"/>
    <w:rsid w:val="005A6920"/>
    <w:rsid w:val="005A69D2"/>
    <w:rsid w:val="005A73BC"/>
    <w:rsid w:val="005A7445"/>
    <w:rsid w:val="005B044E"/>
    <w:rsid w:val="005B0B01"/>
    <w:rsid w:val="005B105E"/>
    <w:rsid w:val="005B10AE"/>
    <w:rsid w:val="005B172D"/>
    <w:rsid w:val="005B1A45"/>
    <w:rsid w:val="005B1D9E"/>
    <w:rsid w:val="005B2B84"/>
    <w:rsid w:val="005B3A2C"/>
    <w:rsid w:val="005B3E59"/>
    <w:rsid w:val="005B48E0"/>
    <w:rsid w:val="005B577D"/>
    <w:rsid w:val="005B6250"/>
    <w:rsid w:val="005B684F"/>
    <w:rsid w:val="005B6F25"/>
    <w:rsid w:val="005B7078"/>
    <w:rsid w:val="005B7F5A"/>
    <w:rsid w:val="005C012D"/>
    <w:rsid w:val="005C08C7"/>
    <w:rsid w:val="005C1A2D"/>
    <w:rsid w:val="005C2BD4"/>
    <w:rsid w:val="005C354A"/>
    <w:rsid w:val="005C383D"/>
    <w:rsid w:val="005C3973"/>
    <w:rsid w:val="005C3AA9"/>
    <w:rsid w:val="005C4DC7"/>
    <w:rsid w:val="005C51E9"/>
    <w:rsid w:val="005C6E45"/>
    <w:rsid w:val="005C72CC"/>
    <w:rsid w:val="005C74EE"/>
    <w:rsid w:val="005C7748"/>
    <w:rsid w:val="005D05E2"/>
    <w:rsid w:val="005D0BC0"/>
    <w:rsid w:val="005D1849"/>
    <w:rsid w:val="005D26D6"/>
    <w:rsid w:val="005D2C48"/>
    <w:rsid w:val="005D3B78"/>
    <w:rsid w:val="005D3D76"/>
    <w:rsid w:val="005D5ADC"/>
    <w:rsid w:val="005D5BDB"/>
    <w:rsid w:val="005D65C7"/>
    <w:rsid w:val="005D6A71"/>
    <w:rsid w:val="005D7024"/>
    <w:rsid w:val="005D71E8"/>
    <w:rsid w:val="005D7529"/>
    <w:rsid w:val="005D7557"/>
    <w:rsid w:val="005D7B5E"/>
    <w:rsid w:val="005E02FD"/>
    <w:rsid w:val="005E049E"/>
    <w:rsid w:val="005E0C00"/>
    <w:rsid w:val="005E0F63"/>
    <w:rsid w:val="005E143C"/>
    <w:rsid w:val="005E1AD2"/>
    <w:rsid w:val="005E2216"/>
    <w:rsid w:val="005E38B0"/>
    <w:rsid w:val="005E46EF"/>
    <w:rsid w:val="005E4D6F"/>
    <w:rsid w:val="005E4DAD"/>
    <w:rsid w:val="005E51C1"/>
    <w:rsid w:val="005E557A"/>
    <w:rsid w:val="005E5D09"/>
    <w:rsid w:val="005E7808"/>
    <w:rsid w:val="005F0964"/>
    <w:rsid w:val="005F0C4F"/>
    <w:rsid w:val="005F1249"/>
    <w:rsid w:val="005F1B7B"/>
    <w:rsid w:val="005F3013"/>
    <w:rsid w:val="005F3A71"/>
    <w:rsid w:val="005F41DA"/>
    <w:rsid w:val="005F4971"/>
    <w:rsid w:val="005F4CB9"/>
    <w:rsid w:val="005F5B4A"/>
    <w:rsid w:val="005F68E4"/>
    <w:rsid w:val="005F708C"/>
    <w:rsid w:val="005F7A41"/>
    <w:rsid w:val="0060095B"/>
    <w:rsid w:val="00600A51"/>
    <w:rsid w:val="0060149F"/>
    <w:rsid w:val="00601C5B"/>
    <w:rsid w:val="00601EE9"/>
    <w:rsid w:val="00602318"/>
    <w:rsid w:val="0060254F"/>
    <w:rsid w:val="006025DE"/>
    <w:rsid w:val="00603192"/>
    <w:rsid w:val="0060355F"/>
    <w:rsid w:val="00605020"/>
    <w:rsid w:val="00605475"/>
    <w:rsid w:val="00605E54"/>
    <w:rsid w:val="006065DE"/>
    <w:rsid w:val="006065F3"/>
    <w:rsid w:val="00606D18"/>
    <w:rsid w:val="00607173"/>
    <w:rsid w:val="00607C30"/>
    <w:rsid w:val="00607E0B"/>
    <w:rsid w:val="00610BC6"/>
    <w:rsid w:val="00611C06"/>
    <w:rsid w:val="00612CAF"/>
    <w:rsid w:val="006133A4"/>
    <w:rsid w:val="00613CD3"/>
    <w:rsid w:val="0061530D"/>
    <w:rsid w:val="006159E7"/>
    <w:rsid w:val="006160A5"/>
    <w:rsid w:val="006168EF"/>
    <w:rsid w:val="00616DA2"/>
    <w:rsid w:val="00617930"/>
    <w:rsid w:val="00617A0E"/>
    <w:rsid w:val="006203FC"/>
    <w:rsid w:val="006209BE"/>
    <w:rsid w:val="00620B1A"/>
    <w:rsid w:val="00620E58"/>
    <w:rsid w:val="0062141C"/>
    <w:rsid w:val="00622764"/>
    <w:rsid w:val="00622F70"/>
    <w:rsid w:val="006237A2"/>
    <w:rsid w:val="00623BB9"/>
    <w:rsid w:val="00624FEA"/>
    <w:rsid w:val="0062525F"/>
    <w:rsid w:val="00625D43"/>
    <w:rsid w:val="00625FBE"/>
    <w:rsid w:val="00626BF4"/>
    <w:rsid w:val="00626D08"/>
    <w:rsid w:val="00627743"/>
    <w:rsid w:val="00627783"/>
    <w:rsid w:val="006278D6"/>
    <w:rsid w:val="00627938"/>
    <w:rsid w:val="00627A71"/>
    <w:rsid w:val="00630193"/>
    <w:rsid w:val="006308BF"/>
    <w:rsid w:val="00631053"/>
    <w:rsid w:val="006310F5"/>
    <w:rsid w:val="00631591"/>
    <w:rsid w:val="00631AF6"/>
    <w:rsid w:val="00631DE0"/>
    <w:rsid w:val="00632EC2"/>
    <w:rsid w:val="006343C6"/>
    <w:rsid w:val="0063520E"/>
    <w:rsid w:val="006364D2"/>
    <w:rsid w:val="00640FA4"/>
    <w:rsid w:val="006415F2"/>
    <w:rsid w:val="0064175E"/>
    <w:rsid w:val="00642640"/>
    <w:rsid w:val="00643A8E"/>
    <w:rsid w:val="00644162"/>
    <w:rsid w:val="00645EBF"/>
    <w:rsid w:val="00646866"/>
    <w:rsid w:val="00646A6B"/>
    <w:rsid w:val="00647441"/>
    <w:rsid w:val="00647965"/>
    <w:rsid w:val="0065142C"/>
    <w:rsid w:val="006517B8"/>
    <w:rsid w:val="00652221"/>
    <w:rsid w:val="006529DE"/>
    <w:rsid w:val="006530B2"/>
    <w:rsid w:val="00654C2C"/>
    <w:rsid w:val="00655066"/>
    <w:rsid w:val="0065506A"/>
    <w:rsid w:val="006564A1"/>
    <w:rsid w:val="00656953"/>
    <w:rsid w:val="0065728D"/>
    <w:rsid w:val="00657E7C"/>
    <w:rsid w:val="00657E7E"/>
    <w:rsid w:val="00660199"/>
    <w:rsid w:val="00661F86"/>
    <w:rsid w:val="0066225D"/>
    <w:rsid w:val="00662E03"/>
    <w:rsid w:val="0066330C"/>
    <w:rsid w:val="00663459"/>
    <w:rsid w:val="00663990"/>
    <w:rsid w:val="006641F5"/>
    <w:rsid w:val="006648CF"/>
    <w:rsid w:val="00665460"/>
    <w:rsid w:val="0066575E"/>
    <w:rsid w:val="0066577E"/>
    <w:rsid w:val="00665950"/>
    <w:rsid w:val="00665E8A"/>
    <w:rsid w:val="0066633C"/>
    <w:rsid w:val="006667EE"/>
    <w:rsid w:val="00666FC8"/>
    <w:rsid w:val="006672CB"/>
    <w:rsid w:val="006673F8"/>
    <w:rsid w:val="006676A6"/>
    <w:rsid w:val="00667FCC"/>
    <w:rsid w:val="006704CE"/>
    <w:rsid w:val="0067245E"/>
    <w:rsid w:val="00672DE2"/>
    <w:rsid w:val="00673BA4"/>
    <w:rsid w:val="00674461"/>
    <w:rsid w:val="00674727"/>
    <w:rsid w:val="006748A4"/>
    <w:rsid w:val="006749F6"/>
    <w:rsid w:val="00674A94"/>
    <w:rsid w:val="006754CD"/>
    <w:rsid w:val="00675B40"/>
    <w:rsid w:val="0067607E"/>
    <w:rsid w:val="006801A3"/>
    <w:rsid w:val="00680771"/>
    <w:rsid w:val="00680992"/>
    <w:rsid w:val="00680D58"/>
    <w:rsid w:val="006812EB"/>
    <w:rsid w:val="0068138B"/>
    <w:rsid w:val="00681A16"/>
    <w:rsid w:val="0068222C"/>
    <w:rsid w:val="00682FE7"/>
    <w:rsid w:val="00683149"/>
    <w:rsid w:val="0068365B"/>
    <w:rsid w:val="0068379F"/>
    <w:rsid w:val="00683B0C"/>
    <w:rsid w:val="00683E2C"/>
    <w:rsid w:val="00684370"/>
    <w:rsid w:val="0068493D"/>
    <w:rsid w:val="00685299"/>
    <w:rsid w:val="00687242"/>
    <w:rsid w:val="0068781E"/>
    <w:rsid w:val="00687BEA"/>
    <w:rsid w:val="00687F47"/>
    <w:rsid w:val="00690C76"/>
    <w:rsid w:val="00691316"/>
    <w:rsid w:val="00691330"/>
    <w:rsid w:val="00691657"/>
    <w:rsid w:val="00691D9C"/>
    <w:rsid w:val="00692B23"/>
    <w:rsid w:val="00692CD3"/>
    <w:rsid w:val="00695C34"/>
    <w:rsid w:val="00695ECA"/>
    <w:rsid w:val="006969C9"/>
    <w:rsid w:val="006A0500"/>
    <w:rsid w:val="006A0D61"/>
    <w:rsid w:val="006A1772"/>
    <w:rsid w:val="006A237D"/>
    <w:rsid w:val="006A3296"/>
    <w:rsid w:val="006A3599"/>
    <w:rsid w:val="006A4647"/>
    <w:rsid w:val="006A4AC9"/>
    <w:rsid w:val="006A535A"/>
    <w:rsid w:val="006A69F1"/>
    <w:rsid w:val="006A6C95"/>
    <w:rsid w:val="006A6F9E"/>
    <w:rsid w:val="006A7803"/>
    <w:rsid w:val="006B085D"/>
    <w:rsid w:val="006B0B2E"/>
    <w:rsid w:val="006B1248"/>
    <w:rsid w:val="006B24CA"/>
    <w:rsid w:val="006B2753"/>
    <w:rsid w:val="006B28B9"/>
    <w:rsid w:val="006B3588"/>
    <w:rsid w:val="006B3A2A"/>
    <w:rsid w:val="006B43E2"/>
    <w:rsid w:val="006B461A"/>
    <w:rsid w:val="006B4F81"/>
    <w:rsid w:val="006B6474"/>
    <w:rsid w:val="006B66BF"/>
    <w:rsid w:val="006B6D48"/>
    <w:rsid w:val="006B73B1"/>
    <w:rsid w:val="006B749F"/>
    <w:rsid w:val="006B7BC1"/>
    <w:rsid w:val="006C0E06"/>
    <w:rsid w:val="006C176D"/>
    <w:rsid w:val="006C17E4"/>
    <w:rsid w:val="006C1EAC"/>
    <w:rsid w:val="006C23A2"/>
    <w:rsid w:val="006C28AC"/>
    <w:rsid w:val="006C3357"/>
    <w:rsid w:val="006C3FBD"/>
    <w:rsid w:val="006C4533"/>
    <w:rsid w:val="006C495A"/>
    <w:rsid w:val="006C4DE2"/>
    <w:rsid w:val="006C5A17"/>
    <w:rsid w:val="006C5DAE"/>
    <w:rsid w:val="006C5EE5"/>
    <w:rsid w:val="006C603A"/>
    <w:rsid w:val="006C7292"/>
    <w:rsid w:val="006C76A4"/>
    <w:rsid w:val="006C789F"/>
    <w:rsid w:val="006D02E5"/>
    <w:rsid w:val="006D05A3"/>
    <w:rsid w:val="006D1012"/>
    <w:rsid w:val="006D1D94"/>
    <w:rsid w:val="006D2082"/>
    <w:rsid w:val="006D21E6"/>
    <w:rsid w:val="006D2980"/>
    <w:rsid w:val="006D322F"/>
    <w:rsid w:val="006D4BC6"/>
    <w:rsid w:val="006D5324"/>
    <w:rsid w:val="006D5331"/>
    <w:rsid w:val="006D6680"/>
    <w:rsid w:val="006D6B52"/>
    <w:rsid w:val="006D70F1"/>
    <w:rsid w:val="006D7EE4"/>
    <w:rsid w:val="006E0882"/>
    <w:rsid w:val="006E1078"/>
    <w:rsid w:val="006E1A52"/>
    <w:rsid w:val="006E21EF"/>
    <w:rsid w:val="006E3696"/>
    <w:rsid w:val="006E4866"/>
    <w:rsid w:val="006E654A"/>
    <w:rsid w:val="006E7CC7"/>
    <w:rsid w:val="006F0762"/>
    <w:rsid w:val="006F0DD9"/>
    <w:rsid w:val="006F1029"/>
    <w:rsid w:val="006F1617"/>
    <w:rsid w:val="006F1A05"/>
    <w:rsid w:val="006F1A90"/>
    <w:rsid w:val="006F2015"/>
    <w:rsid w:val="006F22D6"/>
    <w:rsid w:val="006F2395"/>
    <w:rsid w:val="006F6850"/>
    <w:rsid w:val="006F7DFC"/>
    <w:rsid w:val="00700057"/>
    <w:rsid w:val="007006A1"/>
    <w:rsid w:val="0070145D"/>
    <w:rsid w:val="0070155F"/>
    <w:rsid w:val="00701B53"/>
    <w:rsid w:val="00702195"/>
    <w:rsid w:val="00702AB2"/>
    <w:rsid w:val="00703041"/>
    <w:rsid w:val="00703DE0"/>
    <w:rsid w:val="00703EC5"/>
    <w:rsid w:val="00704686"/>
    <w:rsid w:val="0070484E"/>
    <w:rsid w:val="00704C5D"/>
    <w:rsid w:val="00704D00"/>
    <w:rsid w:val="00704F2E"/>
    <w:rsid w:val="00705331"/>
    <w:rsid w:val="00706FA9"/>
    <w:rsid w:val="00707022"/>
    <w:rsid w:val="00707ABC"/>
    <w:rsid w:val="00707B42"/>
    <w:rsid w:val="007102C9"/>
    <w:rsid w:val="007106A4"/>
    <w:rsid w:val="00710E6A"/>
    <w:rsid w:val="0071180F"/>
    <w:rsid w:val="007118B8"/>
    <w:rsid w:val="00711D44"/>
    <w:rsid w:val="00712452"/>
    <w:rsid w:val="00712654"/>
    <w:rsid w:val="00712DD0"/>
    <w:rsid w:val="00713FEC"/>
    <w:rsid w:val="0071422E"/>
    <w:rsid w:val="00714CE1"/>
    <w:rsid w:val="00715E3B"/>
    <w:rsid w:val="00715F05"/>
    <w:rsid w:val="007168DB"/>
    <w:rsid w:val="00716D1F"/>
    <w:rsid w:val="0071714A"/>
    <w:rsid w:val="00717196"/>
    <w:rsid w:val="00717853"/>
    <w:rsid w:val="0072019F"/>
    <w:rsid w:val="00721E24"/>
    <w:rsid w:val="00721EBF"/>
    <w:rsid w:val="00722784"/>
    <w:rsid w:val="007229EE"/>
    <w:rsid w:val="00722A10"/>
    <w:rsid w:val="00723693"/>
    <w:rsid w:val="007237B6"/>
    <w:rsid w:val="00723D04"/>
    <w:rsid w:val="00725A67"/>
    <w:rsid w:val="00726DA4"/>
    <w:rsid w:val="0072792B"/>
    <w:rsid w:val="0073080A"/>
    <w:rsid w:val="00731144"/>
    <w:rsid w:val="007321E8"/>
    <w:rsid w:val="00733E1B"/>
    <w:rsid w:val="007340AA"/>
    <w:rsid w:val="007345FC"/>
    <w:rsid w:val="00734D58"/>
    <w:rsid w:val="00737D32"/>
    <w:rsid w:val="007401D6"/>
    <w:rsid w:val="0074099C"/>
    <w:rsid w:val="00741CF8"/>
    <w:rsid w:val="007420FB"/>
    <w:rsid w:val="00742366"/>
    <w:rsid w:val="007436ED"/>
    <w:rsid w:val="007444E5"/>
    <w:rsid w:val="00744727"/>
    <w:rsid w:val="00744966"/>
    <w:rsid w:val="0074516F"/>
    <w:rsid w:val="00745DA0"/>
    <w:rsid w:val="00746444"/>
    <w:rsid w:val="00746E64"/>
    <w:rsid w:val="007471B0"/>
    <w:rsid w:val="00747411"/>
    <w:rsid w:val="00747B67"/>
    <w:rsid w:val="00747B96"/>
    <w:rsid w:val="007505E3"/>
    <w:rsid w:val="00750CBA"/>
    <w:rsid w:val="0075391C"/>
    <w:rsid w:val="00753D02"/>
    <w:rsid w:val="007544D2"/>
    <w:rsid w:val="0075547B"/>
    <w:rsid w:val="00755F7E"/>
    <w:rsid w:val="007564CD"/>
    <w:rsid w:val="007566A5"/>
    <w:rsid w:val="00756B10"/>
    <w:rsid w:val="00756BE9"/>
    <w:rsid w:val="00757FCF"/>
    <w:rsid w:val="00761333"/>
    <w:rsid w:val="007613F7"/>
    <w:rsid w:val="00762356"/>
    <w:rsid w:val="007623F1"/>
    <w:rsid w:val="0076301C"/>
    <w:rsid w:val="00763276"/>
    <w:rsid w:val="00763C19"/>
    <w:rsid w:val="00763C46"/>
    <w:rsid w:val="00763FE0"/>
    <w:rsid w:val="007645FC"/>
    <w:rsid w:val="007652EE"/>
    <w:rsid w:val="00765E6E"/>
    <w:rsid w:val="007664E3"/>
    <w:rsid w:val="00766A6E"/>
    <w:rsid w:val="007671CF"/>
    <w:rsid w:val="00767747"/>
    <w:rsid w:val="00767819"/>
    <w:rsid w:val="00767E0F"/>
    <w:rsid w:val="00767F05"/>
    <w:rsid w:val="00767FB0"/>
    <w:rsid w:val="00770BF9"/>
    <w:rsid w:val="00770DC7"/>
    <w:rsid w:val="00770E35"/>
    <w:rsid w:val="00771839"/>
    <w:rsid w:val="00771BE6"/>
    <w:rsid w:val="00771E67"/>
    <w:rsid w:val="00771FF2"/>
    <w:rsid w:val="00773171"/>
    <w:rsid w:val="0077435F"/>
    <w:rsid w:val="007746CC"/>
    <w:rsid w:val="007748C6"/>
    <w:rsid w:val="00774D07"/>
    <w:rsid w:val="00775C94"/>
    <w:rsid w:val="00775EEC"/>
    <w:rsid w:val="00776AF4"/>
    <w:rsid w:val="00777FBD"/>
    <w:rsid w:val="00780273"/>
    <w:rsid w:val="00780708"/>
    <w:rsid w:val="00780737"/>
    <w:rsid w:val="00780F92"/>
    <w:rsid w:val="007811F6"/>
    <w:rsid w:val="007824E0"/>
    <w:rsid w:val="00782AD2"/>
    <w:rsid w:val="00782CF8"/>
    <w:rsid w:val="00782D99"/>
    <w:rsid w:val="007838AF"/>
    <w:rsid w:val="00783D7B"/>
    <w:rsid w:val="0078464C"/>
    <w:rsid w:val="00784961"/>
    <w:rsid w:val="00785018"/>
    <w:rsid w:val="00785114"/>
    <w:rsid w:val="007851D1"/>
    <w:rsid w:val="00785349"/>
    <w:rsid w:val="00786D70"/>
    <w:rsid w:val="0078707C"/>
    <w:rsid w:val="00787351"/>
    <w:rsid w:val="00787479"/>
    <w:rsid w:val="00787B62"/>
    <w:rsid w:val="00790198"/>
    <w:rsid w:val="007908D7"/>
    <w:rsid w:val="007911D4"/>
    <w:rsid w:val="00791BE7"/>
    <w:rsid w:val="00792488"/>
    <w:rsid w:val="007925E2"/>
    <w:rsid w:val="00792E47"/>
    <w:rsid w:val="00793927"/>
    <w:rsid w:val="007943B8"/>
    <w:rsid w:val="00794F0D"/>
    <w:rsid w:val="00795BB9"/>
    <w:rsid w:val="00795F64"/>
    <w:rsid w:val="00796B64"/>
    <w:rsid w:val="00796CBE"/>
    <w:rsid w:val="00797B3B"/>
    <w:rsid w:val="00797C29"/>
    <w:rsid w:val="007A0D50"/>
    <w:rsid w:val="007A190F"/>
    <w:rsid w:val="007A1BAD"/>
    <w:rsid w:val="007A2B3B"/>
    <w:rsid w:val="007A2EBF"/>
    <w:rsid w:val="007A387D"/>
    <w:rsid w:val="007A3B40"/>
    <w:rsid w:val="007A4460"/>
    <w:rsid w:val="007A5AE0"/>
    <w:rsid w:val="007A5BC5"/>
    <w:rsid w:val="007A604D"/>
    <w:rsid w:val="007A6802"/>
    <w:rsid w:val="007A6886"/>
    <w:rsid w:val="007A741C"/>
    <w:rsid w:val="007A7690"/>
    <w:rsid w:val="007A7BB7"/>
    <w:rsid w:val="007A7DBF"/>
    <w:rsid w:val="007B020C"/>
    <w:rsid w:val="007B0730"/>
    <w:rsid w:val="007B14F9"/>
    <w:rsid w:val="007B1732"/>
    <w:rsid w:val="007B1C7F"/>
    <w:rsid w:val="007B204B"/>
    <w:rsid w:val="007B2F1A"/>
    <w:rsid w:val="007B35F5"/>
    <w:rsid w:val="007B38DC"/>
    <w:rsid w:val="007B45E6"/>
    <w:rsid w:val="007B4615"/>
    <w:rsid w:val="007B4969"/>
    <w:rsid w:val="007B4FC9"/>
    <w:rsid w:val="007B5108"/>
    <w:rsid w:val="007B557E"/>
    <w:rsid w:val="007B575F"/>
    <w:rsid w:val="007B5DD2"/>
    <w:rsid w:val="007B60F4"/>
    <w:rsid w:val="007C00A3"/>
    <w:rsid w:val="007C0A66"/>
    <w:rsid w:val="007C0D7E"/>
    <w:rsid w:val="007C0EC2"/>
    <w:rsid w:val="007C1F9A"/>
    <w:rsid w:val="007C2316"/>
    <w:rsid w:val="007C2947"/>
    <w:rsid w:val="007C2A2F"/>
    <w:rsid w:val="007C3156"/>
    <w:rsid w:val="007C3CE9"/>
    <w:rsid w:val="007C4066"/>
    <w:rsid w:val="007C407A"/>
    <w:rsid w:val="007C4BAB"/>
    <w:rsid w:val="007C58C1"/>
    <w:rsid w:val="007C5AB7"/>
    <w:rsid w:val="007C61D0"/>
    <w:rsid w:val="007C6EA5"/>
    <w:rsid w:val="007D0484"/>
    <w:rsid w:val="007D0634"/>
    <w:rsid w:val="007D0A53"/>
    <w:rsid w:val="007D0B07"/>
    <w:rsid w:val="007D1062"/>
    <w:rsid w:val="007D1106"/>
    <w:rsid w:val="007D1172"/>
    <w:rsid w:val="007D1276"/>
    <w:rsid w:val="007D17A6"/>
    <w:rsid w:val="007D22CF"/>
    <w:rsid w:val="007D2FC7"/>
    <w:rsid w:val="007D3724"/>
    <w:rsid w:val="007D4709"/>
    <w:rsid w:val="007D4D02"/>
    <w:rsid w:val="007D4F11"/>
    <w:rsid w:val="007D53E6"/>
    <w:rsid w:val="007D575F"/>
    <w:rsid w:val="007D6F99"/>
    <w:rsid w:val="007D73D5"/>
    <w:rsid w:val="007E02BB"/>
    <w:rsid w:val="007E06EF"/>
    <w:rsid w:val="007E0D25"/>
    <w:rsid w:val="007E0E19"/>
    <w:rsid w:val="007E1094"/>
    <w:rsid w:val="007E1E8A"/>
    <w:rsid w:val="007E262A"/>
    <w:rsid w:val="007E2859"/>
    <w:rsid w:val="007E2B98"/>
    <w:rsid w:val="007E31B0"/>
    <w:rsid w:val="007E3953"/>
    <w:rsid w:val="007E3B7D"/>
    <w:rsid w:val="007E3D3E"/>
    <w:rsid w:val="007E3FF0"/>
    <w:rsid w:val="007E44AC"/>
    <w:rsid w:val="007E4D69"/>
    <w:rsid w:val="007E50A8"/>
    <w:rsid w:val="007E5722"/>
    <w:rsid w:val="007E5848"/>
    <w:rsid w:val="007E6D6D"/>
    <w:rsid w:val="007E70AB"/>
    <w:rsid w:val="007E7E83"/>
    <w:rsid w:val="007F0005"/>
    <w:rsid w:val="007F105F"/>
    <w:rsid w:val="007F22CF"/>
    <w:rsid w:val="007F22DB"/>
    <w:rsid w:val="007F3851"/>
    <w:rsid w:val="007F3F25"/>
    <w:rsid w:val="007F4713"/>
    <w:rsid w:val="007F5163"/>
    <w:rsid w:val="007F537C"/>
    <w:rsid w:val="007F56BD"/>
    <w:rsid w:val="007F7277"/>
    <w:rsid w:val="007F7510"/>
    <w:rsid w:val="007F7AD0"/>
    <w:rsid w:val="007F7F79"/>
    <w:rsid w:val="00800418"/>
    <w:rsid w:val="0080065E"/>
    <w:rsid w:val="00800DEA"/>
    <w:rsid w:val="00800FF6"/>
    <w:rsid w:val="008010CF"/>
    <w:rsid w:val="00802A9B"/>
    <w:rsid w:val="008030D1"/>
    <w:rsid w:val="008043BB"/>
    <w:rsid w:val="008057B6"/>
    <w:rsid w:val="00805C06"/>
    <w:rsid w:val="00806FE3"/>
    <w:rsid w:val="00807423"/>
    <w:rsid w:val="00807890"/>
    <w:rsid w:val="00807B60"/>
    <w:rsid w:val="00807D3E"/>
    <w:rsid w:val="00807E1C"/>
    <w:rsid w:val="00807F97"/>
    <w:rsid w:val="00810067"/>
    <w:rsid w:val="008101B5"/>
    <w:rsid w:val="00811843"/>
    <w:rsid w:val="00811C1B"/>
    <w:rsid w:val="00812902"/>
    <w:rsid w:val="00812DB1"/>
    <w:rsid w:val="00813283"/>
    <w:rsid w:val="0081382F"/>
    <w:rsid w:val="0081397A"/>
    <w:rsid w:val="00813BCD"/>
    <w:rsid w:val="0081483C"/>
    <w:rsid w:val="008149A8"/>
    <w:rsid w:val="008154FA"/>
    <w:rsid w:val="00815AA6"/>
    <w:rsid w:val="00815FE2"/>
    <w:rsid w:val="00816C83"/>
    <w:rsid w:val="008179E1"/>
    <w:rsid w:val="00817D63"/>
    <w:rsid w:val="0082011E"/>
    <w:rsid w:val="0082022A"/>
    <w:rsid w:val="00820A6B"/>
    <w:rsid w:val="00821119"/>
    <w:rsid w:val="00822D5D"/>
    <w:rsid w:val="008230F1"/>
    <w:rsid w:val="00823340"/>
    <w:rsid w:val="008248A3"/>
    <w:rsid w:val="00825338"/>
    <w:rsid w:val="008278CE"/>
    <w:rsid w:val="008279FA"/>
    <w:rsid w:val="00827A33"/>
    <w:rsid w:val="00827CBF"/>
    <w:rsid w:val="00827E37"/>
    <w:rsid w:val="00827F99"/>
    <w:rsid w:val="00831455"/>
    <w:rsid w:val="00831872"/>
    <w:rsid w:val="00831DBE"/>
    <w:rsid w:val="008321A8"/>
    <w:rsid w:val="00832BF4"/>
    <w:rsid w:val="00833ED3"/>
    <w:rsid w:val="008348E6"/>
    <w:rsid w:val="00835C4A"/>
    <w:rsid w:val="00836290"/>
    <w:rsid w:val="008365C6"/>
    <w:rsid w:val="00836732"/>
    <w:rsid w:val="00836816"/>
    <w:rsid w:val="008379CF"/>
    <w:rsid w:val="00840437"/>
    <w:rsid w:val="00840B6B"/>
    <w:rsid w:val="008410AD"/>
    <w:rsid w:val="008411D8"/>
    <w:rsid w:val="00842BC1"/>
    <w:rsid w:val="00843A7A"/>
    <w:rsid w:val="0084434B"/>
    <w:rsid w:val="00844649"/>
    <w:rsid w:val="008448D1"/>
    <w:rsid w:val="00845167"/>
    <w:rsid w:val="00845455"/>
    <w:rsid w:val="00845801"/>
    <w:rsid w:val="00846071"/>
    <w:rsid w:val="00846174"/>
    <w:rsid w:val="0084780B"/>
    <w:rsid w:val="008479F8"/>
    <w:rsid w:val="00847A42"/>
    <w:rsid w:val="00847A6B"/>
    <w:rsid w:val="00850569"/>
    <w:rsid w:val="00850856"/>
    <w:rsid w:val="00850F87"/>
    <w:rsid w:val="0085113C"/>
    <w:rsid w:val="00851555"/>
    <w:rsid w:val="00851B9F"/>
    <w:rsid w:val="00853044"/>
    <w:rsid w:val="00853162"/>
    <w:rsid w:val="00853B1B"/>
    <w:rsid w:val="008569C6"/>
    <w:rsid w:val="008608E7"/>
    <w:rsid w:val="00861973"/>
    <w:rsid w:val="00861CA4"/>
    <w:rsid w:val="0086229D"/>
    <w:rsid w:val="00862BAB"/>
    <w:rsid w:val="008636B8"/>
    <w:rsid w:val="0086377A"/>
    <w:rsid w:val="00863BCD"/>
    <w:rsid w:val="0086479A"/>
    <w:rsid w:val="008650FF"/>
    <w:rsid w:val="00865D24"/>
    <w:rsid w:val="00866E9B"/>
    <w:rsid w:val="00867023"/>
    <w:rsid w:val="008670BC"/>
    <w:rsid w:val="008672B7"/>
    <w:rsid w:val="00870022"/>
    <w:rsid w:val="008709C0"/>
    <w:rsid w:val="00871318"/>
    <w:rsid w:val="008715DB"/>
    <w:rsid w:val="00871851"/>
    <w:rsid w:val="00871A3D"/>
    <w:rsid w:val="00871A8E"/>
    <w:rsid w:val="00871F56"/>
    <w:rsid w:val="008720EB"/>
    <w:rsid w:val="008722A9"/>
    <w:rsid w:val="00872740"/>
    <w:rsid w:val="008729FE"/>
    <w:rsid w:val="008735DD"/>
    <w:rsid w:val="0087370B"/>
    <w:rsid w:val="00873EA5"/>
    <w:rsid w:val="00874889"/>
    <w:rsid w:val="00875BAB"/>
    <w:rsid w:val="008770D9"/>
    <w:rsid w:val="00877274"/>
    <w:rsid w:val="00877F27"/>
    <w:rsid w:val="0088012B"/>
    <w:rsid w:val="008803E7"/>
    <w:rsid w:val="0088106F"/>
    <w:rsid w:val="008845E1"/>
    <w:rsid w:val="008846CC"/>
    <w:rsid w:val="00884FF6"/>
    <w:rsid w:val="008852BC"/>
    <w:rsid w:val="00886C2A"/>
    <w:rsid w:val="00886E22"/>
    <w:rsid w:val="00886E38"/>
    <w:rsid w:val="008873AD"/>
    <w:rsid w:val="00890527"/>
    <w:rsid w:val="0089053A"/>
    <w:rsid w:val="00890CF6"/>
    <w:rsid w:val="00890E4F"/>
    <w:rsid w:val="00890F47"/>
    <w:rsid w:val="00890F97"/>
    <w:rsid w:val="00891611"/>
    <w:rsid w:val="008917AC"/>
    <w:rsid w:val="00892062"/>
    <w:rsid w:val="0089236E"/>
    <w:rsid w:val="00892BCE"/>
    <w:rsid w:val="00892F01"/>
    <w:rsid w:val="00895891"/>
    <w:rsid w:val="00895F70"/>
    <w:rsid w:val="008965B1"/>
    <w:rsid w:val="00896D0A"/>
    <w:rsid w:val="00896DC9"/>
    <w:rsid w:val="008970B9"/>
    <w:rsid w:val="008979F4"/>
    <w:rsid w:val="008A001A"/>
    <w:rsid w:val="008A0BB6"/>
    <w:rsid w:val="008A1ABD"/>
    <w:rsid w:val="008A2019"/>
    <w:rsid w:val="008A2024"/>
    <w:rsid w:val="008A2681"/>
    <w:rsid w:val="008A28A7"/>
    <w:rsid w:val="008A2D94"/>
    <w:rsid w:val="008A3069"/>
    <w:rsid w:val="008A3759"/>
    <w:rsid w:val="008A38B8"/>
    <w:rsid w:val="008A3A60"/>
    <w:rsid w:val="008A3B2B"/>
    <w:rsid w:val="008A3C0C"/>
    <w:rsid w:val="008A50A8"/>
    <w:rsid w:val="008A51E2"/>
    <w:rsid w:val="008A52AF"/>
    <w:rsid w:val="008A60AF"/>
    <w:rsid w:val="008A63AF"/>
    <w:rsid w:val="008A6480"/>
    <w:rsid w:val="008A6907"/>
    <w:rsid w:val="008A7B0F"/>
    <w:rsid w:val="008B0047"/>
    <w:rsid w:val="008B1F67"/>
    <w:rsid w:val="008B2403"/>
    <w:rsid w:val="008B26B7"/>
    <w:rsid w:val="008B2730"/>
    <w:rsid w:val="008B2E86"/>
    <w:rsid w:val="008B5548"/>
    <w:rsid w:val="008B5DF2"/>
    <w:rsid w:val="008B5F7F"/>
    <w:rsid w:val="008B62A8"/>
    <w:rsid w:val="008B63E5"/>
    <w:rsid w:val="008B63E8"/>
    <w:rsid w:val="008B6D03"/>
    <w:rsid w:val="008B7171"/>
    <w:rsid w:val="008B751A"/>
    <w:rsid w:val="008B79AB"/>
    <w:rsid w:val="008C021A"/>
    <w:rsid w:val="008C0660"/>
    <w:rsid w:val="008C0A57"/>
    <w:rsid w:val="008C1165"/>
    <w:rsid w:val="008C1681"/>
    <w:rsid w:val="008C1921"/>
    <w:rsid w:val="008C1C1E"/>
    <w:rsid w:val="008C2387"/>
    <w:rsid w:val="008C256D"/>
    <w:rsid w:val="008C27A5"/>
    <w:rsid w:val="008C31BE"/>
    <w:rsid w:val="008C39B4"/>
    <w:rsid w:val="008C3CCD"/>
    <w:rsid w:val="008C49E7"/>
    <w:rsid w:val="008C61CA"/>
    <w:rsid w:val="008C61D2"/>
    <w:rsid w:val="008C7480"/>
    <w:rsid w:val="008C78F0"/>
    <w:rsid w:val="008C7BAA"/>
    <w:rsid w:val="008C7FC1"/>
    <w:rsid w:val="008D04D2"/>
    <w:rsid w:val="008D05BE"/>
    <w:rsid w:val="008D073C"/>
    <w:rsid w:val="008D081F"/>
    <w:rsid w:val="008D0960"/>
    <w:rsid w:val="008D1D19"/>
    <w:rsid w:val="008D247A"/>
    <w:rsid w:val="008D28B5"/>
    <w:rsid w:val="008D4104"/>
    <w:rsid w:val="008D42B2"/>
    <w:rsid w:val="008D44BF"/>
    <w:rsid w:val="008D52B8"/>
    <w:rsid w:val="008D52E7"/>
    <w:rsid w:val="008D5469"/>
    <w:rsid w:val="008D5A06"/>
    <w:rsid w:val="008D71AE"/>
    <w:rsid w:val="008D7D45"/>
    <w:rsid w:val="008D7DA4"/>
    <w:rsid w:val="008E1409"/>
    <w:rsid w:val="008E1505"/>
    <w:rsid w:val="008E1533"/>
    <w:rsid w:val="008E254E"/>
    <w:rsid w:val="008E26D0"/>
    <w:rsid w:val="008E3E91"/>
    <w:rsid w:val="008E4536"/>
    <w:rsid w:val="008E570A"/>
    <w:rsid w:val="008E5D29"/>
    <w:rsid w:val="008E5DF7"/>
    <w:rsid w:val="008E662C"/>
    <w:rsid w:val="008E7A23"/>
    <w:rsid w:val="008E7CF5"/>
    <w:rsid w:val="008F0A74"/>
    <w:rsid w:val="008F0AEA"/>
    <w:rsid w:val="008F15BD"/>
    <w:rsid w:val="008F28EB"/>
    <w:rsid w:val="008F30F3"/>
    <w:rsid w:val="008F363D"/>
    <w:rsid w:val="008F37F1"/>
    <w:rsid w:val="008F3B97"/>
    <w:rsid w:val="008F3ED4"/>
    <w:rsid w:val="008F4DA7"/>
    <w:rsid w:val="008F505E"/>
    <w:rsid w:val="008F6054"/>
    <w:rsid w:val="008F759A"/>
    <w:rsid w:val="009018AB"/>
    <w:rsid w:val="00901D0B"/>
    <w:rsid w:val="00902D93"/>
    <w:rsid w:val="00903505"/>
    <w:rsid w:val="0090400E"/>
    <w:rsid w:val="00904C34"/>
    <w:rsid w:val="00905628"/>
    <w:rsid w:val="00905671"/>
    <w:rsid w:val="009060A7"/>
    <w:rsid w:val="00906126"/>
    <w:rsid w:val="009067A1"/>
    <w:rsid w:val="00907AA1"/>
    <w:rsid w:val="00910277"/>
    <w:rsid w:val="00910441"/>
    <w:rsid w:val="009108C0"/>
    <w:rsid w:val="00910A3C"/>
    <w:rsid w:val="00910C3A"/>
    <w:rsid w:val="00910CE7"/>
    <w:rsid w:val="00910F99"/>
    <w:rsid w:val="009110DD"/>
    <w:rsid w:val="009115D9"/>
    <w:rsid w:val="009122C3"/>
    <w:rsid w:val="00912493"/>
    <w:rsid w:val="00912AF8"/>
    <w:rsid w:val="0091377B"/>
    <w:rsid w:val="00914145"/>
    <w:rsid w:val="00914B2A"/>
    <w:rsid w:val="00914B3D"/>
    <w:rsid w:val="00914C23"/>
    <w:rsid w:val="00914D24"/>
    <w:rsid w:val="00915456"/>
    <w:rsid w:val="00915CCF"/>
    <w:rsid w:val="00916B9C"/>
    <w:rsid w:val="00916EAF"/>
    <w:rsid w:val="009208D3"/>
    <w:rsid w:val="00920C59"/>
    <w:rsid w:val="0092119C"/>
    <w:rsid w:val="00922569"/>
    <w:rsid w:val="0092294A"/>
    <w:rsid w:val="0092305B"/>
    <w:rsid w:val="009235DA"/>
    <w:rsid w:val="00923634"/>
    <w:rsid w:val="009237DC"/>
    <w:rsid w:val="009239ED"/>
    <w:rsid w:val="00923B8B"/>
    <w:rsid w:val="009247A1"/>
    <w:rsid w:val="00924C4D"/>
    <w:rsid w:val="00924D29"/>
    <w:rsid w:val="00924D65"/>
    <w:rsid w:val="0092562D"/>
    <w:rsid w:val="0092581C"/>
    <w:rsid w:val="0092589D"/>
    <w:rsid w:val="00927067"/>
    <w:rsid w:val="0092711B"/>
    <w:rsid w:val="0092787F"/>
    <w:rsid w:val="00927FB4"/>
    <w:rsid w:val="00930B88"/>
    <w:rsid w:val="0093302F"/>
    <w:rsid w:val="009330EF"/>
    <w:rsid w:val="009344E4"/>
    <w:rsid w:val="00935294"/>
    <w:rsid w:val="0093668A"/>
    <w:rsid w:val="009377B8"/>
    <w:rsid w:val="00937D59"/>
    <w:rsid w:val="00937E09"/>
    <w:rsid w:val="00940126"/>
    <w:rsid w:val="009409A8"/>
    <w:rsid w:val="00940ACC"/>
    <w:rsid w:val="00941563"/>
    <w:rsid w:val="009427DD"/>
    <w:rsid w:val="00942AC9"/>
    <w:rsid w:val="00943074"/>
    <w:rsid w:val="009433CE"/>
    <w:rsid w:val="00943681"/>
    <w:rsid w:val="00943818"/>
    <w:rsid w:val="00944578"/>
    <w:rsid w:val="0094485C"/>
    <w:rsid w:val="00945686"/>
    <w:rsid w:val="00945FFF"/>
    <w:rsid w:val="0094695D"/>
    <w:rsid w:val="00946C4E"/>
    <w:rsid w:val="00946CD4"/>
    <w:rsid w:val="00947EF1"/>
    <w:rsid w:val="0095062F"/>
    <w:rsid w:val="00950DAE"/>
    <w:rsid w:val="00951343"/>
    <w:rsid w:val="00952237"/>
    <w:rsid w:val="00953107"/>
    <w:rsid w:val="009534BE"/>
    <w:rsid w:val="00953809"/>
    <w:rsid w:val="00953A46"/>
    <w:rsid w:val="00953CD6"/>
    <w:rsid w:val="00953F3D"/>
    <w:rsid w:val="00954B61"/>
    <w:rsid w:val="00954E55"/>
    <w:rsid w:val="009565B2"/>
    <w:rsid w:val="009565FC"/>
    <w:rsid w:val="009566F7"/>
    <w:rsid w:val="0095695E"/>
    <w:rsid w:val="00956DFE"/>
    <w:rsid w:val="00957075"/>
    <w:rsid w:val="009610FC"/>
    <w:rsid w:val="00961DE6"/>
    <w:rsid w:val="00961EA9"/>
    <w:rsid w:val="00962941"/>
    <w:rsid w:val="009630AE"/>
    <w:rsid w:val="00963245"/>
    <w:rsid w:val="00963720"/>
    <w:rsid w:val="0096378A"/>
    <w:rsid w:val="00963967"/>
    <w:rsid w:val="009639C0"/>
    <w:rsid w:val="009644FF"/>
    <w:rsid w:val="009649E4"/>
    <w:rsid w:val="009653A5"/>
    <w:rsid w:val="009658AC"/>
    <w:rsid w:val="00966393"/>
    <w:rsid w:val="00966647"/>
    <w:rsid w:val="00966840"/>
    <w:rsid w:val="00967A19"/>
    <w:rsid w:val="0097031D"/>
    <w:rsid w:val="00970ACF"/>
    <w:rsid w:val="00971434"/>
    <w:rsid w:val="00971BA9"/>
    <w:rsid w:val="00972BD4"/>
    <w:rsid w:val="00972BE8"/>
    <w:rsid w:val="009733EA"/>
    <w:rsid w:val="00973A87"/>
    <w:rsid w:val="00973F4F"/>
    <w:rsid w:val="00974756"/>
    <w:rsid w:val="00976BE1"/>
    <w:rsid w:val="00976F80"/>
    <w:rsid w:val="0097701D"/>
    <w:rsid w:val="00977FF2"/>
    <w:rsid w:val="00980077"/>
    <w:rsid w:val="00980AC0"/>
    <w:rsid w:val="009810DE"/>
    <w:rsid w:val="0098346F"/>
    <w:rsid w:val="009840D5"/>
    <w:rsid w:val="009842B4"/>
    <w:rsid w:val="009844F1"/>
    <w:rsid w:val="00984B03"/>
    <w:rsid w:val="00985544"/>
    <w:rsid w:val="00985DD5"/>
    <w:rsid w:val="00986E7E"/>
    <w:rsid w:val="0098720A"/>
    <w:rsid w:val="00987D44"/>
    <w:rsid w:val="00990DF0"/>
    <w:rsid w:val="00990E13"/>
    <w:rsid w:val="0099105A"/>
    <w:rsid w:val="009910AC"/>
    <w:rsid w:val="00991BE0"/>
    <w:rsid w:val="00992002"/>
    <w:rsid w:val="009920C6"/>
    <w:rsid w:val="009922C4"/>
    <w:rsid w:val="00995938"/>
    <w:rsid w:val="00996BF4"/>
    <w:rsid w:val="00996F38"/>
    <w:rsid w:val="00997C1C"/>
    <w:rsid w:val="009A03F2"/>
    <w:rsid w:val="009A0D8D"/>
    <w:rsid w:val="009A0E51"/>
    <w:rsid w:val="009A0F9A"/>
    <w:rsid w:val="009A1286"/>
    <w:rsid w:val="009A1C08"/>
    <w:rsid w:val="009A2618"/>
    <w:rsid w:val="009A29DC"/>
    <w:rsid w:val="009A2C11"/>
    <w:rsid w:val="009A2E9D"/>
    <w:rsid w:val="009A350B"/>
    <w:rsid w:val="009A458A"/>
    <w:rsid w:val="009A45DA"/>
    <w:rsid w:val="009A5622"/>
    <w:rsid w:val="009A574D"/>
    <w:rsid w:val="009A6685"/>
    <w:rsid w:val="009A6EBA"/>
    <w:rsid w:val="009A6FE0"/>
    <w:rsid w:val="009A753A"/>
    <w:rsid w:val="009B08A8"/>
    <w:rsid w:val="009B148B"/>
    <w:rsid w:val="009B151A"/>
    <w:rsid w:val="009B1696"/>
    <w:rsid w:val="009B1B0B"/>
    <w:rsid w:val="009B1FFD"/>
    <w:rsid w:val="009B2344"/>
    <w:rsid w:val="009B2678"/>
    <w:rsid w:val="009B30C3"/>
    <w:rsid w:val="009B3E1E"/>
    <w:rsid w:val="009B40A0"/>
    <w:rsid w:val="009B4249"/>
    <w:rsid w:val="009B47C2"/>
    <w:rsid w:val="009B4CE7"/>
    <w:rsid w:val="009B54C3"/>
    <w:rsid w:val="009B5FE6"/>
    <w:rsid w:val="009B6BF3"/>
    <w:rsid w:val="009B77CF"/>
    <w:rsid w:val="009C1158"/>
    <w:rsid w:val="009C587F"/>
    <w:rsid w:val="009C5CC8"/>
    <w:rsid w:val="009C6B15"/>
    <w:rsid w:val="009C6D14"/>
    <w:rsid w:val="009C724F"/>
    <w:rsid w:val="009C77C1"/>
    <w:rsid w:val="009C7A9D"/>
    <w:rsid w:val="009D0711"/>
    <w:rsid w:val="009D0C4C"/>
    <w:rsid w:val="009D1678"/>
    <w:rsid w:val="009D250F"/>
    <w:rsid w:val="009D2A94"/>
    <w:rsid w:val="009D2D9A"/>
    <w:rsid w:val="009D2EF9"/>
    <w:rsid w:val="009D3359"/>
    <w:rsid w:val="009D3AA7"/>
    <w:rsid w:val="009D3D8B"/>
    <w:rsid w:val="009D3E0D"/>
    <w:rsid w:val="009D40A7"/>
    <w:rsid w:val="009D52C7"/>
    <w:rsid w:val="009D547B"/>
    <w:rsid w:val="009D55F2"/>
    <w:rsid w:val="009D5878"/>
    <w:rsid w:val="009D647B"/>
    <w:rsid w:val="009D68A2"/>
    <w:rsid w:val="009D6C6F"/>
    <w:rsid w:val="009D6EE4"/>
    <w:rsid w:val="009D6F58"/>
    <w:rsid w:val="009D782E"/>
    <w:rsid w:val="009E0A92"/>
    <w:rsid w:val="009E0B2A"/>
    <w:rsid w:val="009E0E44"/>
    <w:rsid w:val="009E41D6"/>
    <w:rsid w:val="009E5883"/>
    <w:rsid w:val="009E7643"/>
    <w:rsid w:val="009F0017"/>
    <w:rsid w:val="009F0836"/>
    <w:rsid w:val="009F0C20"/>
    <w:rsid w:val="009F0FF9"/>
    <w:rsid w:val="009F108E"/>
    <w:rsid w:val="009F13E3"/>
    <w:rsid w:val="009F1745"/>
    <w:rsid w:val="009F1B52"/>
    <w:rsid w:val="009F1EC7"/>
    <w:rsid w:val="009F1FEB"/>
    <w:rsid w:val="009F2142"/>
    <w:rsid w:val="009F24ED"/>
    <w:rsid w:val="009F2BDC"/>
    <w:rsid w:val="009F3AFD"/>
    <w:rsid w:val="009F574B"/>
    <w:rsid w:val="00A00A0D"/>
    <w:rsid w:val="00A00BEE"/>
    <w:rsid w:val="00A00FA3"/>
    <w:rsid w:val="00A011C4"/>
    <w:rsid w:val="00A02FF4"/>
    <w:rsid w:val="00A032D0"/>
    <w:rsid w:val="00A03749"/>
    <w:rsid w:val="00A0459C"/>
    <w:rsid w:val="00A047E2"/>
    <w:rsid w:val="00A061D6"/>
    <w:rsid w:val="00A06BEC"/>
    <w:rsid w:val="00A10BA2"/>
    <w:rsid w:val="00A113C4"/>
    <w:rsid w:val="00A113CD"/>
    <w:rsid w:val="00A1251C"/>
    <w:rsid w:val="00A136D5"/>
    <w:rsid w:val="00A1371E"/>
    <w:rsid w:val="00A1419E"/>
    <w:rsid w:val="00A149B2"/>
    <w:rsid w:val="00A15265"/>
    <w:rsid w:val="00A154D8"/>
    <w:rsid w:val="00A15583"/>
    <w:rsid w:val="00A1559E"/>
    <w:rsid w:val="00A15A39"/>
    <w:rsid w:val="00A15B99"/>
    <w:rsid w:val="00A16CE0"/>
    <w:rsid w:val="00A16D5E"/>
    <w:rsid w:val="00A16F3F"/>
    <w:rsid w:val="00A1700C"/>
    <w:rsid w:val="00A1739F"/>
    <w:rsid w:val="00A17841"/>
    <w:rsid w:val="00A17A38"/>
    <w:rsid w:val="00A17F6C"/>
    <w:rsid w:val="00A20203"/>
    <w:rsid w:val="00A204DA"/>
    <w:rsid w:val="00A20B87"/>
    <w:rsid w:val="00A20DA6"/>
    <w:rsid w:val="00A2127D"/>
    <w:rsid w:val="00A21801"/>
    <w:rsid w:val="00A21A4E"/>
    <w:rsid w:val="00A220C1"/>
    <w:rsid w:val="00A225EF"/>
    <w:rsid w:val="00A22C6B"/>
    <w:rsid w:val="00A23EED"/>
    <w:rsid w:val="00A24ABF"/>
    <w:rsid w:val="00A24C9B"/>
    <w:rsid w:val="00A25130"/>
    <w:rsid w:val="00A2516D"/>
    <w:rsid w:val="00A2574C"/>
    <w:rsid w:val="00A259BF"/>
    <w:rsid w:val="00A26F0D"/>
    <w:rsid w:val="00A27037"/>
    <w:rsid w:val="00A3085E"/>
    <w:rsid w:val="00A30E96"/>
    <w:rsid w:val="00A30FE1"/>
    <w:rsid w:val="00A31921"/>
    <w:rsid w:val="00A320EA"/>
    <w:rsid w:val="00A324EA"/>
    <w:rsid w:val="00A327AD"/>
    <w:rsid w:val="00A33C75"/>
    <w:rsid w:val="00A34C32"/>
    <w:rsid w:val="00A35236"/>
    <w:rsid w:val="00A354B7"/>
    <w:rsid w:val="00A35AA2"/>
    <w:rsid w:val="00A35F9E"/>
    <w:rsid w:val="00A362B9"/>
    <w:rsid w:val="00A3672F"/>
    <w:rsid w:val="00A36948"/>
    <w:rsid w:val="00A42913"/>
    <w:rsid w:val="00A439CA"/>
    <w:rsid w:val="00A43E73"/>
    <w:rsid w:val="00A4407B"/>
    <w:rsid w:val="00A442C1"/>
    <w:rsid w:val="00A445DE"/>
    <w:rsid w:val="00A45583"/>
    <w:rsid w:val="00A473BB"/>
    <w:rsid w:val="00A47F49"/>
    <w:rsid w:val="00A50086"/>
    <w:rsid w:val="00A506D2"/>
    <w:rsid w:val="00A51CD8"/>
    <w:rsid w:val="00A522E5"/>
    <w:rsid w:val="00A52390"/>
    <w:rsid w:val="00A5403E"/>
    <w:rsid w:val="00A54DA8"/>
    <w:rsid w:val="00A54E61"/>
    <w:rsid w:val="00A54F13"/>
    <w:rsid w:val="00A55107"/>
    <w:rsid w:val="00A55856"/>
    <w:rsid w:val="00A56248"/>
    <w:rsid w:val="00A57735"/>
    <w:rsid w:val="00A57F1C"/>
    <w:rsid w:val="00A603C5"/>
    <w:rsid w:val="00A604D7"/>
    <w:rsid w:val="00A605C7"/>
    <w:rsid w:val="00A60AA8"/>
    <w:rsid w:val="00A60EA4"/>
    <w:rsid w:val="00A61B76"/>
    <w:rsid w:val="00A623B2"/>
    <w:rsid w:val="00A6279F"/>
    <w:rsid w:val="00A62A51"/>
    <w:rsid w:val="00A62E11"/>
    <w:rsid w:val="00A63323"/>
    <w:rsid w:val="00A65DAD"/>
    <w:rsid w:val="00A65EF6"/>
    <w:rsid w:val="00A65F1B"/>
    <w:rsid w:val="00A67077"/>
    <w:rsid w:val="00A67A2E"/>
    <w:rsid w:val="00A702A6"/>
    <w:rsid w:val="00A7041F"/>
    <w:rsid w:val="00A70FAA"/>
    <w:rsid w:val="00A71A17"/>
    <w:rsid w:val="00A72201"/>
    <w:rsid w:val="00A7251E"/>
    <w:rsid w:val="00A72556"/>
    <w:rsid w:val="00A72AA1"/>
    <w:rsid w:val="00A7465E"/>
    <w:rsid w:val="00A75229"/>
    <w:rsid w:val="00A75790"/>
    <w:rsid w:val="00A759F4"/>
    <w:rsid w:val="00A76BA4"/>
    <w:rsid w:val="00A773D8"/>
    <w:rsid w:val="00A77A7C"/>
    <w:rsid w:val="00A77D2D"/>
    <w:rsid w:val="00A80170"/>
    <w:rsid w:val="00A81132"/>
    <w:rsid w:val="00A81DBB"/>
    <w:rsid w:val="00A8251F"/>
    <w:rsid w:val="00A836F2"/>
    <w:rsid w:val="00A83769"/>
    <w:rsid w:val="00A8399B"/>
    <w:rsid w:val="00A83B21"/>
    <w:rsid w:val="00A83FC5"/>
    <w:rsid w:val="00A84066"/>
    <w:rsid w:val="00A84532"/>
    <w:rsid w:val="00A84721"/>
    <w:rsid w:val="00A85AF6"/>
    <w:rsid w:val="00A85CB4"/>
    <w:rsid w:val="00A86142"/>
    <w:rsid w:val="00A86A77"/>
    <w:rsid w:val="00A86CB8"/>
    <w:rsid w:val="00A8767B"/>
    <w:rsid w:val="00A9019D"/>
    <w:rsid w:val="00A901B3"/>
    <w:rsid w:val="00A91547"/>
    <w:rsid w:val="00A93635"/>
    <w:rsid w:val="00A93AFD"/>
    <w:rsid w:val="00A93B1A"/>
    <w:rsid w:val="00A94149"/>
    <w:rsid w:val="00A94806"/>
    <w:rsid w:val="00A94CA2"/>
    <w:rsid w:val="00A94DDC"/>
    <w:rsid w:val="00A950CD"/>
    <w:rsid w:val="00A954F3"/>
    <w:rsid w:val="00A95BE1"/>
    <w:rsid w:val="00A96924"/>
    <w:rsid w:val="00A96D4F"/>
    <w:rsid w:val="00A97539"/>
    <w:rsid w:val="00A97CC0"/>
    <w:rsid w:val="00A97F8B"/>
    <w:rsid w:val="00A97FBE"/>
    <w:rsid w:val="00AA0312"/>
    <w:rsid w:val="00AA08C4"/>
    <w:rsid w:val="00AA1723"/>
    <w:rsid w:val="00AA1DDC"/>
    <w:rsid w:val="00AA2666"/>
    <w:rsid w:val="00AA334E"/>
    <w:rsid w:val="00AA3C97"/>
    <w:rsid w:val="00AA3D2A"/>
    <w:rsid w:val="00AA3F12"/>
    <w:rsid w:val="00AA458B"/>
    <w:rsid w:val="00AA482C"/>
    <w:rsid w:val="00AA53D1"/>
    <w:rsid w:val="00AA6AD1"/>
    <w:rsid w:val="00AA71E0"/>
    <w:rsid w:val="00AA779D"/>
    <w:rsid w:val="00AB074D"/>
    <w:rsid w:val="00AB0A89"/>
    <w:rsid w:val="00AB132F"/>
    <w:rsid w:val="00AB14DC"/>
    <w:rsid w:val="00AB1CBF"/>
    <w:rsid w:val="00AB265B"/>
    <w:rsid w:val="00AB370E"/>
    <w:rsid w:val="00AB3992"/>
    <w:rsid w:val="00AB3DA6"/>
    <w:rsid w:val="00AB4DC0"/>
    <w:rsid w:val="00AB5494"/>
    <w:rsid w:val="00AB6FAC"/>
    <w:rsid w:val="00AB7BB4"/>
    <w:rsid w:val="00AC0392"/>
    <w:rsid w:val="00AC11BC"/>
    <w:rsid w:val="00AC1953"/>
    <w:rsid w:val="00AC1B7E"/>
    <w:rsid w:val="00AC26FE"/>
    <w:rsid w:val="00AC35D8"/>
    <w:rsid w:val="00AC3E5C"/>
    <w:rsid w:val="00AC55C4"/>
    <w:rsid w:val="00AC5B4F"/>
    <w:rsid w:val="00AC6785"/>
    <w:rsid w:val="00AC72CC"/>
    <w:rsid w:val="00AC73EC"/>
    <w:rsid w:val="00AD019F"/>
    <w:rsid w:val="00AD04C3"/>
    <w:rsid w:val="00AD054A"/>
    <w:rsid w:val="00AD0C84"/>
    <w:rsid w:val="00AD1FAB"/>
    <w:rsid w:val="00AD2258"/>
    <w:rsid w:val="00AD2454"/>
    <w:rsid w:val="00AD364D"/>
    <w:rsid w:val="00AD370B"/>
    <w:rsid w:val="00AD39CA"/>
    <w:rsid w:val="00AD3D84"/>
    <w:rsid w:val="00AD4F1D"/>
    <w:rsid w:val="00AD6685"/>
    <w:rsid w:val="00AD69F0"/>
    <w:rsid w:val="00AD7039"/>
    <w:rsid w:val="00AD79A8"/>
    <w:rsid w:val="00AE04BE"/>
    <w:rsid w:val="00AE0993"/>
    <w:rsid w:val="00AE1651"/>
    <w:rsid w:val="00AE1CBD"/>
    <w:rsid w:val="00AE2C17"/>
    <w:rsid w:val="00AE3679"/>
    <w:rsid w:val="00AE3979"/>
    <w:rsid w:val="00AE3DC9"/>
    <w:rsid w:val="00AE56B7"/>
    <w:rsid w:val="00AE6222"/>
    <w:rsid w:val="00AE622E"/>
    <w:rsid w:val="00AE743B"/>
    <w:rsid w:val="00AE7FDE"/>
    <w:rsid w:val="00AF076B"/>
    <w:rsid w:val="00AF15F2"/>
    <w:rsid w:val="00AF1A2E"/>
    <w:rsid w:val="00AF1D19"/>
    <w:rsid w:val="00AF498B"/>
    <w:rsid w:val="00AF5867"/>
    <w:rsid w:val="00AF610F"/>
    <w:rsid w:val="00AF65B9"/>
    <w:rsid w:val="00AF7455"/>
    <w:rsid w:val="00B00382"/>
    <w:rsid w:val="00B00D38"/>
    <w:rsid w:val="00B01F44"/>
    <w:rsid w:val="00B01FF5"/>
    <w:rsid w:val="00B0305D"/>
    <w:rsid w:val="00B03747"/>
    <w:rsid w:val="00B03E60"/>
    <w:rsid w:val="00B03FAE"/>
    <w:rsid w:val="00B0448A"/>
    <w:rsid w:val="00B04CB3"/>
    <w:rsid w:val="00B04E7B"/>
    <w:rsid w:val="00B0547D"/>
    <w:rsid w:val="00B0576D"/>
    <w:rsid w:val="00B06351"/>
    <w:rsid w:val="00B068ED"/>
    <w:rsid w:val="00B06910"/>
    <w:rsid w:val="00B0696F"/>
    <w:rsid w:val="00B06EEE"/>
    <w:rsid w:val="00B07276"/>
    <w:rsid w:val="00B076A2"/>
    <w:rsid w:val="00B07E20"/>
    <w:rsid w:val="00B114A8"/>
    <w:rsid w:val="00B126B4"/>
    <w:rsid w:val="00B13128"/>
    <w:rsid w:val="00B135A7"/>
    <w:rsid w:val="00B13AEE"/>
    <w:rsid w:val="00B14953"/>
    <w:rsid w:val="00B15DC7"/>
    <w:rsid w:val="00B15E1C"/>
    <w:rsid w:val="00B167D0"/>
    <w:rsid w:val="00B175DE"/>
    <w:rsid w:val="00B176C2"/>
    <w:rsid w:val="00B2077B"/>
    <w:rsid w:val="00B20F01"/>
    <w:rsid w:val="00B210E0"/>
    <w:rsid w:val="00B21744"/>
    <w:rsid w:val="00B21CB6"/>
    <w:rsid w:val="00B21E67"/>
    <w:rsid w:val="00B21EB6"/>
    <w:rsid w:val="00B22654"/>
    <w:rsid w:val="00B22C82"/>
    <w:rsid w:val="00B22DDC"/>
    <w:rsid w:val="00B22EA8"/>
    <w:rsid w:val="00B231DE"/>
    <w:rsid w:val="00B23936"/>
    <w:rsid w:val="00B24881"/>
    <w:rsid w:val="00B24CAA"/>
    <w:rsid w:val="00B24DCB"/>
    <w:rsid w:val="00B25418"/>
    <w:rsid w:val="00B26898"/>
    <w:rsid w:val="00B269B2"/>
    <w:rsid w:val="00B270C3"/>
    <w:rsid w:val="00B27597"/>
    <w:rsid w:val="00B27997"/>
    <w:rsid w:val="00B27B2A"/>
    <w:rsid w:val="00B27ECD"/>
    <w:rsid w:val="00B3212B"/>
    <w:rsid w:val="00B32357"/>
    <w:rsid w:val="00B3249F"/>
    <w:rsid w:val="00B335F9"/>
    <w:rsid w:val="00B336F9"/>
    <w:rsid w:val="00B33C4A"/>
    <w:rsid w:val="00B342C8"/>
    <w:rsid w:val="00B346AF"/>
    <w:rsid w:val="00B34A06"/>
    <w:rsid w:val="00B34CDC"/>
    <w:rsid w:val="00B35536"/>
    <w:rsid w:val="00B359FB"/>
    <w:rsid w:val="00B35F85"/>
    <w:rsid w:val="00B366A2"/>
    <w:rsid w:val="00B37000"/>
    <w:rsid w:val="00B37405"/>
    <w:rsid w:val="00B40A2E"/>
    <w:rsid w:val="00B40D5D"/>
    <w:rsid w:val="00B42704"/>
    <w:rsid w:val="00B4310D"/>
    <w:rsid w:val="00B431AA"/>
    <w:rsid w:val="00B43855"/>
    <w:rsid w:val="00B43C3F"/>
    <w:rsid w:val="00B45877"/>
    <w:rsid w:val="00B459C4"/>
    <w:rsid w:val="00B45AE1"/>
    <w:rsid w:val="00B45D32"/>
    <w:rsid w:val="00B47461"/>
    <w:rsid w:val="00B50CA6"/>
    <w:rsid w:val="00B51FA1"/>
    <w:rsid w:val="00B5383B"/>
    <w:rsid w:val="00B53D44"/>
    <w:rsid w:val="00B54282"/>
    <w:rsid w:val="00B549B0"/>
    <w:rsid w:val="00B54D11"/>
    <w:rsid w:val="00B55D08"/>
    <w:rsid w:val="00B55D96"/>
    <w:rsid w:val="00B561DA"/>
    <w:rsid w:val="00B5632F"/>
    <w:rsid w:val="00B56628"/>
    <w:rsid w:val="00B566B4"/>
    <w:rsid w:val="00B56762"/>
    <w:rsid w:val="00B56935"/>
    <w:rsid w:val="00B57676"/>
    <w:rsid w:val="00B577A1"/>
    <w:rsid w:val="00B57F9A"/>
    <w:rsid w:val="00B60E4C"/>
    <w:rsid w:val="00B61A76"/>
    <w:rsid w:val="00B63930"/>
    <w:rsid w:val="00B64624"/>
    <w:rsid w:val="00B64830"/>
    <w:rsid w:val="00B650F4"/>
    <w:rsid w:val="00B65CB1"/>
    <w:rsid w:val="00B661DD"/>
    <w:rsid w:val="00B66528"/>
    <w:rsid w:val="00B67AC6"/>
    <w:rsid w:val="00B70F8E"/>
    <w:rsid w:val="00B73385"/>
    <w:rsid w:val="00B73E04"/>
    <w:rsid w:val="00B74A09"/>
    <w:rsid w:val="00B75F12"/>
    <w:rsid w:val="00B769F9"/>
    <w:rsid w:val="00B76D6B"/>
    <w:rsid w:val="00B76E29"/>
    <w:rsid w:val="00B76ED2"/>
    <w:rsid w:val="00B774BE"/>
    <w:rsid w:val="00B779FB"/>
    <w:rsid w:val="00B77AEC"/>
    <w:rsid w:val="00B8181B"/>
    <w:rsid w:val="00B82CA9"/>
    <w:rsid w:val="00B82D53"/>
    <w:rsid w:val="00B83C97"/>
    <w:rsid w:val="00B841EF"/>
    <w:rsid w:val="00B84BEC"/>
    <w:rsid w:val="00B84C34"/>
    <w:rsid w:val="00B84EA0"/>
    <w:rsid w:val="00B86753"/>
    <w:rsid w:val="00B87093"/>
    <w:rsid w:val="00B90446"/>
    <w:rsid w:val="00B9070C"/>
    <w:rsid w:val="00B9178D"/>
    <w:rsid w:val="00B91A07"/>
    <w:rsid w:val="00B92CDB"/>
    <w:rsid w:val="00B934F8"/>
    <w:rsid w:val="00B93F14"/>
    <w:rsid w:val="00B9465A"/>
    <w:rsid w:val="00B94B35"/>
    <w:rsid w:val="00B94CF3"/>
    <w:rsid w:val="00B9563B"/>
    <w:rsid w:val="00B95ABF"/>
    <w:rsid w:val="00BA01F5"/>
    <w:rsid w:val="00BA054B"/>
    <w:rsid w:val="00BA13C5"/>
    <w:rsid w:val="00BA1536"/>
    <w:rsid w:val="00BA331A"/>
    <w:rsid w:val="00BA3965"/>
    <w:rsid w:val="00BA3AD4"/>
    <w:rsid w:val="00BA428E"/>
    <w:rsid w:val="00BA47BA"/>
    <w:rsid w:val="00BA4EDA"/>
    <w:rsid w:val="00BA5443"/>
    <w:rsid w:val="00BA5EC9"/>
    <w:rsid w:val="00BA6624"/>
    <w:rsid w:val="00BA6CB2"/>
    <w:rsid w:val="00BA6E98"/>
    <w:rsid w:val="00BA6ED1"/>
    <w:rsid w:val="00BA7358"/>
    <w:rsid w:val="00BA789C"/>
    <w:rsid w:val="00BA7A1A"/>
    <w:rsid w:val="00BB0053"/>
    <w:rsid w:val="00BB0CC2"/>
    <w:rsid w:val="00BB0D4E"/>
    <w:rsid w:val="00BB0D5C"/>
    <w:rsid w:val="00BB1731"/>
    <w:rsid w:val="00BB372A"/>
    <w:rsid w:val="00BB387C"/>
    <w:rsid w:val="00BB38B2"/>
    <w:rsid w:val="00BB392A"/>
    <w:rsid w:val="00BB3CBD"/>
    <w:rsid w:val="00BB4892"/>
    <w:rsid w:val="00BB579C"/>
    <w:rsid w:val="00BB6766"/>
    <w:rsid w:val="00BB688D"/>
    <w:rsid w:val="00BB737B"/>
    <w:rsid w:val="00BC09CB"/>
    <w:rsid w:val="00BC0DA3"/>
    <w:rsid w:val="00BC110B"/>
    <w:rsid w:val="00BC1548"/>
    <w:rsid w:val="00BC19EF"/>
    <w:rsid w:val="00BC1C60"/>
    <w:rsid w:val="00BC2637"/>
    <w:rsid w:val="00BC285C"/>
    <w:rsid w:val="00BC2E76"/>
    <w:rsid w:val="00BC3324"/>
    <w:rsid w:val="00BC4863"/>
    <w:rsid w:val="00BC4DB4"/>
    <w:rsid w:val="00BC57C6"/>
    <w:rsid w:val="00BC581B"/>
    <w:rsid w:val="00BC5942"/>
    <w:rsid w:val="00BC5E42"/>
    <w:rsid w:val="00BC720B"/>
    <w:rsid w:val="00BD021A"/>
    <w:rsid w:val="00BD1A11"/>
    <w:rsid w:val="00BD1C77"/>
    <w:rsid w:val="00BD2241"/>
    <w:rsid w:val="00BD269B"/>
    <w:rsid w:val="00BD2923"/>
    <w:rsid w:val="00BD2AC4"/>
    <w:rsid w:val="00BD33D1"/>
    <w:rsid w:val="00BD35B7"/>
    <w:rsid w:val="00BD41EA"/>
    <w:rsid w:val="00BD4AE9"/>
    <w:rsid w:val="00BD50E2"/>
    <w:rsid w:val="00BD53C3"/>
    <w:rsid w:val="00BD7A4B"/>
    <w:rsid w:val="00BE0E38"/>
    <w:rsid w:val="00BE109E"/>
    <w:rsid w:val="00BE18E7"/>
    <w:rsid w:val="00BE1A6B"/>
    <w:rsid w:val="00BE2082"/>
    <w:rsid w:val="00BE2B6C"/>
    <w:rsid w:val="00BE35E1"/>
    <w:rsid w:val="00BE36A4"/>
    <w:rsid w:val="00BE3875"/>
    <w:rsid w:val="00BE4777"/>
    <w:rsid w:val="00BE53E0"/>
    <w:rsid w:val="00BE5460"/>
    <w:rsid w:val="00BE603C"/>
    <w:rsid w:val="00BE6122"/>
    <w:rsid w:val="00BE62F3"/>
    <w:rsid w:val="00BE78BB"/>
    <w:rsid w:val="00BF0ADC"/>
    <w:rsid w:val="00BF0E18"/>
    <w:rsid w:val="00BF0E70"/>
    <w:rsid w:val="00BF15B6"/>
    <w:rsid w:val="00BF25C3"/>
    <w:rsid w:val="00BF28B7"/>
    <w:rsid w:val="00BF2DC1"/>
    <w:rsid w:val="00BF4583"/>
    <w:rsid w:val="00BF5889"/>
    <w:rsid w:val="00BF7413"/>
    <w:rsid w:val="00BF7641"/>
    <w:rsid w:val="00BF7DAA"/>
    <w:rsid w:val="00BF7E0D"/>
    <w:rsid w:val="00C00270"/>
    <w:rsid w:val="00C0042F"/>
    <w:rsid w:val="00C00DA4"/>
    <w:rsid w:val="00C01131"/>
    <w:rsid w:val="00C013E0"/>
    <w:rsid w:val="00C015D6"/>
    <w:rsid w:val="00C01870"/>
    <w:rsid w:val="00C01A96"/>
    <w:rsid w:val="00C02F9F"/>
    <w:rsid w:val="00C05AB9"/>
    <w:rsid w:val="00C06035"/>
    <w:rsid w:val="00C06A38"/>
    <w:rsid w:val="00C06C84"/>
    <w:rsid w:val="00C073FC"/>
    <w:rsid w:val="00C078B8"/>
    <w:rsid w:val="00C07DED"/>
    <w:rsid w:val="00C1011F"/>
    <w:rsid w:val="00C10675"/>
    <w:rsid w:val="00C11762"/>
    <w:rsid w:val="00C11843"/>
    <w:rsid w:val="00C12234"/>
    <w:rsid w:val="00C12258"/>
    <w:rsid w:val="00C12B3E"/>
    <w:rsid w:val="00C1366E"/>
    <w:rsid w:val="00C13CD3"/>
    <w:rsid w:val="00C14ADE"/>
    <w:rsid w:val="00C1502D"/>
    <w:rsid w:val="00C1613D"/>
    <w:rsid w:val="00C168A0"/>
    <w:rsid w:val="00C16A09"/>
    <w:rsid w:val="00C1743D"/>
    <w:rsid w:val="00C20651"/>
    <w:rsid w:val="00C2065D"/>
    <w:rsid w:val="00C2240C"/>
    <w:rsid w:val="00C224F2"/>
    <w:rsid w:val="00C22924"/>
    <w:rsid w:val="00C22A78"/>
    <w:rsid w:val="00C2313C"/>
    <w:rsid w:val="00C236DC"/>
    <w:rsid w:val="00C239D3"/>
    <w:rsid w:val="00C24C2D"/>
    <w:rsid w:val="00C25015"/>
    <w:rsid w:val="00C26F42"/>
    <w:rsid w:val="00C27400"/>
    <w:rsid w:val="00C27DC4"/>
    <w:rsid w:val="00C27F32"/>
    <w:rsid w:val="00C3026E"/>
    <w:rsid w:val="00C30ECB"/>
    <w:rsid w:val="00C321D1"/>
    <w:rsid w:val="00C3295D"/>
    <w:rsid w:val="00C32B34"/>
    <w:rsid w:val="00C32FC7"/>
    <w:rsid w:val="00C33212"/>
    <w:rsid w:val="00C33E03"/>
    <w:rsid w:val="00C3480F"/>
    <w:rsid w:val="00C3559F"/>
    <w:rsid w:val="00C36688"/>
    <w:rsid w:val="00C36945"/>
    <w:rsid w:val="00C36B96"/>
    <w:rsid w:val="00C36C33"/>
    <w:rsid w:val="00C40F7D"/>
    <w:rsid w:val="00C40FCE"/>
    <w:rsid w:val="00C412C0"/>
    <w:rsid w:val="00C4187E"/>
    <w:rsid w:val="00C418D4"/>
    <w:rsid w:val="00C41938"/>
    <w:rsid w:val="00C41EC1"/>
    <w:rsid w:val="00C42950"/>
    <w:rsid w:val="00C42FD9"/>
    <w:rsid w:val="00C43302"/>
    <w:rsid w:val="00C43AF5"/>
    <w:rsid w:val="00C4468B"/>
    <w:rsid w:val="00C44809"/>
    <w:rsid w:val="00C448F7"/>
    <w:rsid w:val="00C45462"/>
    <w:rsid w:val="00C456EC"/>
    <w:rsid w:val="00C46977"/>
    <w:rsid w:val="00C46A56"/>
    <w:rsid w:val="00C46E33"/>
    <w:rsid w:val="00C47A40"/>
    <w:rsid w:val="00C47C30"/>
    <w:rsid w:val="00C500D3"/>
    <w:rsid w:val="00C50F75"/>
    <w:rsid w:val="00C52136"/>
    <w:rsid w:val="00C5380F"/>
    <w:rsid w:val="00C5383A"/>
    <w:rsid w:val="00C53A0F"/>
    <w:rsid w:val="00C5492A"/>
    <w:rsid w:val="00C54B7F"/>
    <w:rsid w:val="00C54DC1"/>
    <w:rsid w:val="00C55A47"/>
    <w:rsid w:val="00C5619F"/>
    <w:rsid w:val="00C563FD"/>
    <w:rsid w:val="00C56A39"/>
    <w:rsid w:val="00C57A10"/>
    <w:rsid w:val="00C57C3F"/>
    <w:rsid w:val="00C57D42"/>
    <w:rsid w:val="00C60642"/>
    <w:rsid w:val="00C61B89"/>
    <w:rsid w:val="00C626C8"/>
    <w:rsid w:val="00C62923"/>
    <w:rsid w:val="00C62A5B"/>
    <w:rsid w:val="00C62A8B"/>
    <w:rsid w:val="00C62F5E"/>
    <w:rsid w:val="00C6369D"/>
    <w:rsid w:val="00C64191"/>
    <w:rsid w:val="00C64B88"/>
    <w:rsid w:val="00C64CD5"/>
    <w:rsid w:val="00C64E95"/>
    <w:rsid w:val="00C655DF"/>
    <w:rsid w:val="00C65829"/>
    <w:rsid w:val="00C6665D"/>
    <w:rsid w:val="00C66F37"/>
    <w:rsid w:val="00C670E4"/>
    <w:rsid w:val="00C678D8"/>
    <w:rsid w:val="00C67A76"/>
    <w:rsid w:val="00C67E56"/>
    <w:rsid w:val="00C702F7"/>
    <w:rsid w:val="00C70F68"/>
    <w:rsid w:val="00C72BFA"/>
    <w:rsid w:val="00C738BE"/>
    <w:rsid w:val="00C73C53"/>
    <w:rsid w:val="00C743D1"/>
    <w:rsid w:val="00C7476B"/>
    <w:rsid w:val="00C7499B"/>
    <w:rsid w:val="00C74DAD"/>
    <w:rsid w:val="00C75DF3"/>
    <w:rsid w:val="00C76A18"/>
    <w:rsid w:val="00C77019"/>
    <w:rsid w:val="00C7701A"/>
    <w:rsid w:val="00C77024"/>
    <w:rsid w:val="00C77AFD"/>
    <w:rsid w:val="00C77C58"/>
    <w:rsid w:val="00C77D22"/>
    <w:rsid w:val="00C804A9"/>
    <w:rsid w:val="00C811CF"/>
    <w:rsid w:val="00C81E57"/>
    <w:rsid w:val="00C83DA6"/>
    <w:rsid w:val="00C8451D"/>
    <w:rsid w:val="00C84854"/>
    <w:rsid w:val="00C85DEA"/>
    <w:rsid w:val="00C86AC0"/>
    <w:rsid w:val="00C87209"/>
    <w:rsid w:val="00C87C0A"/>
    <w:rsid w:val="00C87C94"/>
    <w:rsid w:val="00C90089"/>
    <w:rsid w:val="00C9078D"/>
    <w:rsid w:val="00C91011"/>
    <w:rsid w:val="00C91065"/>
    <w:rsid w:val="00C91159"/>
    <w:rsid w:val="00C91574"/>
    <w:rsid w:val="00C91C74"/>
    <w:rsid w:val="00C921FB"/>
    <w:rsid w:val="00C924E2"/>
    <w:rsid w:val="00C9323B"/>
    <w:rsid w:val="00C93D99"/>
    <w:rsid w:val="00C95412"/>
    <w:rsid w:val="00C95CFD"/>
    <w:rsid w:val="00C971A7"/>
    <w:rsid w:val="00C973CB"/>
    <w:rsid w:val="00C9790D"/>
    <w:rsid w:val="00C97EDB"/>
    <w:rsid w:val="00CA00AD"/>
    <w:rsid w:val="00CA010B"/>
    <w:rsid w:val="00CA155A"/>
    <w:rsid w:val="00CA1822"/>
    <w:rsid w:val="00CA1EAA"/>
    <w:rsid w:val="00CA2483"/>
    <w:rsid w:val="00CA27C2"/>
    <w:rsid w:val="00CA3314"/>
    <w:rsid w:val="00CA3460"/>
    <w:rsid w:val="00CA36EB"/>
    <w:rsid w:val="00CA3975"/>
    <w:rsid w:val="00CA44DE"/>
    <w:rsid w:val="00CA47FA"/>
    <w:rsid w:val="00CA49F2"/>
    <w:rsid w:val="00CA4D98"/>
    <w:rsid w:val="00CA5600"/>
    <w:rsid w:val="00CA63E7"/>
    <w:rsid w:val="00CA71A2"/>
    <w:rsid w:val="00CA7588"/>
    <w:rsid w:val="00CB0257"/>
    <w:rsid w:val="00CB2675"/>
    <w:rsid w:val="00CB3D21"/>
    <w:rsid w:val="00CB45A0"/>
    <w:rsid w:val="00CB4600"/>
    <w:rsid w:val="00CB471C"/>
    <w:rsid w:val="00CB47A7"/>
    <w:rsid w:val="00CB4EA2"/>
    <w:rsid w:val="00CB518F"/>
    <w:rsid w:val="00CB532D"/>
    <w:rsid w:val="00CB61B1"/>
    <w:rsid w:val="00CB65C4"/>
    <w:rsid w:val="00CB704F"/>
    <w:rsid w:val="00CB764B"/>
    <w:rsid w:val="00CC05A5"/>
    <w:rsid w:val="00CC0B9E"/>
    <w:rsid w:val="00CC14C1"/>
    <w:rsid w:val="00CC14E6"/>
    <w:rsid w:val="00CC1866"/>
    <w:rsid w:val="00CC20C5"/>
    <w:rsid w:val="00CC2578"/>
    <w:rsid w:val="00CC2D5B"/>
    <w:rsid w:val="00CC35FA"/>
    <w:rsid w:val="00CC46B5"/>
    <w:rsid w:val="00CC471F"/>
    <w:rsid w:val="00CC48A4"/>
    <w:rsid w:val="00CC49C4"/>
    <w:rsid w:val="00CC49E2"/>
    <w:rsid w:val="00CC50AF"/>
    <w:rsid w:val="00CC6058"/>
    <w:rsid w:val="00CC6105"/>
    <w:rsid w:val="00CC7186"/>
    <w:rsid w:val="00CD10D7"/>
    <w:rsid w:val="00CD1421"/>
    <w:rsid w:val="00CD149F"/>
    <w:rsid w:val="00CD1929"/>
    <w:rsid w:val="00CD2669"/>
    <w:rsid w:val="00CD2D83"/>
    <w:rsid w:val="00CD2E5D"/>
    <w:rsid w:val="00CD3027"/>
    <w:rsid w:val="00CD336D"/>
    <w:rsid w:val="00CD3909"/>
    <w:rsid w:val="00CD3C1F"/>
    <w:rsid w:val="00CD58BE"/>
    <w:rsid w:val="00CD5C3B"/>
    <w:rsid w:val="00CD6268"/>
    <w:rsid w:val="00CD714D"/>
    <w:rsid w:val="00CD78D8"/>
    <w:rsid w:val="00CE0196"/>
    <w:rsid w:val="00CE0475"/>
    <w:rsid w:val="00CE1061"/>
    <w:rsid w:val="00CE2B6B"/>
    <w:rsid w:val="00CE31B5"/>
    <w:rsid w:val="00CE3E1B"/>
    <w:rsid w:val="00CE4C3F"/>
    <w:rsid w:val="00CE5322"/>
    <w:rsid w:val="00CE5832"/>
    <w:rsid w:val="00CE6172"/>
    <w:rsid w:val="00CE61C0"/>
    <w:rsid w:val="00CE6E55"/>
    <w:rsid w:val="00CE70AF"/>
    <w:rsid w:val="00CE7478"/>
    <w:rsid w:val="00CE7742"/>
    <w:rsid w:val="00CE7C56"/>
    <w:rsid w:val="00CF0E95"/>
    <w:rsid w:val="00CF0FC4"/>
    <w:rsid w:val="00CF13C8"/>
    <w:rsid w:val="00CF1F43"/>
    <w:rsid w:val="00CF2E6D"/>
    <w:rsid w:val="00CF2EB6"/>
    <w:rsid w:val="00CF3536"/>
    <w:rsid w:val="00CF3B61"/>
    <w:rsid w:val="00CF4F8D"/>
    <w:rsid w:val="00CF6E47"/>
    <w:rsid w:val="00CF7188"/>
    <w:rsid w:val="00CF72CE"/>
    <w:rsid w:val="00CF7877"/>
    <w:rsid w:val="00D00E8E"/>
    <w:rsid w:val="00D016C9"/>
    <w:rsid w:val="00D02481"/>
    <w:rsid w:val="00D02715"/>
    <w:rsid w:val="00D02B7A"/>
    <w:rsid w:val="00D03538"/>
    <w:rsid w:val="00D04066"/>
    <w:rsid w:val="00D04363"/>
    <w:rsid w:val="00D04AD5"/>
    <w:rsid w:val="00D05212"/>
    <w:rsid w:val="00D07719"/>
    <w:rsid w:val="00D0778D"/>
    <w:rsid w:val="00D07852"/>
    <w:rsid w:val="00D10711"/>
    <w:rsid w:val="00D10B58"/>
    <w:rsid w:val="00D10BEC"/>
    <w:rsid w:val="00D10E57"/>
    <w:rsid w:val="00D10FA8"/>
    <w:rsid w:val="00D112DE"/>
    <w:rsid w:val="00D11493"/>
    <w:rsid w:val="00D1161B"/>
    <w:rsid w:val="00D123E7"/>
    <w:rsid w:val="00D12513"/>
    <w:rsid w:val="00D12A1E"/>
    <w:rsid w:val="00D13E55"/>
    <w:rsid w:val="00D1405B"/>
    <w:rsid w:val="00D16258"/>
    <w:rsid w:val="00D1625C"/>
    <w:rsid w:val="00D16861"/>
    <w:rsid w:val="00D16BC9"/>
    <w:rsid w:val="00D17961"/>
    <w:rsid w:val="00D2077D"/>
    <w:rsid w:val="00D2122E"/>
    <w:rsid w:val="00D212C1"/>
    <w:rsid w:val="00D213F6"/>
    <w:rsid w:val="00D219A4"/>
    <w:rsid w:val="00D220CB"/>
    <w:rsid w:val="00D227C7"/>
    <w:rsid w:val="00D22F34"/>
    <w:rsid w:val="00D23196"/>
    <w:rsid w:val="00D23FEC"/>
    <w:rsid w:val="00D25102"/>
    <w:rsid w:val="00D2665A"/>
    <w:rsid w:val="00D269E2"/>
    <w:rsid w:val="00D26EBC"/>
    <w:rsid w:val="00D27799"/>
    <w:rsid w:val="00D30B2A"/>
    <w:rsid w:val="00D31956"/>
    <w:rsid w:val="00D31BF1"/>
    <w:rsid w:val="00D32DC6"/>
    <w:rsid w:val="00D3386A"/>
    <w:rsid w:val="00D339CE"/>
    <w:rsid w:val="00D33CC1"/>
    <w:rsid w:val="00D34510"/>
    <w:rsid w:val="00D36A7D"/>
    <w:rsid w:val="00D375F9"/>
    <w:rsid w:val="00D405D9"/>
    <w:rsid w:val="00D40DDC"/>
    <w:rsid w:val="00D41682"/>
    <w:rsid w:val="00D41A39"/>
    <w:rsid w:val="00D41C0E"/>
    <w:rsid w:val="00D421DC"/>
    <w:rsid w:val="00D438E2"/>
    <w:rsid w:val="00D44446"/>
    <w:rsid w:val="00D44882"/>
    <w:rsid w:val="00D44DD4"/>
    <w:rsid w:val="00D45ABD"/>
    <w:rsid w:val="00D46954"/>
    <w:rsid w:val="00D46A71"/>
    <w:rsid w:val="00D475C0"/>
    <w:rsid w:val="00D4764B"/>
    <w:rsid w:val="00D47755"/>
    <w:rsid w:val="00D478D8"/>
    <w:rsid w:val="00D50EC0"/>
    <w:rsid w:val="00D51758"/>
    <w:rsid w:val="00D55130"/>
    <w:rsid w:val="00D553B1"/>
    <w:rsid w:val="00D55DF7"/>
    <w:rsid w:val="00D55FCA"/>
    <w:rsid w:val="00D56DE7"/>
    <w:rsid w:val="00D5736C"/>
    <w:rsid w:val="00D57759"/>
    <w:rsid w:val="00D6017D"/>
    <w:rsid w:val="00D607A4"/>
    <w:rsid w:val="00D611E8"/>
    <w:rsid w:val="00D61BEB"/>
    <w:rsid w:val="00D62F3D"/>
    <w:rsid w:val="00D635B1"/>
    <w:rsid w:val="00D637A5"/>
    <w:rsid w:val="00D64032"/>
    <w:rsid w:val="00D643B8"/>
    <w:rsid w:val="00D64457"/>
    <w:rsid w:val="00D6451F"/>
    <w:rsid w:val="00D65B93"/>
    <w:rsid w:val="00D66125"/>
    <w:rsid w:val="00D663B0"/>
    <w:rsid w:val="00D6677E"/>
    <w:rsid w:val="00D6694B"/>
    <w:rsid w:val="00D676AF"/>
    <w:rsid w:val="00D67983"/>
    <w:rsid w:val="00D67CB2"/>
    <w:rsid w:val="00D70983"/>
    <w:rsid w:val="00D70F23"/>
    <w:rsid w:val="00D711E7"/>
    <w:rsid w:val="00D7172A"/>
    <w:rsid w:val="00D7182F"/>
    <w:rsid w:val="00D7190D"/>
    <w:rsid w:val="00D72010"/>
    <w:rsid w:val="00D7214A"/>
    <w:rsid w:val="00D725E3"/>
    <w:rsid w:val="00D72F35"/>
    <w:rsid w:val="00D756A4"/>
    <w:rsid w:val="00D7606F"/>
    <w:rsid w:val="00D7634A"/>
    <w:rsid w:val="00D767F6"/>
    <w:rsid w:val="00D7696A"/>
    <w:rsid w:val="00D77A59"/>
    <w:rsid w:val="00D81086"/>
    <w:rsid w:val="00D8176D"/>
    <w:rsid w:val="00D81E6E"/>
    <w:rsid w:val="00D82D58"/>
    <w:rsid w:val="00D83289"/>
    <w:rsid w:val="00D83A6A"/>
    <w:rsid w:val="00D83B3A"/>
    <w:rsid w:val="00D855B0"/>
    <w:rsid w:val="00D85753"/>
    <w:rsid w:val="00D86075"/>
    <w:rsid w:val="00D86090"/>
    <w:rsid w:val="00D86FD2"/>
    <w:rsid w:val="00D87C69"/>
    <w:rsid w:val="00D87D84"/>
    <w:rsid w:val="00D91301"/>
    <w:rsid w:val="00D91472"/>
    <w:rsid w:val="00D917BA"/>
    <w:rsid w:val="00D91FFE"/>
    <w:rsid w:val="00D9256F"/>
    <w:rsid w:val="00D92AB8"/>
    <w:rsid w:val="00D93526"/>
    <w:rsid w:val="00D9353A"/>
    <w:rsid w:val="00D93C66"/>
    <w:rsid w:val="00D94838"/>
    <w:rsid w:val="00D94ED6"/>
    <w:rsid w:val="00D9563B"/>
    <w:rsid w:val="00D95E79"/>
    <w:rsid w:val="00D9642F"/>
    <w:rsid w:val="00D9647F"/>
    <w:rsid w:val="00D968C0"/>
    <w:rsid w:val="00D96EC8"/>
    <w:rsid w:val="00D97FB7"/>
    <w:rsid w:val="00DA1646"/>
    <w:rsid w:val="00DA1D02"/>
    <w:rsid w:val="00DA2B90"/>
    <w:rsid w:val="00DA33F4"/>
    <w:rsid w:val="00DA5326"/>
    <w:rsid w:val="00DA5675"/>
    <w:rsid w:val="00DA6886"/>
    <w:rsid w:val="00DA6D50"/>
    <w:rsid w:val="00DA6E82"/>
    <w:rsid w:val="00DA6EF5"/>
    <w:rsid w:val="00DA7E5E"/>
    <w:rsid w:val="00DB0036"/>
    <w:rsid w:val="00DB097A"/>
    <w:rsid w:val="00DB0DB3"/>
    <w:rsid w:val="00DB0EBE"/>
    <w:rsid w:val="00DB1259"/>
    <w:rsid w:val="00DB225A"/>
    <w:rsid w:val="00DB2704"/>
    <w:rsid w:val="00DB282A"/>
    <w:rsid w:val="00DB2A9E"/>
    <w:rsid w:val="00DB2BA2"/>
    <w:rsid w:val="00DB2C7A"/>
    <w:rsid w:val="00DB2E95"/>
    <w:rsid w:val="00DB348F"/>
    <w:rsid w:val="00DB370E"/>
    <w:rsid w:val="00DB3E13"/>
    <w:rsid w:val="00DB419F"/>
    <w:rsid w:val="00DB458F"/>
    <w:rsid w:val="00DB51E6"/>
    <w:rsid w:val="00DB578B"/>
    <w:rsid w:val="00DB5BB8"/>
    <w:rsid w:val="00DB63E2"/>
    <w:rsid w:val="00DB6525"/>
    <w:rsid w:val="00DB696C"/>
    <w:rsid w:val="00DB71E1"/>
    <w:rsid w:val="00DB7D81"/>
    <w:rsid w:val="00DC0EF2"/>
    <w:rsid w:val="00DC120B"/>
    <w:rsid w:val="00DC14CC"/>
    <w:rsid w:val="00DC2D38"/>
    <w:rsid w:val="00DC2ED5"/>
    <w:rsid w:val="00DC3BFE"/>
    <w:rsid w:val="00DC3C34"/>
    <w:rsid w:val="00DC3F09"/>
    <w:rsid w:val="00DC4B4A"/>
    <w:rsid w:val="00DC60EF"/>
    <w:rsid w:val="00DC65A3"/>
    <w:rsid w:val="00DC69D9"/>
    <w:rsid w:val="00DC7DCB"/>
    <w:rsid w:val="00DC7FF7"/>
    <w:rsid w:val="00DD0397"/>
    <w:rsid w:val="00DD04E0"/>
    <w:rsid w:val="00DD07DC"/>
    <w:rsid w:val="00DD163B"/>
    <w:rsid w:val="00DD1F42"/>
    <w:rsid w:val="00DD2806"/>
    <w:rsid w:val="00DD2FB3"/>
    <w:rsid w:val="00DD3790"/>
    <w:rsid w:val="00DD3C30"/>
    <w:rsid w:val="00DD403F"/>
    <w:rsid w:val="00DD4198"/>
    <w:rsid w:val="00DD42DE"/>
    <w:rsid w:val="00DD46F6"/>
    <w:rsid w:val="00DD4941"/>
    <w:rsid w:val="00DD6267"/>
    <w:rsid w:val="00DD6600"/>
    <w:rsid w:val="00DD74D2"/>
    <w:rsid w:val="00DE018B"/>
    <w:rsid w:val="00DE029E"/>
    <w:rsid w:val="00DE06E4"/>
    <w:rsid w:val="00DE1170"/>
    <w:rsid w:val="00DE1DD6"/>
    <w:rsid w:val="00DE1E4A"/>
    <w:rsid w:val="00DE21B9"/>
    <w:rsid w:val="00DE21BE"/>
    <w:rsid w:val="00DE30D3"/>
    <w:rsid w:val="00DE327C"/>
    <w:rsid w:val="00DE331F"/>
    <w:rsid w:val="00DE3BC5"/>
    <w:rsid w:val="00DE3DE2"/>
    <w:rsid w:val="00DE478A"/>
    <w:rsid w:val="00DE4E9F"/>
    <w:rsid w:val="00DE4F73"/>
    <w:rsid w:val="00DE5BF2"/>
    <w:rsid w:val="00DE6756"/>
    <w:rsid w:val="00DE6C9C"/>
    <w:rsid w:val="00DE7005"/>
    <w:rsid w:val="00DE7C1F"/>
    <w:rsid w:val="00DE7F81"/>
    <w:rsid w:val="00DF00E9"/>
    <w:rsid w:val="00DF1104"/>
    <w:rsid w:val="00DF16BC"/>
    <w:rsid w:val="00DF1BE2"/>
    <w:rsid w:val="00DF2882"/>
    <w:rsid w:val="00DF2BAA"/>
    <w:rsid w:val="00DF2C29"/>
    <w:rsid w:val="00DF3002"/>
    <w:rsid w:val="00DF307C"/>
    <w:rsid w:val="00DF318F"/>
    <w:rsid w:val="00DF3A6A"/>
    <w:rsid w:val="00DF4492"/>
    <w:rsid w:val="00DF51C8"/>
    <w:rsid w:val="00DF5AE1"/>
    <w:rsid w:val="00DF5DFC"/>
    <w:rsid w:val="00DF6118"/>
    <w:rsid w:val="00DF62B3"/>
    <w:rsid w:val="00DF6B08"/>
    <w:rsid w:val="00DF7143"/>
    <w:rsid w:val="00DF74F3"/>
    <w:rsid w:val="00DF7764"/>
    <w:rsid w:val="00DF7AA3"/>
    <w:rsid w:val="00E00D07"/>
    <w:rsid w:val="00E01DD4"/>
    <w:rsid w:val="00E026D7"/>
    <w:rsid w:val="00E02E75"/>
    <w:rsid w:val="00E03A98"/>
    <w:rsid w:val="00E05393"/>
    <w:rsid w:val="00E05F09"/>
    <w:rsid w:val="00E07522"/>
    <w:rsid w:val="00E07CB2"/>
    <w:rsid w:val="00E104B8"/>
    <w:rsid w:val="00E10D4B"/>
    <w:rsid w:val="00E10F8C"/>
    <w:rsid w:val="00E10FF0"/>
    <w:rsid w:val="00E1176E"/>
    <w:rsid w:val="00E11FE6"/>
    <w:rsid w:val="00E12B57"/>
    <w:rsid w:val="00E13B19"/>
    <w:rsid w:val="00E147C8"/>
    <w:rsid w:val="00E147E4"/>
    <w:rsid w:val="00E14D71"/>
    <w:rsid w:val="00E1576D"/>
    <w:rsid w:val="00E159BF"/>
    <w:rsid w:val="00E1708C"/>
    <w:rsid w:val="00E172C0"/>
    <w:rsid w:val="00E178E4"/>
    <w:rsid w:val="00E17E75"/>
    <w:rsid w:val="00E2003D"/>
    <w:rsid w:val="00E20C24"/>
    <w:rsid w:val="00E21F72"/>
    <w:rsid w:val="00E2223E"/>
    <w:rsid w:val="00E223CF"/>
    <w:rsid w:val="00E23777"/>
    <w:rsid w:val="00E23CB5"/>
    <w:rsid w:val="00E2549D"/>
    <w:rsid w:val="00E25D43"/>
    <w:rsid w:val="00E26CFF"/>
    <w:rsid w:val="00E27066"/>
    <w:rsid w:val="00E273EA"/>
    <w:rsid w:val="00E27485"/>
    <w:rsid w:val="00E274B7"/>
    <w:rsid w:val="00E30516"/>
    <w:rsid w:val="00E3090D"/>
    <w:rsid w:val="00E3226D"/>
    <w:rsid w:val="00E32586"/>
    <w:rsid w:val="00E32857"/>
    <w:rsid w:val="00E328E1"/>
    <w:rsid w:val="00E32923"/>
    <w:rsid w:val="00E32A3C"/>
    <w:rsid w:val="00E339F5"/>
    <w:rsid w:val="00E344A2"/>
    <w:rsid w:val="00E3482D"/>
    <w:rsid w:val="00E34EFA"/>
    <w:rsid w:val="00E35E47"/>
    <w:rsid w:val="00E36333"/>
    <w:rsid w:val="00E364CB"/>
    <w:rsid w:val="00E367FE"/>
    <w:rsid w:val="00E377B8"/>
    <w:rsid w:val="00E379D1"/>
    <w:rsid w:val="00E37CF1"/>
    <w:rsid w:val="00E41599"/>
    <w:rsid w:val="00E41949"/>
    <w:rsid w:val="00E42773"/>
    <w:rsid w:val="00E427AD"/>
    <w:rsid w:val="00E42C43"/>
    <w:rsid w:val="00E42DB9"/>
    <w:rsid w:val="00E433E9"/>
    <w:rsid w:val="00E448B1"/>
    <w:rsid w:val="00E45550"/>
    <w:rsid w:val="00E46AE0"/>
    <w:rsid w:val="00E46B29"/>
    <w:rsid w:val="00E46CB0"/>
    <w:rsid w:val="00E4786A"/>
    <w:rsid w:val="00E50FF2"/>
    <w:rsid w:val="00E51F6F"/>
    <w:rsid w:val="00E5218A"/>
    <w:rsid w:val="00E523E5"/>
    <w:rsid w:val="00E530B1"/>
    <w:rsid w:val="00E53D89"/>
    <w:rsid w:val="00E53E42"/>
    <w:rsid w:val="00E548E0"/>
    <w:rsid w:val="00E54DB9"/>
    <w:rsid w:val="00E54FB6"/>
    <w:rsid w:val="00E55389"/>
    <w:rsid w:val="00E568FE"/>
    <w:rsid w:val="00E56B09"/>
    <w:rsid w:val="00E57F45"/>
    <w:rsid w:val="00E60C70"/>
    <w:rsid w:val="00E6275E"/>
    <w:rsid w:val="00E62A49"/>
    <w:rsid w:val="00E62F78"/>
    <w:rsid w:val="00E632B9"/>
    <w:rsid w:val="00E63A61"/>
    <w:rsid w:val="00E64327"/>
    <w:rsid w:val="00E643AE"/>
    <w:rsid w:val="00E64BE1"/>
    <w:rsid w:val="00E64D7D"/>
    <w:rsid w:val="00E64E02"/>
    <w:rsid w:val="00E65E71"/>
    <w:rsid w:val="00E66802"/>
    <w:rsid w:val="00E66B08"/>
    <w:rsid w:val="00E67515"/>
    <w:rsid w:val="00E67815"/>
    <w:rsid w:val="00E7008E"/>
    <w:rsid w:val="00E705BA"/>
    <w:rsid w:val="00E70B52"/>
    <w:rsid w:val="00E712E9"/>
    <w:rsid w:val="00E7154E"/>
    <w:rsid w:val="00E7200E"/>
    <w:rsid w:val="00E721AE"/>
    <w:rsid w:val="00E726DB"/>
    <w:rsid w:val="00E7270A"/>
    <w:rsid w:val="00E72CB7"/>
    <w:rsid w:val="00E72F1C"/>
    <w:rsid w:val="00E7301C"/>
    <w:rsid w:val="00E733CD"/>
    <w:rsid w:val="00E737A2"/>
    <w:rsid w:val="00E738FB"/>
    <w:rsid w:val="00E762FC"/>
    <w:rsid w:val="00E76BBA"/>
    <w:rsid w:val="00E77007"/>
    <w:rsid w:val="00E80A36"/>
    <w:rsid w:val="00E8132B"/>
    <w:rsid w:val="00E81A26"/>
    <w:rsid w:val="00E81CF5"/>
    <w:rsid w:val="00E81E5B"/>
    <w:rsid w:val="00E83B8C"/>
    <w:rsid w:val="00E84094"/>
    <w:rsid w:val="00E84EA1"/>
    <w:rsid w:val="00E85C1A"/>
    <w:rsid w:val="00E861CE"/>
    <w:rsid w:val="00E86606"/>
    <w:rsid w:val="00E86CF3"/>
    <w:rsid w:val="00E86D9D"/>
    <w:rsid w:val="00E872B3"/>
    <w:rsid w:val="00E878BC"/>
    <w:rsid w:val="00E90B99"/>
    <w:rsid w:val="00E9163D"/>
    <w:rsid w:val="00E9193E"/>
    <w:rsid w:val="00E91D45"/>
    <w:rsid w:val="00E91D49"/>
    <w:rsid w:val="00E92B38"/>
    <w:rsid w:val="00E933DA"/>
    <w:rsid w:val="00E935F3"/>
    <w:rsid w:val="00E93716"/>
    <w:rsid w:val="00E93768"/>
    <w:rsid w:val="00E93D4D"/>
    <w:rsid w:val="00E9444A"/>
    <w:rsid w:val="00E9454B"/>
    <w:rsid w:val="00E94A91"/>
    <w:rsid w:val="00E94D66"/>
    <w:rsid w:val="00E9614B"/>
    <w:rsid w:val="00E9630A"/>
    <w:rsid w:val="00E96EF3"/>
    <w:rsid w:val="00E97638"/>
    <w:rsid w:val="00EA0373"/>
    <w:rsid w:val="00EA0482"/>
    <w:rsid w:val="00EA0C4D"/>
    <w:rsid w:val="00EA1025"/>
    <w:rsid w:val="00EA21FF"/>
    <w:rsid w:val="00EA24C8"/>
    <w:rsid w:val="00EA2FB5"/>
    <w:rsid w:val="00EA3202"/>
    <w:rsid w:val="00EA3658"/>
    <w:rsid w:val="00EA490E"/>
    <w:rsid w:val="00EA6089"/>
    <w:rsid w:val="00EA68DF"/>
    <w:rsid w:val="00EA6D33"/>
    <w:rsid w:val="00EB0D29"/>
    <w:rsid w:val="00EB17E9"/>
    <w:rsid w:val="00EB1AF8"/>
    <w:rsid w:val="00EB202A"/>
    <w:rsid w:val="00EB2164"/>
    <w:rsid w:val="00EB2755"/>
    <w:rsid w:val="00EB2D92"/>
    <w:rsid w:val="00EB2DA1"/>
    <w:rsid w:val="00EB31DC"/>
    <w:rsid w:val="00EB35D3"/>
    <w:rsid w:val="00EB3981"/>
    <w:rsid w:val="00EB3E45"/>
    <w:rsid w:val="00EB3E8D"/>
    <w:rsid w:val="00EB4383"/>
    <w:rsid w:val="00EB45DE"/>
    <w:rsid w:val="00EB4932"/>
    <w:rsid w:val="00EB52D8"/>
    <w:rsid w:val="00EB63B3"/>
    <w:rsid w:val="00EB7506"/>
    <w:rsid w:val="00EB76B7"/>
    <w:rsid w:val="00EC00CA"/>
    <w:rsid w:val="00EC058F"/>
    <w:rsid w:val="00EC0940"/>
    <w:rsid w:val="00EC0B22"/>
    <w:rsid w:val="00EC1AC3"/>
    <w:rsid w:val="00EC1D4C"/>
    <w:rsid w:val="00EC3179"/>
    <w:rsid w:val="00EC31AF"/>
    <w:rsid w:val="00EC325F"/>
    <w:rsid w:val="00EC3612"/>
    <w:rsid w:val="00EC3A84"/>
    <w:rsid w:val="00EC3BC8"/>
    <w:rsid w:val="00EC3C99"/>
    <w:rsid w:val="00EC44FF"/>
    <w:rsid w:val="00EC4BA9"/>
    <w:rsid w:val="00EC4DE2"/>
    <w:rsid w:val="00EC4FBA"/>
    <w:rsid w:val="00EC5E9E"/>
    <w:rsid w:val="00EC77B7"/>
    <w:rsid w:val="00EC7FF8"/>
    <w:rsid w:val="00ED0B16"/>
    <w:rsid w:val="00ED19CF"/>
    <w:rsid w:val="00ED1D9B"/>
    <w:rsid w:val="00ED1E36"/>
    <w:rsid w:val="00ED1FA0"/>
    <w:rsid w:val="00ED217A"/>
    <w:rsid w:val="00ED275B"/>
    <w:rsid w:val="00ED2A5C"/>
    <w:rsid w:val="00ED2DC1"/>
    <w:rsid w:val="00ED42E3"/>
    <w:rsid w:val="00ED4435"/>
    <w:rsid w:val="00ED4613"/>
    <w:rsid w:val="00ED4619"/>
    <w:rsid w:val="00ED4B52"/>
    <w:rsid w:val="00ED4D08"/>
    <w:rsid w:val="00ED5C86"/>
    <w:rsid w:val="00ED5D5C"/>
    <w:rsid w:val="00ED689C"/>
    <w:rsid w:val="00ED6FD6"/>
    <w:rsid w:val="00ED75C3"/>
    <w:rsid w:val="00ED7EB8"/>
    <w:rsid w:val="00EE04FA"/>
    <w:rsid w:val="00EE0746"/>
    <w:rsid w:val="00EE0ADE"/>
    <w:rsid w:val="00EE1E38"/>
    <w:rsid w:val="00EE265A"/>
    <w:rsid w:val="00EE5305"/>
    <w:rsid w:val="00EE5E4D"/>
    <w:rsid w:val="00EE5EB5"/>
    <w:rsid w:val="00EE60DA"/>
    <w:rsid w:val="00EE66E8"/>
    <w:rsid w:val="00EE6705"/>
    <w:rsid w:val="00EE67CF"/>
    <w:rsid w:val="00EE69B1"/>
    <w:rsid w:val="00EE7FC9"/>
    <w:rsid w:val="00EF04F1"/>
    <w:rsid w:val="00EF0CA6"/>
    <w:rsid w:val="00EF0CFE"/>
    <w:rsid w:val="00EF0F4E"/>
    <w:rsid w:val="00EF1891"/>
    <w:rsid w:val="00EF19E3"/>
    <w:rsid w:val="00EF1C0A"/>
    <w:rsid w:val="00EF223B"/>
    <w:rsid w:val="00EF31DD"/>
    <w:rsid w:val="00EF34A6"/>
    <w:rsid w:val="00EF39AE"/>
    <w:rsid w:val="00EF3B21"/>
    <w:rsid w:val="00EF4F22"/>
    <w:rsid w:val="00EF5625"/>
    <w:rsid w:val="00EF6064"/>
    <w:rsid w:val="00EF6866"/>
    <w:rsid w:val="00EF7834"/>
    <w:rsid w:val="00F01F7B"/>
    <w:rsid w:val="00F0262B"/>
    <w:rsid w:val="00F0336A"/>
    <w:rsid w:val="00F03865"/>
    <w:rsid w:val="00F04FF5"/>
    <w:rsid w:val="00F0512C"/>
    <w:rsid w:val="00F053F8"/>
    <w:rsid w:val="00F05ED1"/>
    <w:rsid w:val="00F07AB7"/>
    <w:rsid w:val="00F07BAF"/>
    <w:rsid w:val="00F10200"/>
    <w:rsid w:val="00F1185F"/>
    <w:rsid w:val="00F11936"/>
    <w:rsid w:val="00F11E6F"/>
    <w:rsid w:val="00F12394"/>
    <w:rsid w:val="00F124FD"/>
    <w:rsid w:val="00F127FB"/>
    <w:rsid w:val="00F12848"/>
    <w:rsid w:val="00F129DD"/>
    <w:rsid w:val="00F12C56"/>
    <w:rsid w:val="00F1326E"/>
    <w:rsid w:val="00F147AB"/>
    <w:rsid w:val="00F14FCC"/>
    <w:rsid w:val="00F152B9"/>
    <w:rsid w:val="00F16CBD"/>
    <w:rsid w:val="00F17150"/>
    <w:rsid w:val="00F1754A"/>
    <w:rsid w:val="00F208B0"/>
    <w:rsid w:val="00F20D57"/>
    <w:rsid w:val="00F20DFD"/>
    <w:rsid w:val="00F210CE"/>
    <w:rsid w:val="00F21237"/>
    <w:rsid w:val="00F21F3C"/>
    <w:rsid w:val="00F22625"/>
    <w:rsid w:val="00F248EE"/>
    <w:rsid w:val="00F24FF5"/>
    <w:rsid w:val="00F25220"/>
    <w:rsid w:val="00F252BD"/>
    <w:rsid w:val="00F3020C"/>
    <w:rsid w:val="00F314C9"/>
    <w:rsid w:val="00F32666"/>
    <w:rsid w:val="00F32EE8"/>
    <w:rsid w:val="00F34A55"/>
    <w:rsid w:val="00F34C84"/>
    <w:rsid w:val="00F35564"/>
    <w:rsid w:val="00F3592D"/>
    <w:rsid w:val="00F35997"/>
    <w:rsid w:val="00F378F0"/>
    <w:rsid w:val="00F40CCC"/>
    <w:rsid w:val="00F41429"/>
    <w:rsid w:val="00F41D39"/>
    <w:rsid w:val="00F42E1C"/>
    <w:rsid w:val="00F43662"/>
    <w:rsid w:val="00F438A1"/>
    <w:rsid w:val="00F43C10"/>
    <w:rsid w:val="00F43DD3"/>
    <w:rsid w:val="00F44275"/>
    <w:rsid w:val="00F44911"/>
    <w:rsid w:val="00F450D4"/>
    <w:rsid w:val="00F451C1"/>
    <w:rsid w:val="00F452BB"/>
    <w:rsid w:val="00F4560C"/>
    <w:rsid w:val="00F45AA2"/>
    <w:rsid w:val="00F45C32"/>
    <w:rsid w:val="00F45DA0"/>
    <w:rsid w:val="00F465F0"/>
    <w:rsid w:val="00F4682C"/>
    <w:rsid w:val="00F473D7"/>
    <w:rsid w:val="00F47BC1"/>
    <w:rsid w:val="00F47E14"/>
    <w:rsid w:val="00F50C26"/>
    <w:rsid w:val="00F51A29"/>
    <w:rsid w:val="00F525CA"/>
    <w:rsid w:val="00F53193"/>
    <w:rsid w:val="00F539F9"/>
    <w:rsid w:val="00F53D3B"/>
    <w:rsid w:val="00F543A9"/>
    <w:rsid w:val="00F54A82"/>
    <w:rsid w:val="00F54F4B"/>
    <w:rsid w:val="00F55196"/>
    <w:rsid w:val="00F5554F"/>
    <w:rsid w:val="00F55CB9"/>
    <w:rsid w:val="00F57D7C"/>
    <w:rsid w:val="00F57DFF"/>
    <w:rsid w:val="00F61260"/>
    <w:rsid w:val="00F61890"/>
    <w:rsid w:val="00F61A23"/>
    <w:rsid w:val="00F61CC0"/>
    <w:rsid w:val="00F627DF"/>
    <w:rsid w:val="00F62963"/>
    <w:rsid w:val="00F62B68"/>
    <w:rsid w:val="00F6355F"/>
    <w:rsid w:val="00F6433A"/>
    <w:rsid w:val="00F64A92"/>
    <w:rsid w:val="00F659C1"/>
    <w:rsid w:val="00F65DBB"/>
    <w:rsid w:val="00F65E2C"/>
    <w:rsid w:val="00F65EBA"/>
    <w:rsid w:val="00F65F19"/>
    <w:rsid w:val="00F6718B"/>
    <w:rsid w:val="00F7024B"/>
    <w:rsid w:val="00F70D39"/>
    <w:rsid w:val="00F719D4"/>
    <w:rsid w:val="00F71C0A"/>
    <w:rsid w:val="00F722EB"/>
    <w:rsid w:val="00F72F28"/>
    <w:rsid w:val="00F7327F"/>
    <w:rsid w:val="00F73B1B"/>
    <w:rsid w:val="00F7465E"/>
    <w:rsid w:val="00F746AE"/>
    <w:rsid w:val="00F74939"/>
    <w:rsid w:val="00F74A1A"/>
    <w:rsid w:val="00F765A7"/>
    <w:rsid w:val="00F76882"/>
    <w:rsid w:val="00F76C9C"/>
    <w:rsid w:val="00F7756D"/>
    <w:rsid w:val="00F775C5"/>
    <w:rsid w:val="00F77C1A"/>
    <w:rsid w:val="00F8195D"/>
    <w:rsid w:val="00F81E5F"/>
    <w:rsid w:val="00F82AEA"/>
    <w:rsid w:val="00F82E89"/>
    <w:rsid w:val="00F83E33"/>
    <w:rsid w:val="00F85082"/>
    <w:rsid w:val="00F86005"/>
    <w:rsid w:val="00F868BF"/>
    <w:rsid w:val="00F86D9A"/>
    <w:rsid w:val="00F86DB5"/>
    <w:rsid w:val="00F8748F"/>
    <w:rsid w:val="00F90155"/>
    <w:rsid w:val="00F909B8"/>
    <w:rsid w:val="00F91867"/>
    <w:rsid w:val="00F92FB4"/>
    <w:rsid w:val="00F930D8"/>
    <w:rsid w:val="00F94532"/>
    <w:rsid w:val="00F9471B"/>
    <w:rsid w:val="00F94FD8"/>
    <w:rsid w:val="00F94FEC"/>
    <w:rsid w:val="00F95426"/>
    <w:rsid w:val="00F97896"/>
    <w:rsid w:val="00FA09FF"/>
    <w:rsid w:val="00FA24BB"/>
    <w:rsid w:val="00FA2594"/>
    <w:rsid w:val="00FA2945"/>
    <w:rsid w:val="00FA29A5"/>
    <w:rsid w:val="00FA3309"/>
    <w:rsid w:val="00FA3FA4"/>
    <w:rsid w:val="00FA4A2D"/>
    <w:rsid w:val="00FA4D70"/>
    <w:rsid w:val="00FA55F4"/>
    <w:rsid w:val="00FA5F1D"/>
    <w:rsid w:val="00FA6203"/>
    <w:rsid w:val="00FA6683"/>
    <w:rsid w:val="00FA67DE"/>
    <w:rsid w:val="00FA6A5A"/>
    <w:rsid w:val="00FA6CF8"/>
    <w:rsid w:val="00FA74CB"/>
    <w:rsid w:val="00FB0D1C"/>
    <w:rsid w:val="00FB0DA3"/>
    <w:rsid w:val="00FB22BC"/>
    <w:rsid w:val="00FB2915"/>
    <w:rsid w:val="00FB2B7E"/>
    <w:rsid w:val="00FB2C86"/>
    <w:rsid w:val="00FB2F2C"/>
    <w:rsid w:val="00FB30C6"/>
    <w:rsid w:val="00FB3447"/>
    <w:rsid w:val="00FB3696"/>
    <w:rsid w:val="00FB3926"/>
    <w:rsid w:val="00FB5801"/>
    <w:rsid w:val="00FB59EB"/>
    <w:rsid w:val="00FB625E"/>
    <w:rsid w:val="00FB6C9C"/>
    <w:rsid w:val="00FB77F0"/>
    <w:rsid w:val="00FC09AD"/>
    <w:rsid w:val="00FC0E08"/>
    <w:rsid w:val="00FC1ECB"/>
    <w:rsid w:val="00FC2886"/>
    <w:rsid w:val="00FC3CB8"/>
    <w:rsid w:val="00FC4747"/>
    <w:rsid w:val="00FC493B"/>
    <w:rsid w:val="00FC4E17"/>
    <w:rsid w:val="00FC4FB3"/>
    <w:rsid w:val="00FC6246"/>
    <w:rsid w:val="00FC62F0"/>
    <w:rsid w:val="00FC6E03"/>
    <w:rsid w:val="00FC7BC4"/>
    <w:rsid w:val="00FC7FB6"/>
    <w:rsid w:val="00FD1051"/>
    <w:rsid w:val="00FD243A"/>
    <w:rsid w:val="00FD255C"/>
    <w:rsid w:val="00FD2914"/>
    <w:rsid w:val="00FD2FF6"/>
    <w:rsid w:val="00FD320D"/>
    <w:rsid w:val="00FD3373"/>
    <w:rsid w:val="00FD51FE"/>
    <w:rsid w:val="00FD5370"/>
    <w:rsid w:val="00FD54DF"/>
    <w:rsid w:val="00FD6848"/>
    <w:rsid w:val="00FD6A17"/>
    <w:rsid w:val="00FD6DDC"/>
    <w:rsid w:val="00FD7752"/>
    <w:rsid w:val="00FD7CA7"/>
    <w:rsid w:val="00FE0167"/>
    <w:rsid w:val="00FE0A24"/>
    <w:rsid w:val="00FE123F"/>
    <w:rsid w:val="00FE14DB"/>
    <w:rsid w:val="00FE1E4A"/>
    <w:rsid w:val="00FE2407"/>
    <w:rsid w:val="00FE36A5"/>
    <w:rsid w:val="00FE3830"/>
    <w:rsid w:val="00FE3AE9"/>
    <w:rsid w:val="00FE3EFB"/>
    <w:rsid w:val="00FE42DC"/>
    <w:rsid w:val="00FE57DD"/>
    <w:rsid w:val="00FE58DD"/>
    <w:rsid w:val="00FE66FC"/>
    <w:rsid w:val="00FE6FA8"/>
    <w:rsid w:val="00FE7519"/>
    <w:rsid w:val="00FF00E8"/>
    <w:rsid w:val="00FF02B1"/>
    <w:rsid w:val="00FF02B2"/>
    <w:rsid w:val="00FF04E7"/>
    <w:rsid w:val="00FF0EE1"/>
    <w:rsid w:val="00FF1205"/>
    <w:rsid w:val="00FF212E"/>
    <w:rsid w:val="00FF2795"/>
    <w:rsid w:val="00FF2C42"/>
    <w:rsid w:val="00FF31DB"/>
    <w:rsid w:val="00FF356F"/>
    <w:rsid w:val="00FF4297"/>
    <w:rsid w:val="00FF462D"/>
    <w:rsid w:val="00FF502B"/>
    <w:rsid w:val="00FF57BA"/>
    <w:rsid w:val="00FF5A68"/>
    <w:rsid w:val="00FF5C25"/>
    <w:rsid w:val="00FF64AD"/>
    <w:rsid w:val="00FF6663"/>
    <w:rsid w:val="00FF6EBC"/>
    <w:rsid w:val="00FF7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E8A"/>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65E8A"/>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665E8A"/>
    <w:pPr>
      <w:keepNext/>
      <w:numPr>
        <w:ilvl w:val="1"/>
        <w:numId w:val="1"/>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665E8A"/>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65E8A"/>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665E8A"/>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665E8A"/>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665E8A"/>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65E8A"/>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665E8A"/>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65E8A"/>
    <w:pPr>
      <w:numPr>
        <w:numId w:val="11"/>
      </w:numPr>
      <w:tabs>
        <w:tab w:val="clear" w:pos="1080"/>
        <w:tab w:val="num" w:pos="1440"/>
      </w:tabs>
      <w:spacing w:after="120"/>
    </w:pPr>
  </w:style>
  <w:style w:type="paragraph" w:styleId="EndnoteText">
    <w:name w:val="endnote text"/>
    <w:basedOn w:val="Normal"/>
    <w:semiHidden/>
    <w:rsid w:val="00665E8A"/>
    <w:rPr>
      <w:sz w:val="20"/>
    </w:rPr>
  </w:style>
  <w:style w:type="character" w:styleId="EndnoteReference">
    <w:name w:val="endnote reference"/>
    <w:semiHidden/>
    <w:rsid w:val="00665E8A"/>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665E8A"/>
    <w:pPr>
      <w:spacing w:after="120"/>
    </w:pPr>
    <w:rPr>
      <w:sz w:val="20"/>
      <w:szCs w:val="20"/>
    </w:rPr>
  </w:style>
  <w:style w:type="character" w:styleId="FootnoteReference">
    <w:name w:val="footnote reference"/>
    <w:aliases w:val="Style 13,Style 12,(NECG) Footnote Reference,Appel note de bas de p,Style 124,fr,o,Style 3,FR,Style 17,Style 6,Footnote Reference/,Style 7"/>
    <w:rsid w:val="00665E8A"/>
    <w:rPr>
      <w:rFonts w:ascii="Times New Roman" w:hAnsi="Times New Roman"/>
      <w:dstrike w:val="0"/>
      <w:color w:val="auto"/>
      <w:sz w:val="20"/>
      <w:vertAlign w:val="superscript"/>
    </w:rPr>
  </w:style>
  <w:style w:type="paragraph" w:styleId="TOC1">
    <w:name w:val="toc 1"/>
    <w:basedOn w:val="Normal"/>
    <w:next w:val="Normal"/>
    <w:rsid w:val="00665E8A"/>
    <w:pPr>
      <w:tabs>
        <w:tab w:val="left" w:pos="360"/>
        <w:tab w:val="right" w:leader="dot" w:pos="9360"/>
      </w:tabs>
      <w:suppressAutoHyphens/>
      <w:ind w:left="360" w:right="720" w:hanging="360"/>
    </w:pPr>
    <w:rPr>
      <w:caps/>
      <w:noProof/>
    </w:rPr>
  </w:style>
  <w:style w:type="paragraph" w:styleId="TOC2">
    <w:name w:val="toc 2"/>
    <w:basedOn w:val="Normal"/>
    <w:next w:val="Normal"/>
    <w:rsid w:val="00665E8A"/>
    <w:pPr>
      <w:tabs>
        <w:tab w:val="left" w:pos="720"/>
        <w:tab w:val="right" w:leader="dot" w:pos="9360"/>
      </w:tabs>
      <w:suppressAutoHyphens/>
      <w:ind w:left="720" w:right="720" w:hanging="360"/>
    </w:pPr>
    <w:rPr>
      <w:noProof/>
    </w:rPr>
  </w:style>
  <w:style w:type="paragraph" w:styleId="TOC3">
    <w:name w:val="toc 3"/>
    <w:basedOn w:val="Normal"/>
    <w:next w:val="Normal"/>
    <w:rsid w:val="00665E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5E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5E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5E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5E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5E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5E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5E8A"/>
    <w:pPr>
      <w:tabs>
        <w:tab w:val="right" w:pos="9360"/>
      </w:tabs>
      <w:suppressAutoHyphens/>
    </w:pPr>
  </w:style>
  <w:style w:type="character" w:customStyle="1" w:styleId="EquationCaption">
    <w:name w:val="_Equation Caption"/>
    <w:rsid w:val="00665E8A"/>
  </w:style>
  <w:style w:type="paragraph" w:styleId="Header">
    <w:name w:val="header"/>
    <w:basedOn w:val="Normal"/>
    <w:link w:val="HeaderChar"/>
    <w:autoRedefine/>
    <w:rsid w:val="00665E8A"/>
    <w:pPr>
      <w:tabs>
        <w:tab w:val="center" w:pos="4680"/>
        <w:tab w:val="right" w:pos="9360"/>
      </w:tabs>
    </w:pPr>
    <w:rPr>
      <w:b/>
    </w:rPr>
  </w:style>
  <w:style w:type="paragraph" w:styleId="Footer">
    <w:name w:val="footer"/>
    <w:basedOn w:val="Normal"/>
    <w:link w:val="FooterChar"/>
    <w:rsid w:val="00665E8A"/>
    <w:pPr>
      <w:tabs>
        <w:tab w:val="center" w:pos="4320"/>
        <w:tab w:val="right" w:pos="8640"/>
      </w:tabs>
    </w:pPr>
  </w:style>
  <w:style w:type="character" w:styleId="PageNumber">
    <w:name w:val="page number"/>
    <w:basedOn w:val="DefaultParagraphFont"/>
    <w:rsid w:val="00665E8A"/>
  </w:style>
  <w:style w:type="paragraph" w:styleId="BlockText">
    <w:name w:val="Block Text"/>
    <w:basedOn w:val="Normal"/>
    <w:rsid w:val="00665E8A"/>
    <w:pPr>
      <w:spacing w:after="240"/>
      <w:ind w:left="1440" w:right="1440"/>
    </w:pPr>
  </w:style>
  <w:style w:type="paragraph" w:customStyle="1" w:styleId="Paratitle">
    <w:name w:val="Para title"/>
    <w:basedOn w:val="Normal"/>
    <w:rsid w:val="00665E8A"/>
    <w:pPr>
      <w:tabs>
        <w:tab w:val="center" w:pos="9270"/>
      </w:tabs>
      <w:spacing w:after="240"/>
    </w:pPr>
    <w:rPr>
      <w:spacing w:val="-2"/>
    </w:rPr>
  </w:style>
  <w:style w:type="paragraph" w:customStyle="1" w:styleId="Bullet">
    <w:name w:val="Bullet"/>
    <w:basedOn w:val="Normal"/>
    <w:rsid w:val="00665E8A"/>
    <w:pPr>
      <w:tabs>
        <w:tab w:val="left" w:pos="2160"/>
      </w:tabs>
      <w:spacing w:after="220"/>
      <w:ind w:left="2160" w:hanging="720"/>
    </w:pPr>
  </w:style>
  <w:style w:type="paragraph" w:customStyle="1" w:styleId="TableFormat">
    <w:name w:val="TableFormat"/>
    <w:basedOn w:val="Bullet"/>
    <w:rsid w:val="00665E8A"/>
    <w:pPr>
      <w:tabs>
        <w:tab w:val="clear" w:pos="2160"/>
        <w:tab w:val="left" w:pos="5040"/>
      </w:tabs>
      <w:ind w:left="5040" w:hanging="3600"/>
    </w:pPr>
  </w:style>
  <w:style w:type="paragraph" w:customStyle="1" w:styleId="TOCTitle">
    <w:name w:val="TOC Title"/>
    <w:basedOn w:val="Normal"/>
    <w:rsid w:val="00665E8A"/>
    <w:pPr>
      <w:spacing w:before="240" w:after="240"/>
      <w:jc w:val="center"/>
    </w:pPr>
    <w:rPr>
      <w:rFonts w:ascii="Times New Roman Bold" w:hAnsi="Times New Roman Bold"/>
      <w:b/>
      <w:caps/>
      <w:spacing w:val="-2"/>
    </w:rPr>
  </w:style>
  <w:style w:type="character" w:styleId="Hyperlink">
    <w:name w:val="Hyperlink"/>
    <w:rsid w:val="00665E8A"/>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0F4FDF"/>
    <w:rPr>
      <w:sz w:val="20"/>
      <w:szCs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
    <w:link w:val="Heading2"/>
    <w:locked/>
    <w:rsid w:val="00FA3309"/>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spacing w:after="240"/>
    </w:pPr>
  </w:style>
  <w:style w:type="paragraph" w:styleId="ListNumber4">
    <w:name w:val="List Number 4"/>
    <w:basedOn w:val="Normal"/>
    <w:unhideWhenUsed/>
    <w:rsid w:val="002535E0"/>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napToGrid w:val="0"/>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665E8A"/>
    <w:pPr>
      <w:jc w:val="center"/>
    </w:pPr>
    <w:rPr>
      <w:rFonts w:ascii="Times New Roman Bold" w:hAnsi="Times New Roman Bold"/>
      <w:b/>
      <w:bCs/>
      <w:caps/>
      <w:szCs w:val="22"/>
    </w:rPr>
  </w:style>
  <w:style w:type="character" w:customStyle="1" w:styleId="FootnoteTextChar1Char">
    <w:name w:val="Footnote Text Char1 Char"/>
    <w:aliases w:val="Footnote Text Char Char Char,Footnote Text Char2 Char Char Char,Footnote Text Char3 Char1 Char Char Char,Footnote Text Char3 Char1 Char Char Char Char Char,Footnote Text Char Char1,ALTS FOOTNOTE Char,fn Char1 Char,fn Char2"/>
    <w:rsid w:val="00F44275"/>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2,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551A6D"/>
    <w:pPr>
      <w:keepNext/>
      <w:widowControl/>
      <w:tabs>
        <w:tab w:val="num" w:pos="1440"/>
      </w:tabs>
      <w:spacing w:before="240" w:after="120"/>
      <w:ind w:left="1440" w:hanging="720"/>
      <w:outlineLvl w:val="1"/>
    </w:pPr>
    <w:rPr>
      <w:b/>
      <w:snapToGrid/>
      <w:color w:val="000000"/>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E8A"/>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65E8A"/>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665E8A"/>
    <w:pPr>
      <w:keepNext/>
      <w:numPr>
        <w:ilvl w:val="1"/>
        <w:numId w:val="1"/>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665E8A"/>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65E8A"/>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665E8A"/>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665E8A"/>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665E8A"/>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65E8A"/>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665E8A"/>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65E8A"/>
    <w:pPr>
      <w:numPr>
        <w:numId w:val="11"/>
      </w:numPr>
      <w:tabs>
        <w:tab w:val="clear" w:pos="1080"/>
        <w:tab w:val="num" w:pos="1440"/>
      </w:tabs>
      <w:spacing w:after="120"/>
    </w:pPr>
  </w:style>
  <w:style w:type="paragraph" w:styleId="EndnoteText">
    <w:name w:val="endnote text"/>
    <w:basedOn w:val="Normal"/>
    <w:semiHidden/>
    <w:rsid w:val="00665E8A"/>
    <w:rPr>
      <w:sz w:val="20"/>
    </w:rPr>
  </w:style>
  <w:style w:type="character" w:styleId="EndnoteReference">
    <w:name w:val="endnote reference"/>
    <w:semiHidden/>
    <w:rsid w:val="00665E8A"/>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665E8A"/>
    <w:pPr>
      <w:spacing w:after="120"/>
    </w:pPr>
    <w:rPr>
      <w:sz w:val="20"/>
      <w:szCs w:val="20"/>
    </w:rPr>
  </w:style>
  <w:style w:type="character" w:styleId="FootnoteReference">
    <w:name w:val="footnote reference"/>
    <w:aliases w:val="Style 13,Style 12,(NECG) Footnote Reference,Appel note de bas de p,Style 124,fr,o,Style 3,FR,Style 17,Style 6,Footnote Reference/,Style 7"/>
    <w:rsid w:val="00665E8A"/>
    <w:rPr>
      <w:rFonts w:ascii="Times New Roman" w:hAnsi="Times New Roman"/>
      <w:dstrike w:val="0"/>
      <w:color w:val="auto"/>
      <w:sz w:val="20"/>
      <w:vertAlign w:val="superscript"/>
    </w:rPr>
  </w:style>
  <w:style w:type="paragraph" w:styleId="TOC1">
    <w:name w:val="toc 1"/>
    <w:basedOn w:val="Normal"/>
    <w:next w:val="Normal"/>
    <w:rsid w:val="00665E8A"/>
    <w:pPr>
      <w:tabs>
        <w:tab w:val="left" w:pos="360"/>
        <w:tab w:val="right" w:leader="dot" w:pos="9360"/>
      </w:tabs>
      <w:suppressAutoHyphens/>
      <w:ind w:left="360" w:right="720" w:hanging="360"/>
    </w:pPr>
    <w:rPr>
      <w:caps/>
      <w:noProof/>
    </w:rPr>
  </w:style>
  <w:style w:type="paragraph" w:styleId="TOC2">
    <w:name w:val="toc 2"/>
    <w:basedOn w:val="Normal"/>
    <w:next w:val="Normal"/>
    <w:rsid w:val="00665E8A"/>
    <w:pPr>
      <w:tabs>
        <w:tab w:val="left" w:pos="720"/>
        <w:tab w:val="right" w:leader="dot" w:pos="9360"/>
      </w:tabs>
      <w:suppressAutoHyphens/>
      <w:ind w:left="720" w:right="720" w:hanging="360"/>
    </w:pPr>
    <w:rPr>
      <w:noProof/>
    </w:rPr>
  </w:style>
  <w:style w:type="paragraph" w:styleId="TOC3">
    <w:name w:val="toc 3"/>
    <w:basedOn w:val="Normal"/>
    <w:next w:val="Normal"/>
    <w:rsid w:val="00665E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5E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5E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5E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5E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5E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5E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5E8A"/>
    <w:pPr>
      <w:tabs>
        <w:tab w:val="right" w:pos="9360"/>
      </w:tabs>
      <w:suppressAutoHyphens/>
    </w:pPr>
  </w:style>
  <w:style w:type="character" w:customStyle="1" w:styleId="EquationCaption">
    <w:name w:val="_Equation Caption"/>
    <w:rsid w:val="00665E8A"/>
  </w:style>
  <w:style w:type="paragraph" w:styleId="Header">
    <w:name w:val="header"/>
    <w:basedOn w:val="Normal"/>
    <w:link w:val="HeaderChar"/>
    <w:autoRedefine/>
    <w:rsid w:val="00665E8A"/>
    <w:pPr>
      <w:tabs>
        <w:tab w:val="center" w:pos="4680"/>
        <w:tab w:val="right" w:pos="9360"/>
      </w:tabs>
    </w:pPr>
    <w:rPr>
      <w:b/>
    </w:rPr>
  </w:style>
  <w:style w:type="paragraph" w:styleId="Footer">
    <w:name w:val="footer"/>
    <w:basedOn w:val="Normal"/>
    <w:link w:val="FooterChar"/>
    <w:rsid w:val="00665E8A"/>
    <w:pPr>
      <w:tabs>
        <w:tab w:val="center" w:pos="4320"/>
        <w:tab w:val="right" w:pos="8640"/>
      </w:tabs>
    </w:pPr>
  </w:style>
  <w:style w:type="character" w:styleId="PageNumber">
    <w:name w:val="page number"/>
    <w:basedOn w:val="DefaultParagraphFont"/>
    <w:rsid w:val="00665E8A"/>
  </w:style>
  <w:style w:type="paragraph" w:styleId="BlockText">
    <w:name w:val="Block Text"/>
    <w:basedOn w:val="Normal"/>
    <w:rsid w:val="00665E8A"/>
    <w:pPr>
      <w:spacing w:after="240"/>
      <w:ind w:left="1440" w:right="1440"/>
    </w:pPr>
  </w:style>
  <w:style w:type="paragraph" w:customStyle="1" w:styleId="Paratitle">
    <w:name w:val="Para title"/>
    <w:basedOn w:val="Normal"/>
    <w:rsid w:val="00665E8A"/>
    <w:pPr>
      <w:tabs>
        <w:tab w:val="center" w:pos="9270"/>
      </w:tabs>
      <w:spacing w:after="240"/>
    </w:pPr>
    <w:rPr>
      <w:spacing w:val="-2"/>
    </w:rPr>
  </w:style>
  <w:style w:type="paragraph" w:customStyle="1" w:styleId="Bullet">
    <w:name w:val="Bullet"/>
    <w:basedOn w:val="Normal"/>
    <w:rsid w:val="00665E8A"/>
    <w:pPr>
      <w:tabs>
        <w:tab w:val="left" w:pos="2160"/>
      </w:tabs>
      <w:spacing w:after="220"/>
      <w:ind w:left="2160" w:hanging="720"/>
    </w:pPr>
  </w:style>
  <w:style w:type="paragraph" w:customStyle="1" w:styleId="TableFormat">
    <w:name w:val="TableFormat"/>
    <w:basedOn w:val="Bullet"/>
    <w:rsid w:val="00665E8A"/>
    <w:pPr>
      <w:tabs>
        <w:tab w:val="clear" w:pos="2160"/>
        <w:tab w:val="left" w:pos="5040"/>
      </w:tabs>
      <w:ind w:left="5040" w:hanging="3600"/>
    </w:pPr>
  </w:style>
  <w:style w:type="paragraph" w:customStyle="1" w:styleId="TOCTitle">
    <w:name w:val="TOC Title"/>
    <w:basedOn w:val="Normal"/>
    <w:rsid w:val="00665E8A"/>
    <w:pPr>
      <w:spacing w:before="240" w:after="240"/>
      <w:jc w:val="center"/>
    </w:pPr>
    <w:rPr>
      <w:rFonts w:ascii="Times New Roman Bold" w:hAnsi="Times New Roman Bold"/>
      <w:b/>
      <w:caps/>
      <w:spacing w:val="-2"/>
    </w:rPr>
  </w:style>
  <w:style w:type="character" w:styleId="Hyperlink">
    <w:name w:val="Hyperlink"/>
    <w:rsid w:val="00665E8A"/>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0F4FDF"/>
    <w:rPr>
      <w:sz w:val="20"/>
      <w:szCs w:val="20"/>
    </w:rPr>
  </w:style>
  <w:style w:type="character" w:customStyle="1" w:styleId="FootnoteTextChar1Char1">
    <w:name w:val="Footnote Text Char1 Char1"/>
    <w:aliases w:val="Footnote Text Char3 Char Char1,Footnote Text Char2 Char Char Char1,Footnote Text Char Char1 Char Char Char1,Footnote Text Char2 Char Char1 Char Char Char1,Footnote Text Char Char1 Char Char Char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Heading 2 Char1 Char Char1,Heading 2 Char Char3 Char Char1,Heading 2 Char1 Char Char Char Char1,Heading 2 Char Char1 Char Char Char Char1,Heading 2 Char1 Char Char Char Char Char Char1,Heading 2 Char Char1 Char Char Char Char Char Char"/>
    <w:link w:val="Heading2"/>
    <w:locked/>
    <w:rsid w:val="00FA3309"/>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spacing w:after="240"/>
    </w:pPr>
  </w:style>
  <w:style w:type="paragraph" w:styleId="ListNumber4">
    <w:name w:val="List Number 4"/>
    <w:basedOn w:val="Normal"/>
    <w:unhideWhenUsed/>
    <w:rsid w:val="002535E0"/>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napToGrid w:val="0"/>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rsid w:val="0043384D"/>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665E8A"/>
    <w:pPr>
      <w:jc w:val="center"/>
    </w:pPr>
    <w:rPr>
      <w:rFonts w:ascii="Times New Roman Bold" w:hAnsi="Times New Roman Bold"/>
      <w:b/>
      <w:bCs/>
      <w:caps/>
      <w:szCs w:val="22"/>
    </w:rPr>
  </w:style>
  <w:style w:type="character" w:customStyle="1" w:styleId="FootnoteTextChar1Char">
    <w:name w:val="Footnote Text Char1 Char"/>
    <w:aliases w:val="Footnote Text Char Char Char,Footnote Text Char2 Char Char Char,Footnote Text Char3 Char1 Char Char Char,Footnote Text Char3 Char1 Char Char Char Char Char,Footnote Text Char Char1,ALTS FOOTNOTE Char,fn Char1 Char,fn Char2"/>
    <w:rsid w:val="00F44275"/>
    <w:rPr>
      <w:lang w:val="en-US" w:eastAsia="en-US" w:bidi="ar-SA"/>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Char Char2,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551A6D"/>
    <w:pPr>
      <w:keepNext/>
      <w:widowControl/>
      <w:tabs>
        <w:tab w:val="num" w:pos="1440"/>
      </w:tabs>
      <w:spacing w:before="240" w:after="120"/>
      <w:ind w:left="1440" w:hanging="720"/>
      <w:outlineLvl w:val="1"/>
    </w:pPr>
    <w:rPr>
      <w:b/>
      <w:snapToGrid/>
      <w:color w:val="000000"/>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097">
      <w:bodyDiv w:val="1"/>
      <w:marLeft w:val="0"/>
      <w:marRight w:val="0"/>
      <w:marTop w:val="0"/>
      <w:marBottom w:val="0"/>
      <w:divBdr>
        <w:top w:val="none" w:sz="0" w:space="0" w:color="auto"/>
        <w:left w:val="none" w:sz="0" w:space="0" w:color="auto"/>
        <w:bottom w:val="none" w:sz="0" w:space="0" w:color="auto"/>
        <w:right w:val="none" w:sz="0" w:space="0" w:color="auto"/>
      </w:divBdr>
    </w:div>
    <w:div w:id="48454455">
      <w:bodyDiv w:val="1"/>
      <w:marLeft w:val="0"/>
      <w:marRight w:val="0"/>
      <w:marTop w:val="0"/>
      <w:marBottom w:val="0"/>
      <w:divBdr>
        <w:top w:val="none" w:sz="0" w:space="0" w:color="auto"/>
        <w:left w:val="none" w:sz="0" w:space="0" w:color="auto"/>
        <w:bottom w:val="none" w:sz="0" w:space="0" w:color="auto"/>
        <w:right w:val="none" w:sz="0" w:space="0" w:color="auto"/>
      </w:divBdr>
    </w:div>
    <w:div w:id="78991418">
      <w:bodyDiv w:val="1"/>
      <w:marLeft w:val="0"/>
      <w:marRight w:val="0"/>
      <w:marTop w:val="0"/>
      <w:marBottom w:val="0"/>
      <w:divBdr>
        <w:top w:val="none" w:sz="0" w:space="0" w:color="auto"/>
        <w:left w:val="none" w:sz="0" w:space="0" w:color="auto"/>
        <w:bottom w:val="none" w:sz="0" w:space="0" w:color="auto"/>
        <w:right w:val="none" w:sz="0" w:space="0" w:color="auto"/>
      </w:divBdr>
    </w:div>
    <w:div w:id="83110073">
      <w:bodyDiv w:val="1"/>
      <w:marLeft w:val="0"/>
      <w:marRight w:val="0"/>
      <w:marTop w:val="0"/>
      <w:marBottom w:val="0"/>
      <w:divBdr>
        <w:top w:val="none" w:sz="0" w:space="0" w:color="auto"/>
        <w:left w:val="none" w:sz="0" w:space="0" w:color="auto"/>
        <w:bottom w:val="none" w:sz="0" w:space="0" w:color="auto"/>
        <w:right w:val="none" w:sz="0" w:space="0" w:color="auto"/>
      </w:divBdr>
    </w:div>
    <w:div w:id="156503904">
      <w:bodyDiv w:val="1"/>
      <w:marLeft w:val="0"/>
      <w:marRight w:val="0"/>
      <w:marTop w:val="0"/>
      <w:marBottom w:val="0"/>
      <w:divBdr>
        <w:top w:val="none" w:sz="0" w:space="0" w:color="auto"/>
        <w:left w:val="none" w:sz="0" w:space="0" w:color="auto"/>
        <w:bottom w:val="none" w:sz="0" w:space="0" w:color="auto"/>
        <w:right w:val="none" w:sz="0" w:space="0" w:color="auto"/>
      </w:divBdr>
    </w:div>
    <w:div w:id="166867143">
      <w:bodyDiv w:val="1"/>
      <w:marLeft w:val="0"/>
      <w:marRight w:val="0"/>
      <w:marTop w:val="0"/>
      <w:marBottom w:val="0"/>
      <w:divBdr>
        <w:top w:val="none" w:sz="0" w:space="0" w:color="auto"/>
        <w:left w:val="none" w:sz="0" w:space="0" w:color="auto"/>
        <w:bottom w:val="none" w:sz="0" w:space="0" w:color="auto"/>
        <w:right w:val="none" w:sz="0" w:space="0" w:color="auto"/>
      </w:divBdr>
    </w:div>
    <w:div w:id="227614127">
      <w:bodyDiv w:val="1"/>
      <w:marLeft w:val="0"/>
      <w:marRight w:val="0"/>
      <w:marTop w:val="0"/>
      <w:marBottom w:val="0"/>
      <w:divBdr>
        <w:top w:val="none" w:sz="0" w:space="0" w:color="auto"/>
        <w:left w:val="none" w:sz="0" w:space="0" w:color="auto"/>
        <w:bottom w:val="none" w:sz="0" w:space="0" w:color="auto"/>
        <w:right w:val="none" w:sz="0" w:space="0" w:color="auto"/>
      </w:divBdr>
    </w:div>
    <w:div w:id="294415705">
      <w:bodyDiv w:val="1"/>
      <w:marLeft w:val="0"/>
      <w:marRight w:val="0"/>
      <w:marTop w:val="0"/>
      <w:marBottom w:val="0"/>
      <w:divBdr>
        <w:top w:val="none" w:sz="0" w:space="0" w:color="auto"/>
        <w:left w:val="none" w:sz="0" w:space="0" w:color="auto"/>
        <w:bottom w:val="none" w:sz="0" w:space="0" w:color="auto"/>
        <w:right w:val="none" w:sz="0" w:space="0" w:color="auto"/>
      </w:divBdr>
    </w:div>
    <w:div w:id="309941476">
      <w:bodyDiv w:val="1"/>
      <w:marLeft w:val="0"/>
      <w:marRight w:val="0"/>
      <w:marTop w:val="0"/>
      <w:marBottom w:val="0"/>
      <w:divBdr>
        <w:top w:val="none" w:sz="0" w:space="0" w:color="auto"/>
        <w:left w:val="none" w:sz="0" w:space="0" w:color="auto"/>
        <w:bottom w:val="none" w:sz="0" w:space="0" w:color="auto"/>
        <w:right w:val="none" w:sz="0" w:space="0" w:color="auto"/>
      </w:divBdr>
    </w:div>
    <w:div w:id="368647893">
      <w:bodyDiv w:val="1"/>
      <w:marLeft w:val="0"/>
      <w:marRight w:val="0"/>
      <w:marTop w:val="0"/>
      <w:marBottom w:val="0"/>
      <w:divBdr>
        <w:top w:val="none" w:sz="0" w:space="0" w:color="auto"/>
        <w:left w:val="none" w:sz="0" w:space="0" w:color="auto"/>
        <w:bottom w:val="none" w:sz="0" w:space="0" w:color="auto"/>
        <w:right w:val="none" w:sz="0" w:space="0" w:color="auto"/>
      </w:divBdr>
    </w:div>
    <w:div w:id="428084655">
      <w:bodyDiv w:val="1"/>
      <w:marLeft w:val="0"/>
      <w:marRight w:val="0"/>
      <w:marTop w:val="0"/>
      <w:marBottom w:val="0"/>
      <w:divBdr>
        <w:top w:val="none" w:sz="0" w:space="0" w:color="auto"/>
        <w:left w:val="none" w:sz="0" w:space="0" w:color="auto"/>
        <w:bottom w:val="none" w:sz="0" w:space="0" w:color="auto"/>
        <w:right w:val="none" w:sz="0" w:space="0" w:color="auto"/>
      </w:divBdr>
    </w:div>
    <w:div w:id="437220450">
      <w:bodyDiv w:val="1"/>
      <w:marLeft w:val="0"/>
      <w:marRight w:val="0"/>
      <w:marTop w:val="0"/>
      <w:marBottom w:val="0"/>
      <w:divBdr>
        <w:top w:val="none" w:sz="0" w:space="0" w:color="auto"/>
        <w:left w:val="none" w:sz="0" w:space="0" w:color="auto"/>
        <w:bottom w:val="none" w:sz="0" w:space="0" w:color="auto"/>
        <w:right w:val="none" w:sz="0" w:space="0" w:color="auto"/>
      </w:divBdr>
    </w:div>
    <w:div w:id="460652922">
      <w:bodyDiv w:val="1"/>
      <w:marLeft w:val="0"/>
      <w:marRight w:val="0"/>
      <w:marTop w:val="0"/>
      <w:marBottom w:val="0"/>
      <w:divBdr>
        <w:top w:val="none" w:sz="0" w:space="0" w:color="auto"/>
        <w:left w:val="none" w:sz="0" w:space="0" w:color="auto"/>
        <w:bottom w:val="none" w:sz="0" w:space="0" w:color="auto"/>
        <w:right w:val="none" w:sz="0" w:space="0" w:color="auto"/>
      </w:divBdr>
      <w:divsChild>
        <w:div w:id="1371762540">
          <w:marLeft w:val="0"/>
          <w:marRight w:val="0"/>
          <w:marTop w:val="0"/>
          <w:marBottom w:val="0"/>
          <w:divBdr>
            <w:top w:val="none" w:sz="0" w:space="0" w:color="auto"/>
            <w:left w:val="none" w:sz="0" w:space="0" w:color="auto"/>
            <w:bottom w:val="none" w:sz="0" w:space="0" w:color="auto"/>
            <w:right w:val="none" w:sz="0" w:space="0" w:color="auto"/>
          </w:divBdr>
        </w:div>
      </w:divsChild>
    </w:div>
    <w:div w:id="491795654">
      <w:bodyDiv w:val="1"/>
      <w:marLeft w:val="0"/>
      <w:marRight w:val="0"/>
      <w:marTop w:val="0"/>
      <w:marBottom w:val="0"/>
      <w:divBdr>
        <w:top w:val="none" w:sz="0" w:space="0" w:color="auto"/>
        <w:left w:val="none" w:sz="0" w:space="0" w:color="auto"/>
        <w:bottom w:val="none" w:sz="0" w:space="0" w:color="auto"/>
        <w:right w:val="none" w:sz="0" w:space="0" w:color="auto"/>
      </w:divBdr>
    </w:div>
    <w:div w:id="502820886">
      <w:bodyDiv w:val="1"/>
      <w:marLeft w:val="0"/>
      <w:marRight w:val="0"/>
      <w:marTop w:val="0"/>
      <w:marBottom w:val="0"/>
      <w:divBdr>
        <w:top w:val="none" w:sz="0" w:space="0" w:color="auto"/>
        <w:left w:val="none" w:sz="0" w:space="0" w:color="auto"/>
        <w:bottom w:val="none" w:sz="0" w:space="0" w:color="auto"/>
        <w:right w:val="none" w:sz="0" w:space="0" w:color="auto"/>
      </w:divBdr>
      <w:divsChild>
        <w:div w:id="259143441">
          <w:marLeft w:val="0"/>
          <w:marRight w:val="0"/>
          <w:marTop w:val="0"/>
          <w:marBottom w:val="0"/>
          <w:divBdr>
            <w:top w:val="none" w:sz="0" w:space="0" w:color="auto"/>
            <w:left w:val="none" w:sz="0" w:space="0" w:color="auto"/>
            <w:bottom w:val="none" w:sz="0" w:space="0" w:color="auto"/>
            <w:right w:val="none" w:sz="0" w:space="0" w:color="auto"/>
          </w:divBdr>
        </w:div>
      </w:divsChild>
    </w:div>
    <w:div w:id="588730839">
      <w:bodyDiv w:val="1"/>
      <w:marLeft w:val="0"/>
      <w:marRight w:val="0"/>
      <w:marTop w:val="0"/>
      <w:marBottom w:val="0"/>
      <w:divBdr>
        <w:top w:val="none" w:sz="0" w:space="0" w:color="auto"/>
        <w:left w:val="none" w:sz="0" w:space="0" w:color="auto"/>
        <w:bottom w:val="none" w:sz="0" w:space="0" w:color="auto"/>
        <w:right w:val="none" w:sz="0" w:space="0" w:color="auto"/>
      </w:divBdr>
    </w:div>
    <w:div w:id="682393513">
      <w:bodyDiv w:val="1"/>
      <w:marLeft w:val="0"/>
      <w:marRight w:val="0"/>
      <w:marTop w:val="0"/>
      <w:marBottom w:val="0"/>
      <w:divBdr>
        <w:top w:val="none" w:sz="0" w:space="0" w:color="auto"/>
        <w:left w:val="none" w:sz="0" w:space="0" w:color="auto"/>
        <w:bottom w:val="none" w:sz="0" w:space="0" w:color="auto"/>
        <w:right w:val="none" w:sz="0" w:space="0" w:color="auto"/>
      </w:divBdr>
    </w:div>
    <w:div w:id="759526435">
      <w:bodyDiv w:val="1"/>
      <w:marLeft w:val="0"/>
      <w:marRight w:val="0"/>
      <w:marTop w:val="0"/>
      <w:marBottom w:val="0"/>
      <w:divBdr>
        <w:top w:val="none" w:sz="0" w:space="0" w:color="auto"/>
        <w:left w:val="none" w:sz="0" w:space="0" w:color="auto"/>
        <w:bottom w:val="none" w:sz="0" w:space="0" w:color="auto"/>
        <w:right w:val="none" w:sz="0" w:space="0" w:color="auto"/>
      </w:divBdr>
    </w:div>
    <w:div w:id="781412303">
      <w:bodyDiv w:val="1"/>
      <w:marLeft w:val="0"/>
      <w:marRight w:val="0"/>
      <w:marTop w:val="0"/>
      <w:marBottom w:val="0"/>
      <w:divBdr>
        <w:top w:val="none" w:sz="0" w:space="0" w:color="auto"/>
        <w:left w:val="none" w:sz="0" w:space="0" w:color="auto"/>
        <w:bottom w:val="none" w:sz="0" w:space="0" w:color="auto"/>
        <w:right w:val="none" w:sz="0" w:space="0" w:color="auto"/>
      </w:divBdr>
    </w:div>
    <w:div w:id="833179272">
      <w:bodyDiv w:val="1"/>
      <w:marLeft w:val="0"/>
      <w:marRight w:val="0"/>
      <w:marTop w:val="0"/>
      <w:marBottom w:val="0"/>
      <w:divBdr>
        <w:top w:val="none" w:sz="0" w:space="0" w:color="auto"/>
        <w:left w:val="none" w:sz="0" w:space="0" w:color="auto"/>
        <w:bottom w:val="none" w:sz="0" w:space="0" w:color="auto"/>
        <w:right w:val="none" w:sz="0" w:space="0" w:color="auto"/>
      </w:divBdr>
    </w:div>
    <w:div w:id="868298104">
      <w:bodyDiv w:val="1"/>
      <w:marLeft w:val="0"/>
      <w:marRight w:val="0"/>
      <w:marTop w:val="30"/>
      <w:marBottom w:val="750"/>
      <w:divBdr>
        <w:top w:val="none" w:sz="0" w:space="0" w:color="auto"/>
        <w:left w:val="none" w:sz="0" w:space="0" w:color="auto"/>
        <w:bottom w:val="none" w:sz="0" w:space="0" w:color="auto"/>
        <w:right w:val="none" w:sz="0" w:space="0" w:color="auto"/>
      </w:divBdr>
      <w:divsChild>
        <w:div w:id="1049572939">
          <w:marLeft w:val="0"/>
          <w:marRight w:val="0"/>
          <w:marTop w:val="0"/>
          <w:marBottom w:val="0"/>
          <w:divBdr>
            <w:top w:val="none" w:sz="0" w:space="0" w:color="auto"/>
            <w:left w:val="none" w:sz="0" w:space="0" w:color="auto"/>
            <w:bottom w:val="none" w:sz="0" w:space="0" w:color="auto"/>
            <w:right w:val="none" w:sz="0" w:space="0" w:color="auto"/>
          </w:divBdr>
        </w:div>
      </w:divsChild>
    </w:div>
    <w:div w:id="870455463">
      <w:bodyDiv w:val="1"/>
      <w:marLeft w:val="0"/>
      <w:marRight w:val="0"/>
      <w:marTop w:val="0"/>
      <w:marBottom w:val="0"/>
      <w:divBdr>
        <w:top w:val="none" w:sz="0" w:space="0" w:color="auto"/>
        <w:left w:val="none" w:sz="0" w:space="0" w:color="auto"/>
        <w:bottom w:val="none" w:sz="0" w:space="0" w:color="auto"/>
        <w:right w:val="none" w:sz="0" w:space="0" w:color="auto"/>
      </w:divBdr>
    </w:div>
    <w:div w:id="918635328">
      <w:bodyDiv w:val="1"/>
      <w:marLeft w:val="0"/>
      <w:marRight w:val="0"/>
      <w:marTop w:val="0"/>
      <w:marBottom w:val="0"/>
      <w:divBdr>
        <w:top w:val="none" w:sz="0" w:space="0" w:color="auto"/>
        <w:left w:val="none" w:sz="0" w:space="0" w:color="auto"/>
        <w:bottom w:val="none" w:sz="0" w:space="0" w:color="auto"/>
        <w:right w:val="none" w:sz="0" w:space="0" w:color="auto"/>
      </w:divBdr>
    </w:div>
    <w:div w:id="1094325168">
      <w:bodyDiv w:val="1"/>
      <w:marLeft w:val="0"/>
      <w:marRight w:val="0"/>
      <w:marTop w:val="0"/>
      <w:marBottom w:val="0"/>
      <w:divBdr>
        <w:top w:val="none" w:sz="0" w:space="0" w:color="auto"/>
        <w:left w:val="none" w:sz="0" w:space="0" w:color="auto"/>
        <w:bottom w:val="none" w:sz="0" w:space="0" w:color="auto"/>
        <w:right w:val="none" w:sz="0" w:space="0" w:color="auto"/>
      </w:divBdr>
    </w:div>
    <w:div w:id="1162508419">
      <w:bodyDiv w:val="1"/>
      <w:marLeft w:val="0"/>
      <w:marRight w:val="0"/>
      <w:marTop w:val="0"/>
      <w:marBottom w:val="0"/>
      <w:divBdr>
        <w:top w:val="none" w:sz="0" w:space="0" w:color="auto"/>
        <w:left w:val="none" w:sz="0" w:space="0" w:color="auto"/>
        <w:bottom w:val="none" w:sz="0" w:space="0" w:color="auto"/>
        <w:right w:val="none" w:sz="0" w:space="0" w:color="auto"/>
      </w:divBdr>
    </w:div>
    <w:div w:id="1209997505">
      <w:bodyDiv w:val="1"/>
      <w:marLeft w:val="0"/>
      <w:marRight w:val="0"/>
      <w:marTop w:val="0"/>
      <w:marBottom w:val="0"/>
      <w:divBdr>
        <w:top w:val="none" w:sz="0" w:space="0" w:color="auto"/>
        <w:left w:val="none" w:sz="0" w:space="0" w:color="auto"/>
        <w:bottom w:val="none" w:sz="0" w:space="0" w:color="auto"/>
        <w:right w:val="none" w:sz="0" w:space="0" w:color="auto"/>
      </w:divBdr>
    </w:div>
    <w:div w:id="1274827350">
      <w:bodyDiv w:val="1"/>
      <w:marLeft w:val="0"/>
      <w:marRight w:val="0"/>
      <w:marTop w:val="0"/>
      <w:marBottom w:val="0"/>
      <w:divBdr>
        <w:top w:val="none" w:sz="0" w:space="0" w:color="auto"/>
        <w:left w:val="none" w:sz="0" w:space="0" w:color="auto"/>
        <w:bottom w:val="none" w:sz="0" w:space="0" w:color="auto"/>
        <w:right w:val="none" w:sz="0" w:space="0" w:color="auto"/>
      </w:divBdr>
    </w:div>
    <w:div w:id="1388534507">
      <w:bodyDiv w:val="1"/>
      <w:marLeft w:val="0"/>
      <w:marRight w:val="0"/>
      <w:marTop w:val="0"/>
      <w:marBottom w:val="0"/>
      <w:divBdr>
        <w:top w:val="none" w:sz="0" w:space="0" w:color="auto"/>
        <w:left w:val="none" w:sz="0" w:space="0" w:color="auto"/>
        <w:bottom w:val="none" w:sz="0" w:space="0" w:color="auto"/>
        <w:right w:val="none" w:sz="0" w:space="0" w:color="auto"/>
      </w:divBdr>
    </w:div>
    <w:div w:id="1416396209">
      <w:bodyDiv w:val="1"/>
      <w:marLeft w:val="0"/>
      <w:marRight w:val="0"/>
      <w:marTop w:val="0"/>
      <w:marBottom w:val="0"/>
      <w:divBdr>
        <w:top w:val="none" w:sz="0" w:space="0" w:color="auto"/>
        <w:left w:val="none" w:sz="0" w:space="0" w:color="auto"/>
        <w:bottom w:val="none" w:sz="0" w:space="0" w:color="auto"/>
        <w:right w:val="none" w:sz="0" w:space="0" w:color="auto"/>
      </w:divBdr>
    </w:div>
    <w:div w:id="1424107869">
      <w:bodyDiv w:val="1"/>
      <w:marLeft w:val="0"/>
      <w:marRight w:val="0"/>
      <w:marTop w:val="0"/>
      <w:marBottom w:val="0"/>
      <w:divBdr>
        <w:top w:val="none" w:sz="0" w:space="0" w:color="auto"/>
        <w:left w:val="none" w:sz="0" w:space="0" w:color="auto"/>
        <w:bottom w:val="none" w:sz="0" w:space="0" w:color="auto"/>
        <w:right w:val="none" w:sz="0" w:space="0" w:color="auto"/>
      </w:divBdr>
    </w:div>
    <w:div w:id="1447458048">
      <w:bodyDiv w:val="1"/>
      <w:marLeft w:val="0"/>
      <w:marRight w:val="0"/>
      <w:marTop w:val="0"/>
      <w:marBottom w:val="0"/>
      <w:divBdr>
        <w:top w:val="none" w:sz="0" w:space="0" w:color="auto"/>
        <w:left w:val="none" w:sz="0" w:space="0" w:color="auto"/>
        <w:bottom w:val="none" w:sz="0" w:space="0" w:color="auto"/>
        <w:right w:val="none" w:sz="0" w:space="0" w:color="auto"/>
      </w:divBdr>
    </w:div>
    <w:div w:id="1514421805">
      <w:bodyDiv w:val="1"/>
      <w:marLeft w:val="0"/>
      <w:marRight w:val="0"/>
      <w:marTop w:val="0"/>
      <w:marBottom w:val="0"/>
      <w:divBdr>
        <w:top w:val="none" w:sz="0" w:space="0" w:color="auto"/>
        <w:left w:val="none" w:sz="0" w:space="0" w:color="auto"/>
        <w:bottom w:val="none" w:sz="0" w:space="0" w:color="auto"/>
        <w:right w:val="none" w:sz="0" w:space="0" w:color="auto"/>
      </w:divBdr>
    </w:div>
    <w:div w:id="1630434600">
      <w:bodyDiv w:val="1"/>
      <w:marLeft w:val="0"/>
      <w:marRight w:val="0"/>
      <w:marTop w:val="0"/>
      <w:marBottom w:val="0"/>
      <w:divBdr>
        <w:top w:val="none" w:sz="0" w:space="0" w:color="auto"/>
        <w:left w:val="none" w:sz="0" w:space="0" w:color="auto"/>
        <w:bottom w:val="none" w:sz="0" w:space="0" w:color="auto"/>
        <w:right w:val="none" w:sz="0" w:space="0" w:color="auto"/>
      </w:divBdr>
      <w:divsChild>
        <w:div w:id="624503860">
          <w:marLeft w:val="0"/>
          <w:marRight w:val="0"/>
          <w:marTop w:val="0"/>
          <w:marBottom w:val="0"/>
          <w:divBdr>
            <w:top w:val="none" w:sz="0" w:space="0" w:color="auto"/>
            <w:left w:val="none" w:sz="0" w:space="0" w:color="auto"/>
            <w:bottom w:val="none" w:sz="0" w:space="0" w:color="auto"/>
            <w:right w:val="none" w:sz="0" w:space="0" w:color="auto"/>
          </w:divBdr>
        </w:div>
        <w:div w:id="1420983155">
          <w:marLeft w:val="0"/>
          <w:marRight w:val="0"/>
          <w:marTop w:val="0"/>
          <w:marBottom w:val="0"/>
          <w:divBdr>
            <w:top w:val="none" w:sz="0" w:space="0" w:color="auto"/>
            <w:left w:val="none" w:sz="0" w:space="0" w:color="auto"/>
            <w:bottom w:val="none" w:sz="0" w:space="0" w:color="auto"/>
            <w:right w:val="none" w:sz="0" w:space="0" w:color="auto"/>
          </w:divBdr>
        </w:div>
        <w:div w:id="542055341">
          <w:marLeft w:val="0"/>
          <w:marRight w:val="0"/>
          <w:marTop w:val="0"/>
          <w:marBottom w:val="0"/>
          <w:divBdr>
            <w:top w:val="none" w:sz="0" w:space="0" w:color="auto"/>
            <w:left w:val="none" w:sz="0" w:space="0" w:color="auto"/>
            <w:bottom w:val="none" w:sz="0" w:space="0" w:color="auto"/>
            <w:right w:val="none" w:sz="0" w:space="0" w:color="auto"/>
          </w:divBdr>
        </w:div>
        <w:div w:id="1309630642">
          <w:marLeft w:val="0"/>
          <w:marRight w:val="0"/>
          <w:marTop w:val="0"/>
          <w:marBottom w:val="0"/>
          <w:divBdr>
            <w:top w:val="none" w:sz="0" w:space="0" w:color="auto"/>
            <w:left w:val="none" w:sz="0" w:space="0" w:color="auto"/>
            <w:bottom w:val="none" w:sz="0" w:space="0" w:color="auto"/>
            <w:right w:val="none" w:sz="0" w:space="0" w:color="auto"/>
          </w:divBdr>
        </w:div>
        <w:div w:id="664286487">
          <w:marLeft w:val="0"/>
          <w:marRight w:val="0"/>
          <w:marTop w:val="0"/>
          <w:marBottom w:val="0"/>
          <w:divBdr>
            <w:top w:val="none" w:sz="0" w:space="0" w:color="auto"/>
            <w:left w:val="none" w:sz="0" w:space="0" w:color="auto"/>
            <w:bottom w:val="none" w:sz="0" w:space="0" w:color="auto"/>
            <w:right w:val="none" w:sz="0" w:space="0" w:color="auto"/>
          </w:divBdr>
        </w:div>
        <w:div w:id="1123766809">
          <w:marLeft w:val="0"/>
          <w:marRight w:val="0"/>
          <w:marTop w:val="0"/>
          <w:marBottom w:val="0"/>
          <w:divBdr>
            <w:top w:val="none" w:sz="0" w:space="0" w:color="auto"/>
            <w:left w:val="none" w:sz="0" w:space="0" w:color="auto"/>
            <w:bottom w:val="none" w:sz="0" w:space="0" w:color="auto"/>
            <w:right w:val="none" w:sz="0" w:space="0" w:color="auto"/>
          </w:divBdr>
        </w:div>
        <w:div w:id="503597136">
          <w:marLeft w:val="0"/>
          <w:marRight w:val="0"/>
          <w:marTop w:val="0"/>
          <w:marBottom w:val="0"/>
          <w:divBdr>
            <w:top w:val="none" w:sz="0" w:space="0" w:color="auto"/>
            <w:left w:val="none" w:sz="0" w:space="0" w:color="auto"/>
            <w:bottom w:val="none" w:sz="0" w:space="0" w:color="auto"/>
            <w:right w:val="none" w:sz="0" w:space="0" w:color="auto"/>
          </w:divBdr>
        </w:div>
        <w:div w:id="1291519385">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 w:id="1551962145">
          <w:marLeft w:val="0"/>
          <w:marRight w:val="0"/>
          <w:marTop w:val="0"/>
          <w:marBottom w:val="0"/>
          <w:divBdr>
            <w:top w:val="none" w:sz="0" w:space="0" w:color="auto"/>
            <w:left w:val="none" w:sz="0" w:space="0" w:color="auto"/>
            <w:bottom w:val="none" w:sz="0" w:space="0" w:color="auto"/>
            <w:right w:val="none" w:sz="0" w:space="0" w:color="auto"/>
          </w:divBdr>
        </w:div>
        <w:div w:id="1572888954">
          <w:marLeft w:val="0"/>
          <w:marRight w:val="0"/>
          <w:marTop w:val="0"/>
          <w:marBottom w:val="0"/>
          <w:divBdr>
            <w:top w:val="none" w:sz="0" w:space="0" w:color="auto"/>
            <w:left w:val="none" w:sz="0" w:space="0" w:color="auto"/>
            <w:bottom w:val="none" w:sz="0" w:space="0" w:color="auto"/>
            <w:right w:val="none" w:sz="0" w:space="0" w:color="auto"/>
          </w:divBdr>
        </w:div>
        <w:div w:id="447772380">
          <w:marLeft w:val="0"/>
          <w:marRight w:val="0"/>
          <w:marTop w:val="0"/>
          <w:marBottom w:val="0"/>
          <w:divBdr>
            <w:top w:val="none" w:sz="0" w:space="0" w:color="auto"/>
            <w:left w:val="none" w:sz="0" w:space="0" w:color="auto"/>
            <w:bottom w:val="none" w:sz="0" w:space="0" w:color="auto"/>
            <w:right w:val="none" w:sz="0" w:space="0" w:color="auto"/>
          </w:divBdr>
        </w:div>
        <w:div w:id="1970551413">
          <w:marLeft w:val="0"/>
          <w:marRight w:val="0"/>
          <w:marTop w:val="0"/>
          <w:marBottom w:val="0"/>
          <w:divBdr>
            <w:top w:val="none" w:sz="0" w:space="0" w:color="auto"/>
            <w:left w:val="none" w:sz="0" w:space="0" w:color="auto"/>
            <w:bottom w:val="none" w:sz="0" w:space="0" w:color="auto"/>
            <w:right w:val="none" w:sz="0" w:space="0" w:color="auto"/>
          </w:divBdr>
        </w:div>
        <w:div w:id="615218652">
          <w:marLeft w:val="0"/>
          <w:marRight w:val="0"/>
          <w:marTop w:val="0"/>
          <w:marBottom w:val="0"/>
          <w:divBdr>
            <w:top w:val="none" w:sz="0" w:space="0" w:color="auto"/>
            <w:left w:val="none" w:sz="0" w:space="0" w:color="auto"/>
            <w:bottom w:val="none" w:sz="0" w:space="0" w:color="auto"/>
            <w:right w:val="none" w:sz="0" w:space="0" w:color="auto"/>
          </w:divBdr>
        </w:div>
        <w:div w:id="2073499486">
          <w:marLeft w:val="0"/>
          <w:marRight w:val="0"/>
          <w:marTop w:val="0"/>
          <w:marBottom w:val="0"/>
          <w:divBdr>
            <w:top w:val="none" w:sz="0" w:space="0" w:color="auto"/>
            <w:left w:val="none" w:sz="0" w:space="0" w:color="auto"/>
            <w:bottom w:val="none" w:sz="0" w:space="0" w:color="auto"/>
            <w:right w:val="none" w:sz="0" w:space="0" w:color="auto"/>
          </w:divBdr>
        </w:div>
        <w:div w:id="2037000549">
          <w:marLeft w:val="0"/>
          <w:marRight w:val="0"/>
          <w:marTop w:val="0"/>
          <w:marBottom w:val="0"/>
          <w:divBdr>
            <w:top w:val="none" w:sz="0" w:space="0" w:color="auto"/>
            <w:left w:val="none" w:sz="0" w:space="0" w:color="auto"/>
            <w:bottom w:val="none" w:sz="0" w:space="0" w:color="auto"/>
            <w:right w:val="none" w:sz="0" w:space="0" w:color="auto"/>
          </w:divBdr>
        </w:div>
        <w:div w:id="716203902">
          <w:marLeft w:val="0"/>
          <w:marRight w:val="0"/>
          <w:marTop w:val="0"/>
          <w:marBottom w:val="0"/>
          <w:divBdr>
            <w:top w:val="none" w:sz="0" w:space="0" w:color="auto"/>
            <w:left w:val="none" w:sz="0" w:space="0" w:color="auto"/>
            <w:bottom w:val="none" w:sz="0" w:space="0" w:color="auto"/>
            <w:right w:val="none" w:sz="0" w:space="0" w:color="auto"/>
          </w:divBdr>
        </w:div>
        <w:div w:id="2080397302">
          <w:marLeft w:val="0"/>
          <w:marRight w:val="0"/>
          <w:marTop w:val="0"/>
          <w:marBottom w:val="0"/>
          <w:divBdr>
            <w:top w:val="none" w:sz="0" w:space="0" w:color="auto"/>
            <w:left w:val="none" w:sz="0" w:space="0" w:color="auto"/>
            <w:bottom w:val="none" w:sz="0" w:space="0" w:color="auto"/>
            <w:right w:val="none" w:sz="0" w:space="0" w:color="auto"/>
          </w:divBdr>
        </w:div>
        <w:div w:id="259218484">
          <w:marLeft w:val="0"/>
          <w:marRight w:val="0"/>
          <w:marTop w:val="0"/>
          <w:marBottom w:val="0"/>
          <w:divBdr>
            <w:top w:val="none" w:sz="0" w:space="0" w:color="auto"/>
            <w:left w:val="none" w:sz="0" w:space="0" w:color="auto"/>
            <w:bottom w:val="none" w:sz="0" w:space="0" w:color="auto"/>
            <w:right w:val="none" w:sz="0" w:space="0" w:color="auto"/>
          </w:divBdr>
        </w:div>
      </w:divsChild>
    </w:div>
    <w:div w:id="1631671954">
      <w:bodyDiv w:val="1"/>
      <w:marLeft w:val="0"/>
      <w:marRight w:val="0"/>
      <w:marTop w:val="0"/>
      <w:marBottom w:val="0"/>
      <w:divBdr>
        <w:top w:val="none" w:sz="0" w:space="0" w:color="auto"/>
        <w:left w:val="none" w:sz="0" w:space="0" w:color="auto"/>
        <w:bottom w:val="none" w:sz="0" w:space="0" w:color="auto"/>
        <w:right w:val="none" w:sz="0" w:space="0" w:color="auto"/>
      </w:divBdr>
    </w:div>
    <w:div w:id="1652515204">
      <w:bodyDiv w:val="1"/>
      <w:marLeft w:val="0"/>
      <w:marRight w:val="0"/>
      <w:marTop w:val="0"/>
      <w:marBottom w:val="0"/>
      <w:divBdr>
        <w:top w:val="none" w:sz="0" w:space="0" w:color="auto"/>
        <w:left w:val="none" w:sz="0" w:space="0" w:color="auto"/>
        <w:bottom w:val="none" w:sz="0" w:space="0" w:color="auto"/>
        <w:right w:val="none" w:sz="0" w:space="0" w:color="auto"/>
      </w:divBdr>
    </w:div>
    <w:div w:id="1665278153">
      <w:bodyDiv w:val="1"/>
      <w:marLeft w:val="0"/>
      <w:marRight w:val="0"/>
      <w:marTop w:val="0"/>
      <w:marBottom w:val="0"/>
      <w:divBdr>
        <w:top w:val="none" w:sz="0" w:space="0" w:color="auto"/>
        <w:left w:val="none" w:sz="0" w:space="0" w:color="auto"/>
        <w:bottom w:val="none" w:sz="0" w:space="0" w:color="auto"/>
        <w:right w:val="none" w:sz="0" w:space="0" w:color="auto"/>
      </w:divBdr>
    </w:div>
    <w:div w:id="1703170939">
      <w:bodyDiv w:val="1"/>
      <w:marLeft w:val="0"/>
      <w:marRight w:val="0"/>
      <w:marTop w:val="0"/>
      <w:marBottom w:val="0"/>
      <w:divBdr>
        <w:top w:val="none" w:sz="0" w:space="0" w:color="auto"/>
        <w:left w:val="none" w:sz="0" w:space="0" w:color="auto"/>
        <w:bottom w:val="none" w:sz="0" w:space="0" w:color="auto"/>
        <w:right w:val="none" w:sz="0" w:space="0" w:color="auto"/>
      </w:divBdr>
    </w:div>
    <w:div w:id="1707171242">
      <w:bodyDiv w:val="1"/>
      <w:marLeft w:val="0"/>
      <w:marRight w:val="0"/>
      <w:marTop w:val="0"/>
      <w:marBottom w:val="0"/>
      <w:divBdr>
        <w:top w:val="none" w:sz="0" w:space="0" w:color="auto"/>
        <w:left w:val="none" w:sz="0" w:space="0" w:color="auto"/>
        <w:bottom w:val="none" w:sz="0" w:space="0" w:color="auto"/>
        <w:right w:val="none" w:sz="0" w:space="0" w:color="auto"/>
      </w:divBdr>
    </w:div>
    <w:div w:id="1715621206">
      <w:bodyDiv w:val="1"/>
      <w:marLeft w:val="0"/>
      <w:marRight w:val="0"/>
      <w:marTop w:val="0"/>
      <w:marBottom w:val="0"/>
      <w:divBdr>
        <w:top w:val="none" w:sz="0" w:space="0" w:color="auto"/>
        <w:left w:val="none" w:sz="0" w:space="0" w:color="auto"/>
        <w:bottom w:val="none" w:sz="0" w:space="0" w:color="auto"/>
        <w:right w:val="none" w:sz="0" w:space="0" w:color="auto"/>
      </w:divBdr>
    </w:div>
    <w:div w:id="1718703200">
      <w:bodyDiv w:val="1"/>
      <w:marLeft w:val="0"/>
      <w:marRight w:val="0"/>
      <w:marTop w:val="0"/>
      <w:marBottom w:val="0"/>
      <w:divBdr>
        <w:top w:val="none" w:sz="0" w:space="0" w:color="auto"/>
        <w:left w:val="none" w:sz="0" w:space="0" w:color="auto"/>
        <w:bottom w:val="none" w:sz="0" w:space="0" w:color="auto"/>
        <w:right w:val="none" w:sz="0" w:space="0" w:color="auto"/>
      </w:divBdr>
    </w:div>
    <w:div w:id="1744260749">
      <w:bodyDiv w:val="1"/>
      <w:marLeft w:val="0"/>
      <w:marRight w:val="0"/>
      <w:marTop w:val="0"/>
      <w:marBottom w:val="0"/>
      <w:divBdr>
        <w:top w:val="none" w:sz="0" w:space="0" w:color="auto"/>
        <w:left w:val="none" w:sz="0" w:space="0" w:color="auto"/>
        <w:bottom w:val="none" w:sz="0" w:space="0" w:color="auto"/>
        <w:right w:val="none" w:sz="0" w:space="0" w:color="auto"/>
      </w:divBdr>
    </w:div>
    <w:div w:id="1789163207">
      <w:bodyDiv w:val="1"/>
      <w:marLeft w:val="0"/>
      <w:marRight w:val="0"/>
      <w:marTop w:val="30"/>
      <w:marBottom w:val="750"/>
      <w:divBdr>
        <w:top w:val="none" w:sz="0" w:space="0" w:color="auto"/>
        <w:left w:val="none" w:sz="0" w:space="0" w:color="auto"/>
        <w:bottom w:val="none" w:sz="0" w:space="0" w:color="auto"/>
        <w:right w:val="none" w:sz="0" w:space="0" w:color="auto"/>
      </w:divBdr>
      <w:divsChild>
        <w:div w:id="35199564">
          <w:marLeft w:val="0"/>
          <w:marRight w:val="0"/>
          <w:marTop w:val="0"/>
          <w:marBottom w:val="0"/>
          <w:divBdr>
            <w:top w:val="none" w:sz="0" w:space="0" w:color="auto"/>
            <w:left w:val="none" w:sz="0" w:space="0" w:color="auto"/>
            <w:bottom w:val="none" w:sz="0" w:space="0" w:color="auto"/>
            <w:right w:val="none" w:sz="0" w:space="0" w:color="auto"/>
          </w:divBdr>
        </w:div>
      </w:divsChild>
    </w:div>
    <w:div w:id="1791245503">
      <w:bodyDiv w:val="1"/>
      <w:marLeft w:val="0"/>
      <w:marRight w:val="0"/>
      <w:marTop w:val="0"/>
      <w:marBottom w:val="0"/>
      <w:divBdr>
        <w:top w:val="none" w:sz="0" w:space="0" w:color="auto"/>
        <w:left w:val="none" w:sz="0" w:space="0" w:color="auto"/>
        <w:bottom w:val="none" w:sz="0" w:space="0" w:color="auto"/>
        <w:right w:val="none" w:sz="0" w:space="0" w:color="auto"/>
      </w:divBdr>
    </w:div>
    <w:div w:id="1845706889">
      <w:bodyDiv w:val="1"/>
      <w:marLeft w:val="0"/>
      <w:marRight w:val="0"/>
      <w:marTop w:val="0"/>
      <w:marBottom w:val="0"/>
      <w:divBdr>
        <w:top w:val="none" w:sz="0" w:space="0" w:color="auto"/>
        <w:left w:val="none" w:sz="0" w:space="0" w:color="auto"/>
        <w:bottom w:val="none" w:sz="0" w:space="0" w:color="auto"/>
        <w:right w:val="none" w:sz="0" w:space="0" w:color="auto"/>
      </w:divBdr>
    </w:div>
    <w:div w:id="1851597346">
      <w:bodyDiv w:val="1"/>
      <w:marLeft w:val="0"/>
      <w:marRight w:val="0"/>
      <w:marTop w:val="0"/>
      <w:marBottom w:val="0"/>
      <w:divBdr>
        <w:top w:val="none" w:sz="0" w:space="0" w:color="auto"/>
        <w:left w:val="none" w:sz="0" w:space="0" w:color="auto"/>
        <w:bottom w:val="none" w:sz="0" w:space="0" w:color="auto"/>
        <w:right w:val="none" w:sz="0" w:space="0" w:color="auto"/>
      </w:divBdr>
    </w:div>
    <w:div w:id="1943340396">
      <w:bodyDiv w:val="1"/>
      <w:marLeft w:val="0"/>
      <w:marRight w:val="0"/>
      <w:marTop w:val="0"/>
      <w:marBottom w:val="0"/>
      <w:divBdr>
        <w:top w:val="none" w:sz="0" w:space="0" w:color="auto"/>
        <w:left w:val="none" w:sz="0" w:space="0" w:color="auto"/>
        <w:bottom w:val="none" w:sz="0" w:space="0" w:color="auto"/>
        <w:right w:val="none" w:sz="0" w:space="0" w:color="auto"/>
      </w:divBdr>
    </w:div>
    <w:div w:id="1951273778">
      <w:bodyDiv w:val="1"/>
      <w:marLeft w:val="0"/>
      <w:marRight w:val="0"/>
      <w:marTop w:val="0"/>
      <w:marBottom w:val="0"/>
      <w:divBdr>
        <w:top w:val="none" w:sz="0" w:space="0" w:color="auto"/>
        <w:left w:val="none" w:sz="0" w:space="0" w:color="auto"/>
        <w:bottom w:val="none" w:sz="0" w:space="0" w:color="auto"/>
        <w:right w:val="none" w:sz="0" w:space="0" w:color="auto"/>
      </w:divBdr>
    </w:div>
    <w:div w:id="1982036603">
      <w:bodyDiv w:val="1"/>
      <w:marLeft w:val="0"/>
      <w:marRight w:val="0"/>
      <w:marTop w:val="0"/>
      <w:marBottom w:val="0"/>
      <w:divBdr>
        <w:top w:val="none" w:sz="0" w:space="0" w:color="auto"/>
        <w:left w:val="none" w:sz="0" w:space="0" w:color="auto"/>
        <w:bottom w:val="none" w:sz="0" w:space="0" w:color="auto"/>
        <w:right w:val="none" w:sz="0" w:space="0" w:color="auto"/>
      </w:divBdr>
    </w:div>
    <w:div w:id="2001500044">
      <w:bodyDiv w:val="1"/>
      <w:marLeft w:val="0"/>
      <w:marRight w:val="0"/>
      <w:marTop w:val="0"/>
      <w:marBottom w:val="0"/>
      <w:divBdr>
        <w:top w:val="none" w:sz="0" w:space="0" w:color="auto"/>
        <w:left w:val="none" w:sz="0" w:space="0" w:color="auto"/>
        <w:bottom w:val="none" w:sz="0" w:space="0" w:color="auto"/>
        <w:right w:val="none" w:sz="0" w:space="0" w:color="auto"/>
      </w:divBdr>
    </w:div>
    <w:div w:id="2074427126">
      <w:bodyDiv w:val="1"/>
      <w:marLeft w:val="0"/>
      <w:marRight w:val="0"/>
      <w:marTop w:val="0"/>
      <w:marBottom w:val="0"/>
      <w:divBdr>
        <w:top w:val="none" w:sz="0" w:space="0" w:color="auto"/>
        <w:left w:val="none" w:sz="0" w:space="0" w:color="auto"/>
        <w:bottom w:val="none" w:sz="0" w:space="0" w:color="auto"/>
        <w:right w:val="none" w:sz="0" w:space="0" w:color="auto"/>
      </w:divBdr>
    </w:div>
    <w:div w:id="2085911126">
      <w:bodyDiv w:val="1"/>
      <w:marLeft w:val="0"/>
      <w:marRight w:val="0"/>
      <w:marTop w:val="0"/>
      <w:marBottom w:val="0"/>
      <w:divBdr>
        <w:top w:val="none" w:sz="0" w:space="0" w:color="auto"/>
        <w:left w:val="none" w:sz="0" w:space="0" w:color="auto"/>
        <w:bottom w:val="none" w:sz="0" w:space="0" w:color="auto"/>
        <w:right w:val="none" w:sz="0" w:space="0" w:color="auto"/>
      </w:divBdr>
      <w:divsChild>
        <w:div w:id="1409381160">
          <w:marLeft w:val="0"/>
          <w:marRight w:val="0"/>
          <w:marTop w:val="0"/>
          <w:marBottom w:val="0"/>
          <w:divBdr>
            <w:top w:val="none" w:sz="0" w:space="0" w:color="auto"/>
            <w:left w:val="none" w:sz="0" w:space="0" w:color="auto"/>
            <w:bottom w:val="none" w:sz="0" w:space="0" w:color="auto"/>
            <w:right w:val="none" w:sz="0" w:space="0" w:color="auto"/>
          </w:divBdr>
          <w:divsChild>
            <w:div w:id="1410225300">
              <w:marLeft w:val="0"/>
              <w:marRight w:val="0"/>
              <w:marTop w:val="0"/>
              <w:marBottom w:val="0"/>
              <w:divBdr>
                <w:top w:val="none" w:sz="0" w:space="0" w:color="auto"/>
                <w:left w:val="none" w:sz="0" w:space="0" w:color="auto"/>
                <w:bottom w:val="none" w:sz="0" w:space="0" w:color="auto"/>
                <w:right w:val="none" w:sz="0" w:space="0" w:color="auto"/>
              </w:divBdr>
              <w:divsChild>
                <w:div w:id="1664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Cohn\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7635</Words>
  <Characters>42458</Characters>
  <Application>Microsoft Office Word</Application>
  <DocSecurity>0</DocSecurity>
  <Lines>720</Lines>
  <Paragraphs>155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50162</CharactersWithSpaces>
  <SharedDoc>false</SharedDoc>
  <HyperlinkBase> </HyperlinkBase>
  <HLinks>
    <vt:vector size="90"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5636104</vt:i4>
      </vt:variant>
      <vt:variant>
        <vt:i4>36</vt:i4>
      </vt:variant>
      <vt:variant>
        <vt:i4>0</vt:i4>
      </vt:variant>
      <vt:variant>
        <vt:i4>5</vt:i4>
      </vt:variant>
      <vt:variant>
        <vt:lpwstr>http://www.edmunds.com/car-technology/car-tech-101-telematics-system-basics.html</vt:lpwstr>
      </vt:variant>
      <vt:variant>
        <vt:lpwstr/>
      </vt:variant>
      <vt:variant>
        <vt:i4>4325396</vt:i4>
      </vt:variant>
      <vt:variant>
        <vt:i4>33</vt:i4>
      </vt:variant>
      <vt:variant>
        <vt:i4>0</vt:i4>
      </vt:variant>
      <vt:variant>
        <vt:i4>5</vt:i4>
      </vt:variant>
      <vt:variant>
        <vt:lpwstr>http://www.eztexting.com/</vt:lpwstr>
      </vt:variant>
      <vt:variant>
        <vt:lpwstr/>
      </vt:variant>
      <vt:variant>
        <vt:i4>6160461</vt:i4>
      </vt:variant>
      <vt:variant>
        <vt:i4>30</vt:i4>
      </vt:variant>
      <vt:variant>
        <vt:i4>0</vt:i4>
      </vt:variant>
      <vt:variant>
        <vt:i4>5</vt:i4>
      </vt:variant>
      <vt:variant>
        <vt:lpwstr>http://www.fultonbank.com/ resources/pdf/</vt:lpwstr>
      </vt:variant>
      <vt:variant>
        <vt:lpwstr/>
      </vt:variant>
      <vt:variant>
        <vt:i4>7929879</vt:i4>
      </vt:variant>
      <vt:variant>
        <vt:i4>27</vt:i4>
      </vt:variant>
      <vt:variant>
        <vt:i4>0</vt:i4>
      </vt:variant>
      <vt:variant>
        <vt:i4>5</vt:i4>
      </vt:variant>
      <vt:variant>
        <vt:lpwstr>http://www.boston.com/business/technology/articles/2012/07/26/the_smartphone_as_a_spending_tool/</vt:lpwstr>
      </vt:variant>
      <vt:variant>
        <vt:lpwstr/>
      </vt:variant>
      <vt:variant>
        <vt:i4>4653068</vt:i4>
      </vt:variant>
      <vt:variant>
        <vt:i4>24</vt:i4>
      </vt:variant>
      <vt:variant>
        <vt:i4>0</vt:i4>
      </vt:variant>
      <vt:variant>
        <vt:i4>5</vt:i4>
      </vt:variant>
      <vt:variant>
        <vt:lpwstr>https://discussions.apple.com/thread/3587659?start=0&amp;tstart=0</vt:lpwstr>
      </vt:variant>
      <vt:variant>
        <vt:lpwstr/>
      </vt:variant>
      <vt:variant>
        <vt:i4>3801185</vt:i4>
      </vt:variant>
      <vt:variant>
        <vt:i4>21</vt:i4>
      </vt:variant>
      <vt:variant>
        <vt:i4>0</vt:i4>
      </vt:variant>
      <vt:variant>
        <vt:i4>5</vt:i4>
      </vt:variant>
      <vt:variant>
        <vt:lpwstr>http://www.smarthome.com/ android apps.html</vt:lpwstr>
      </vt:variant>
      <vt:variant>
        <vt:lpwstr/>
      </vt:variant>
      <vt:variant>
        <vt:i4>5636167</vt:i4>
      </vt:variant>
      <vt:variant>
        <vt:i4>18</vt:i4>
      </vt:variant>
      <vt:variant>
        <vt:i4>0</vt:i4>
      </vt:variant>
      <vt:variant>
        <vt:i4>5</vt:i4>
      </vt:variant>
      <vt:variant>
        <vt:lpwstr>http://www.protectamerica.com/pa/</vt:lpwstr>
      </vt:variant>
      <vt:variant>
        <vt:lpwstr/>
      </vt:variant>
      <vt:variant>
        <vt:i4>5570676</vt:i4>
      </vt:variant>
      <vt:variant>
        <vt:i4>15</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12</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9</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5570676</vt:i4>
      </vt:variant>
      <vt:variant>
        <vt:i4>6</vt:i4>
      </vt:variant>
      <vt:variant>
        <vt:i4>0</vt:i4>
      </vt:variant>
      <vt:variant>
        <vt:i4>5</vt:i4>
      </vt:variant>
      <vt:variant>
        <vt:lpwstr>http://web2.westlaw.com/result/result.aspx?mt=26&amp;db=FCOM-FCC&amp;eq=search&amp;ss=CNT&amp;scxt=WL&amp;rp=%2fsearch%2fdefault.wl&amp;fmqv=s&amp;cfid=1&amp;service=Search&amp;rltdb=CLID_DB961510391510&amp;referencepositiontype=T&amp;rlti=1&amp;cnt=DOC&amp;query=%22SECTION+208%22&amp;vr=2.0&amp;method=TNC&amp;srch=TRUE&amp;fn=_top&amp;origin=Search&amp;rlt=CLID_QRYRLT78089391510&amp;sv=Split&amp;n=1&amp;referenceposition=SR%3b4353&amp;sskey=CLID_SSSA934969391510&amp;rs=WLW12.10</vt:lpwstr>
      </vt:variant>
      <vt:variant>
        <vt:lpwstr/>
      </vt:variant>
      <vt:variant>
        <vt:i4>5242898</vt:i4>
      </vt:variant>
      <vt:variant>
        <vt:i4>3</vt:i4>
      </vt:variant>
      <vt:variant>
        <vt:i4>0</vt:i4>
      </vt:variant>
      <vt:variant>
        <vt:i4>5</vt:i4>
      </vt:variant>
      <vt:variant>
        <vt:lpwstr>http://www.fcc.gov/encyclopedia/2005-nanc-correspondence</vt:lpwstr>
      </vt:variant>
      <vt:variant>
        <vt:lpwstr/>
      </vt:variant>
      <vt:variant>
        <vt:i4>2097270</vt:i4>
      </vt:variant>
      <vt:variant>
        <vt:i4>0</vt:i4>
      </vt:variant>
      <vt:variant>
        <vt:i4>0</vt:i4>
      </vt:variant>
      <vt:variant>
        <vt:i4>5</vt:i4>
      </vt:variant>
      <vt:variant>
        <vt:lpwstr>http://www.nationalpooling.com/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2013-04-17T17:51:00Z</cp:lastPrinted>
  <dcterms:created xsi:type="dcterms:W3CDTF">2014-03-31T19:25:00Z</dcterms:created>
  <dcterms:modified xsi:type="dcterms:W3CDTF">2014-03-31T19:25:00Z</dcterms:modified>
  <cp:category> </cp:category>
  <cp:contentStatus> </cp:contentStatus>
</cp:coreProperties>
</file>