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946EE" w14:textId="77777777" w:rsidR="005D30C6" w:rsidRPr="005D7567" w:rsidRDefault="005D30C6" w:rsidP="005D30C6">
      <w:pPr>
        <w:keepNext/>
        <w:widowControl/>
        <w:jc w:val="center"/>
        <w:rPr>
          <w:b/>
        </w:rPr>
      </w:pPr>
      <w:bookmarkStart w:id="0" w:name="_GoBack"/>
      <w:bookmarkEnd w:id="0"/>
      <w:r w:rsidRPr="005D7567">
        <w:rPr>
          <w:rFonts w:ascii="Times New Roman Bold" w:hAnsi="Times New Roman Bold"/>
          <w:b/>
          <w:kern w:val="0"/>
        </w:rPr>
        <w:t>Before</w:t>
      </w:r>
      <w:r w:rsidRPr="005D7567">
        <w:rPr>
          <w:b/>
        </w:rPr>
        <w:t xml:space="preserve"> the</w:t>
      </w:r>
    </w:p>
    <w:p w14:paraId="24D2CC50" w14:textId="77777777" w:rsidR="005D30C6" w:rsidRPr="005D7567" w:rsidRDefault="005D30C6" w:rsidP="005D30C6">
      <w:pPr>
        <w:pStyle w:val="StyleBoldCentered"/>
        <w:keepNext/>
        <w:widowControl/>
      </w:pPr>
      <w:r w:rsidRPr="005D7567">
        <w:t>F</w:t>
      </w:r>
      <w:r w:rsidRPr="005D7567">
        <w:rPr>
          <w:caps w:val="0"/>
        </w:rPr>
        <w:t>ederal Communications Commission</w:t>
      </w:r>
    </w:p>
    <w:p w14:paraId="45F4E736" w14:textId="77777777" w:rsidR="005D30C6" w:rsidRPr="005D7567" w:rsidRDefault="005D30C6" w:rsidP="005D30C6">
      <w:pPr>
        <w:pStyle w:val="StyleBoldCentered"/>
        <w:keepNext/>
        <w:widowControl/>
      </w:pPr>
      <w:r w:rsidRPr="005D7567">
        <w:rPr>
          <w:caps w:val="0"/>
        </w:rPr>
        <w:t>Washington, D.C. 20554</w:t>
      </w:r>
    </w:p>
    <w:p w14:paraId="5F56EDC3" w14:textId="77777777" w:rsidR="005D30C6" w:rsidRPr="005D7567" w:rsidRDefault="005D30C6" w:rsidP="005D30C6">
      <w:pPr>
        <w:keepNext/>
        <w:widowControl/>
      </w:pPr>
    </w:p>
    <w:p w14:paraId="24EC484E" w14:textId="77777777" w:rsidR="005D30C6" w:rsidRPr="005D7567" w:rsidRDefault="005D30C6" w:rsidP="005D30C6">
      <w:pPr>
        <w:keepNext/>
        <w:widowControl/>
      </w:pPr>
    </w:p>
    <w:tbl>
      <w:tblPr>
        <w:tblW w:w="0" w:type="auto"/>
        <w:tblLayout w:type="fixed"/>
        <w:tblLook w:val="0000" w:firstRow="0" w:lastRow="0" w:firstColumn="0" w:lastColumn="0" w:noHBand="0" w:noVBand="0"/>
      </w:tblPr>
      <w:tblGrid>
        <w:gridCol w:w="4698"/>
        <w:gridCol w:w="630"/>
        <w:gridCol w:w="4248"/>
      </w:tblGrid>
      <w:tr w:rsidR="005D30C6" w:rsidRPr="005D7567" w14:paraId="15466A59" w14:textId="77777777" w:rsidTr="00780503">
        <w:tc>
          <w:tcPr>
            <w:tcW w:w="4698" w:type="dxa"/>
          </w:tcPr>
          <w:p w14:paraId="179E927C" w14:textId="77777777" w:rsidR="005D30C6" w:rsidRPr="005D7567" w:rsidRDefault="005D30C6" w:rsidP="00780503">
            <w:pPr>
              <w:keepNext/>
              <w:widowControl/>
              <w:tabs>
                <w:tab w:val="center" w:pos="4680"/>
              </w:tabs>
              <w:suppressAutoHyphens/>
              <w:rPr>
                <w:spacing w:val="-2"/>
              </w:rPr>
            </w:pPr>
            <w:r w:rsidRPr="005D7567">
              <w:rPr>
                <w:spacing w:val="-2"/>
              </w:rPr>
              <w:t>In the Matter of</w:t>
            </w:r>
          </w:p>
          <w:p w14:paraId="396650BA" w14:textId="77777777" w:rsidR="005D30C6" w:rsidRPr="005D7567" w:rsidRDefault="005D30C6" w:rsidP="00780503">
            <w:pPr>
              <w:keepNext/>
              <w:widowControl/>
              <w:tabs>
                <w:tab w:val="center" w:pos="4680"/>
              </w:tabs>
              <w:suppressAutoHyphens/>
              <w:rPr>
                <w:spacing w:val="-2"/>
              </w:rPr>
            </w:pPr>
          </w:p>
          <w:p w14:paraId="2533B375" w14:textId="77777777" w:rsidR="005D30C6" w:rsidRDefault="005D30C6" w:rsidP="00780503">
            <w:pPr>
              <w:keepNext/>
              <w:widowControl/>
              <w:tabs>
                <w:tab w:val="center" w:pos="4680"/>
              </w:tabs>
              <w:suppressAutoHyphens/>
              <w:rPr>
                <w:spacing w:val="-2"/>
              </w:rPr>
            </w:pPr>
            <w:r w:rsidRPr="005D7567">
              <w:rPr>
                <w:spacing w:val="-2"/>
              </w:rPr>
              <w:t>Promoting Interoperability in the 700 MHz Commercial Spectrum</w:t>
            </w:r>
          </w:p>
          <w:p w14:paraId="4B7858B5" w14:textId="77777777" w:rsidR="00C84AA0" w:rsidRPr="005D7567" w:rsidRDefault="00C84AA0" w:rsidP="00780503">
            <w:pPr>
              <w:keepNext/>
              <w:widowControl/>
              <w:tabs>
                <w:tab w:val="center" w:pos="4680"/>
              </w:tabs>
              <w:suppressAutoHyphens/>
              <w:rPr>
                <w:spacing w:val="-2"/>
              </w:rPr>
            </w:pPr>
          </w:p>
        </w:tc>
        <w:tc>
          <w:tcPr>
            <w:tcW w:w="630" w:type="dxa"/>
          </w:tcPr>
          <w:p w14:paraId="62F00359" w14:textId="77777777" w:rsidR="005D30C6" w:rsidRPr="005D7567" w:rsidRDefault="005D30C6" w:rsidP="00780503">
            <w:pPr>
              <w:keepNext/>
              <w:widowControl/>
              <w:tabs>
                <w:tab w:val="center" w:pos="4680"/>
              </w:tabs>
              <w:suppressAutoHyphens/>
              <w:rPr>
                <w:b/>
                <w:spacing w:val="-2"/>
              </w:rPr>
            </w:pPr>
            <w:r w:rsidRPr="005D7567">
              <w:rPr>
                <w:b/>
                <w:spacing w:val="-2"/>
              </w:rPr>
              <w:t>)</w:t>
            </w:r>
          </w:p>
          <w:p w14:paraId="2CBD673E" w14:textId="77777777" w:rsidR="005D30C6" w:rsidRPr="005D7567" w:rsidRDefault="005D30C6" w:rsidP="00780503">
            <w:pPr>
              <w:keepNext/>
              <w:widowControl/>
              <w:tabs>
                <w:tab w:val="center" w:pos="4680"/>
              </w:tabs>
              <w:suppressAutoHyphens/>
              <w:rPr>
                <w:b/>
                <w:spacing w:val="-2"/>
              </w:rPr>
            </w:pPr>
            <w:r w:rsidRPr="005D7567">
              <w:rPr>
                <w:b/>
                <w:spacing w:val="-2"/>
              </w:rPr>
              <w:t>)</w:t>
            </w:r>
          </w:p>
          <w:p w14:paraId="792E7D4D" w14:textId="77777777" w:rsidR="005D30C6" w:rsidRPr="005D7567" w:rsidRDefault="005D30C6" w:rsidP="00780503">
            <w:pPr>
              <w:keepNext/>
              <w:widowControl/>
              <w:tabs>
                <w:tab w:val="center" w:pos="4680"/>
              </w:tabs>
              <w:suppressAutoHyphens/>
              <w:rPr>
                <w:b/>
                <w:spacing w:val="-2"/>
              </w:rPr>
            </w:pPr>
            <w:r w:rsidRPr="005D7567">
              <w:rPr>
                <w:b/>
                <w:spacing w:val="-2"/>
              </w:rPr>
              <w:t>)</w:t>
            </w:r>
          </w:p>
          <w:p w14:paraId="0789F3A1" w14:textId="77777777" w:rsidR="005D30C6" w:rsidRDefault="005D30C6" w:rsidP="00780503">
            <w:pPr>
              <w:keepNext/>
              <w:widowControl/>
              <w:tabs>
                <w:tab w:val="center" w:pos="4680"/>
              </w:tabs>
              <w:suppressAutoHyphens/>
              <w:rPr>
                <w:b/>
                <w:spacing w:val="-2"/>
              </w:rPr>
            </w:pPr>
            <w:r w:rsidRPr="005D7567">
              <w:rPr>
                <w:b/>
                <w:spacing w:val="-2"/>
              </w:rPr>
              <w:t>)</w:t>
            </w:r>
          </w:p>
          <w:p w14:paraId="52541651" w14:textId="77777777" w:rsidR="00C84AA0" w:rsidRPr="00C84AA0" w:rsidRDefault="00C84AA0" w:rsidP="00780503">
            <w:pPr>
              <w:keepNext/>
              <w:widowControl/>
              <w:tabs>
                <w:tab w:val="center" w:pos="4680"/>
              </w:tabs>
              <w:suppressAutoHyphens/>
              <w:rPr>
                <w:b/>
                <w:spacing w:val="-2"/>
              </w:rPr>
            </w:pPr>
          </w:p>
        </w:tc>
        <w:tc>
          <w:tcPr>
            <w:tcW w:w="4248" w:type="dxa"/>
          </w:tcPr>
          <w:p w14:paraId="7EE90F6B" w14:textId="77777777" w:rsidR="005D30C6" w:rsidRPr="005D7567" w:rsidRDefault="005D30C6" w:rsidP="00780503">
            <w:pPr>
              <w:keepNext/>
              <w:widowControl/>
              <w:tabs>
                <w:tab w:val="center" w:pos="4680"/>
              </w:tabs>
              <w:suppressAutoHyphens/>
              <w:rPr>
                <w:spacing w:val="-2"/>
              </w:rPr>
            </w:pPr>
          </w:p>
          <w:p w14:paraId="4E016E96" w14:textId="77777777" w:rsidR="005D30C6" w:rsidRPr="005D7567" w:rsidRDefault="005D30C6" w:rsidP="00780503">
            <w:pPr>
              <w:pStyle w:val="TOAHeading"/>
              <w:keepNext/>
              <w:widowControl/>
              <w:tabs>
                <w:tab w:val="clear" w:pos="9360"/>
                <w:tab w:val="center" w:pos="4680"/>
              </w:tabs>
              <w:rPr>
                <w:snapToGrid/>
                <w:spacing w:val="-2"/>
              </w:rPr>
            </w:pPr>
          </w:p>
          <w:p w14:paraId="27FC4DEE" w14:textId="77777777" w:rsidR="005D30C6" w:rsidRPr="00B20D01" w:rsidRDefault="005D30C6" w:rsidP="00780503">
            <w:pPr>
              <w:keepNext/>
              <w:widowControl/>
              <w:tabs>
                <w:tab w:val="center" w:pos="4680"/>
              </w:tabs>
              <w:suppressAutoHyphens/>
              <w:rPr>
                <w:spacing w:val="-2"/>
              </w:rPr>
            </w:pPr>
            <w:r w:rsidRPr="005D7567">
              <w:rPr>
                <w:spacing w:val="-2"/>
              </w:rPr>
              <w:t>WT Docket No. 12-69</w:t>
            </w:r>
          </w:p>
        </w:tc>
      </w:tr>
    </w:tbl>
    <w:p w14:paraId="496A855D" w14:textId="77777777" w:rsidR="00C84AA0" w:rsidRDefault="00C84AA0" w:rsidP="00C84AA0">
      <w:pPr>
        <w:pStyle w:val="StyleBoldCentered"/>
        <w:keepNext/>
        <w:widowControl/>
        <w:jc w:val="left"/>
      </w:pPr>
    </w:p>
    <w:p w14:paraId="168B20FF" w14:textId="77777777" w:rsidR="005D30C6" w:rsidRPr="005D7567" w:rsidRDefault="005D30C6" w:rsidP="005D30C6">
      <w:pPr>
        <w:pStyle w:val="StyleBoldCentered"/>
        <w:keepNext/>
        <w:widowControl/>
      </w:pPr>
      <w:r>
        <w:t>order of modification</w:t>
      </w:r>
    </w:p>
    <w:p w14:paraId="727D92CD" w14:textId="77777777" w:rsidR="005D30C6" w:rsidRPr="005D7567" w:rsidRDefault="005D30C6" w:rsidP="005D30C6">
      <w:pPr>
        <w:keepNext/>
        <w:widowControl/>
        <w:tabs>
          <w:tab w:val="left" w:pos="-720"/>
        </w:tabs>
        <w:suppressAutoHyphens/>
        <w:spacing w:line="227" w:lineRule="auto"/>
        <w:rPr>
          <w:spacing w:val="-2"/>
        </w:rPr>
      </w:pPr>
    </w:p>
    <w:p w14:paraId="5675BD34" w14:textId="69442DF9" w:rsidR="005D30C6" w:rsidRPr="005D7567" w:rsidRDefault="005D30C6" w:rsidP="005D30C6">
      <w:pPr>
        <w:keepNext/>
        <w:widowControl/>
        <w:tabs>
          <w:tab w:val="left" w:pos="720"/>
          <w:tab w:val="right" w:pos="9360"/>
        </w:tabs>
        <w:suppressAutoHyphens/>
        <w:spacing w:line="227" w:lineRule="auto"/>
        <w:rPr>
          <w:spacing w:val="-2"/>
        </w:rPr>
      </w:pPr>
      <w:r>
        <w:rPr>
          <w:b/>
          <w:spacing w:val="-2"/>
        </w:rPr>
        <w:t xml:space="preserve">Adopted:  </w:t>
      </w:r>
      <w:r w:rsidR="00ED37C7">
        <w:rPr>
          <w:b/>
          <w:spacing w:val="-2"/>
        </w:rPr>
        <w:t>January 16</w:t>
      </w:r>
      <w:r w:rsidR="000B6C71">
        <w:rPr>
          <w:b/>
          <w:spacing w:val="-2"/>
        </w:rPr>
        <w:t>, 2014</w:t>
      </w:r>
      <w:r>
        <w:rPr>
          <w:b/>
          <w:spacing w:val="-2"/>
        </w:rPr>
        <w:tab/>
        <w:t xml:space="preserve">Released: </w:t>
      </w:r>
      <w:r w:rsidR="000B6C71">
        <w:rPr>
          <w:b/>
          <w:spacing w:val="-2"/>
        </w:rPr>
        <w:t>January</w:t>
      </w:r>
      <w:r w:rsidR="004E5DBD">
        <w:rPr>
          <w:b/>
          <w:spacing w:val="-2"/>
        </w:rPr>
        <w:t xml:space="preserve"> 16</w:t>
      </w:r>
      <w:r>
        <w:rPr>
          <w:b/>
          <w:spacing w:val="-2"/>
        </w:rPr>
        <w:t>, 201</w:t>
      </w:r>
      <w:r w:rsidR="000B6C71">
        <w:rPr>
          <w:b/>
          <w:spacing w:val="-2"/>
        </w:rPr>
        <w:t>4</w:t>
      </w:r>
    </w:p>
    <w:p w14:paraId="7DE8621B" w14:textId="77777777" w:rsidR="005D30C6" w:rsidRPr="005D7567" w:rsidRDefault="005D30C6" w:rsidP="005D30C6">
      <w:pPr>
        <w:keepNext/>
        <w:widowControl/>
      </w:pPr>
    </w:p>
    <w:p w14:paraId="5708AD6D" w14:textId="77777777" w:rsidR="005D30C6" w:rsidRPr="005D7567" w:rsidRDefault="005D30C6" w:rsidP="005D30C6">
      <w:pPr>
        <w:keepNext/>
        <w:widowControl/>
        <w:rPr>
          <w:spacing w:val="-2"/>
        </w:rPr>
      </w:pPr>
      <w:r w:rsidRPr="005D7567">
        <w:t xml:space="preserve">By the </w:t>
      </w:r>
      <w:r w:rsidR="00FD00E0">
        <w:t xml:space="preserve">Acting </w:t>
      </w:r>
      <w:r>
        <w:rPr>
          <w:spacing w:val="-2"/>
        </w:rPr>
        <w:t xml:space="preserve">Chief, Wireless Telecommunications Bureau: </w:t>
      </w:r>
    </w:p>
    <w:p w14:paraId="02F2261D" w14:textId="77777777" w:rsidR="005D30C6" w:rsidRPr="00210CCB" w:rsidRDefault="005D30C6" w:rsidP="00C84AA0">
      <w:pPr>
        <w:pStyle w:val="Heading1"/>
        <w:widowControl/>
        <w:numPr>
          <w:ilvl w:val="0"/>
          <w:numId w:val="0"/>
        </w:numPr>
        <w:ind w:left="720" w:hanging="720"/>
      </w:pPr>
      <w:bookmarkStart w:id="1" w:name="_Toc365289467"/>
      <w:bookmarkStart w:id="2" w:name="_Toc365297784"/>
      <w:bookmarkStart w:id="3" w:name="_Toc366080746"/>
      <w:bookmarkStart w:id="4" w:name="_Toc366081282"/>
      <w:bookmarkStart w:id="5" w:name="_Toc366142301"/>
      <w:bookmarkStart w:id="6" w:name="_Toc366160454"/>
      <w:bookmarkStart w:id="7" w:name="_Toc366161306"/>
      <w:bookmarkStart w:id="8" w:name="_Toc366677414"/>
      <w:bookmarkStart w:id="9" w:name="_Toc366696620"/>
      <w:bookmarkStart w:id="10" w:name="_Toc366740262"/>
      <w:bookmarkStart w:id="11" w:name="_Toc366766669"/>
      <w:bookmarkStart w:id="12" w:name="_Toc366771496"/>
      <w:bookmarkStart w:id="13" w:name="_Toc367201501"/>
      <w:bookmarkStart w:id="14" w:name="_Toc367297826"/>
      <w:bookmarkStart w:id="15" w:name="_Toc367384476"/>
      <w:bookmarkStart w:id="16" w:name="_Toc367385261"/>
      <w:bookmarkStart w:id="17" w:name="_Toc367463239"/>
      <w:bookmarkStart w:id="18" w:name="_Toc367715571"/>
      <w:bookmarkStart w:id="19" w:name="_Toc367975859"/>
      <w:bookmarkStart w:id="20" w:name="_Toc367978232"/>
      <w:bookmarkStart w:id="21" w:name="_Toc368049344"/>
      <w:bookmarkStart w:id="22" w:name="_Toc370401662"/>
    </w:p>
    <w:p w14:paraId="1EACCF26" w14:textId="77777777" w:rsidR="005D30C6" w:rsidRPr="005D7567" w:rsidRDefault="005D30C6" w:rsidP="005D30C6">
      <w:pPr>
        <w:pStyle w:val="Heading1"/>
        <w:widowControl/>
      </w:pPr>
      <w:r w:rsidRPr="005D7567">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6693A984" w14:textId="77777777" w:rsidR="00B06962" w:rsidRPr="00210CCB" w:rsidRDefault="005D30C6" w:rsidP="00B06962">
      <w:pPr>
        <w:pStyle w:val="ParaNum"/>
        <w:keepNext/>
        <w:widowControl/>
        <w:tabs>
          <w:tab w:val="clear" w:pos="1080"/>
          <w:tab w:val="num" w:pos="1440"/>
        </w:tabs>
        <w:snapToGrid w:val="0"/>
      </w:pPr>
      <w:bookmarkStart w:id="23" w:name="_Ref318896618"/>
      <w:bookmarkStart w:id="24" w:name="_Toc319056111"/>
      <w:bookmarkStart w:id="25" w:name="_Toc319073332"/>
      <w:bookmarkStart w:id="26" w:name="_Toc319077493"/>
      <w:bookmarkStart w:id="27" w:name="_Toc319316404"/>
      <w:bookmarkStart w:id="28" w:name="_Toc319402095"/>
      <w:bookmarkStart w:id="29" w:name="_Toc319571054"/>
      <w:bookmarkStart w:id="30" w:name="_Toc319573091"/>
      <w:bookmarkStart w:id="31" w:name="_Toc319947286"/>
      <w:bookmarkStart w:id="32" w:name="_Toc320013925"/>
      <w:bookmarkStart w:id="33" w:name="_Toc320085406"/>
      <w:bookmarkStart w:id="34" w:name="_Toc234806606"/>
      <w:bookmarkStart w:id="35" w:name="_Toc235253981"/>
      <w:bookmarkStart w:id="36" w:name="_Toc235499922"/>
      <w:bookmarkStart w:id="37" w:name="_Toc238548877"/>
      <w:bookmarkStart w:id="38" w:name="_Toc238549469"/>
      <w:bookmarkStart w:id="39" w:name="_Toc238612108"/>
      <w:bookmarkStart w:id="40" w:name="_Toc238612295"/>
      <w:bookmarkStart w:id="41" w:name="_Toc238612702"/>
      <w:bookmarkStart w:id="42" w:name="_Toc245199532"/>
      <w:bookmarkStart w:id="43" w:name="_Toc245202261"/>
      <w:bookmarkStart w:id="44" w:name="_Toc313637333"/>
      <w:bookmarkStart w:id="45" w:name="_Toc313637834"/>
      <w:bookmarkStart w:id="46" w:name="_Toc313638339"/>
      <w:bookmarkStart w:id="47" w:name="_Toc313880975"/>
      <w:bookmarkStart w:id="48" w:name="_Toc314216615"/>
      <w:bookmarkStart w:id="49" w:name="_Toc314216849"/>
      <w:bookmarkStart w:id="50" w:name="_Toc314218106"/>
      <w:bookmarkStart w:id="51" w:name="_Toc314228846"/>
      <w:bookmarkStart w:id="52" w:name="_Toc314229163"/>
      <w:bookmarkStart w:id="53" w:name="_Toc314234400"/>
      <w:bookmarkStart w:id="54" w:name="_Toc314234855"/>
      <w:bookmarkStart w:id="55" w:name="_Toc314235986"/>
      <w:bookmarkStart w:id="56" w:name="_Toc314238350"/>
      <w:bookmarkStart w:id="57" w:name="_Toc315339204"/>
      <w:bookmarkStart w:id="58" w:name="_Toc315342241"/>
      <w:bookmarkStart w:id="59" w:name="_Toc315344676"/>
      <w:bookmarkStart w:id="60" w:name="_Toc314216611"/>
      <w:bookmarkStart w:id="61" w:name="_Toc314216845"/>
      <w:bookmarkStart w:id="62" w:name="_Toc314218100"/>
      <w:bookmarkStart w:id="63" w:name="_Toc314228840"/>
      <w:bookmarkStart w:id="64" w:name="_Toc314229157"/>
      <w:bookmarkStart w:id="65" w:name="_Toc314234394"/>
      <w:bookmarkStart w:id="66" w:name="_Toc314234849"/>
      <w:bookmarkStart w:id="67" w:name="_Toc314235980"/>
      <w:bookmarkStart w:id="68" w:name="_Toc314238344"/>
      <w:bookmarkStart w:id="69" w:name="_Toc315349164"/>
      <w:bookmarkStart w:id="70" w:name="_Toc315349269"/>
      <w:bookmarkStart w:id="71" w:name="_Toc315349691"/>
      <w:bookmarkStart w:id="72" w:name="_Toc315351088"/>
      <w:bookmarkStart w:id="73" w:name="_Toc313634747"/>
      <w:bookmarkStart w:id="74" w:name="_Toc313635149"/>
      <w:bookmarkStart w:id="75" w:name="_Toc313635170"/>
      <w:bookmarkStart w:id="76" w:name="_Toc313635217"/>
      <w:bookmarkStart w:id="77" w:name="_Toc313635264"/>
      <w:bookmarkStart w:id="78" w:name="_Toc313635783"/>
      <w:bookmarkStart w:id="79" w:name="_Toc313635849"/>
      <w:bookmarkStart w:id="80" w:name="_Toc313636623"/>
      <w:bookmarkStart w:id="81" w:name="_Toc313637311"/>
      <w:bookmarkStart w:id="82" w:name="_Toc313637812"/>
      <w:bookmarkStart w:id="83" w:name="_Toc313638318"/>
      <w:bookmarkStart w:id="84" w:name="_Toc313880953"/>
      <w:bookmarkStart w:id="85" w:name="_Toc314216588"/>
      <w:bookmarkStart w:id="86" w:name="_Toc314216823"/>
      <w:bookmarkStart w:id="87" w:name="_Toc314218078"/>
      <w:bookmarkStart w:id="88" w:name="_Toc314228818"/>
      <w:bookmarkStart w:id="89" w:name="_Toc314229135"/>
      <w:bookmarkStart w:id="90" w:name="_Toc314234376"/>
      <w:bookmarkStart w:id="91" w:name="_Toc314234831"/>
      <w:bookmarkStart w:id="92" w:name="_Toc314235962"/>
      <w:bookmarkStart w:id="93" w:name="_Toc314238326"/>
      <w:bookmarkStart w:id="94" w:name="_Toc314240034"/>
      <w:bookmarkStart w:id="95" w:name="_Toc315349268"/>
      <w:bookmarkStart w:id="96" w:name="_Toc315349690"/>
      <w:bookmarkStart w:id="97" w:name="_Toc315351080"/>
      <w:bookmarkStart w:id="98" w:name="_Toc315352156"/>
      <w:bookmarkStart w:id="99" w:name="_Toc315443512"/>
      <w:bookmarkStart w:id="100" w:name="_Toc316028540"/>
      <w:bookmarkStart w:id="101" w:name="_Toc316030655"/>
      <w:bookmarkStart w:id="102" w:name="_Toc316032481"/>
      <w:bookmarkStart w:id="103" w:name="_Toc316033677"/>
      <w:bookmarkStart w:id="104" w:name="_Toc316036951"/>
      <w:bookmarkStart w:id="105" w:name="_Toc316037216"/>
      <w:bookmarkStart w:id="106" w:name="_Toc316038248"/>
      <w:bookmarkStart w:id="107" w:name="_Toc316038436"/>
      <w:bookmarkStart w:id="108" w:name="_Toc316038528"/>
      <w:bookmarkStart w:id="109" w:name="_Toc316041873"/>
      <w:bookmarkStart w:id="110" w:name="_Toc316043736"/>
      <w:bookmarkStart w:id="111" w:name="_Toc316059792"/>
      <w:bookmarkStart w:id="112" w:name="_Toc316060927"/>
      <w:bookmarkStart w:id="113" w:name="_Toc316392541"/>
      <w:bookmarkStart w:id="114" w:name="_Toc316393247"/>
      <w:bookmarkStart w:id="115" w:name="_Toc316393413"/>
      <w:bookmarkStart w:id="116" w:name="_Toc316394206"/>
      <w:bookmarkStart w:id="117" w:name="_Toc316396193"/>
      <w:r>
        <w:t xml:space="preserve">By this Order of Modification, we modify AT&amp;T’s Lower 700 MHz B and C </w:t>
      </w:r>
      <w:r w:rsidR="00185017">
        <w:t xml:space="preserve">Block licenses </w:t>
      </w:r>
      <w:r w:rsidR="00BF537D">
        <w:t>cons</w:t>
      </w:r>
      <w:r w:rsidR="004B0EB6">
        <w:t xml:space="preserve">istent </w:t>
      </w:r>
      <w:r w:rsidR="00794B63">
        <w:t xml:space="preserve">with </w:t>
      </w:r>
      <w:r w:rsidR="00BF537D">
        <w:t xml:space="preserve">the </w:t>
      </w:r>
      <w:r w:rsidRPr="000932EC">
        <w:rPr>
          <w:i/>
        </w:rPr>
        <w:t>700 MHz Interoperability Report and Order and Order of Proposed Modification</w:t>
      </w:r>
      <w:r w:rsidR="004B0EB6">
        <w:t xml:space="preserve"> and the terms outlined below</w:t>
      </w:r>
      <w:r>
        <w:t>.</w:t>
      </w:r>
      <w:r>
        <w:rPr>
          <w:rStyle w:val="FootnoteReference"/>
        </w:rPr>
        <w:footnoteReference w:id="2"/>
      </w:r>
    </w:p>
    <w:p w14:paraId="49DB0D16" w14:textId="77777777" w:rsidR="00F10918" w:rsidRPr="00F10918" w:rsidRDefault="00F10918" w:rsidP="00F10918">
      <w:pPr>
        <w:pStyle w:val="Heading1"/>
        <w:rPr>
          <w:lang w:val="x-none"/>
        </w:rPr>
      </w:pPr>
      <w:r>
        <w:t>Background</w:t>
      </w:r>
    </w:p>
    <w:p w14:paraId="7391E08D" w14:textId="4D499188" w:rsidR="0080262C" w:rsidRDefault="004B0EB6" w:rsidP="00C84AA0">
      <w:pPr>
        <w:pStyle w:val="ParaNum"/>
        <w:keepNext/>
        <w:widowControl/>
        <w:tabs>
          <w:tab w:val="clear" w:pos="1080"/>
          <w:tab w:val="num" w:pos="1440"/>
        </w:tabs>
        <w:snapToGrid w:val="0"/>
      </w:pPr>
      <w:r>
        <w:t>On October 25</w:t>
      </w:r>
      <w:r w:rsidR="005D30C6">
        <w:t>, 2013, the Commission</w:t>
      </w:r>
      <w:r w:rsidR="00C91500">
        <w:t xml:space="preserve"> </w:t>
      </w:r>
      <w:r>
        <w:t xml:space="preserve">adopted </w:t>
      </w:r>
      <w:r w:rsidR="00C91500">
        <w:t xml:space="preserve">the </w:t>
      </w:r>
      <w:r w:rsidR="000932EC" w:rsidRPr="00A61E82">
        <w:rPr>
          <w:i/>
        </w:rPr>
        <w:t>700 MHz Interoperability Report and Order and Order of Proposed Modification</w:t>
      </w:r>
      <w:r w:rsidR="003045D4">
        <w:t xml:space="preserve"> </w:t>
      </w:r>
      <w:r>
        <w:t xml:space="preserve">to implement </w:t>
      </w:r>
      <w:r w:rsidR="00BF537D">
        <w:t xml:space="preserve">a voluntary </w:t>
      </w:r>
      <w:r w:rsidR="003045D4">
        <w:t>i</w:t>
      </w:r>
      <w:r w:rsidR="005D30C6" w:rsidRPr="00B87B01">
        <w:t>ndustry solution</w:t>
      </w:r>
      <w:r w:rsidR="005D30C6" w:rsidDel="00B87B01">
        <w:t xml:space="preserve"> </w:t>
      </w:r>
      <w:r w:rsidR="003045D4">
        <w:t xml:space="preserve">that </w:t>
      </w:r>
      <w:r w:rsidR="00C25739">
        <w:t xml:space="preserve">is designed to </w:t>
      </w:r>
      <w:r w:rsidR="003045D4">
        <w:t xml:space="preserve">establish </w:t>
      </w:r>
      <w:r w:rsidR="005D30C6">
        <w:t>interoperable</w:t>
      </w:r>
      <w:r>
        <w:t xml:space="preserve"> Long Term Evolution (LTE) service</w:t>
      </w:r>
      <w:r w:rsidR="005D30C6">
        <w:t xml:space="preserve"> in the L</w:t>
      </w:r>
      <w:r w:rsidR="005D30C6" w:rsidRPr="006E2B83">
        <w:t>ower 700 MHz band</w:t>
      </w:r>
      <w:r w:rsidR="005D30C6">
        <w:t xml:space="preserve">.  </w:t>
      </w:r>
      <w:r w:rsidR="004A6679" w:rsidRPr="004A6679">
        <w:t>Specifically,</w:t>
      </w:r>
      <w:r w:rsidR="004A6679" w:rsidRPr="00A61E82">
        <w:rPr>
          <w:i/>
        </w:rPr>
        <w:t xml:space="preserve"> </w:t>
      </w:r>
      <w:r w:rsidR="004A6679">
        <w:t>p</w:t>
      </w:r>
      <w:r w:rsidR="00C91500">
        <w:t xml:space="preserve">ursuant to Section 316 </w:t>
      </w:r>
      <w:r w:rsidR="00C25739">
        <w:t>of the Communications Act of 1934, as amended,</w:t>
      </w:r>
      <w:r w:rsidR="00C25739">
        <w:rPr>
          <w:rStyle w:val="FootnoteReference"/>
        </w:rPr>
        <w:footnoteReference w:id="3"/>
      </w:r>
      <w:r w:rsidR="00C25739">
        <w:t xml:space="preserve"> and in order </w:t>
      </w:r>
      <w:r w:rsidR="00C91500">
        <w:t>to implement the commitments contained in AT&amp;T’s letter of September 10, 2013</w:t>
      </w:r>
      <w:r w:rsidR="000B6BF1">
        <w:rPr>
          <w:rStyle w:val="FootnoteReference"/>
        </w:rPr>
        <w:footnoteReference w:id="4"/>
      </w:r>
      <w:r w:rsidR="00C91500">
        <w:t xml:space="preserve"> and </w:t>
      </w:r>
      <w:r w:rsidR="00C91500" w:rsidRPr="00603CD4">
        <w:t xml:space="preserve">effectuate the voluntary industry solution </w:t>
      </w:r>
      <w:r w:rsidR="000932EC">
        <w:t xml:space="preserve">for interoperability, </w:t>
      </w:r>
      <w:r w:rsidR="0080262C">
        <w:t xml:space="preserve">the Commission proposed to </w:t>
      </w:r>
      <w:r w:rsidR="00C91500" w:rsidRPr="00603CD4">
        <w:t xml:space="preserve">modify AT&amp;T’s B and C Block licenses to implement the </w:t>
      </w:r>
      <w:r w:rsidR="000B6BF1">
        <w:t xml:space="preserve">interoperability commitments outlined </w:t>
      </w:r>
      <w:r w:rsidR="00A61E82">
        <w:t xml:space="preserve">below and </w:t>
      </w:r>
      <w:r w:rsidR="000B6BF1">
        <w:t xml:space="preserve">in the </w:t>
      </w:r>
      <w:r w:rsidR="000B6BF1" w:rsidRPr="00A61E82">
        <w:rPr>
          <w:i/>
        </w:rPr>
        <w:t>700 MHz I</w:t>
      </w:r>
      <w:r w:rsidRPr="00A61E82">
        <w:rPr>
          <w:i/>
        </w:rPr>
        <w:t>nteroperability Report and Order</w:t>
      </w:r>
      <w:r w:rsidR="00710DA0" w:rsidRPr="00A61E82">
        <w:rPr>
          <w:i/>
        </w:rPr>
        <w:t xml:space="preserve"> and Order of Proposed Modification</w:t>
      </w:r>
      <w:r w:rsidR="000B6BF1">
        <w:t>.</w:t>
      </w:r>
      <w:r w:rsidR="009703F7">
        <w:rPr>
          <w:rStyle w:val="FootnoteReference"/>
        </w:rPr>
        <w:footnoteReference w:id="5"/>
      </w:r>
      <w:r w:rsidR="000B6BF1">
        <w:t xml:space="preserve">  </w:t>
      </w:r>
      <w:r w:rsidR="0080262C">
        <w:t xml:space="preserve">On </w:t>
      </w:r>
      <w:r w:rsidR="001A3F6F">
        <w:t>January 14</w:t>
      </w:r>
      <w:r w:rsidR="004A6679">
        <w:t>, 2014</w:t>
      </w:r>
      <w:r w:rsidR="0080262C">
        <w:t xml:space="preserve">, AT&amp;T </w:t>
      </w:r>
      <w:r w:rsidR="004A6679">
        <w:t xml:space="preserve">filed a letter </w:t>
      </w:r>
      <w:r w:rsidR="00C25739">
        <w:t>in this docket waiving its right under Section 316 to</w:t>
      </w:r>
      <w:r w:rsidR="0080262C">
        <w:t xml:space="preserve"> protest the proposed license modifications.</w:t>
      </w:r>
      <w:r w:rsidR="0080262C">
        <w:rPr>
          <w:rStyle w:val="FootnoteReference"/>
        </w:rPr>
        <w:footnoteReference w:id="6"/>
      </w:r>
      <w:r w:rsidR="0080262C">
        <w:t xml:space="preserve"> </w:t>
      </w:r>
      <w:r w:rsidR="00B06962">
        <w:t xml:space="preserve"> </w:t>
      </w:r>
      <w:r w:rsidR="00C25739">
        <w:t>No other party has raised any protest or other objection to these proposed mo</w:t>
      </w:r>
      <w:r w:rsidR="00B06962">
        <w:t>difications of AT&amp;T’s licenses.</w:t>
      </w:r>
    </w:p>
    <w:p w14:paraId="3E608014" w14:textId="77777777" w:rsidR="0080262C" w:rsidRDefault="0080262C" w:rsidP="0080262C">
      <w:pPr>
        <w:pStyle w:val="Heading1"/>
      </w:pPr>
      <w:r>
        <w:t>discussion and conclusion</w:t>
      </w:r>
    </w:p>
    <w:p w14:paraId="171E46AD" w14:textId="77777777" w:rsidR="004A6679" w:rsidRDefault="00C25739" w:rsidP="00C84AA0">
      <w:pPr>
        <w:pStyle w:val="ParaNum"/>
        <w:keepNext/>
        <w:widowControl/>
        <w:tabs>
          <w:tab w:val="clear" w:pos="1080"/>
          <w:tab w:val="num" w:pos="1440"/>
        </w:tabs>
        <w:snapToGrid w:val="0"/>
      </w:pPr>
      <w:r>
        <w:t>In accordance with</w:t>
      </w:r>
      <w:r w:rsidR="0080262C">
        <w:t xml:space="preserve"> the Commission’s decision in the </w:t>
      </w:r>
      <w:r w:rsidR="0080262C" w:rsidRPr="004A6679">
        <w:rPr>
          <w:i/>
        </w:rPr>
        <w:t>700 MHz Interoperability Report and Order and Order of Proposed Modification</w:t>
      </w:r>
      <w:r w:rsidR="0080262C">
        <w:t xml:space="preserve">, </w:t>
      </w:r>
      <w:r>
        <w:t xml:space="preserve">and in light of AT&amp;T’s filing, </w:t>
      </w:r>
      <w:r w:rsidR="0080262C">
        <w:t>we conclude it is in the public interest to modify AT&amp;T’s B and C B</w:t>
      </w:r>
      <w:r w:rsidR="00C32619">
        <w:t xml:space="preserve">lock licenses </w:t>
      </w:r>
      <w:r w:rsidR="00A61E82">
        <w:t xml:space="preserve">by </w:t>
      </w:r>
      <w:r w:rsidR="00EF203D">
        <w:t>imposing</w:t>
      </w:r>
      <w:r w:rsidR="00A61E82">
        <w:t xml:space="preserve"> the following </w:t>
      </w:r>
      <w:r w:rsidR="00446460">
        <w:t xml:space="preserve">interoperability </w:t>
      </w:r>
      <w:r w:rsidR="00EF203D">
        <w:lastRenderedPageBreak/>
        <w:t>commitments as conditions for AT&amp;T to hold the Lower 700 MHz B and C Block licenses</w:t>
      </w:r>
      <w:r w:rsidR="00A61E82">
        <w:t xml:space="preserve">.  </w:t>
      </w:r>
      <w:r w:rsidR="004A6679" w:rsidRPr="004A6679">
        <w:t xml:space="preserve">These commitments relate both to AT&amp;T’s deployment of a Multi-Frequency Band Indicator (MFBI) software feature and to AT&amp;T’s transition to Band Class 12 capable devices:  </w:t>
      </w:r>
    </w:p>
    <w:p w14:paraId="7F8A124B" w14:textId="77777777" w:rsidR="004A6679" w:rsidRDefault="004A6679" w:rsidP="00C84AA0">
      <w:pPr>
        <w:pStyle w:val="ParaNum"/>
        <w:numPr>
          <w:ilvl w:val="0"/>
          <w:numId w:val="10"/>
        </w:numPr>
        <w:spacing w:after="0"/>
      </w:pPr>
      <w:r w:rsidRPr="004A6679">
        <w:t>AT&amp;T must move forward expeditiously with testing the 3GPP M</w:t>
      </w:r>
      <w:r w:rsidR="001F6E6C">
        <w:t xml:space="preserve">FBI </w:t>
      </w:r>
      <w:r w:rsidRPr="004A6679">
        <w:t>software feature as soon as it is made available to AT&amp;T by its RAN vendors.  AT&amp;T must fully deploy the new MFBI software feature in its 700 MHz network within 24 months of September 30, 2013.  The end of the 24-month period will also commence the beginning of the Band 12 capable device roll-out period</w:t>
      </w:r>
      <w:r w:rsidR="00B06962">
        <w:t>.</w:t>
      </w:r>
    </w:p>
    <w:p w14:paraId="6EECB0F8" w14:textId="77777777" w:rsidR="00B06962" w:rsidRPr="004A6679" w:rsidRDefault="00B06962" w:rsidP="00B06962">
      <w:pPr>
        <w:pStyle w:val="ParaNum"/>
        <w:numPr>
          <w:ilvl w:val="0"/>
          <w:numId w:val="0"/>
        </w:numPr>
        <w:spacing w:after="0"/>
        <w:ind w:left="1080"/>
      </w:pPr>
    </w:p>
    <w:p w14:paraId="094DFF53" w14:textId="250DBA18" w:rsidR="004A6679" w:rsidRDefault="004A6679" w:rsidP="00C84AA0">
      <w:pPr>
        <w:pStyle w:val="ParaNum"/>
        <w:numPr>
          <w:ilvl w:val="0"/>
          <w:numId w:val="10"/>
        </w:numPr>
        <w:spacing w:after="0"/>
      </w:pPr>
      <w:r w:rsidRPr="004A6679">
        <w:t>If AT&amp;T concludes that, despite its best efforts, implementation of the MFBI feature within 24 months will result in significant negative customer impact, AT&amp;T will file a certification, consistent with Commission rules (including but not limited to Sections 1.16, 1.17 and 1.65</w:t>
      </w:r>
      <w:r w:rsidRPr="004A6679">
        <w:rPr>
          <w:vertAlign w:val="superscript"/>
        </w:rPr>
        <w:footnoteReference w:id="7"/>
      </w:r>
      <w:r w:rsidR="0006007D">
        <w:t xml:space="preserve">), </w:t>
      </w:r>
      <w:r w:rsidR="005241FC">
        <w:t xml:space="preserve">so </w:t>
      </w:r>
      <w:r w:rsidRPr="004A6679">
        <w:t>asserting and outlining in specific detail the commercially reasonable steps taken to meet the deadline and the reason for the delay.  Any such filing must be made on or before August 31, 2015.  With the filing of such a certification, the 24-month deadline for MFBI implementation and the start of the Band 12 capable device roll-out period shall be extended by the period requested in the certification, up to an additional 6 months.</w:t>
      </w:r>
    </w:p>
    <w:p w14:paraId="1048D5EB" w14:textId="77777777" w:rsidR="00B06962" w:rsidRPr="004A6679" w:rsidRDefault="00B06962" w:rsidP="00B06962">
      <w:pPr>
        <w:pStyle w:val="ParaNum"/>
        <w:numPr>
          <w:ilvl w:val="0"/>
          <w:numId w:val="0"/>
        </w:numPr>
        <w:spacing w:after="0"/>
      </w:pPr>
    </w:p>
    <w:p w14:paraId="554345C7" w14:textId="77777777" w:rsidR="004A6679" w:rsidRDefault="004A6679" w:rsidP="00C84AA0">
      <w:pPr>
        <w:pStyle w:val="ParaNum"/>
        <w:numPr>
          <w:ilvl w:val="0"/>
          <w:numId w:val="10"/>
        </w:numPr>
        <w:spacing w:after="0"/>
      </w:pPr>
      <w:r w:rsidRPr="004A6679">
        <w:t>Once MFBI has been fully implemented by AT&amp;T, AT&amp;T shall provide LTE roaming to carriers with compatible Band 12 devices, consistent with the</w:t>
      </w:r>
      <w:r w:rsidR="00B06962">
        <w:t xml:space="preserve"> Commission’s rules on roaming.</w:t>
      </w:r>
    </w:p>
    <w:p w14:paraId="10D8BFFC" w14:textId="77777777" w:rsidR="00B06962" w:rsidRPr="004A6679" w:rsidRDefault="00B06962" w:rsidP="00B06962">
      <w:pPr>
        <w:pStyle w:val="ParaNum"/>
        <w:numPr>
          <w:ilvl w:val="0"/>
          <w:numId w:val="0"/>
        </w:numPr>
        <w:spacing w:after="0"/>
      </w:pPr>
    </w:p>
    <w:p w14:paraId="6649CE1B" w14:textId="77777777" w:rsidR="004A6679" w:rsidRDefault="004A6679" w:rsidP="00C84AA0">
      <w:pPr>
        <w:pStyle w:val="ParaNum"/>
        <w:numPr>
          <w:ilvl w:val="0"/>
          <w:numId w:val="10"/>
        </w:numPr>
        <w:spacing w:after="0"/>
      </w:pPr>
      <w:r w:rsidRPr="004A6679">
        <w:t>“Band 12 capable device” shall mean any device that is capable of supporting 3GPP Band Class 12.  At this time, AT&amp;T is exploring various Band 12 implementation approaches with its chipset and OEM partners and AT&amp;T may pursue the most efficient solutions available based on evolving network and device capabilities on a technology neutral basis.</w:t>
      </w:r>
    </w:p>
    <w:p w14:paraId="3874DE6A" w14:textId="77777777" w:rsidR="00B06962" w:rsidRPr="004A6679" w:rsidRDefault="00B06962" w:rsidP="00B06962">
      <w:pPr>
        <w:pStyle w:val="ParaNum"/>
        <w:numPr>
          <w:ilvl w:val="0"/>
          <w:numId w:val="0"/>
        </w:numPr>
        <w:spacing w:after="0"/>
      </w:pPr>
    </w:p>
    <w:p w14:paraId="768564F7" w14:textId="77777777" w:rsidR="004A6679" w:rsidRDefault="004A6679" w:rsidP="00C84AA0">
      <w:pPr>
        <w:pStyle w:val="ParaNum"/>
        <w:numPr>
          <w:ilvl w:val="0"/>
          <w:numId w:val="10"/>
        </w:numPr>
        <w:spacing w:after="0"/>
      </w:pPr>
      <w:r w:rsidRPr="004A6679">
        <w:t>During the first year of the device roll-out period, 50% of all new unique devices that operate on the paired Lower 700 MHz bands, as identified by unique SKU numbers, introduced by AT&amp;T into its device portfolio will be Band 12 capable devices.  Memory or color finish variations on a single device shall not be considered separate unique SKUs.  Machine-to- Machine (M-to-M) devices shall not be counted as “new unique devices” for purposes of this commitment.</w:t>
      </w:r>
    </w:p>
    <w:p w14:paraId="767F5D79" w14:textId="77777777" w:rsidR="00B06962" w:rsidRPr="004A6679" w:rsidRDefault="00B06962" w:rsidP="00B06962">
      <w:pPr>
        <w:pStyle w:val="ParaNum"/>
        <w:numPr>
          <w:ilvl w:val="0"/>
          <w:numId w:val="0"/>
        </w:numPr>
        <w:spacing w:after="0"/>
      </w:pPr>
    </w:p>
    <w:p w14:paraId="0F31F401" w14:textId="77777777" w:rsidR="004A6679" w:rsidRDefault="004A6679" w:rsidP="00C84AA0">
      <w:pPr>
        <w:pStyle w:val="ParaNum"/>
        <w:numPr>
          <w:ilvl w:val="0"/>
          <w:numId w:val="10"/>
        </w:numPr>
        <w:spacing w:after="0"/>
      </w:pPr>
      <w:r w:rsidRPr="004A6679">
        <w:t>During the second year of the device roll-out period, 75% of new unique devices that operate on the paired Lower 700 MHz bands, as identified by unique SKU numbers, introduced by AT&amp;T into its device portfolio will be Band 12 capable devices.  Memory or color finish variations on a single device shall not be considered separate unique SKUs.  M-to-M devices shall not be counted as “new unique devices” f</w:t>
      </w:r>
      <w:r w:rsidR="000A1E67">
        <w:t>or purposes of this commitment.</w:t>
      </w:r>
    </w:p>
    <w:p w14:paraId="0A6A8662" w14:textId="77777777" w:rsidR="00B06962" w:rsidRPr="004A6679" w:rsidRDefault="00B06962" w:rsidP="00B06962">
      <w:pPr>
        <w:pStyle w:val="ParaNum"/>
        <w:numPr>
          <w:ilvl w:val="0"/>
          <w:numId w:val="0"/>
        </w:numPr>
        <w:spacing w:after="0"/>
      </w:pPr>
    </w:p>
    <w:p w14:paraId="33B22409" w14:textId="77777777" w:rsidR="004A6679" w:rsidRDefault="004A6679" w:rsidP="00C84AA0">
      <w:pPr>
        <w:pStyle w:val="ParaNum"/>
        <w:numPr>
          <w:ilvl w:val="0"/>
          <w:numId w:val="10"/>
        </w:numPr>
        <w:spacing w:after="0"/>
      </w:pPr>
      <w:r w:rsidRPr="004A6679">
        <w:t>Commencing at the conclusion of the second year of the device roll-out period, all new unique devices that operate on the paired Lower 700 MHz bands introduced by AT&amp;T into its device portfolio will be Band 12 capable devices.  In addition, from that time forward, AT&amp;T must ensure that its specifications for all new devices that are designed to operate in the paired Lower 700 MHz frequencies, including M-to-M devices, will call for Band 12 capability.  However, M-to-M devices shall not be counted as “new unique devices” f</w:t>
      </w:r>
      <w:r w:rsidR="000A1E67">
        <w:t>or purposes of this commitment.</w:t>
      </w:r>
    </w:p>
    <w:p w14:paraId="541D3D38" w14:textId="77777777" w:rsidR="000F5608" w:rsidRDefault="000F5608" w:rsidP="000F5608">
      <w:pPr>
        <w:pStyle w:val="ListParagraph"/>
      </w:pPr>
    </w:p>
    <w:p w14:paraId="00C25FEB" w14:textId="77777777" w:rsidR="000F5608" w:rsidRPr="004A6679" w:rsidRDefault="000F5608" w:rsidP="000F5608">
      <w:pPr>
        <w:pStyle w:val="ParaNum"/>
        <w:numPr>
          <w:ilvl w:val="0"/>
          <w:numId w:val="0"/>
        </w:numPr>
        <w:spacing w:after="0"/>
        <w:ind w:left="1080"/>
      </w:pPr>
    </w:p>
    <w:p w14:paraId="3BE6744B" w14:textId="77777777" w:rsidR="004A6679" w:rsidRDefault="004A6679" w:rsidP="00C84AA0">
      <w:pPr>
        <w:pStyle w:val="ParaNum"/>
        <w:numPr>
          <w:ilvl w:val="0"/>
          <w:numId w:val="10"/>
        </w:numPr>
        <w:spacing w:after="0"/>
      </w:pPr>
      <w:r w:rsidRPr="004A6679">
        <w:t>The commitments outlined above apply to all new unique data-capable devices that connect to or provide connectivity on AT&amp;T’s paired Lower 700 MHz FDD network.  AT&amp;T’s commitment shall not extend to any devices that are uniquely designed to operate on spectrum bands licensed for use by AT&amp;T that are not in the paired Lower 700 MHz bands.  AT&amp;T reserves the express right to support devices that do not operate in the paired Lower 700 MHz bands.</w:t>
      </w:r>
    </w:p>
    <w:p w14:paraId="13082463" w14:textId="77777777" w:rsidR="00B06962" w:rsidRPr="004A6679" w:rsidRDefault="00B06962" w:rsidP="00B06962">
      <w:pPr>
        <w:pStyle w:val="ParaNum"/>
        <w:numPr>
          <w:ilvl w:val="0"/>
          <w:numId w:val="0"/>
        </w:numPr>
        <w:spacing w:after="0"/>
        <w:ind w:left="1080"/>
      </w:pPr>
    </w:p>
    <w:p w14:paraId="3A689F51" w14:textId="3C46DFD5" w:rsidR="004A6679" w:rsidRDefault="009307D2" w:rsidP="00C84AA0">
      <w:pPr>
        <w:pStyle w:val="ParaNum"/>
        <w:numPr>
          <w:ilvl w:val="0"/>
          <w:numId w:val="10"/>
        </w:numPr>
        <w:spacing w:after="0"/>
      </w:pPr>
      <w:r>
        <w:t xml:space="preserve">To demonstrate progress </w:t>
      </w:r>
      <w:r w:rsidR="001F1854">
        <w:t xml:space="preserve">on </w:t>
      </w:r>
      <w:r>
        <w:t xml:space="preserve">its </w:t>
      </w:r>
      <w:r w:rsidR="004A6679" w:rsidRPr="004A6679">
        <w:t>commitments, AT&amp;T shall submit comprehensive written reports and meet with the Commission staff at each of 12 months, 18 months and 24 months from the date of its September 10, 2013 commitment letter</w:t>
      </w:r>
      <w:r w:rsidRPr="009307D2">
        <w:t xml:space="preserve"> </w:t>
      </w:r>
      <w:r w:rsidRPr="004A6679">
        <w:t>that will provide information on AT&amp;T’s progress t</w:t>
      </w:r>
      <w:r>
        <w:t>oward meeting these commitments</w:t>
      </w:r>
      <w:r w:rsidR="001F6E6C">
        <w:t>.</w:t>
      </w:r>
      <w:r w:rsidR="004A6679" w:rsidRPr="004A6679">
        <w:rPr>
          <w:vertAlign w:val="superscript"/>
        </w:rPr>
        <w:footnoteReference w:id="8"/>
      </w:r>
      <w:r w:rsidR="004A6679" w:rsidRPr="004A6679">
        <w:t xml:space="preserve">  Additionally, AT&amp;T shall provide comprehensive written reports at 28 months, 40 months and 46 months to report on progress during the device roll-out period, and it shall file a certification to the Commission </w:t>
      </w:r>
      <w:r w:rsidR="001F6E6C">
        <w:t xml:space="preserve">within 30 days of </w:t>
      </w:r>
      <w:r w:rsidR="004A6679" w:rsidRPr="004A6679">
        <w:t>the end of the device roll-out period to certify final completion of these commitme</w:t>
      </w:r>
      <w:r w:rsidR="000A1E67">
        <w:t>nts.</w:t>
      </w:r>
    </w:p>
    <w:p w14:paraId="5AB4A67D" w14:textId="77777777" w:rsidR="00B06962" w:rsidRPr="004A6679" w:rsidRDefault="00B06962" w:rsidP="00B06962">
      <w:pPr>
        <w:pStyle w:val="ParaNum"/>
        <w:numPr>
          <w:ilvl w:val="0"/>
          <w:numId w:val="0"/>
        </w:numPr>
        <w:spacing w:after="0"/>
      </w:pPr>
    </w:p>
    <w:p w14:paraId="5F63EEDD" w14:textId="77777777" w:rsidR="004A6679" w:rsidRDefault="004A6679" w:rsidP="00C84AA0">
      <w:pPr>
        <w:pStyle w:val="ParaNum"/>
        <w:numPr>
          <w:ilvl w:val="0"/>
          <w:numId w:val="10"/>
        </w:numPr>
        <w:spacing w:after="0"/>
      </w:pPr>
      <w:r w:rsidRPr="004A6679">
        <w:t>Fulfillment of these commitments will require the implementation of new functionality in AT&amp;T’s paired Lower 700 MHz network as well as collaboration with AT&amp;T’s chipset and OEM partners and vendors.  AT&amp;T will use its best efforts to proceed diligently to complete the activities necessary to fulfill its commitments.  However, if at any time, AT&amp;T encounters obstacles beyond its control that threaten its ability to meet these commitments, or undermine the quality of the service it is providing on its network, AT&amp;T may so inform the Commission and seek an extension of t</w:t>
      </w:r>
      <w:r w:rsidR="000A1E67">
        <w:t>ime or a waiver as appropriate.</w:t>
      </w:r>
    </w:p>
    <w:p w14:paraId="17CF6BE1" w14:textId="77777777" w:rsidR="00B06962" w:rsidRPr="004A6679" w:rsidRDefault="00B06962" w:rsidP="00B06962">
      <w:pPr>
        <w:pStyle w:val="ParaNum"/>
        <w:numPr>
          <w:ilvl w:val="0"/>
          <w:numId w:val="0"/>
        </w:numPr>
        <w:spacing w:after="0"/>
      </w:pPr>
    </w:p>
    <w:p w14:paraId="0B6A572E" w14:textId="77777777" w:rsidR="004A6679" w:rsidRDefault="004A6679" w:rsidP="00C84AA0">
      <w:pPr>
        <w:pStyle w:val="ParaNum"/>
        <w:numPr>
          <w:ilvl w:val="0"/>
          <w:numId w:val="10"/>
        </w:numPr>
        <w:spacing w:after="0"/>
      </w:pPr>
      <w:r w:rsidRPr="004A6679">
        <w:t>Consistent with these commitments, AT&amp;T anticipates that its focus and advocacy within the 3GPP standards setting process will shift to Band 12 related projects and work streams.  AT&amp;T must place priority within the 3GPP RAN committee on the development of various Band 12 carrier aggregation scenarios.  Upon completing implementation of the MFBI feature, AT&amp;T anticipates that its focus on new standards related to the paired Lower 700 MHz spectrum will be almost exclusively on Band 12 configurations, features and capabilities.  AT&amp;T may seek revisions and updates to Band 17 standards to the extent necessary to support legacy Band 17 devices and continuing Band 17 functionality on its network.</w:t>
      </w:r>
    </w:p>
    <w:p w14:paraId="099F3B48" w14:textId="77777777" w:rsidR="00B06962" w:rsidRDefault="00B06962" w:rsidP="00B06962">
      <w:pPr>
        <w:pStyle w:val="ListParagraph"/>
      </w:pPr>
    </w:p>
    <w:p w14:paraId="3CB1FC25" w14:textId="77777777" w:rsidR="00B06962" w:rsidRDefault="00B05D8D" w:rsidP="00B06962">
      <w:pPr>
        <w:pStyle w:val="ParaNum"/>
        <w:tabs>
          <w:tab w:val="clear" w:pos="1080"/>
          <w:tab w:val="num" w:pos="1440"/>
        </w:tabs>
        <w:snapToGrid w:val="0"/>
      </w:pPr>
      <w:r>
        <w:t xml:space="preserve">We find </w:t>
      </w:r>
      <w:r w:rsidR="000B6BF1">
        <w:t xml:space="preserve">that modifying AT&amp;T’s licenses </w:t>
      </w:r>
      <w:r w:rsidR="00EF203D">
        <w:t xml:space="preserve">in this manner </w:t>
      </w:r>
      <w:r>
        <w:t xml:space="preserve">will </w:t>
      </w:r>
      <w:r w:rsidRPr="00603CD4">
        <w:t xml:space="preserve">serve the public interest by </w:t>
      </w:r>
      <w:r w:rsidR="009703F7">
        <w:t xml:space="preserve">enabling consumers, especially in rural areas, to enjoy the benefits of greater competition and more choices, and by encouraging efficient use of spectrum, investment, job creation, and the development of innovative mobile broadband services and equipment. </w:t>
      </w:r>
      <w:r w:rsidR="000A1E67">
        <w:t xml:space="preserve"> </w:t>
      </w:r>
      <w:r>
        <w:t>The license modifications w</w:t>
      </w:r>
      <w:r w:rsidR="00C32619">
        <w:t xml:space="preserve">ill be effective </w:t>
      </w:r>
      <w:bookmarkStart w:id="118" w:name="_Toc230683955"/>
      <w:bookmarkStart w:id="119" w:name="_Toc231534418"/>
      <w:bookmarkStart w:id="120" w:name="_Toc231535175"/>
      <w:bookmarkStart w:id="121" w:name="_Toc231549060"/>
      <w:bookmarkStart w:id="122" w:name="_Toc231610712"/>
      <w:bookmarkStart w:id="123" w:name="_Toc231619377"/>
      <w:bookmarkStart w:id="124" w:name="_Toc231687112"/>
      <w:bookmarkStart w:id="125" w:name="_Toc231706003"/>
      <w:bookmarkStart w:id="126" w:name="_Toc231706217"/>
      <w:bookmarkStart w:id="127" w:name="_Toc231707743"/>
      <w:bookmarkStart w:id="128" w:name="_Toc231812322"/>
      <w:bookmarkStart w:id="129" w:name="_Toc231873517"/>
      <w:bookmarkStart w:id="130" w:name="_Toc232214714"/>
      <w:bookmarkStart w:id="131" w:name="_Toc232219579"/>
      <w:bookmarkStart w:id="132" w:name="_Toc232307442"/>
      <w:bookmarkStart w:id="133" w:name="_Toc232388076"/>
      <w:bookmarkStart w:id="134" w:name="_Toc232392134"/>
      <w:bookmarkStart w:id="135" w:name="_Toc232397999"/>
      <w:bookmarkStart w:id="136" w:name="_Toc232399760"/>
      <w:bookmarkStart w:id="137" w:name="_Toc232400324"/>
      <w:bookmarkStart w:id="138" w:name="_Toc232400457"/>
      <w:bookmarkStart w:id="139" w:name="_Toc232403016"/>
      <w:bookmarkStart w:id="140" w:name="_Toc232404552"/>
      <w:bookmarkStart w:id="141" w:name="_Toc232406433"/>
      <w:bookmarkStart w:id="142" w:name="_Toc232408379"/>
      <w:bookmarkStart w:id="143" w:name="_Toc232410191"/>
      <w:bookmarkStart w:id="144" w:name="_Toc232410549"/>
      <w:bookmarkStart w:id="145" w:name="_Toc232411990"/>
      <w:bookmarkStart w:id="146" w:name="_Toc232412228"/>
      <w:bookmarkStart w:id="147" w:name="_Toc232419244"/>
      <w:bookmarkStart w:id="148" w:name="_Toc232421071"/>
      <w:bookmarkStart w:id="149" w:name="_Toc233442991"/>
      <w:bookmarkStart w:id="150" w:name="_Toc233443285"/>
      <w:bookmarkStart w:id="151" w:name="_Toc233450733"/>
      <w:bookmarkStart w:id="152" w:name="_Toc234125237"/>
      <w:bookmarkStart w:id="153" w:name="_Toc234806613"/>
      <w:bookmarkStart w:id="154" w:name="_Toc235253988"/>
      <w:bookmarkStart w:id="155" w:name="_Toc235499929"/>
      <w:bookmarkStart w:id="156" w:name="_Toc238548884"/>
      <w:bookmarkStart w:id="157" w:name="_Toc238549476"/>
      <w:bookmarkStart w:id="158" w:name="_Toc238612115"/>
      <w:bookmarkStart w:id="159" w:name="_Toc238612302"/>
      <w:bookmarkStart w:id="160" w:name="_Toc238612709"/>
      <w:bookmarkStart w:id="161" w:name="_Toc245199539"/>
      <w:bookmarkStart w:id="162" w:name="_Toc245202268"/>
      <w:bookmarkStart w:id="163" w:name="_Toc248739656"/>
      <w:bookmarkStart w:id="164" w:name="_Toc248740847"/>
      <w:bookmarkStart w:id="165" w:name="_Toc248803157"/>
      <w:bookmarkStart w:id="166" w:name="_Toc248804913"/>
      <w:bookmarkStart w:id="167" w:name="_Toc248814267"/>
      <w:bookmarkStart w:id="168" w:name="_Toc248909537"/>
      <w:bookmarkStart w:id="169" w:name="_Toc259178217"/>
      <w:bookmarkStart w:id="170" w:name="_Toc259178326"/>
      <w:bookmarkStart w:id="171" w:name="_Toc259779425"/>
      <w:bookmarkStart w:id="172" w:name="_Toc260058992"/>
      <w:bookmarkStart w:id="173" w:name="_Toc260125060"/>
      <w:bookmarkStart w:id="174" w:name="_Toc260135939"/>
      <w:bookmarkStart w:id="175" w:name="_Toc260388822"/>
      <w:bookmarkStart w:id="176" w:name="_Toc260905152"/>
      <w:bookmarkStart w:id="177" w:name="_Toc261507249"/>
      <w:bookmarkStart w:id="178" w:name="_Toc261585641"/>
      <w:bookmarkStart w:id="179" w:name="_Toc262717608"/>
      <w:bookmarkStart w:id="180" w:name="_Toc263400940"/>
      <w:bookmarkStart w:id="181" w:name="_Toc263688805"/>
      <w:bookmarkStart w:id="182" w:name="_Toc312236290"/>
      <w:bookmarkStart w:id="183" w:name="_Toc312237013"/>
      <w:bookmarkStart w:id="184" w:name="_Toc312237048"/>
      <w:bookmarkStart w:id="185" w:name="_Toc313634759"/>
      <w:bookmarkStart w:id="186" w:name="_Toc313635161"/>
      <w:bookmarkStart w:id="187" w:name="_Toc313635182"/>
      <w:bookmarkStart w:id="188" w:name="_Toc313635229"/>
      <w:bookmarkStart w:id="189" w:name="_Toc313635276"/>
      <w:bookmarkStart w:id="190" w:name="_Toc313635805"/>
      <w:bookmarkStart w:id="191" w:name="_Toc313635871"/>
      <w:bookmarkStart w:id="192" w:name="_Toc313636653"/>
      <w:bookmarkStart w:id="193" w:name="_Toc313637356"/>
      <w:bookmarkStart w:id="194" w:name="_Toc313637868"/>
      <w:bookmarkStart w:id="195" w:name="_Toc313638373"/>
      <w:bookmarkStart w:id="196" w:name="_Toc313881011"/>
      <w:bookmarkStart w:id="197" w:name="_Toc314216655"/>
      <w:bookmarkStart w:id="198" w:name="_Toc314216891"/>
      <w:bookmarkStart w:id="199" w:name="_Toc314218148"/>
      <w:bookmarkStart w:id="200" w:name="_Toc314228888"/>
      <w:bookmarkStart w:id="201" w:name="_Toc314229205"/>
      <w:bookmarkStart w:id="202" w:name="_Toc314234440"/>
      <w:bookmarkStart w:id="203" w:name="_Toc314234895"/>
      <w:bookmarkStart w:id="204" w:name="_Toc314236026"/>
      <w:bookmarkStart w:id="205" w:name="_Toc314238390"/>
      <w:bookmarkStart w:id="206" w:name="_Toc315344713"/>
      <w:bookmarkStart w:id="207" w:name="_Toc315349208"/>
      <w:bookmarkStart w:id="208" w:name="_Toc315349313"/>
      <w:bookmarkStart w:id="209" w:name="_Toc315349735"/>
      <w:bookmarkStart w:id="210" w:name="_Toc315351131"/>
      <w:bookmarkStart w:id="211" w:name="_Toc315352217"/>
      <w:bookmarkStart w:id="212" w:name="_Toc315443574"/>
      <w:bookmarkStart w:id="213" w:name="_Toc316030682"/>
      <w:bookmarkStart w:id="214" w:name="_Toc316032527"/>
      <w:bookmarkStart w:id="215" w:name="_Toc316033724"/>
      <w:bookmarkStart w:id="216" w:name="_Toc316037012"/>
      <w:bookmarkStart w:id="217" w:name="_Toc316037277"/>
      <w:bookmarkStart w:id="218" w:name="_Toc316038311"/>
      <w:bookmarkStart w:id="219" w:name="_Toc316038503"/>
      <w:bookmarkStart w:id="220" w:name="_Toc316038595"/>
      <w:bookmarkStart w:id="221" w:name="_Toc316041940"/>
      <w:bookmarkStart w:id="222" w:name="_Toc316043804"/>
      <w:bookmarkStart w:id="223" w:name="_Toc316059859"/>
      <w:bookmarkStart w:id="224" w:name="_Toc316060994"/>
      <w:bookmarkStart w:id="225" w:name="_Toc316392585"/>
      <w:bookmarkStart w:id="226" w:name="_Toc316393300"/>
      <w:bookmarkStart w:id="227" w:name="_Toc316393469"/>
      <w:bookmarkStart w:id="228" w:name="_Toc316394267"/>
      <w:bookmarkStart w:id="229" w:name="_Toc316396254"/>
      <w:bookmarkStart w:id="230" w:name="_Toc316987396"/>
      <w:bookmarkStart w:id="231" w:name="_Toc316987955"/>
      <w:bookmarkStart w:id="232" w:name="_Toc316992343"/>
      <w:bookmarkStart w:id="233" w:name="_Toc316999281"/>
      <w:bookmarkStart w:id="234" w:name="_Toc317002647"/>
      <w:bookmarkStart w:id="235" w:name="_Toc317161365"/>
      <w:bookmarkStart w:id="236" w:name="_Toc317164454"/>
      <w:bookmarkStart w:id="237" w:name="_Toc317168551"/>
      <w:bookmarkStart w:id="238" w:name="_Toc317174558"/>
      <w:bookmarkStart w:id="239" w:name="_Toc317240097"/>
      <w:bookmarkStart w:id="240" w:name="_Toc317240521"/>
      <w:bookmarkStart w:id="241" w:name="_Toc317263642"/>
      <w:bookmarkStart w:id="242" w:name="_Toc317759455"/>
      <w:bookmarkStart w:id="243" w:name="_Toc363670229"/>
      <w:bookmarkStart w:id="244" w:name="_Toc363239563"/>
      <w:bookmarkStart w:id="245" w:name="_Toc363239533"/>
      <w:bookmarkStart w:id="246" w:name="_Toc363219741"/>
      <w:bookmarkStart w:id="247" w:name="_Toc359508241"/>
      <w:bookmarkStart w:id="248" w:name="_Toc359484932"/>
      <w:bookmarkStart w:id="249" w:name="_Toc359484872"/>
      <w:bookmarkStart w:id="250" w:name="_Toc358638700"/>
      <w:bookmarkStart w:id="251" w:name="_Toc358638682"/>
      <w:bookmarkStart w:id="252" w:name="_Toc358638640"/>
      <w:bookmarkStart w:id="253" w:name="_Toc358635155"/>
      <w:bookmarkStart w:id="254" w:name="_Toc358634941"/>
      <w:bookmarkStart w:id="255" w:name="_Toc358105141"/>
      <w:bookmarkStart w:id="256" w:name="_Toc351730498"/>
      <w:bookmarkStart w:id="257" w:name="_Toc351376953"/>
      <w:bookmarkStart w:id="258" w:name="_Toc351376406"/>
      <w:bookmarkStart w:id="259" w:name="_Toc350949360"/>
      <w:bookmarkStart w:id="260" w:name="_Toc350949299"/>
      <w:bookmarkStart w:id="261" w:name="_Toc350175405"/>
      <w:bookmarkStart w:id="262" w:name="_Toc345332286"/>
      <w:bookmarkStart w:id="263" w:name="_Toc345332155"/>
      <w:bookmarkStart w:id="264" w:name="_Toc336533913"/>
      <w:bookmarkStart w:id="265" w:name="_Toc334693154"/>
      <w:bookmarkStart w:id="266" w:name="_Toc334199730"/>
      <w:bookmarkStart w:id="267" w:name="_Toc334199693"/>
      <w:bookmarkStart w:id="268" w:name="_Toc334198523"/>
      <w:bookmarkStart w:id="269" w:name="_Toc334027691"/>
      <w:bookmarkStart w:id="270" w:name="_Toc333590683"/>
      <w:bookmarkStart w:id="271" w:name="_Toc333573850"/>
      <w:bookmarkStart w:id="272" w:name="_Toc333562846"/>
      <w:bookmarkStart w:id="273" w:name="_Toc333482567"/>
      <w:bookmarkStart w:id="274" w:name="_Toc333479343"/>
      <w:bookmarkStart w:id="275" w:name="_Toc333477384"/>
      <w:bookmarkStart w:id="276" w:name="_Toc333477043"/>
      <w:bookmarkStart w:id="277" w:name="_Toc333476931"/>
      <w:bookmarkStart w:id="278" w:name="_Toc331690620"/>
      <w:bookmarkStart w:id="279" w:name="_Toc331429686"/>
      <w:bookmarkStart w:id="280" w:name="_Toc330391805"/>
      <w:bookmarkStart w:id="281" w:name="_Toc330391425"/>
      <w:bookmarkStart w:id="282" w:name="_Toc330390668"/>
      <w:bookmarkStart w:id="283" w:name="_Toc330388423"/>
      <w:bookmarkStart w:id="284" w:name="_Toc330388162"/>
      <w:bookmarkStart w:id="285" w:name="_Toc322940888"/>
      <w:bookmarkStart w:id="286" w:name="_Toc322936463"/>
      <w:bookmarkStart w:id="287" w:name="_Toc322936211"/>
      <w:bookmarkStart w:id="288" w:name="_Toc320085466"/>
      <w:bookmarkStart w:id="289" w:name="_Toc320013985"/>
      <w:bookmarkStart w:id="290" w:name="_Toc319947346"/>
      <w:bookmarkStart w:id="291" w:name="_Toc319573151"/>
      <w:bookmarkStart w:id="292" w:name="_Toc319571114"/>
      <w:bookmarkStart w:id="293" w:name="_Toc319402155"/>
      <w:bookmarkStart w:id="294" w:name="_Toc319316464"/>
      <w:bookmarkStart w:id="295" w:name="_Toc319077554"/>
      <w:bookmarkStart w:id="296" w:name="_Toc319073392"/>
      <w:bookmarkStart w:id="297" w:name="_Toc319056171"/>
      <w:bookmarkStart w:id="298" w:name="_Toc318296652"/>
      <w:bookmarkStart w:id="299" w:name="_Toc318286540"/>
      <w:bookmarkStart w:id="300" w:name="_Toc318213945"/>
      <w:bookmarkStart w:id="301" w:name="_Toc318136769"/>
      <w:bookmarkStart w:id="302" w:name="_Toc318121467"/>
      <w:bookmarkStart w:id="303" w:name="_Toc318120677"/>
      <w:bookmarkStart w:id="304" w:name="_Toc318119722"/>
      <w:bookmarkStart w:id="305" w:name="_Toc318119594"/>
      <w:bookmarkStart w:id="306" w:name="_Toc317786567"/>
      <w:bookmarkStart w:id="307" w:name="_Toc317786356"/>
      <w:bookmarkStart w:id="308" w:name="_Toc317785298"/>
      <w:bookmarkStart w:id="309" w:name="_Toc317785144"/>
      <w:bookmarkStart w:id="310" w:name="_Toc317781547"/>
      <w:bookmarkStart w:id="311" w:name="_Toc317781395"/>
      <w:bookmarkStart w:id="312" w:name="_Toc317775957"/>
      <w:bookmarkStart w:id="313" w:name="_Toc317775838"/>
      <w:bookmarkStart w:id="314" w:name="_Toc317775768"/>
      <w:bookmarkStart w:id="315" w:name="_Toc317769143"/>
      <w:bookmarkStart w:id="316" w:name="_Toc317764650"/>
      <w:bookmarkStart w:id="317" w:name="_Toc364339650"/>
      <w:bookmarkStart w:id="318" w:name="_Toc364363120"/>
      <w:bookmarkStart w:id="319" w:name="_Toc365289482"/>
      <w:bookmarkStart w:id="320" w:name="_Toc365297799"/>
      <w:bookmarkStart w:id="321" w:name="_Toc366080761"/>
      <w:bookmarkStart w:id="322" w:name="_Toc366081297"/>
      <w:bookmarkStart w:id="323" w:name="_Toc366142316"/>
      <w:bookmarkStart w:id="324" w:name="_Toc366160469"/>
      <w:bookmarkStart w:id="325" w:name="_Toc366161321"/>
      <w:bookmarkStart w:id="326" w:name="_Toc366677427"/>
      <w:bookmarkStart w:id="327" w:name="_Toc366696633"/>
      <w:bookmarkStart w:id="328" w:name="_Toc366740275"/>
      <w:bookmarkStart w:id="329" w:name="_Toc366766684"/>
      <w:bookmarkStart w:id="330" w:name="_Toc366771511"/>
      <w:bookmarkStart w:id="331" w:name="_Toc367201516"/>
      <w:bookmarkStart w:id="332" w:name="_Toc367297842"/>
      <w:bookmarkStart w:id="333" w:name="_Toc367384492"/>
      <w:bookmarkStart w:id="334" w:name="_Toc367385277"/>
      <w:bookmarkStart w:id="335" w:name="_Toc367463255"/>
      <w:bookmarkStart w:id="336" w:name="_Toc367715587"/>
      <w:bookmarkStart w:id="337" w:name="_Toc367975875"/>
      <w:bookmarkStart w:id="338" w:name="_Toc367978248"/>
      <w:bookmarkStart w:id="339" w:name="_Toc368049360"/>
      <w:bookmarkStart w:id="340" w:name="_Toc37040167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00C32619" w:rsidRPr="00E83D56">
        <w:t>upon release</w:t>
      </w:r>
      <w:r w:rsidR="00C32619">
        <w:t xml:space="preserve"> of this Order.</w:t>
      </w:r>
    </w:p>
    <w:p w14:paraId="1322D9C2" w14:textId="77777777" w:rsidR="00B06962" w:rsidRDefault="00B06962" w:rsidP="00B06962">
      <w:pPr>
        <w:pStyle w:val="Heading1"/>
        <w:keepNext w:val="0"/>
        <w:rPr>
          <w:rStyle w:val="StyleParaNum11ptCharCharCharCharCharCharCharCharCharCharCharCharCharCharCharCharCharCharCharCharCharCharCharCharCharCharCharCharCharCharCharCharCharCharCharCharCharCharCharCharChar"/>
          <w:szCs w:val="22"/>
        </w:rPr>
      </w:pPr>
      <w:r w:rsidRPr="005D7567">
        <w:t>ORDERING</w:t>
      </w:r>
      <w:r w:rsidRPr="00F9364C">
        <w:rPr>
          <w:rStyle w:val="StyleParaNum11ptCharCharCharCharCharCharCharCharCharCharCharCharCharCharCharCharCharCharCharCharCharCharCharCharCharCharCharCharCharCharCharCharCharCharCharCharCharCharCharCharChar"/>
          <w:szCs w:val="22"/>
        </w:rPr>
        <w:t xml:space="preserve"> CLAUSES</w:t>
      </w:r>
    </w:p>
    <w:p w14:paraId="3B089170" w14:textId="77777777" w:rsidR="00B06962" w:rsidRPr="00B06962" w:rsidRDefault="00B06962" w:rsidP="00B06962">
      <w:pPr>
        <w:pStyle w:val="ParaNum"/>
        <w:keepNext/>
        <w:widowControl/>
        <w:numPr>
          <w:ilvl w:val="0"/>
          <w:numId w:val="30"/>
        </w:numPr>
        <w:tabs>
          <w:tab w:val="clear" w:pos="1080"/>
          <w:tab w:val="num" w:pos="1440"/>
        </w:tabs>
        <w:snapToGrid w:val="0"/>
        <w:rPr>
          <w:snapToGrid/>
        </w:rPr>
      </w:pPr>
      <w:r w:rsidRPr="00B06962">
        <w:rPr>
          <w:snapToGrid/>
        </w:rPr>
        <w:t xml:space="preserve">IT IS ORDERED, </w:t>
      </w:r>
      <w:r w:rsidRPr="00C84AA0">
        <w:t>pursuant</w:t>
      </w:r>
      <w:r w:rsidRPr="00B06962">
        <w:rPr>
          <w:snapToGrid/>
        </w:rPr>
        <w:t xml:space="preserve"> to Sections 4(i) and 316(a) of the </w:t>
      </w:r>
      <w:r w:rsidRPr="00B06962">
        <w:rPr>
          <w:rFonts w:ascii="TimesNewRomanPSMT" w:hAnsi="TimesNewRomanPSMT" w:cs="TimesNewRomanPSMT"/>
          <w:snapToGrid/>
          <w:kern w:val="0"/>
          <w:szCs w:val="22"/>
        </w:rPr>
        <w:t>Communications Act of 1934, as amended, 47 U.S.C. §§ 154(i), 316, and Section 1.87 of the Commission’s Rules, 47 C.F.R. § 1.87, that AT&amp;T’s 700 MHz B and C Blocks licenses ARE MODIFIED as described in this Order of Modification.</w:t>
      </w:r>
    </w:p>
    <w:p w14:paraId="52C044BC" w14:textId="77777777" w:rsidR="00B06962" w:rsidRPr="005D7567" w:rsidRDefault="00B06962" w:rsidP="00B06962">
      <w:pPr>
        <w:pStyle w:val="ParaNum"/>
        <w:keepNext/>
        <w:widowControl/>
        <w:tabs>
          <w:tab w:val="clear" w:pos="1080"/>
          <w:tab w:val="num" w:pos="1440"/>
        </w:tabs>
        <w:snapToGrid w:val="0"/>
      </w:pPr>
      <w:r w:rsidRPr="003941BE">
        <w:t>IT IS FURTHER ORDERED that the Wirele</w:t>
      </w:r>
      <w:r>
        <w:t>ss</w:t>
      </w:r>
      <w:r w:rsidRPr="003941BE">
        <w:t xml:space="preserve"> Telecommunications Bureau SHALL</w:t>
      </w:r>
      <w:r>
        <w:t xml:space="preserve"> SEND this Order of </w:t>
      </w:r>
      <w:r w:rsidRPr="003941BE">
        <w:t xml:space="preserve">Modification by certified mail, return receipt requested to AT&amp;T. </w:t>
      </w:r>
    </w:p>
    <w:p w14:paraId="3519D257" w14:textId="10E5DE91" w:rsidR="00B06962" w:rsidRPr="005B6494" w:rsidRDefault="00B06962" w:rsidP="00B06962">
      <w:pPr>
        <w:pStyle w:val="ParaNum"/>
        <w:tabs>
          <w:tab w:val="clear" w:pos="1080"/>
          <w:tab w:val="num" w:pos="1440"/>
        </w:tabs>
        <w:snapToGrid w:val="0"/>
        <w:rPr>
          <w:snapToGrid/>
        </w:rPr>
      </w:pPr>
      <w:r>
        <w:rPr>
          <w:rFonts w:ascii="TimesNewRomanPSMT" w:hAnsi="TimesNewRomanPSMT" w:cs="TimesNewRomanPSMT"/>
          <w:snapToGrid/>
          <w:kern w:val="0"/>
          <w:szCs w:val="22"/>
        </w:rPr>
        <w:t xml:space="preserve">IT IS FURTHER ORDERED that this Order of Modification WILL BE EFFECTIVE </w:t>
      </w:r>
      <w:r w:rsidRPr="00E83D56">
        <w:rPr>
          <w:rFonts w:ascii="TimesNewRomanPSMT" w:hAnsi="TimesNewRomanPSMT" w:cs="TimesNewRomanPSMT"/>
          <w:snapToGrid/>
          <w:kern w:val="0"/>
          <w:szCs w:val="22"/>
        </w:rPr>
        <w:t>upon release</w:t>
      </w:r>
      <w:r>
        <w:rPr>
          <w:rFonts w:ascii="TimesNewRomanPSMT" w:hAnsi="TimesNewRomanPSMT" w:cs="TimesNewRomanPSMT"/>
          <w:snapToGrid/>
          <w:kern w:val="0"/>
          <w:szCs w:val="22"/>
        </w:rPr>
        <w:t>.</w:t>
      </w:r>
    </w:p>
    <w:p w14:paraId="3AA7189D" w14:textId="77777777" w:rsidR="003039B0" w:rsidRDefault="005D30C6" w:rsidP="00B06962">
      <w:pPr>
        <w:pStyle w:val="ParaNum"/>
        <w:keepNext/>
        <w:widowControl/>
        <w:tabs>
          <w:tab w:val="clear" w:pos="1080"/>
          <w:tab w:val="num" w:pos="1440"/>
        </w:tabs>
        <w:snapToGrid w:val="0"/>
      </w:pPr>
      <w:bookmarkStart w:id="341" w:name="sp_999_19"/>
      <w:bookmarkStart w:id="342" w:name="SDU_19"/>
      <w:bookmarkStart w:id="343" w:name="sp_1511_16519"/>
      <w:bookmarkStart w:id="344" w:name="SDU_16519"/>
      <w:bookmarkStart w:id="345" w:name="citeas((Cite_as:_25_F.C.C.R._16498,_*165"/>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sidRPr="005D7567">
        <w:t xml:space="preserve">IT IS FURTHER ORDERED that </w:t>
      </w:r>
      <w:r w:rsidR="003D08CB">
        <w:t>the l</w:t>
      </w:r>
      <w:r w:rsidR="009703F7">
        <w:t>icensing staff of the Wireless T</w:t>
      </w:r>
      <w:r w:rsidR="003D08CB">
        <w:t xml:space="preserve">elecommunications Bureau WILL UPDATE the Universal </w:t>
      </w:r>
      <w:r w:rsidR="003D08CB" w:rsidRPr="00C84AA0">
        <w:rPr>
          <w:rFonts w:ascii="TimesNewRomanPSMT" w:hAnsi="TimesNewRomanPSMT" w:cs="TimesNewRomanPSMT"/>
          <w:snapToGrid/>
          <w:kern w:val="0"/>
          <w:szCs w:val="22"/>
        </w:rPr>
        <w:t>Licensing</w:t>
      </w:r>
      <w:r w:rsidR="003D08CB">
        <w:t xml:space="preserve"> System in accordance with thi</w:t>
      </w:r>
      <w:r w:rsidR="009703F7">
        <w:t xml:space="preserve">s Order of Modification and </w:t>
      </w:r>
      <w:r w:rsidR="003D08CB">
        <w:t xml:space="preserve">with </w:t>
      </w:r>
      <w:r w:rsidR="009703F7">
        <w:t xml:space="preserve">the </w:t>
      </w:r>
      <w:r w:rsidR="003D08CB">
        <w:t xml:space="preserve">Commission’s rules. </w:t>
      </w:r>
    </w:p>
    <w:p w14:paraId="3768240A" w14:textId="77777777" w:rsidR="00C43A4D" w:rsidRPr="005D7567" w:rsidRDefault="00C43A4D" w:rsidP="00B06962">
      <w:pPr>
        <w:pStyle w:val="ParaNum"/>
        <w:keepNext/>
        <w:widowControl/>
        <w:tabs>
          <w:tab w:val="clear" w:pos="1080"/>
          <w:tab w:val="num" w:pos="1440"/>
        </w:tabs>
        <w:snapToGrid w:val="0"/>
        <w:spacing w:after="0"/>
      </w:pPr>
      <w:r>
        <w:t>This action is taken under delegated authori</w:t>
      </w:r>
      <w:r w:rsidR="0089381A">
        <w:t xml:space="preserve">ty pursuant to Section 0.131 </w:t>
      </w:r>
      <w:r>
        <w:t>and 0.331 of the Commiss</w:t>
      </w:r>
      <w:r w:rsidR="0089381A">
        <w:t xml:space="preserve">ion’s rules, 47 C.F.R. §§ 0.131 </w:t>
      </w:r>
      <w:r>
        <w:t>and 0.331</w:t>
      </w:r>
      <w:r w:rsidR="00C25739">
        <w:t xml:space="preserve">, and paragraph 72 of the </w:t>
      </w:r>
      <w:r w:rsidR="00C25739">
        <w:rPr>
          <w:i/>
        </w:rPr>
        <w:t>700 MHz Interoperability Report and Order and Order of Proposed Modification</w:t>
      </w:r>
      <w:r>
        <w:t>.</w:t>
      </w:r>
    </w:p>
    <w:p w14:paraId="313B67C7" w14:textId="77777777" w:rsidR="005D30C6" w:rsidRDefault="005D30C6" w:rsidP="00B06962">
      <w:pPr>
        <w:pStyle w:val="ParaNum"/>
        <w:keepNext/>
        <w:numPr>
          <w:ilvl w:val="0"/>
          <w:numId w:val="0"/>
        </w:numPr>
        <w:tabs>
          <w:tab w:val="left" w:pos="720"/>
        </w:tabs>
        <w:spacing w:after="0"/>
        <w:rPr>
          <w:color w:val="000000"/>
        </w:rPr>
      </w:pPr>
    </w:p>
    <w:p w14:paraId="4F091675" w14:textId="77777777" w:rsidR="00AA0F37" w:rsidRPr="001140FC" w:rsidRDefault="00AA0F37" w:rsidP="00C84AA0">
      <w:pPr>
        <w:pStyle w:val="ParaNum"/>
        <w:numPr>
          <w:ilvl w:val="0"/>
          <w:numId w:val="0"/>
        </w:numPr>
        <w:tabs>
          <w:tab w:val="left" w:pos="720"/>
        </w:tabs>
        <w:spacing w:after="0"/>
        <w:rPr>
          <w:color w:val="000000"/>
        </w:rPr>
      </w:pPr>
    </w:p>
    <w:p w14:paraId="2AAF6630" w14:textId="77777777" w:rsidR="005D30C6" w:rsidRPr="005D7567" w:rsidRDefault="005D30C6" w:rsidP="00C84AA0">
      <w:pPr>
        <w:ind w:left="3600" w:firstLine="720"/>
        <w:rPr>
          <w:caps/>
          <w:color w:val="000000"/>
          <w:szCs w:val="22"/>
        </w:rPr>
      </w:pPr>
      <w:r w:rsidRPr="005D7567">
        <w:t xml:space="preserve">FEDERAL </w:t>
      </w:r>
      <w:r w:rsidRPr="005D7567">
        <w:rPr>
          <w:caps/>
          <w:color w:val="000000"/>
          <w:szCs w:val="22"/>
        </w:rPr>
        <w:t>Communications Commission</w:t>
      </w:r>
    </w:p>
    <w:p w14:paraId="25F0178E" w14:textId="77777777" w:rsidR="005D30C6" w:rsidRPr="005D7567" w:rsidRDefault="005D30C6" w:rsidP="00C84AA0">
      <w:pPr>
        <w:rPr>
          <w:color w:val="000000"/>
          <w:szCs w:val="22"/>
        </w:rPr>
      </w:pPr>
    </w:p>
    <w:p w14:paraId="06C46D71" w14:textId="77777777" w:rsidR="005D30C6" w:rsidRPr="005D7567" w:rsidRDefault="005D30C6" w:rsidP="00C84AA0">
      <w:pPr>
        <w:rPr>
          <w:color w:val="000000"/>
          <w:szCs w:val="22"/>
        </w:rPr>
      </w:pPr>
    </w:p>
    <w:p w14:paraId="38A74D23" w14:textId="77777777" w:rsidR="005D30C6" w:rsidRDefault="005D30C6" w:rsidP="00C84AA0">
      <w:pPr>
        <w:rPr>
          <w:color w:val="000000"/>
          <w:szCs w:val="22"/>
        </w:rPr>
      </w:pPr>
    </w:p>
    <w:p w14:paraId="0546FD54" w14:textId="77777777" w:rsidR="005D30C6" w:rsidRPr="005D7567" w:rsidRDefault="005D30C6" w:rsidP="00C84AA0">
      <w:pPr>
        <w:rPr>
          <w:color w:val="000000"/>
          <w:szCs w:val="22"/>
        </w:rPr>
      </w:pPr>
    </w:p>
    <w:p w14:paraId="0F71292E" w14:textId="77777777" w:rsidR="005D30C6" w:rsidRPr="005D7567" w:rsidRDefault="00C43A4D" w:rsidP="00C84AA0">
      <w:pPr>
        <w:ind w:left="3600" w:firstLine="720"/>
        <w:rPr>
          <w:color w:val="000000"/>
          <w:szCs w:val="22"/>
        </w:rPr>
      </w:pPr>
      <w:r>
        <w:rPr>
          <w:color w:val="000000"/>
          <w:szCs w:val="22"/>
        </w:rPr>
        <w:t xml:space="preserve">Roger </w:t>
      </w:r>
      <w:r w:rsidR="000C32BA">
        <w:rPr>
          <w:color w:val="000000"/>
          <w:szCs w:val="22"/>
        </w:rPr>
        <w:t xml:space="preserve">C. </w:t>
      </w:r>
      <w:r>
        <w:rPr>
          <w:color w:val="000000"/>
          <w:szCs w:val="22"/>
        </w:rPr>
        <w:t>Sherman</w:t>
      </w:r>
    </w:p>
    <w:p w14:paraId="03457CE4" w14:textId="77777777" w:rsidR="005D30C6" w:rsidRPr="00975B19" w:rsidRDefault="00FD00E0" w:rsidP="00C84AA0">
      <w:pPr>
        <w:ind w:left="3600" w:firstLine="720"/>
        <w:rPr>
          <w:szCs w:val="22"/>
        </w:rPr>
      </w:pPr>
      <w:r>
        <w:t xml:space="preserve">Acting </w:t>
      </w:r>
      <w:r w:rsidR="00C43A4D">
        <w:t>Chief, Wireless Telecommunications Bureau</w:t>
      </w:r>
    </w:p>
    <w:p w14:paraId="1BD4ECA1" w14:textId="77777777" w:rsidR="005D30C6" w:rsidRPr="002B23C0" w:rsidRDefault="005D30C6" w:rsidP="00C84AA0"/>
    <w:sectPr w:rsidR="005D30C6" w:rsidRPr="002B23C0"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C14A1" w14:textId="77777777" w:rsidR="00FF4F29" w:rsidRDefault="00FF4F29">
      <w:pPr>
        <w:spacing w:line="20" w:lineRule="exact"/>
      </w:pPr>
    </w:p>
  </w:endnote>
  <w:endnote w:type="continuationSeparator" w:id="0">
    <w:p w14:paraId="342417E0" w14:textId="77777777" w:rsidR="00FF4F29" w:rsidRDefault="00FF4F29">
      <w:r>
        <w:t xml:space="preserve"> </w:t>
      </w:r>
    </w:p>
  </w:endnote>
  <w:endnote w:type="continuationNotice" w:id="1">
    <w:p w14:paraId="19C3C495" w14:textId="77777777" w:rsidR="00FF4F29" w:rsidRDefault="00FF4F2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478A3" w14:textId="77777777" w:rsidR="004B0EB6" w:rsidRDefault="004B0EB6" w:rsidP="0055614C">
    <w:pPr>
      <w:pStyle w:val="Footer"/>
      <w:framePr w:wrap="around" w:vAnchor="text" w:hAnchor="margin" w:xAlign="center" w:y="1"/>
    </w:pPr>
    <w:r>
      <w:fldChar w:fldCharType="begin"/>
    </w:r>
    <w:r>
      <w:instrText xml:space="preserve">PAGE  </w:instrText>
    </w:r>
    <w:r>
      <w:fldChar w:fldCharType="end"/>
    </w:r>
  </w:p>
  <w:p w14:paraId="4CD4E100" w14:textId="77777777" w:rsidR="004B0EB6" w:rsidRDefault="004B0E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DC606" w14:textId="77777777" w:rsidR="004B0EB6" w:rsidRDefault="004B0EB6" w:rsidP="0055614C">
    <w:pPr>
      <w:pStyle w:val="Footer"/>
      <w:framePr w:wrap="around" w:vAnchor="text" w:hAnchor="margin" w:xAlign="center" w:y="1"/>
    </w:pPr>
    <w:r>
      <w:fldChar w:fldCharType="begin"/>
    </w:r>
    <w:r>
      <w:instrText xml:space="preserve">PAGE  </w:instrText>
    </w:r>
    <w:r>
      <w:fldChar w:fldCharType="separate"/>
    </w:r>
    <w:r w:rsidR="00585A38">
      <w:rPr>
        <w:noProof/>
      </w:rPr>
      <w:t>2</w:t>
    </w:r>
    <w:r>
      <w:fldChar w:fldCharType="end"/>
    </w:r>
  </w:p>
  <w:p w14:paraId="7AE2AC24" w14:textId="77777777" w:rsidR="004B0EB6" w:rsidRDefault="004B0EB6">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9C572" w14:textId="77777777" w:rsidR="004B0EB6" w:rsidRDefault="004B0EB6">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033FF" w14:textId="77777777" w:rsidR="00FF4F29" w:rsidRDefault="00FF4F29">
      <w:r>
        <w:separator/>
      </w:r>
    </w:p>
  </w:footnote>
  <w:footnote w:type="continuationSeparator" w:id="0">
    <w:p w14:paraId="4D873752" w14:textId="77777777" w:rsidR="00FF4F29" w:rsidRDefault="00FF4F29" w:rsidP="00C721AC">
      <w:pPr>
        <w:spacing w:before="120"/>
        <w:rPr>
          <w:sz w:val="20"/>
        </w:rPr>
      </w:pPr>
      <w:r>
        <w:rPr>
          <w:sz w:val="20"/>
        </w:rPr>
        <w:t xml:space="preserve">(Continued from previous page)  </w:t>
      </w:r>
      <w:r>
        <w:rPr>
          <w:sz w:val="20"/>
        </w:rPr>
        <w:separator/>
      </w:r>
    </w:p>
  </w:footnote>
  <w:footnote w:type="continuationNotice" w:id="1">
    <w:p w14:paraId="69CADD55" w14:textId="77777777" w:rsidR="00FF4F29" w:rsidRDefault="00FF4F29" w:rsidP="00C721AC">
      <w:pPr>
        <w:jc w:val="right"/>
        <w:rPr>
          <w:sz w:val="20"/>
        </w:rPr>
      </w:pPr>
      <w:r>
        <w:rPr>
          <w:sz w:val="20"/>
        </w:rPr>
        <w:t>(continued….)</w:t>
      </w:r>
    </w:p>
  </w:footnote>
  <w:footnote w:id="2">
    <w:p w14:paraId="79FAA49D" w14:textId="77777777" w:rsidR="004B0EB6" w:rsidRDefault="004B0EB6" w:rsidP="005D30C6">
      <w:pPr>
        <w:pStyle w:val="FootnoteText"/>
      </w:pPr>
      <w:r>
        <w:rPr>
          <w:rStyle w:val="FootnoteReference"/>
        </w:rPr>
        <w:footnoteRef/>
      </w:r>
      <w:r>
        <w:t xml:space="preserve"> </w:t>
      </w:r>
      <w:r w:rsidRPr="003520F8">
        <w:rPr>
          <w:i/>
        </w:rPr>
        <w:t>See</w:t>
      </w:r>
      <w:r>
        <w:t xml:space="preserve"> Promoting Interoperability in the 700 MHz Commercial Spectrum, Requests for Waiver </w:t>
      </w:r>
      <w:r w:rsidR="00C94110">
        <w:t>and Extension of Lower 700 MHz B</w:t>
      </w:r>
      <w:r>
        <w:t>and Interim Construction Benchmark Deadlines, WT Docket Nos. 12-69, 12-332, Report and Order and Order of Proposed Modification, 28 FCC Rcd 15122 (2013) (</w:t>
      </w:r>
      <w:r w:rsidRPr="003520F8">
        <w:rPr>
          <w:i/>
        </w:rPr>
        <w:t>700 MHz Interoperability Report and Order and Order of Proposed Modification</w:t>
      </w:r>
      <w:r w:rsidR="00C94110">
        <w:t>)</w:t>
      </w:r>
      <w:r>
        <w:t>.</w:t>
      </w:r>
    </w:p>
  </w:footnote>
  <w:footnote w:id="3">
    <w:p w14:paraId="1F8A19BE" w14:textId="77777777" w:rsidR="00C25739" w:rsidRDefault="00C25739">
      <w:pPr>
        <w:pStyle w:val="FootnoteText"/>
      </w:pPr>
      <w:r>
        <w:rPr>
          <w:rStyle w:val="FootnoteReference"/>
        </w:rPr>
        <w:footnoteRef/>
      </w:r>
      <w:r>
        <w:t xml:space="preserve"> 47 U.S.C. § 316.</w:t>
      </w:r>
    </w:p>
  </w:footnote>
  <w:footnote w:id="4">
    <w:p w14:paraId="100A477F" w14:textId="680BEBDA" w:rsidR="004B0EB6" w:rsidRDefault="004B0EB6">
      <w:pPr>
        <w:pStyle w:val="FootnoteText"/>
      </w:pPr>
      <w:r>
        <w:rPr>
          <w:rStyle w:val="FootnoteReference"/>
        </w:rPr>
        <w:footnoteRef/>
      </w:r>
      <w:r>
        <w:t xml:space="preserve"> Letter from Joan Marsh, Vice Pres. Fed. Regulatory, AT&amp;T Services, Inc. to the Hon. Mignon Clyburn, Chairwoman, FCC, WT Docket </w:t>
      </w:r>
      <w:r w:rsidR="001A3F6F">
        <w:t>No. 12-69, filed Sept. 10, 2013</w:t>
      </w:r>
      <w:r>
        <w:t xml:space="preserve"> (AT&amp;T Sept. 10, 2013 Ex Parte).</w:t>
      </w:r>
    </w:p>
  </w:footnote>
  <w:footnote w:id="5">
    <w:p w14:paraId="756592D3" w14:textId="77777777" w:rsidR="009703F7" w:rsidRDefault="009703F7">
      <w:pPr>
        <w:pStyle w:val="FootnoteText"/>
      </w:pPr>
      <w:r>
        <w:rPr>
          <w:rStyle w:val="FootnoteReference"/>
        </w:rPr>
        <w:footnoteRef/>
      </w:r>
      <w:r>
        <w:t xml:space="preserve"> </w:t>
      </w:r>
      <w:r w:rsidRPr="00C94110">
        <w:rPr>
          <w:i/>
        </w:rPr>
        <w:t>700 MHz Interoperability Report and Order and Order of Propos</w:t>
      </w:r>
      <w:r w:rsidR="00B22ECC" w:rsidRPr="00C94110">
        <w:rPr>
          <w:i/>
        </w:rPr>
        <w:t>ed Modification</w:t>
      </w:r>
      <w:r w:rsidR="00B22ECC">
        <w:t xml:space="preserve">, 28 FCC Rcd at </w:t>
      </w:r>
      <w:r w:rsidR="0031017A">
        <w:t xml:space="preserve">15142-45, </w:t>
      </w:r>
      <w:r w:rsidR="00B22ECC">
        <w:t xml:space="preserve">15153-55, ¶¶ </w:t>
      </w:r>
      <w:r w:rsidR="00C25739">
        <w:t xml:space="preserve">47-48, </w:t>
      </w:r>
      <w:r w:rsidR="00B22ECC">
        <w:t>67-70.</w:t>
      </w:r>
    </w:p>
  </w:footnote>
  <w:footnote w:id="6">
    <w:p w14:paraId="54BE91A0" w14:textId="69D68A3E" w:rsidR="004B0EB6" w:rsidRDefault="004B0EB6">
      <w:pPr>
        <w:pStyle w:val="FootnoteText"/>
      </w:pPr>
      <w:r>
        <w:rPr>
          <w:rStyle w:val="FootnoteReference"/>
        </w:rPr>
        <w:footnoteRef/>
      </w:r>
      <w:r>
        <w:t xml:space="preserve"> Letter from Joan Marsh, Vice President Fed. Regulatory, AT&amp;T Services, Inc. to Marlene H. Dortch, Secretary, </w:t>
      </w:r>
      <w:r w:rsidR="001A3F6F">
        <w:t>FCC WT Docket No. 12-69, filed Jan. 14</w:t>
      </w:r>
      <w:r w:rsidR="004A6679">
        <w:t>, 2014</w:t>
      </w:r>
      <w:r>
        <w:t>.</w:t>
      </w:r>
    </w:p>
  </w:footnote>
  <w:footnote w:id="7">
    <w:p w14:paraId="2DE59366" w14:textId="77777777" w:rsidR="004A6679" w:rsidRDefault="004A6679" w:rsidP="004A6679">
      <w:pPr>
        <w:pStyle w:val="FootnoteText"/>
      </w:pPr>
      <w:r>
        <w:rPr>
          <w:rStyle w:val="FootnoteReference"/>
        </w:rPr>
        <w:footnoteRef/>
      </w:r>
      <w:r>
        <w:t xml:space="preserve"> </w:t>
      </w:r>
      <w:r w:rsidRPr="006949CA">
        <w:t>47 C.F.R. §§ 1.16, 1.17</w:t>
      </w:r>
      <w:r w:rsidR="001F6E6C">
        <w:t xml:space="preserve"> and </w:t>
      </w:r>
      <w:r w:rsidRPr="006949CA">
        <w:t>1.65.</w:t>
      </w:r>
    </w:p>
  </w:footnote>
  <w:footnote w:id="8">
    <w:p w14:paraId="5B547596" w14:textId="77777777" w:rsidR="004A6679" w:rsidRDefault="004A6679" w:rsidP="004A6679">
      <w:pPr>
        <w:pStyle w:val="FootnoteText"/>
      </w:pPr>
      <w:r>
        <w:rPr>
          <w:rStyle w:val="FootnoteReference"/>
        </w:rPr>
        <w:footnoteRef/>
      </w:r>
      <w:r>
        <w:t xml:space="preserve"> </w:t>
      </w:r>
      <w:r w:rsidRPr="00015686">
        <w:rPr>
          <w:i/>
        </w:rPr>
        <w:t>See</w:t>
      </w:r>
      <w:r>
        <w:t xml:space="preserve"> AT&amp;T Sept. 10, 2013 Ex Parte.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CCCEA" w14:textId="77777777" w:rsidR="00EA4AB9" w:rsidRDefault="00EA4A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D624D" w14:textId="2EA8FA62" w:rsidR="004B0EB6" w:rsidRDefault="004B0EB6" w:rsidP="00810B6F">
    <w:pPr>
      <w:pStyle w:val="Header"/>
      <w:rPr>
        <w:b w:val="0"/>
      </w:rPr>
    </w:pPr>
    <w:r>
      <w:tab/>
      <w:t>Federal</w:t>
    </w:r>
    <w:r w:rsidR="00E51B9D">
      <w:t xml:space="preserve"> Communications Commission</w:t>
    </w:r>
    <w:r w:rsidR="00E51B9D">
      <w:tab/>
      <w:t>DA 14</w:t>
    </w:r>
    <w:r>
      <w:t>-</w:t>
    </w:r>
    <w:r w:rsidR="00E51B9D">
      <w:t>43</w:t>
    </w:r>
  </w:p>
  <w:p w14:paraId="40C12094" w14:textId="77777777" w:rsidR="004B0EB6" w:rsidRDefault="004B0EB6">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259A5EA6" wp14:editId="2E2DBCC7">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4C0BAA4D" w14:textId="77777777" w:rsidR="004B0EB6" w:rsidRDefault="004B0EB6">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3889B" w14:textId="2E3CA328" w:rsidR="004B0EB6" w:rsidRDefault="004B0EB6"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2BAFFA28" wp14:editId="191C9E89">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E51B9D">
      <w:rPr>
        <w:spacing w:val="-2"/>
      </w:rPr>
      <w:t>DA 14</w:t>
    </w:r>
    <w:r>
      <w:rPr>
        <w:spacing w:val="-2"/>
      </w:rPr>
      <w:t>-</w:t>
    </w:r>
    <w:r w:rsidR="00E51B9D">
      <w:rPr>
        <w:spacing w:val="-2"/>
      </w:rPr>
      <w:t>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AF4A39A4"/>
    <w:lvl w:ilvl="0">
      <w:start w:val="1"/>
      <w:numFmt w:val="upperRoman"/>
      <w:pStyle w:val="Heading1"/>
      <w:lvlText w:val="%1."/>
      <w:lvlJc w:val="left"/>
      <w:pPr>
        <w:tabs>
          <w:tab w:val="num" w:pos="720"/>
        </w:tabs>
        <w:ind w:left="720" w:hanging="720"/>
      </w:pPr>
      <w:rPr>
        <w:b/>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3D66434"/>
    <w:multiLevelType w:val="hybridMultilevel"/>
    <w:tmpl w:val="3B629A56"/>
    <w:lvl w:ilvl="0" w:tplc="04090001">
      <w:start w:val="1"/>
      <w:numFmt w:val="bullet"/>
      <w:lvlText w:val=""/>
      <w:lvlJc w:val="left"/>
      <w:pPr>
        <w:ind w:left="990" w:hanging="360"/>
      </w:pPr>
      <w:rPr>
        <w:rFonts w:ascii="Symbol" w:hAnsi="Symbo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8C150E"/>
    <w:multiLevelType w:val="hybridMultilevel"/>
    <w:tmpl w:val="C0482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71A69FD"/>
    <w:multiLevelType w:val="hybridMultilevel"/>
    <w:tmpl w:val="AFE2F3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8"/>
  </w:num>
  <w:num w:numId="8">
    <w:abstractNumId w:val="4"/>
  </w:num>
  <w:num w:numId="9">
    <w:abstractNumId w:val="7"/>
    <w:lvlOverride w:ilvl="0">
      <w:startOverride w:val="1"/>
    </w:lvlOverride>
  </w:num>
  <w:num w:numId="10">
    <w:abstractNumId w:val="5"/>
  </w:num>
  <w:num w:numId="11">
    <w:abstractNumId w:val="7"/>
  </w:num>
  <w:num w:numId="12">
    <w:abstractNumId w:val="3"/>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0C6"/>
    <w:rsid w:val="00036039"/>
    <w:rsid w:val="00037F90"/>
    <w:rsid w:val="0006007D"/>
    <w:rsid w:val="000875BF"/>
    <w:rsid w:val="000932EC"/>
    <w:rsid w:val="00096D8C"/>
    <w:rsid w:val="000A1E67"/>
    <w:rsid w:val="000B6BF1"/>
    <w:rsid w:val="000B6C71"/>
    <w:rsid w:val="000C0B65"/>
    <w:rsid w:val="000C32BA"/>
    <w:rsid w:val="000E05FE"/>
    <w:rsid w:val="000E3D42"/>
    <w:rsid w:val="000F5608"/>
    <w:rsid w:val="00122BD5"/>
    <w:rsid w:val="00133F79"/>
    <w:rsid w:val="00143C9D"/>
    <w:rsid w:val="00185017"/>
    <w:rsid w:val="00194A66"/>
    <w:rsid w:val="001A3F6F"/>
    <w:rsid w:val="001D6BCF"/>
    <w:rsid w:val="001E01CA"/>
    <w:rsid w:val="001F1854"/>
    <w:rsid w:val="001F6E6C"/>
    <w:rsid w:val="00220983"/>
    <w:rsid w:val="00275CF5"/>
    <w:rsid w:val="0028301F"/>
    <w:rsid w:val="00285017"/>
    <w:rsid w:val="002A2D2E"/>
    <w:rsid w:val="003039B0"/>
    <w:rsid w:val="003045D4"/>
    <w:rsid w:val="0031017A"/>
    <w:rsid w:val="00343452"/>
    <w:rsid w:val="00343749"/>
    <w:rsid w:val="003660ED"/>
    <w:rsid w:val="003A3914"/>
    <w:rsid w:val="003B0550"/>
    <w:rsid w:val="003B694F"/>
    <w:rsid w:val="003C499E"/>
    <w:rsid w:val="003D08CB"/>
    <w:rsid w:val="003F171C"/>
    <w:rsid w:val="00412FC5"/>
    <w:rsid w:val="00422276"/>
    <w:rsid w:val="004242F1"/>
    <w:rsid w:val="00445A00"/>
    <w:rsid w:val="00446460"/>
    <w:rsid w:val="00451B0F"/>
    <w:rsid w:val="0049209B"/>
    <w:rsid w:val="004A6679"/>
    <w:rsid w:val="004B0EB6"/>
    <w:rsid w:val="004C2EE3"/>
    <w:rsid w:val="004E4A22"/>
    <w:rsid w:val="004E5DBD"/>
    <w:rsid w:val="00511968"/>
    <w:rsid w:val="00514D2B"/>
    <w:rsid w:val="005241FC"/>
    <w:rsid w:val="0055614C"/>
    <w:rsid w:val="00584BDD"/>
    <w:rsid w:val="00585A38"/>
    <w:rsid w:val="0059435D"/>
    <w:rsid w:val="005956AA"/>
    <w:rsid w:val="005D0537"/>
    <w:rsid w:val="005D1B51"/>
    <w:rsid w:val="005D30C6"/>
    <w:rsid w:val="005E14C2"/>
    <w:rsid w:val="005E275C"/>
    <w:rsid w:val="00607BA5"/>
    <w:rsid w:val="00626EB6"/>
    <w:rsid w:val="00655D03"/>
    <w:rsid w:val="00683388"/>
    <w:rsid w:val="00683F84"/>
    <w:rsid w:val="006A6A81"/>
    <w:rsid w:val="006F3200"/>
    <w:rsid w:val="006F7393"/>
    <w:rsid w:val="007013A6"/>
    <w:rsid w:val="0070224F"/>
    <w:rsid w:val="00710DA0"/>
    <w:rsid w:val="007115F7"/>
    <w:rsid w:val="00780503"/>
    <w:rsid w:val="00785689"/>
    <w:rsid w:val="00794B63"/>
    <w:rsid w:val="0079754B"/>
    <w:rsid w:val="007A1E6D"/>
    <w:rsid w:val="007B0EB2"/>
    <w:rsid w:val="0080262C"/>
    <w:rsid w:val="00810B6F"/>
    <w:rsid w:val="00822CE0"/>
    <w:rsid w:val="00827C76"/>
    <w:rsid w:val="00841AB1"/>
    <w:rsid w:val="0089381A"/>
    <w:rsid w:val="008A2D73"/>
    <w:rsid w:val="008C68F1"/>
    <w:rsid w:val="00921803"/>
    <w:rsid w:val="00926503"/>
    <w:rsid w:val="009307D2"/>
    <w:rsid w:val="00965552"/>
    <w:rsid w:val="009703F7"/>
    <w:rsid w:val="009726D8"/>
    <w:rsid w:val="009748ED"/>
    <w:rsid w:val="009F76DB"/>
    <w:rsid w:val="00A27FA1"/>
    <w:rsid w:val="00A32C3B"/>
    <w:rsid w:val="00A45F4F"/>
    <w:rsid w:val="00A600A9"/>
    <w:rsid w:val="00A61E82"/>
    <w:rsid w:val="00AA0F37"/>
    <w:rsid w:val="00AA55B7"/>
    <w:rsid w:val="00AA5B9E"/>
    <w:rsid w:val="00AB2407"/>
    <w:rsid w:val="00AB3B4D"/>
    <w:rsid w:val="00AB53DF"/>
    <w:rsid w:val="00B05D8D"/>
    <w:rsid w:val="00B06962"/>
    <w:rsid w:val="00B07E5C"/>
    <w:rsid w:val="00B20D01"/>
    <w:rsid w:val="00B22ECC"/>
    <w:rsid w:val="00B25212"/>
    <w:rsid w:val="00B258ED"/>
    <w:rsid w:val="00B811F7"/>
    <w:rsid w:val="00B879C1"/>
    <w:rsid w:val="00BA5DC6"/>
    <w:rsid w:val="00BA6196"/>
    <w:rsid w:val="00BC6D8C"/>
    <w:rsid w:val="00BD6F7B"/>
    <w:rsid w:val="00BF537D"/>
    <w:rsid w:val="00BF5444"/>
    <w:rsid w:val="00BF56F7"/>
    <w:rsid w:val="00C25739"/>
    <w:rsid w:val="00C32619"/>
    <w:rsid w:val="00C34006"/>
    <w:rsid w:val="00C426B1"/>
    <w:rsid w:val="00C43A4D"/>
    <w:rsid w:val="00C66160"/>
    <w:rsid w:val="00C721AC"/>
    <w:rsid w:val="00C84AA0"/>
    <w:rsid w:val="00C90D6A"/>
    <w:rsid w:val="00C91500"/>
    <w:rsid w:val="00C94110"/>
    <w:rsid w:val="00CA16FD"/>
    <w:rsid w:val="00CA247E"/>
    <w:rsid w:val="00CC4517"/>
    <w:rsid w:val="00CC72B6"/>
    <w:rsid w:val="00D0218D"/>
    <w:rsid w:val="00D222DB"/>
    <w:rsid w:val="00D25FB5"/>
    <w:rsid w:val="00D44223"/>
    <w:rsid w:val="00DA2529"/>
    <w:rsid w:val="00DB130A"/>
    <w:rsid w:val="00DB2533"/>
    <w:rsid w:val="00DB2EBB"/>
    <w:rsid w:val="00DB6886"/>
    <w:rsid w:val="00DC10A1"/>
    <w:rsid w:val="00DC655F"/>
    <w:rsid w:val="00DD0B59"/>
    <w:rsid w:val="00DD7EBD"/>
    <w:rsid w:val="00DE1451"/>
    <w:rsid w:val="00DF0CC7"/>
    <w:rsid w:val="00DF62B6"/>
    <w:rsid w:val="00E07225"/>
    <w:rsid w:val="00E31AAE"/>
    <w:rsid w:val="00E417FD"/>
    <w:rsid w:val="00E41A0A"/>
    <w:rsid w:val="00E51B9D"/>
    <w:rsid w:val="00E5409F"/>
    <w:rsid w:val="00E712C5"/>
    <w:rsid w:val="00E83D56"/>
    <w:rsid w:val="00EA4AB9"/>
    <w:rsid w:val="00ED37C7"/>
    <w:rsid w:val="00EE6488"/>
    <w:rsid w:val="00EF203D"/>
    <w:rsid w:val="00F021FA"/>
    <w:rsid w:val="00F10918"/>
    <w:rsid w:val="00F407AC"/>
    <w:rsid w:val="00F51E9A"/>
    <w:rsid w:val="00F62E97"/>
    <w:rsid w:val="00F64209"/>
    <w:rsid w:val="00F643B7"/>
    <w:rsid w:val="00F74B74"/>
    <w:rsid w:val="00F814F1"/>
    <w:rsid w:val="00F92451"/>
    <w:rsid w:val="00F93149"/>
    <w:rsid w:val="00F9364C"/>
    <w:rsid w:val="00F93BF5"/>
    <w:rsid w:val="00F94516"/>
    <w:rsid w:val="00FB1833"/>
    <w:rsid w:val="00FD00E0"/>
    <w:rsid w:val="00FF4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084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oa heading"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3"/>
    <w:link w:val="FootnoteTextChar"/>
    <w:rsid w:val="000E3D42"/>
    <w:pPr>
      <w:spacing w:after="120"/>
    </w:pPr>
  </w:style>
  <w:style w:type="character" w:styleId="FootnoteReference">
    <w:name w:val="footnote reference"/>
    <w:aliases w:val="Style 124,Appel note de bas de p,Style 12,(NECG) Footnote Reference,o,fr,Style 3,Style 17,FR,Style 13,Footnote Reference/,Style 6,Style 7,Style 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locked/>
    <w:rsid w:val="005D30C6"/>
    <w:rPr>
      <w:snapToGrid w:val="0"/>
      <w:kern w:val="28"/>
      <w:sz w:val="22"/>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locked/>
    <w:rsid w:val="005D30C6"/>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locked/>
    <w:rsid w:val="005D30C6"/>
    <w:rPr>
      <w:rFonts w:ascii="Times New Roman Bold" w:hAnsi="Times New Roman Bold"/>
      <w:b/>
      <w:caps/>
      <w:snapToGrid w:val="0"/>
      <w:kern w:val="28"/>
      <w:sz w:val="22"/>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link w:val="Heading2"/>
    <w:locked/>
    <w:rsid w:val="005D30C6"/>
    <w:rPr>
      <w:b/>
      <w:snapToGrid w:val="0"/>
      <w:kern w:val="28"/>
      <w:sz w:val="22"/>
    </w:r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uiPriority w:val="99"/>
    <w:locked/>
    <w:rsid w:val="005D30C6"/>
    <w:rPr>
      <w:kern w:val="28"/>
      <w:sz w:val="22"/>
      <w:szCs w:val="24"/>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uiPriority w:val="99"/>
    <w:rsid w:val="005D30C6"/>
    <w:pPr>
      <w:tabs>
        <w:tab w:val="left" w:pos="1440"/>
      </w:tabs>
      <w:spacing w:after="220"/>
    </w:pPr>
    <w:rPr>
      <w:snapToGrid/>
      <w:szCs w:val="24"/>
    </w:rPr>
  </w:style>
  <w:style w:type="paragraph" w:styleId="ListParagraph">
    <w:name w:val="List Paragraph"/>
    <w:basedOn w:val="Normal"/>
    <w:uiPriority w:val="34"/>
    <w:qFormat/>
    <w:rsid w:val="0080262C"/>
    <w:pPr>
      <w:ind w:left="720"/>
      <w:contextualSpacing/>
    </w:pPr>
  </w:style>
  <w:style w:type="paragraph" w:styleId="BalloonText">
    <w:name w:val="Balloon Text"/>
    <w:basedOn w:val="Normal"/>
    <w:link w:val="BalloonTextChar"/>
    <w:rsid w:val="003A3914"/>
    <w:rPr>
      <w:rFonts w:ascii="Tahoma" w:hAnsi="Tahoma" w:cs="Tahoma"/>
      <w:sz w:val="16"/>
      <w:szCs w:val="16"/>
    </w:rPr>
  </w:style>
  <w:style w:type="character" w:customStyle="1" w:styleId="BalloonTextChar">
    <w:name w:val="Balloon Text Char"/>
    <w:basedOn w:val="DefaultParagraphFont"/>
    <w:link w:val="BalloonText"/>
    <w:rsid w:val="003A3914"/>
    <w:rPr>
      <w:rFonts w:ascii="Tahoma" w:hAnsi="Tahoma" w:cs="Tahoma"/>
      <w:snapToGrid w:val="0"/>
      <w:kern w:val="28"/>
      <w:sz w:val="16"/>
      <w:szCs w:val="16"/>
    </w:rPr>
  </w:style>
  <w:style w:type="character" w:styleId="CommentReference">
    <w:name w:val="annotation reference"/>
    <w:basedOn w:val="DefaultParagraphFont"/>
    <w:rsid w:val="00C25739"/>
    <w:rPr>
      <w:sz w:val="16"/>
      <w:szCs w:val="16"/>
    </w:rPr>
  </w:style>
  <w:style w:type="paragraph" w:styleId="CommentText">
    <w:name w:val="annotation text"/>
    <w:basedOn w:val="Normal"/>
    <w:link w:val="CommentTextChar"/>
    <w:rsid w:val="00C25739"/>
    <w:rPr>
      <w:sz w:val="20"/>
    </w:rPr>
  </w:style>
  <w:style w:type="character" w:customStyle="1" w:styleId="CommentTextChar">
    <w:name w:val="Comment Text Char"/>
    <w:basedOn w:val="DefaultParagraphFont"/>
    <w:link w:val="CommentText"/>
    <w:rsid w:val="00C25739"/>
    <w:rPr>
      <w:snapToGrid w:val="0"/>
      <w:kern w:val="28"/>
    </w:rPr>
  </w:style>
  <w:style w:type="paragraph" w:styleId="CommentSubject">
    <w:name w:val="annotation subject"/>
    <w:basedOn w:val="CommentText"/>
    <w:next w:val="CommentText"/>
    <w:link w:val="CommentSubjectChar"/>
    <w:rsid w:val="00C25739"/>
    <w:rPr>
      <w:b/>
      <w:bCs/>
    </w:rPr>
  </w:style>
  <w:style w:type="character" w:customStyle="1" w:styleId="CommentSubjectChar">
    <w:name w:val="Comment Subject Char"/>
    <w:basedOn w:val="CommentTextChar"/>
    <w:link w:val="CommentSubject"/>
    <w:rsid w:val="00C25739"/>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oa heading"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3"/>
    <w:link w:val="FootnoteTextChar"/>
    <w:rsid w:val="000E3D42"/>
    <w:pPr>
      <w:spacing w:after="120"/>
    </w:pPr>
  </w:style>
  <w:style w:type="character" w:styleId="FootnoteReference">
    <w:name w:val="footnote reference"/>
    <w:aliases w:val="Style 124,Appel note de bas de p,Style 12,(NECG) Footnote Reference,o,fr,Style 3,Style 17,FR,Style 13,Footnote Reference/,Style 6,Style 7,Style 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locked/>
    <w:rsid w:val="005D30C6"/>
    <w:rPr>
      <w:snapToGrid w:val="0"/>
      <w:kern w:val="28"/>
      <w:sz w:val="22"/>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locked/>
    <w:rsid w:val="005D30C6"/>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locked/>
    <w:rsid w:val="005D30C6"/>
    <w:rPr>
      <w:rFonts w:ascii="Times New Roman Bold" w:hAnsi="Times New Roman Bold"/>
      <w:b/>
      <w:caps/>
      <w:snapToGrid w:val="0"/>
      <w:kern w:val="28"/>
      <w:sz w:val="22"/>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link w:val="Heading2"/>
    <w:locked/>
    <w:rsid w:val="005D30C6"/>
    <w:rPr>
      <w:b/>
      <w:snapToGrid w:val="0"/>
      <w:kern w:val="28"/>
      <w:sz w:val="22"/>
    </w:rPr>
  </w:style>
  <w:style w:type="character" w:customStyle="1" w:styleId="StyleParaNum11pt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
    <w:uiPriority w:val="99"/>
    <w:locked/>
    <w:rsid w:val="005D30C6"/>
    <w:rPr>
      <w:kern w:val="28"/>
      <w:sz w:val="22"/>
      <w:szCs w:val="24"/>
    </w:rPr>
  </w:style>
  <w:style w:type="paragraph" w:customStyle="1" w:styleId="StyleParaNum11pt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
    <w:uiPriority w:val="99"/>
    <w:rsid w:val="005D30C6"/>
    <w:pPr>
      <w:tabs>
        <w:tab w:val="left" w:pos="1440"/>
      </w:tabs>
      <w:spacing w:after="220"/>
    </w:pPr>
    <w:rPr>
      <w:snapToGrid/>
      <w:szCs w:val="24"/>
    </w:rPr>
  </w:style>
  <w:style w:type="paragraph" w:styleId="ListParagraph">
    <w:name w:val="List Paragraph"/>
    <w:basedOn w:val="Normal"/>
    <w:uiPriority w:val="34"/>
    <w:qFormat/>
    <w:rsid w:val="0080262C"/>
    <w:pPr>
      <w:ind w:left="720"/>
      <w:contextualSpacing/>
    </w:pPr>
  </w:style>
  <w:style w:type="paragraph" w:styleId="BalloonText">
    <w:name w:val="Balloon Text"/>
    <w:basedOn w:val="Normal"/>
    <w:link w:val="BalloonTextChar"/>
    <w:rsid w:val="003A3914"/>
    <w:rPr>
      <w:rFonts w:ascii="Tahoma" w:hAnsi="Tahoma" w:cs="Tahoma"/>
      <w:sz w:val="16"/>
      <w:szCs w:val="16"/>
    </w:rPr>
  </w:style>
  <w:style w:type="character" w:customStyle="1" w:styleId="BalloonTextChar">
    <w:name w:val="Balloon Text Char"/>
    <w:basedOn w:val="DefaultParagraphFont"/>
    <w:link w:val="BalloonText"/>
    <w:rsid w:val="003A3914"/>
    <w:rPr>
      <w:rFonts w:ascii="Tahoma" w:hAnsi="Tahoma" w:cs="Tahoma"/>
      <w:snapToGrid w:val="0"/>
      <w:kern w:val="28"/>
      <w:sz w:val="16"/>
      <w:szCs w:val="16"/>
    </w:rPr>
  </w:style>
  <w:style w:type="character" w:styleId="CommentReference">
    <w:name w:val="annotation reference"/>
    <w:basedOn w:val="DefaultParagraphFont"/>
    <w:rsid w:val="00C25739"/>
    <w:rPr>
      <w:sz w:val="16"/>
      <w:szCs w:val="16"/>
    </w:rPr>
  </w:style>
  <w:style w:type="paragraph" w:styleId="CommentText">
    <w:name w:val="annotation text"/>
    <w:basedOn w:val="Normal"/>
    <w:link w:val="CommentTextChar"/>
    <w:rsid w:val="00C25739"/>
    <w:rPr>
      <w:sz w:val="20"/>
    </w:rPr>
  </w:style>
  <w:style w:type="character" w:customStyle="1" w:styleId="CommentTextChar">
    <w:name w:val="Comment Text Char"/>
    <w:basedOn w:val="DefaultParagraphFont"/>
    <w:link w:val="CommentText"/>
    <w:rsid w:val="00C25739"/>
    <w:rPr>
      <w:snapToGrid w:val="0"/>
      <w:kern w:val="28"/>
    </w:rPr>
  </w:style>
  <w:style w:type="paragraph" w:styleId="CommentSubject">
    <w:name w:val="annotation subject"/>
    <w:basedOn w:val="CommentText"/>
    <w:next w:val="CommentText"/>
    <w:link w:val="CommentSubjectChar"/>
    <w:rsid w:val="00C25739"/>
    <w:rPr>
      <w:b/>
      <w:bCs/>
    </w:rPr>
  </w:style>
  <w:style w:type="character" w:customStyle="1" w:styleId="CommentSubjectChar">
    <w:name w:val="Comment Subject Char"/>
    <w:basedOn w:val="CommentTextChar"/>
    <w:link w:val="CommentSubject"/>
    <w:rsid w:val="00C25739"/>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1455</Words>
  <Characters>7648</Characters>
  <Application>Microsoft Office Word</Application>
  <DocSecurity>0</DocSecurity>
  <Lines>155</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9103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2014-01-16T15:59:00Z</dcterms:created>
  <dcterms:modified xsi:type="dcterms:W3CDTF">2014-01-16T15:59:00Z</dcterms:modified>
  <cp:category> </cp:category>
  <cp:contentStatus> </cp:contentStatus>
</cp:coreProperties>
</file>