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92" w:rsidRPr="00D15C2F" w:rsidRDefault="00F11E92" w:rsidP="004E72C7">
      <w:pPr>
        <w:widowControl/>
        <w:jc w:val="center"/>
        <w:rPr>
          <w:b/>
          <w:szCs w:val="22"/>
        </w:rPr>
      </w:pPr>
      <w:bookmarkStart w:id="0" w:name="_GoBack"/>
      <w:bookmarkEnd w:id="0"/>
      <w:r w:rsidRPr="00D15C2F">
        <w:rPr>
          <w:b/>
          <w:szCs w:val="22"/>
        </w:rPr>
        <w:t>Before the</w:t>
      </w:r>
    </w:p>
    <w:p w:rsidR="00F11E92" w:rsidRPr="00D15C2F" w:rsidRDefault="00F11E92" w:rsidP="004E72C7">
      <w:pPr>
        <w:widowControl/>
        <w:jc w:val="center"/>
        <w:rPr>
          <w:b/>
          <w:szCs w:val="22"/>
        </w:rPr>
      </w:pPr>
      <w:r w:rsidRPr="00D15C2F">
        <w:rPr>
          <w:b/>
          <w:szCs w:val="22"/>
        </w:rPr>
        <w:t>Federal Communications Commission</w:t>
      </w:r>
    </w:p>
    <w:p w:rsidR="00F11E92" w:rsidRPr="00D15C2F" w:rsidRDefault="00F11E92" w:rsidP="004E72C7">
      <w:pPr>
        <w:widowControl/>
        <w:jc w:val="center"/>
        <w:rPr>
          <w:b/>
          <w:szCs w:val="22"/>
        </w:rPr>
      </w:pPr>
      <w:smartTag w:uri="urn:schemas-microsoft-com:office:smarttags" w:element="City">
        <w:smartTag w:uri="urn:schemas-microsoft-com:office:smarttags" w:element="place">
          <w:r w:rsidRPr="00D15C2F">
            <w:rPr>
              <w:b/>
              <w:szCs w:val="22"/>
            </w:rPr>
            <w:t>Washington</w:t>
          </w:r>
        </w:smartTag>
        <w:r w:rsidRPr="00D15C2F">
          <w:rPr>
            <w:b/>
            <w:szCs w:val="22"/>
          </w:rPr>
          <w:t xml:space="preserve">, </w:t>
        </w:r>
        <w:smartTag w:uri="urn:schemas-microsoft-com:office:smarttags" w:element="PostalCode">
          <w:r w:rsidRPr="00D15C2F">
            <w:rPr>
              <w:b/>
              <w:szCs w:val="22"/>
            </w:rPr>
            <w:t>D.C.</w:t>
          </w:r>
        </w:smartTag>
        <w:r w:rsidRPr="00D15C2F">
          <w:rPr>
            <w:b/>
            <w:szCs w:val="22"/>
          </w:rPr>
          <w:t xml:space="preserve"> </w:t>
        </w:r>
        <w:smartTag w:uri="urn:schemas-microsoft-com:office:smarttags" w:element="PostalCode">
          <w:r w:rsidRPr="00D15C2F">
            <w:rPr>
              <w:b/>
              <w:szCs w:val="22"/>
            </w:rPr>
            <w:t>20554</w:t>
          </w:r>
        </w:smartTag>
      </w:smartTag>
    </w:p>
    <w:p w:rsidR="00F11E92" w:rsidRPr="00D15C2F" w:rsidRDefault="00F11E92" w:rsidP="004E72C7">
      <w:pPr>
        <w:widowControl/>
        <w:jc w:val="center"/>
        <w:rPr>
          <w:b/>
          <w:szCs w:val="22"/>
        </w:rPr>
      </w:pPr>
    </w:p>
    <w:p w:rsidR="00F11E92" w:rsidRPr="00D15C2F" w:rsidRDefault="00F11E92" w:rsidP="004E72C7">
      <w:pPr>
        <w:widowControl/>
        <w:suppressAutoHyphens/>
        <w:spacing w:line="227" w:lineRule="auto"/>
        <w:rPr>
          <w:spacing w:val="-2"/>
          <w:szCs w:val="22"/>
        </w:rPr>
      </w:pPr>
    </w:p>
    <w:tbl>
      <w:tblPr>
        <w:tblW w:w="9648" w:type="dxa"/>
        <w:tblLayout w:type="fixed"/>
        <w:tblLook w:val="0000" w:firstRow="0" w:lastRow="0" w:firstColumn="0" w:lastColumn="0" w:noHBand="0" w:noVBand="0"/>
      </w:tblPr>
      <w:tblGrid>
        <w:gridCol w:w="4698"/>
        <w:gridCol w:w="720"/>
        <w:gridCol w:w="4230"/>
      </w:tblGrid>
      <w:tr w:rsidR="00F11E92" w:rsidRPr="00D15C2F" w:rsidTr="004E7652">
        <w:tc>
          <w:tcPr>
            <w:tcW w:w="4698" w:type="dxa"/>
          </w:tcPr>
          <w:p w:rsidR="00F11E92" w:rsidRPr="00D15C2F" w:rsidRDefault="00F11E92" w:rsidP="004E72C7">
            <w:pPr>
              <w:widowControl/>
              <w:ind w:right="-18"/>
              <w:rPr>
                <w:szCs w:val="22"/>
              </w:rPr>
            </w:pPr>
            <w:r w:rsidRPr="00D15C2F">
              <w:rPr>
                <w:szCs w:val="22"/>
              </w:rPr>
              <w:t>In the Matter of</w:t>
            </w:r>
          </w:p>
          <w:p w:rsidR="00F11E92" w:rsidRPr="00D15C2F" w:rsidRDefault="00F11E92" w:rsidP="004E72C7">
            <w:pPr>
              <w:widowControl/>
              <w:ind w:right="-18"/>
              <w:rPr>
                <w:szCs w:val="22"/>
              </w:rPr>
            </w:pPr>
          </w:p>
          <w:p w:rsidR="00F11E92" w:rsidRPr="00D15C2F" w:rsidRDefault="00F11E92" w:rsidP="004E72C7">
            <w:pPr>
              <w:widowControl/>
              <w:suppressAutoHyphens/>
              <w:rPr>
                <w:spacing w:val="-2"/>
                <w:szCs w:val="22"/>
              </w:rPr>
            </w:pPr>
            <w:r w:rsidRPr="00D15C2F">
              <w:rPr>
                <w:spacing w:val="-2"/>
                <w:szCs w:val="22"/>
              </w:rPr>
              <w:t xml:space="preserve">Emigrant Storage LLC </w:t>
            </w:r>
          </w:p>
        </w:tc>
        <w:tc>
          <w:tcPr>
            <w:tcW w:w="720" w:type="dxa"/>
          </w:tcPr>
          <w:p w:rsidR="00F11E92" w:rsidRPr="00D15C2F" w:rsidRDefault="00F11E92" w:rsidP="004E72C7">
            <w:pPr>
              <w:widowControl/>
              <w:rPr>
                <w:b/>
                <w:szCs w:val="22"/>
              </w:rPr>
            </w:pPr>
            <w:r w:rsidRPr="00D15C2F">
              <w:rPr>
                <w:b/>
                <w:szCs w:val="22"/>
              </w:rPr>
              <w:t>)</w:t>
            </w:r>
          </w:p>
          <w:p w:rsidR="00F11E92" w:rsidRPr="00D15C2F" w:rsidRDefault="00F11E92" w:rsidP="004E72C7">
            <w:pPr>
              <w:widowControl/>
              <w:rPr>
                <w:b/>
                <w:szCs w:val="22"/>
              </w:rPr>
            </w:pPr>
            <w:r w:rsidRPr="00D15C2F">
              <w:rPr>
                <w:b/>
                <w:szCs w:val="22"/>
              </w:rPr>
              <w:t>)</w:t>
            </w:r>
          </w:p>
          <w:p w:rsidR="00F11E92" w:rsidRPr="00D15C2F" w:rsidRDefault="00F11E92" w:rsidP="004E72C7">
            <w:pPr>
              <w:widowControl/>
              <w:rPr>
                <w:b/>
                <w:szCs w:val="22"/>
              </w:rPr>
            </w:pPr>
            <w:r w:rsidRPr="00D15C2F">
              <w:rPr>
                <w:b/>
                <w:szCs w:val="22"/>
              </w:rPr>
              <w:t>)</w:t>
            </w:r>
          </w:p>
          <w:p w:rsidR="00F11E92" w:rsidRPr="00D15C2F" w:rsidRDefault="00F11E92" w:rsidP="004E72C7">
            <w:pPr>
              <w:widowControl/>
              <w:rPr>
                <w:b/>
                <w:szCs w:val="22"/>
              </w:rPr>
            </w:pPr>
            <w:r w:rsidRPr="00D15C2F">
              <w:rPr>
                <w:b/>
                <w:szCs w:val="22"/>
              </w:rPr>
              <w:t>)</w:t>
            </w:r>
          </w:p>
          <w:p w:rsidR="00F11E92" w:rsidRPr="00D15C2F" w:rsidRDefault="00F11E92" w:rsidP="004E72C7">
            <w:pPr>
              <w:widowControl/>
              <w:rPr>
                <w:b/>
                <w:szCs w:val="22"/>
              </w:rPr>
            </w:pPr>
            <w:r w:rsidRPr="00D15C2F">
              <w:rPr>
                <w:b/>
                <w:szCs w:val="22"/>
              </w:rPr>
              <w:t>)</w:t>
            </w:r>
          </w:p>
          <w:p w:rsidR="00F11E92" w:rsidRPr="00D15C2F" w:rsidRDefault="00F11E92" w:rsidP="004E72C7">
            <w:pPr>
              <w:widowControl/>
              <w:rPr>
                <w:b/>
                <w:szCs w:val="22"/>
              </w:rPr>
            </w:pPr>
            <w:r w:rsidRPr="00D15C2F">
              <w:rPr>
                <w:b/>
                <w:szCs w:val="22"/>
              </w:rPr>
              <w:t>)</w:t>
            </w:r>
            <w:r w:rsidRPr="00D15C2F">
              <w:rPr>
                <w:b/>
                <w:szCs w:val="22"/>
              </w:rPr>
              <w:br/>
              <w:t>)</w:t>
            </w:r>
          </w:p>
        </w:tc>
        <w:tc>
          <w:tcPr>
            <w:tcW w:w="4230" w:type="dxa"/>
          </w:tcPr>
          <w:p w:rsidR="00F11E92" w:rsidRPr="00D15C2F" w:rsidRDefault="00F11E92" w:rsidP="009A266E">
            <w:pPr>
              <w:widowControl/>
              <w:suppressAutoHyphens/>
              <w:ind w:firstLine="702"/>
              <w:rPr>
                <w:spacing w:val="-2"/>
                <w:szCs w:val="22"/>
                <w:lang w:val="es-ES_tradnl"/>
              </w:rPr>
            </w:pPr>
          </w:p>
          <w:p w:rsidR="001B26A1" w:rsidRDefault="001B26A1" w:rsidP="009A266E">
            <w:pPr>
              <w:widowControl/>
              <w:suppressAutoHyphens/>
              <w:ind w:firstLine="702"/>
              <w:rPr>
                <w:spacing w:val="-2"/>
                <w:szCs w:val="22"/>
                <w:lang w:val="es-ES_tradnl"/>
              </w:rPr>
            </w:pPr>
          </w:p>
          <w:p w:rsidR="00F11E92" w:rsidRPr="00D15C2F" w:rsidRDefault="00F11E92" w:rsidP="009A266E">
            <w:pPr>
              <w:widowControl/>
              <w:suppressAutoHyphens/>
              <w:ind w:firstLine="702"/>
              <w:rPr>
                <w:spacing w:val="-2"/>
                <w:szCs w:val="22"/>
                <w:lang w:val="es-ES_tradnl"/>
              </w:rPr>
            </w:pPr>
            <w:r w:rsidRPr="00D15C2F">
              <w:rPr>
                <w:spacing w:val="-2"/>
                <w:szCs w:val="22"/>
                <w:lang w:val="es-ES_tradnl"/>
              </w:rPr>
              <w:t>File No.:  EB-SED-13-00008885</w:t>
            </w:r>
            <w:r w:rsidRPr="00D15C2F">
              <w:rPr>
                <w:rStyle w:val="FootnoteReference"/>
                <w:spacing w:val="-2"/>
                <w:szCs w:val="22"/>
                <w:lang w:val="es-ES_tradnl"/>
              </w:rPr>
              <w:footnoteReference w:id="2"/>
            </w:r>
          </w:p>
          <w:p w:rsidR="00F11E92" w:rsidRPr="00D15C2F" w:rsidRDefault="00F11E92" w:rsidP="009A266E">
            <w:pPr>
              <w:widowControl/>
              <w:ind w:firstLine="702"/>
              <w:rPr>
                <w:spacing w:val="-2"/>
                <w:szCs w:val="22"/>
                <w:lang w:val="es-ES_tradnl"/>
              </w:rPr>
            </w:pPr>
          </w:p>
          <w:p w:rsidR="00F11E92" w:rsidRPr="00D15C2F" w:rsidRDefault="00F11E92" w:rsidP="009A266E">
            <w:pPr>
              <w:widowControl/>
              <w:ind w:firstLine="702"/>
              <w:rPr>
                <w:spacing w:val="-2"/>
                <w:szCs w:val="22"/>
                <w:lang w:val="es-ES_tradnl"/>
              </w:rPr>
            </w:pPr>
            <w:r w:rsidRPr="00D15C2F">
              <w:rPr>
                <w:spacing w:val="-2"/>
                <w:szCs w:val="22"/>
                <w:lang w:val="es-ES_tradnl"/>
              </w:rPr>
              <w:t xml:space="preserve">NAL/Acct. No.:  201232100034 </w:t>
            </w:r>
          </w:p>
          <w:p w:rsidR="00F11E92" w:rsidRPr="00D15C2F" w:rsidRDefault="00F11E92" w:rsidP="009A266E">
            <w:pPr>
              <w:widowControl/>
              <w:ind w:firstLine="702"/>
              <w:rPr>
                <w:spacing w:val="-2"/>
                <w:szCs w:val="22"/>
              </w:rPr>
            </w:pPr>
          </w:p>
          <w:p w:rsidR="00F11E92" w:rsidRPr="00D15C2F" w:rsidRDefault="00F11E92" w:rsidP="009A266E">
            <w:pPr>
              <w:widowControl/>
              <w:ind w:firstLine="702"/>
              <w:rPr>
                <w:spacing w:val="-2"/>
                <w:szCs w:val="22"/>
              </w:rPr>
            </w:pPr>
            <w:r w:rsidRPr="00D15C2F">
              <w:rPr>
                <w:spacing w:val="-2"/>
                <w:szCs w:val="22"/>
              </w:rPr>
              <w:t>FRN:  0021058938</w:t>
            </w:r>
          </w:p>
          <w:p w:rsidR="00F11E92" w:rsidRPr="00D15C2F" w:rsidRDefault="00F11E92" w:rsidP="004E72C7">
            <w:pPr>
              <w:widowControl/>
              <w:rPr>
                <w:szCs w:val="22"/>
              </w:rPr>
            </w:pPr>
          </w:p>
        </w:tc>
      </w:tr>
    </w:tbl>
    <w:p w:rsidR="00F11E92" w:rsidRPr="00D15C2F" w:rsidRDefault="00F11E92" w:rsidP="004E72C7">
      <w:pPr>
        <w:widowControl/>
        <w:suppressAutoHyphens/>
        <w:spacing w:line="227" w:lineRule="auto"/>
        <w:rPr>
          <w:spacing w:val="-2"/>
          <w:szCs w:val="22"/>
        </w:rPr>
      </w:pPr>
      <w:r w:rsidRPr="00D15C2F">
        <w:rPr>
          <w:spacing w:val="-2"/>
          <w:szCs w:val="22"/>
        </w:rPr>
        <w:tab/>
      </w:r>
    </w:p>
    <w:p w:rsidR="00F11E92" w:rsidRPr="00D15C2F" w:rsidRDefault="00F11E92" w:rsidP="004E72C7">
      <w:pPr>
        <w:widowControl/>
        <w:jc w:val="center"/>
        <w:rPr>
          <w:b/>
          <w:szCs w:val="22"/>
        </w:rPr>
      </w:pPr>
      <w:r w:rsidRPr="00D15C2F">
        <w:rPr>
          <w:b/>
          <w:szCs w:val="22"/>
        </w:rPr>
        <w:t>FORFEITURE ORDER</w:t>
      </w:r>
    </w:p>
    <w:p w:rsidR="00F11E92" w:rsidRPr="00D15C2F" w:rsidRDefault="00F11E92" w:rsidP="004E72C7">
      <w:pPr>
        <w:widowControl/>
        <w:jc w:val="center"/>
        <w:rPr>
          <w:b/>
          <w:szCs w:val="22"/>
        </w:rPr>
      </w:pPr>
    </w:p>
    <w:p w:rsidR="00F11E92" w:rsidRPr="00D15C2F" w:rsidRDefault="00F11E92" w:rsidP="00766382">
      <w:pPr>
        <w:widowControl/>
        <w:tabs>
          <w:tab w:val="right" w:pos="9360"/>
        </w:tabs>
        <w:suppressAutoHyphens/>
        <w:spacing w:line="227" w:lineRule="auto"/>
        <w:rPr>
          <w:spacing w:val="-2"/>
          <w:szCs w:val="22"/>
        </w:rPr>
      </w:pPr>
      <w:r w:rsidRPr="00D15C2F">
        <w:rPr>
          <w:b/>
          <w:spacing w:val="-2"/>
          <w:szCs w:val="22"/>
        </w:rPr>
        <w:t xml:space="preserve">Adopted: </w:t>
      </w:r>
      <w:r w:rsidR="001B26A1">
        <w:rPr>
          <w:b/>
          <w:spacing w:val="-2"/>
          <w:szCs w:val="22"/>
        </w:rPr>
        <w:t xml:space="preserve"> April 1</w:t>
      </w:r>
      <w:r w:rsidRPr="00D15C2F">
        <w:rPr>
          <w:b/>
          <w:spacing w:val="-2"/>
          <w:szCs w:val="22"/>
        </w:rPr>
        <w:t>, 2014</w:t>
      </w:r>
      <w:r w:rsidRPr="00D15C2F">
        <w:rPr>
          <w:b/>
          <w:spacing w:val="-2"/>
          <w:szCs w:val="22"/>
        </w:rPr>
        <w:tab/>
        <w:t>Released:</w:t>
      </w:r>
      <w:r w:rsidR="008C4AB5">
        <w:rPr>
          <w:b/>
          <w:spacing w:val="-2"/>
          <w:szCs w:val="22"/>
        </w:rPr>
        <w:t xml:space="preserve"> </w:t>
      </w:r>
      <w:r w:rsidRPr="00D15C2F">
        <w:rPr>
          <w:b/>
          <w:spacing w:val="-2"/>
          <w:szCs w:val="22"/>
        </w:rPr>
        <w:t xml:space="preserve"> </w:t>
      </w:r>
      <w:r w:rsidR="001B26A1">
        <w:rPr>
          <w:b/>
          <w:spacing w:val="-2"/>
          <w:szCs w:val="22"/>
        </w:rPr>
        <w:t>April 1</w:t>
      </w:r>
      <w:r w:rsidRPr="00D15C2F">
        <w:rPr>
          <w:b/>
          <w:spacing w:val="-2"/>
          <w:szCs w:val="22"/>
        </w:rPr>
        <w:t>, 2014</w:t>
      </w:r>
    </w:p>
    <w:p w:rsidR="00F11E92" w:rsidRPr="00D15C2F" w:rsidRDefault="00F11E92" w:rsidP="004E72C7">
      <w:pPr>
        <w:widowControl/>
        <w:rPr>
          <w:szCs w:val="22"/>
        </w:rPr>
      </w:pPr>
    </w:p>
    <w:p w:rsidR="00F11E92" w:rsidRPr="00D15C2F" w:rsidRDefault="00F11E92" w:rsidP="004E72C7">
      <w:pPr>
        <w:widowControl/>
        <w:rPr>
          <w:spacing w:val="-2"/>
          <w:szCs w:val="22"/>
        </w:rPr>
      </w:pPr>
      <w:r w:rsidRPr="00D15C2F">
        <w:rPr>
          <w:szCs w:val="22"/>
        </w:rPr>
        <w:t xml:space="preserve">By the </w:t>
      </w:r>
      <w:r>
        <w:rPr>
          <w:szCs w:val="22"/>
        </w:rPr>
        <w:t xml:space="preserve">Acting </w:t>
      </w:r>
      <w:r w:rsidRPr="00D15C2F">
        <w:rPr>
          <w:szCs w:val="22"/>
        </w:rPr>
        <w:t xml:space="preserve">Chief, Enforcement Bureau:  </w:t>
      </w:r>
    </w:p>
    <w:p w:rsidR="00F11E92" w:rsidRPr="00D15C2F" w:rsidRDefault="00F11E92" w:rsidP="004E72C7">
      <w:pPr>
        <w:widowControl/>
        <w:rPr>
          <w:spacing w:val="-2"/>
          <w:szCs w:val="22"/>
        </w:rPr>
      </w:pPr>
    </w:p>
    <w:p w:rsidR="00F11E92" w:rsidRPr="007419E1" w:rsidRDefault="00F11E92" w:rsidP="00D15C2F">
      <w:pPr>
        <w:pStyle w:val="Heading1"/>
        <w:widowControl/>
        <w:tabs>
          <w:tab w:val="clear" w:pos="360"/>
          <w:tab w:val="clear" w:pos="720"/>
        </w:tabs>
        <w:rPr>
          <w:rFonts w:ascii="Times New Roman" w:hAnsi="Times New Roman"/>
          <w:sz w:val="22"/>
          <w:szCs w:val="22"/>
        </w:rPr>
      </w:pPr>
      <w:r>
        <w:rPr>
          <w:rFonts w:ascii="Times New Roman" w:hAnsi="Times New Roman"/>
          <w:sz w:val="22"/>
          <w:szCs w:val="22"/>
        </w:rPr>
        <w:t xml:space="preserve">INTRODUCTION </w:t>
      </w:r>
    </w:p>
    <w:p w:rsidR="00F11E92" w:rsidRPr="00D15C2F" w:rsidRDefault="00F11E92" w:rsidP="00895C25">
      <w:pPr>
        <w:pStyle w:val="ParaNum"/>
        <w:jc w:val="left"/>
        <w:rPr>
          <w:szCs w:val="22"/>
        </w:rPr>
      </w:pPr>
      <w:r>
        <w:rPr>
          <w:szCs w:val="22"/>
        </w:rPr>
        <w:tab/>
      </w:r>
      <w:r w:rsidRPr="00DC214F">
        <w:rPr>
          <w:szCs w:val="22"/>
        </w:rPr>
        <w:t xml:space="preserve">We impose a penalty of $20,000 against Emigrant Storage LLC (Emigrant), former licensee of Private Land Mobile Radio Service (PLMRS) station WPKM212, </w:t>
      </w:r>
      <w:smartTag w:uri="urn:schemas-microsoft-com:office:smarttags" w:element="PostalCode">
        <w:smartTag w:uri="urn:schemas-microsoft-com:office:smarttags" w:element="PostalCode">
          <w:r w:rsidRPr="00DC214F">
            <w:rPr>
              <w:szCs w:val="22"/>
            </w:rPr>
            <w:t>Reno</w:t>
          </w:r>
        </w:smartTag>
        <w:r w:rsidRPr="00DC214F">
          <w:rPr>
            <w:szCs w:val="22"/>
          </w:rPr>
          <w:t xml:space="preserve">, </w:t>
        </w:r>
        <w:smartTag w:uri="urn:schemas-microsoft-com:office:smarttags" w:element="PostalCode">
          <w:r w:rsidRPr="00DC214F">
            <w:rPr>
              <w:szCs w:val="22"/>
            </w:rPr>
            <w:t>Nevada</w:t>
          </w:r>
        </w:smartTag>
      </w:smartTag>
      <w:r w:rsidRPr="00DC214F">
        <w:rPr>
          <w:szCs w:val="22"/>
        </w:rPr>
        <w:t xml:space="preserve">, for operating the station without authority for more than nine years and </w:t>
      </w:r>
      <w:r>
        <w:rPr>
          <w:szCs w:val="22"/>
        </w:rPr>
        <w:t xml:space="preserve">for </w:t>
      </w:r>
      <w:r w:rsidRPr="00DC214F">
        <w:rPr>
          <w:szCs w:val="22"/>
        </w:rPr>
        <w:t>failing to file a timely application to renew the station’s license.  We take this action as part of our duty to prevent unlicensed radio operations from dangerously interfering with authorized radio communications</w:t>
      </w:r>
      <w:r>
        <w:rPr>
          <w:szCs w:val="22"/>
        </w:rPr>
        <w:t xml:space="preserve"> (potentially including emergency communications between first responders, such as public safety, law enforcement, emergency medical, and emergency response personnel)</w:t>
      </w:r>
      <w:r w:rsidRPr="00DC214F">
        <w:rPr>
          <w:szCs w:val="22"/>
        </w:rPr>
        <w:t xml:space="preserve"> in the </w:t>
      </w:r>
      <w:smartTag w:uri="urn:schemas-microsoft-com:office:smarttags" w:element="PostalCode">
        <w:r w:rsidRPr="00DC214F">
          <w:rPr>
            <w:szCs w:val="22"/>
          </w:rPr>
          <w:t>United States</w:t>
        </w:r>
      </w:smartTag>
      <w:r w:rsidRPr="00DC214F">
        <w:rPr>
          <w:szCs w:val="22"/>
        </w:rPr>
        <w:t xml:space="preserve">.  </w:t>
      </w:r>
      <w:r>
        <w:rPr>
          <w:szCs w:val="22"/>
        </w:rPr>
        <w:t>In this case, b</w:t>
      </w:r>
      <w:r w:rsidRPr="00DC214F">
        <w:rPr>
          <w:szCs w:val="22"/>
        </w:rPr>
        <w:t xml:space="preserve">y continuing to operate the station even after the station’s license had </w:t>
      </w:r>
      <w:r>
        <w:rPr>
          <w:szCs w:val="22"/>
        </w:rPr>
        <w:t>expired, Emigrant actually caused</w:t>
      </w:r>
      <w:r w:rsidRPr="00DC214F">
        <w:rPr>
          <w:szCs w:val="22"/>
        </w:rPr>
        <w:t xml:space="preserve"> interference to </w:t>
      </w:r>
      <w:r>
        <w:rPr>
          <w:szCs w:val="22"/>
        </w:rPr>
        <w:t>an authorized user</w:t>
      </w:r>
      <w:r w:rsidRPr="00DC214F">
        <w:rPr>
          <w:szCs w:val="22"/>
        </w:rPr>
        <w:t xml:space="preserve"> of the spectrum.  </w:t>
      </w:r>
      <w:r w:rsidRPr="00D15C2F">
        <w:rPr>
          <w:szCs w:val="22"/>
        </w:rPr>
        <w:t xml:space="preserve">Emigrant does not deny the violations, but </w:t>
      </w:r>
      <w:r>
        <w:rPr>
          <w:szCs w:val="22"/>
        </w:rPr>
        <w:t xml:space="preserve">nonetheless urges </w:t>
      </w:r>
      <w:r w:rsidRPr="00D15C2F">
        <w:rPr>
          <w:szCs w:val="22"/>
        </w:rPr>
        <w:t xml:space="preserve">that the proposed </w:t>
      </w:r>
      <w:r>
        <w:rPr>
          <w:szCs w:val="22"/>
        </w:rPr>
        <w:t xml:space="preserve">$20,000 </w:t>
      </w:r>
      <w:r w:rsidRPr="00D15C2F">
        <w:rPr>
          <w:szCs w:val="22"/>
        </w:rPr>
        <w:t xml:space="preserve">forfeiture should be cancelled or reduced.  We decline to do so.    </w:t>
      </w:r>
    </w:p>
    <w:p w:rsidR="00F11E92" w:rsidRPr="00D15C2F" w:rsidRDefault="00F11E92" w:rsidP="00895C25">
      <w:pPr>
        <w:pStyle w:val="ParaNum"/>
        <w:widowControl/>
        <w:numPr>
          <w:ilvl w:val="0"/>
          <w:numId w:val="0"/>
        </w:numPr>
        <w:ind w:left="720" w:hanging="720"/>
        <w:jc w:val="left"/>
        <w:rPr>
          <w:b/>
          <w:szCs w:val="22"/>
        </w:rPr>
      </w:pPr>
      <w:r w:rsidRPr="00D15C2F">
        <w:rPr>
          <w:b/>
          <w:szCs w:val="22"/>
        </w:rPr>
        <w:t xml:space="preserve">II.  </w:t>
      </w:r>
      <w:r w:rsidRPr="00D15C2F">
        <w:rPr>
          <w:b/>
          <w:szCs w:val="22"/>
        </w:rPr>
        <w:tab/>
      </w:r>
      <w:r w:rsidRPr="00D15C2F">
        <w:rPr>
          <w:b/>
          <w:caps/>
          <w:szCs w:val="22"/>
        </w:rPr>
        <w:t>Background</w:t>
      </w:r>
    </w:p>
    <w:p w:rsidR="00F11E92" w:rsidRPr="00D15C2F" w:rsidRDefault="00F11E92" w:rsidP="00D15C2F">
      <w:pPr>
        <w:pStyle w:val="ParaNum"/>
        <w:widowControl/>
        <w:tabs>
          <w:tab w:val="clear" w:pos="1080"/>
        </w:tabs>
        <w:jc w:val="left"/>
        <w:rPr>
          <w:szCs w:val="22"/>
        </w:rPr>
      </w:pPr>
      <w:r w:rsidRPr="00D15C2F">
        <w:rPr>
          <w:szCs w:val="22"/>
        </w:rPr>
        <w:t xml:space="preserve">On </w:t>
      </w:r>
      <w:r w:rsidRPr="00D15C2F">
        <w:rPr>
          <w:color w:val="000000"/>
          <w:szCs w:val="22"/>
        </w:rPr>
        <w:t>July 31, 2012</w:t>
      </w:r>
      <w:r w:rsidRPr="00D15C2F">
        <w:rPr>
          <w:szCs w:val="22"/>
        </w:rPr>
        <w:t xml:space="preserve">, the Enforcement Bureau (Bureau) released a </w:t>
      </w:r>
      <w:r w:rsidRPr="00D15C2F">
        <w:rPr>
          <w:i/>
          <w:szCs w:val="22"/>
        </w:rPr>
        <w:t>Notice of Apparent Liability for Forfeiture</w:t>
      </w:r>
      <w:r w:rsidRPr="00D15C2F">
        <w:rPr>
          <w:rStyle w:val="FootnoteReference"/>
          <w:szCs w:val="22"/>
        </w:rPr>
        <w:footnoteReference w:id="3"/>
      </w:r>
      <w:r w:rsidRPr="00D15C2F">
        <w:rPr>
          <w:i/>
          <w:szCs w:val="22"/>
        </w:rPr>
        <w:t xml:space="preserve"> </w:t>
      </w:r>
      <w:r>
        <w:rPr>
          <w:szCs w:val="22"/>
        </w:rPr>
        <w:t xml:space="preserve">proposing a </w:t>
      </w:r>
      <w:r w:rsidRPr="00D15C2F">
        <w:rPr>
          <w:szCs w:val="22"/>
        </w:rPr>
        <w:t xml:space="preserve">$20,000 </w:t>
      </w:r>
      <w:r>
        <w:rPr>
          <w:szCs w:val="22"/>
        </w:rPr>
        <w:t xml:space="preserve">forfeiture </w:t>
      </w:r>
      <w:r w:rsidRPr="00D15C2F">
        <w:rPr>
          <w:szCs w:val="22"/>
        </w:rPr>
        <w:t>against Emigrant for its apparent willful and repeated violations of Section 301 of the Act and of Sections 1.903(a) and 1.949(a) of the Rules</w:t>
      </w:r>
      <w:r w:rsidRPr="00D15C2F">
        <w:rPr>
          <w:rStyle w:val="FootnoteReference"/>
          <w:szCs w:val="22"/>
        </w:rPr>
        <w:footnoteReference w:id="4"/>
      </w:r>
      <w:r w:rsidRPr="00D15C2F">
        <w:rPr>
          <w:szCs w:val="22"/>
        </w:rPr>
        <w:t xml:space="preserve"> by </w:t>
      </w:r>
      <w:r w:rsidRPr="00D15C2F">
        <w:rPr>
          <w:szCs w:val="22"/>
        </w:rPr>
        <w:lastRenderedPageBreak/>
        <w:t xml:space="preserve">operating station WPKM212 without Commission authority for more than nine years and </w:t>
      </w:r>
      <w:r>
        <w:rPr>
          <w:szCs w:val="22"/>
        </w:rPr>
        <w:t xml:space="preserve">for </w:t>
      </w:r>
      <w:r w:rsidRPr="00D15C2F">
        <w:rPr>
          <w:szCs w:val="22"/>
        </w:rPr>
        <w:t>failing to seek timely renewal of the station</w:t>
      </w:r>
      <w:r>
        <w:rPr>
          <w:szCs w:val="22"/>
        </w:rPr>
        <w:t>’s</w:t>
      </w:r>
      <w:r w:rsidRPr="00D15C2F">
        <w:rPr>
          <w:szCs w:val="22"/>
        </w:rPr>
        <w:t xml:space="preserve"> license.</w:t>
      </w:r>
      <w:r w:rsidRPr="00D15C2F">
        <w:rPr>
          <w:rStyle w:val="FootnoteReference"/>
          <w:szCs w:val="22"/>
        </w:rPr>
        <w:footnoteReference w:id="5"/>
      </w:r>
      <w:r>
        <w:rPr>
          <w:szCs w:val="22"/>
        </w:rPr>
        <w:t xml:space="preserve">  </w:t>
      </w:r>
    </w:p>
    <w:p w:rsidR="00F11E92" w:rsidRPr="00D15C2F" w:rsidRDefault="00F11E92" w:rsidP="00D15C2F">
      <w:pPr>
        <w:pStyle w:val="ParaNum"/>
        <w:widowControl/>
        <w:tabs>
          <w:tab w:val="clear" w:pos="1080"/>
        </w:tabs>
        <w:jc w:val="left"/>
        <w:rPr>
          <w:szCs w:val="22"/>
        </w:rPr>
      </w:pPr>
      <w:r w:rsidRPr="00D15C2F">
        <w:rPr>
          <w:szCs w:val="22"/>
        </w:rPr>
        <w:t xml:space="preserve">On August 27, 2012, Emigrant responded to the </w:t>
      </w:r>
      <w:r w:rsidRPr="00D15C2F">
        <w:rPr>
          <w:i/>
          <w:szCs w:val="22"/>
        </w:rPr>
        <w:t xml:space="preserve">NAL </w:t>
      </w:r>
      <w:r w:rsidRPr="00D15C2F">
        <w:rPr>
          <w:szCs w:val="22"/>
        </w:rPr>
        <w:t>and sought to reduce or cancel the proposed forfeiture</w:t>
      </w:r>
      <w:r>
        <w:rPr>
          <w:szCs w:val="22"/>
        </w:rPr>
        <w:t>.</w:t>
      </w:r>
      <w:r w:rsidRPr="00D15C2F">
        <w:rPr>
          <w:rStyle w:val="FootnoteReference"/>
          <w:szCs w:val="22"/>
        </w:rPr>
        <w:footnoteReference w:id="6"/>
      </w:r>
      <w:r w:rsidRPr="00D15C2F">
        <w:rPr>
          <w:szCs w:val="22"/>
        </w:rPr>
        <w:t xml:space="preserve">  In its NAL Response</w:t>
      </w:r>
      <w:r w:rsidRPr="003C254A">
        <w:rPr>
          <w:szCs w:val="22"/>
        </w:rPr>
        <w:t>,</w:t>
      </w:r>
      <w:r w:rsidRPr="00D15C2F">
        <w:rPr>
          <w:i/>
          <w:szCs w:val="22"/>
        </w:rPr>
        <w:t xml:space="preserve"> </w:t>
      </w:r>
      <w:r w:rsidRPr="00D15C2F">
        <w:rPr>
          <w:szCs w:val="22"/>
        </w:rPr>
        <w:t>Emigrant does not dispute that it operated station WPKM212 without Commission authority for over nine years or that it failed to seek timely renewal of the station</w:t>
      </w:r>
      <w:r>
        <w:rPr>
          <w:szCs w:val="22"/>
        </w:rPr>
        <w:t>’s</w:t>
      </w:r>
      <w:r w:rsidRPr="00D15C2F">
        <w:rPr>
          <w:szCs w:val="22"/>
        </w:rPr>
        <w:t xml:space="preserve"> license.  Emigrant argues, however, that its violations were minor because the unauthorized operation did not involve “a large manufacturing facility over a wide area with numerous devices,” and that the company acted immediately and in good faith to remedy the violations when brought to its attention.</w:t>
      </w:r>
      <w:r w:rsidRPr="00D15C2F">
        <w:rPr>
          <w:rStyle w:val="FootnoteReference"/>
          <w:szCs w:val="22"/>
        </w:rPr>
        <w:footnoteReference w:id="7"/>
      </w:r>
      <w:r w:rsidRPr="00D15C2F">
        <w:rPr>
          <w:szCs w:val="22"/>
        </w:rPr>
        <w:t xml:space="preserve">  Emigrant also contends that a $20,000 forfeiture is “excessive” in light of the financial impact it would have on Emigrant and its owners, and when compared to the $25,000 forfeiture assessed in </w:t>
      </w:r>
      <w:r w:rsidRPr="00D15C2F">
        <w:rPr>
          <w:i/>
          <w:szCs w:val="22"/>
        </w:rPr>
        <w:t>BASF</w:t>
      </w:r>
      <w:r w:rsidRPr="00D15C2F">
        <w:rPr>
          <w:szCs w:val="22"/>
        </w:rPr>
        <w:t>.</w:t>
      </w:r>
      <w:r w:rsidRPr="00D15C2F">
        <w:rPr>
          <w:rStyle w:val="FootnoteReference"/>
          <w:szCs w:val="22"/>
        </w:rPr>
        <w:footnoteReference w:id="8"/>
      </w:r>
      <w:r w:rsidRPr="00D15C2F">
        <w:rPr>
          <w:szCs w:val="22"/>
        </w:rPr>
        <w:t xml:space="preserve"> </w:t>
      </w:r>
    </w:p>
    <w:p w:rsidR="00F11E92" w:rsidRPr="007419E1" w:rsidRDefault="00F11E92" w:rsidP="00D15C2F">
      <w:pPr>
        <w:pStyle w:val="Heading1"/>
        <w:widowControl/>
        <w:numPr>
          <w:ilvl w:val="0"/>
          <w:numId w:val="0"/>
        </w:numPr>
        <w:tabs>
          <w:tab w:val="clear" w:pos="360"/>
        </w:tabs>
        <w:jc w:val="left"/>
        <w:rPr>
          <w:rFonts w:ascii="Times New Roman" w:hAnsi="Times New Roman"/>
          <w:b w:val="0"/>
          <w:sz w:val="22"/>
          <w:szCs w:val="22"/>
        </w:rPr>
      </w:pPr>
      <w:r w:rsidRPr="007419E1">
        <w:rPr>
          <w:rFonts w:ascii="Times New Roman" w:hAnsi="Times New Roman"/>
          <w:sz w:val="22"/>
          <w:szCs w:val="22"/>
        </w:rPr>
        <w:t>III.</w:t>
      </w:r>
      <w:r w:rsidRPr="007419E1">
        <w:rPr>
          <w:rFonts w:ascii="Times New Roman" w:hAnsi="Times New Roman"/>
          <w:b w:val="0"/>
          <w:sz w:val="22"/>
          <w:szCs w:val="22"/>
        </w:rPr>
        <w:tab/>
      </w:r>
      <w:r w:rsidRPr="007419E1">
        <w:rPr>
          <w:rFonts w:ascii="Times New Roman" w:hAnsi="Times New Roman"/>
          <w:sz w:val="22"/>
          <w:szCs w:val="22"/>
        </w:rPr>
        <w:t>DISCUSSION</w:t>
      </w:r>
    </w:p>
    <w:p w:rsidR="00F11E92" w:rsidRPr="00D15C2F" w:rsidRDefault="00F11E92" w:rsidP="00D15C2F">
      <w:pPr>
        <w:pStyle w:val="ParaNum"/>
        <w:widowControl/>
        <w:tabs>
          <w:tab w:val="clear" w:pos="1080"/>
        </w:tabs>
        <w:jc w:val="left"/>
        <w:rPr>
          <w:szCs w:val="22"/>
        </w:rPr>
      </w:pPr>
      <w:r w:rsidRPr="00D15C2F">
        <w:rPr>
          <w:szCs w:val="22"/>
        </w:rPr>
        <w:t>The Bureau assessed the proposed forfeiture in accordance with Section 503(b) of the Act,</w:t>
      </w:r>
      <w:r w:rsidRPr="00D15C2F">
        <w:rPr>
          <w:rStyle w:val="FootnoteReference"/>
          <w:szCs w:val="22"/>
        </w:rPr>
        <w:footnoteReference w:id="9"/>
      </w:r>
      <w:r w:rsidRPr="00D15C2F">
        <w:rPr>
          <w:szCs w:val="22"/>
        </w:rPr>
        <w:t xml:space="preserve"> Section 1.80 of the Rules,</w:t>
      </w:r>
      <w:r w:rsidRPr="00D15C2F">
        <w:rPr>
          <w:rStyle w:val="FootnoteReference"/>
          <w:szCs w:val="22"/>
        </w:rPr>
        <w:footnoteReference w:id="10"/>
      </w:r>
      <w:r w:rsidRPr="00D15C2F">
        <w:rPr>
          <w:szCs w:val="22"/>
        </w:rPr>
        <w:t xml:space="preserve"> and the Commission’s </w:t>
      </w:r>
      <w:r w:rsidRPr="00D15C2F">
        <w:rPr>
          <w:i/>
          <w:szCs w:val="22"/>
        </w:rPr>
        <w:t>Forfeiture Policy Statement</w:t>
      </w:r>
      <w:r w:rsidRPr="00D15C2F">
        <w:rPr>
          <w:szCs w:val="22"/>
        </w:rPr>
        <w:t>.</w:t>
      </w:r>
      <w:r w:rsidRPr="00D15C2F">
        <w:rPr>
          <w:rStyle w:val="FootnoteReference"/>
          <w:szCs w:val="22"/>
        </w:rPr>
        <w:footnoteReference w:id="11"/>
      </w:r>
      <w:r w:rsidRPr="00D15C2F">
        <w:rPr>
          <w:szCs w:val="22"/>
        </w:rPr>
        <w:t xml:space="preserve">  In examining Emigrant’s NAL Response, we “take into account the nature, circumstances, extent, and gravity of the violation and, with respect to the violator, the degree of culpability, any history of prior offenses, ability to pay, and such other matters as justice may require.”</w:t>
      </w:r>
      <w:r w:rsidRPr="00D15C2F">
        <w:rPr>
          <w:szCs w:val="22"/>
          <w:vertAlign w:val="superscript"/>
        </w:rPr>
        <w:footnoteReference w:id="12"/>
      </w:r>
      <w:r w:rsidRPr="00D15C2F">
        <w:rPr>
          <w:szCs w:val="22"/>
        </w:rPr>
        <w:t xml:space="preserve">  As discussed below, we reject Emigrant’s arguments for reduction or cancellation of the proposed forfeiture</w:t>
      </w:r>
      <w:r>
        <w:rPr>
          <w:szCs w:val="22"/>
        </w:rPr>
        <w:t>;</w:t>
      </w:r>
      <w:r w:rsidRPr="00D15C2F">
        <w:rPr>
          <w:szCs w:val="22"/>
        </w:rPr>
        <w:t xml:space="preserve"> </w:t>
      </w:r>
      <w:r>
        <w:rPr>
          <w:szCs w:val="22"/>
        </w:rPr>
        <w:t xml:space="preserve">we </w:t>
      </w:r>
      <w:r w:rsidRPr="00D15C2F">
        <w:rPr>
          <w:szCs w:val="22"/>
        </w:rPr>
        <w:t xml:space="preserve">affirm our conclusion in the </w:t>
      </w:r>
      <w:r w:rsidRPr="00D15C2F">
        <w:rPr>
          <w:i/>
          <w:szCs w:val="22"/>
        </w:rPr>
        <w:t>NAL</w:t>
      </w:r>
      <w:r w:rsidRPr="00D15C2F">
        <w:rPr>
          <w:szCs w:val="22"/>
        </w:rPr>
        <w:t xml:space="preserve"> that Emigrant willfully</w:t>
      </w:r>
      <w:r w:rsidRPr="00D15C2F">
        <w:rPr>
          <w:rStyle w:val="FootnoteReference"/>
          <w:szCs w:val="22"/>
        </w:rPr>
        <w:footnoteReference w:id="13"/>
      </w:r>
      <w:r w:rsidRPr="00D15C2F">
        <w:rPr>
          <w:szCs w:val="22"/>
        </w:rPr>
        <w:t xml:space="preserve"> and repeatedly</w:t>
      </w:r>
      <w:r w:rsidRPr="00D15C2F">
        <w:rPr>
          <w:rStyle w:val="FootnoteReference"/>
          <w:szCs w:val="22"/>
        </w:rPr>
        <w:footnoteReference w:id="14"/>
      </w:r>
      <w:r w:rsidRPr="00D15C2F">
        <w:rPr>
          <w:szCs w:val="22"/>
        </w:rPr>
        <w:t xml:space="preserve"> violated Section 301 of the Act and Section 1.903(a) of the Rules by operating station WPKM212 without Commission authority for more than nine years</w:t>
      </w:r>
      <w:r>
        <w:rPr>
          <w:szCs w:val="22"/>
        </w:rPr>
        <w:t xml:space="preserve"> </w:t>
      </w:r>
      <w:r w:rsidRPr="00D15C2F">
        <w:rPr>
          <w:szCs w:val="22"/>
        </w:rPr>
        <w:t xml:space="preserve">and </w:t>
      </w:r>
      <w:r>
        <w:rPr>
          <w:szCs w:val="22"/>
        </w:rPr>
        <w:t xml:space="preserve">also </w:t>
      </w:r>
      <w:r w:rsidR="007C1CEC">
        <w:rPr>
          <w:szCs w:val="22"/>
        </w:rPr>
        <w:t xml:space="preserve">violated </w:t>
      </w:r>
      <w:r>
        <w:rPr>
          <w:szCs w:val="22"/>
        </w:rPr>
        <w:t xml:space="preserve">Section 1.949(a) of the Rules </w:t>
      </w:r>
      <w:r w:rsidR="007C1CEC">
        <w:rPr>
          <w:szCs w:val="22"/>
        </w:rPr>
        <w:t>by</w:t>
      </w:r>
      <w:r w:rsidRPr="00D15C2F">
        <w:rPr>
          <w:szCs w:val="22"/>
        </w:rPr>
        <w:t xml:space="preserve"> failing to file a timely </w:t>
      </w:r>
      <w:r>
        <w:rPr>
          <w:szCs w:val="22"/>
        </w:rPr>
        <w:t xml:space="preserve">license renewal </w:t>
      </w:r>
      <w:r w:rsidRPr="00D15C2F">
        <w:rPr>
          <w:szCs w:val="22"/>
        </w:rPr>
        <w:t xml:space="preserve">application for </w:t>
      </w:r>
      <w:r>
        <w:rPr>
          <w:szCs w:val="22"/>
        </w:rPr>
        <w:t>t</w:t>
      </w:r>
      <w:r w:rsidRPr="00D15C2F">
        <w:rPr>
          <w:szCs w:val="22"/>
        </w:rPr>
        <w:t>he station.</w:t>
      </w:r>
    </w:p>
    <w:p w:rsidR="00F11E92" w:rsidRPr="00D15C2F" w:rsidRDefault="00F11E92" w:rsidP="00D15C2F">
      <w:pPr>
        <w:pStyle w:val="ParaNum"/>
        <w:widowControl/>
        <w:jc w:val="left"/>
        <w:rPr>
          <w:kern w:val="0"/>
          <w:szCs w:val="22"/>
        </w:rPr>
      </w:pPr>
      <w:r w:rsidRPr="00D15C2F">
        <w:rPr>
          <w:szCs w:val="22"/>
        </w:rPr>
        <w:tab/>
        <w:t>Section 301 of the Act and Section 1.903(a) of the Rules prohibit the use or operation of any apparatus for the transmission of energy or communications or signals by radio except under, and in accordance with, a Commission authorization.</w:t>
      </w:r>
      <w:r w:rsidRPr="00D15C2F">
        <w:rPr>
          <w:rStyle w:val="FootnoteReference"/>
          <w:szCs w:val="22"/>
        </w:rPr>
        <w:footnoteReference w:id="15"/>
      </w:r>
      <w:r w:rsidRPr="00D15C2F">
        <w:rPr>
          <w:szCs w:val="22"/>
        </w:rPr>
        <w:t xml:space="preserve">  Additionally, under Section 1.949(a) of the Rules, </w:t>
      </w:r>
      <w:r>
        <w:rPr>
          <w:szCs w:val="22"/>
        </w:rPr>
        <w:t>a licensee</w:t>
      </w:r>
      <w:r w:rsidRPr="00D15C2F">
        <w:rPr>
          <w:szCs w:val="22"/>
        </w:rPr>
        <w:t xml:space="preserve"> must file an application for renewal of any station license it intends to continue to operate “no later than the expiration date of the authorization for which renewal is sought and no sooner than 90 days prior to expiration.”</w:t>
      </w:r>
      <w:r w:rsidRPr="00D15C2F">
        <w:rPr>
          <w:rStyle w:val="FootnoteReference"/>
          <w:szCs w:val="22"/>
        </w:rPr>
        <w:footnoteReference w:id="16"/>
      </w:r>
      <w:r w:rsidRPr="00D15C2F">
        <w:rPr>
          <w:szCs w:val="22"/>
        </w:rPr>
        <w:t xml:space="preserve">  Absent a timely filed renewal application, </w:t>
      </w:r>
      <w:r>
        <w:rPr>
          <w:szCs w:val="22"/>
        </w:rPr>
        <w:t xml:space="preserve">a </w:t>
      </w:r>
      <w:r w:rsidRPr="00D15C2F">
        <w:rPr>
          <w:szCs w:val="22"/>
        </w:rPr>
        <w:t>wireless license automatically terminate</w:t>
      </w:r>
      <w:r>
        <w:rPr>
          <w:szCs w:val="22"/>
        </w:rPr>
        <w:t>s</w:t>
      </w:r>
      <w:r w:rsidRPr="00D15C2F">
        <w:rPr>
          <w:szCs w:val="22"/>
        </w:rPr>
        <w:t xml:space="preserve"> on the license expiration date.</w:t>
      </w:r>
      <w:r w:rsidRPr="00D15C2F">
        <w:rPr>
          <w:rStyle w:val="FootnoteReference"/>
          <w:szCs w:val="22"/>
        </w:rPr>
        <w:footnoteReference w:id="17"/>
      </w:r>
      <w:r w:rsidRPr="00D15C2F">
        <w:rPr>
          <w:szCs w:val="22"/>
        </w:rPr>
        <w:t xml:space="preserve">  </w:t>
      </w:r>
    </w:p>
    <w:p w:rsidR="00F11E92" w:rsidRPr="00D15C2F" w:rsidRDefault="00F11E92" w:rsidP="00D15C2F">
      <w:pPr>
        <w:pStyle w:val="ParaNum"/>
        <w:widowControl/>
        <w:jc w:val="left"/>
        <w:rPr>
          <w:szCs w:val="22"/>
        </w:rPr>
      </w:pPr>
      <w:r w:rsidRPr="00D15C2F">
        <w:rPr>
          <w:szCs w:val="22"/>
        </w:rPr>
        <w:tab/>
        <w:t>As previously noted, Emigrant does not dispute that it operated station WPKM212 without Commission authority or that it failed to timely file for continued operating authority</w:t>
      </w:r>
      <w:r>
        <w:rPr>
          <w:szCs w:val="22"/>
        </w:rPr>
        <w:t>.  Emigrant ar</w:t>
      </w:r>
      <w:r w:rsidRPr="00D15C2F">
        <w:rPr>
          <w:szCs w:val="22"/>
        </w:rPr>
        <w:t>gues, however, that the proposed forfeiture should be cancelled or reduced because the violations were minor in light of the size of its operations and because it acted in good faith to resolve the violations when brought to its attention.</w:t>
      </w:r>
      <w:r w:rsidRPr="00D15C2F">
        <w:rPr>
          <w:rStyle w:val="FootnoteReference"/>
          <w:szCs w:val="22"/>
        </w:rPr>
        <w:footnoteReference w:id="18"/>
      </w:r>
      <w:r w:rsidRPr="00D15C2F">
        <w:rPr>
          <w:szCs w:val="22"/>
        </w:rPr>
        <w:t xml:space="preserve">  We disagree.  Under Section 301 of the Act and Section 1.903(a) of the Rules, Emigrant was required to obtain Commission authorization to operate its station irrespective of operation size, purpose, or number of devices in use.</w:t>
      </w:r>
      <w:r w:rsidRPr="00D15C2F">
        <w:rPr>
          <w:rStyle w:val="FootnoteReference"/>
          <w:szCs w:val="22"/>
        </w:rPr>
        <w:footnoteReference w:id="19"/>
      </w:r>
      <w:r w:rsidRPr="00D15C2F">
        <w:rPr>
          <w:szCs w:val="22"/>
        </w:rPr>
        <w:t xml:space="preserve">  Indeed, this threshold requirement furthers the Commission’s goal of “protect[ing] the public and licensees providing service to the public from interference caused by other authorized or unauthorized users of spectrum.”</w:t>
      </w:r>
      <w:r w:rsidRPr="00D15C2F">
        <w:rPr>
          <w:rStyle w:val="FootnoteReference"/>
          <w:szCs w:val="22"/>
        </w:rPr>
        <w:t xml:space="preserve"> </w:t>
      </w:r>
      <w:r w:rsidRPr="00D15C2F">
        <w:rPr>
          <w:rStyle w:val="FootnoteReference"/>
          <w:szCs w:val="22"/>
        </w:rPr>
        <w:footnoteReference w:id="20"/>
      </w:r>
      <w:r w:rsidRPr="00D15C2F">
        <w:rPr>
          <w:szCs w:val="22"/>
        </w:rPr>
        <w:t xml:space="preserve">  As the record reflects, Emigrant’s unauthorized operation compromised this goal by causing harmful interference to another wireless operator.</w:t>
      </w:r>
      <w:r w:rsidRPr="00D15C2F">
        <w:rPr>
          <w:rStyle w:val="FootnoteReference"/>
          <w:szCs w:val="22"/>
        </w:rPr>
        <w:footnoteReference w:id="21"/>
      </w:r>
      <w:r w:rsidRPr="00D15C2F">
        <w:rPr>
          <w:szCs w:val="22"/>
        </w:rPr>
        <w:t xml:space="preserve">  In addition, Emigrant’s unauthorized operation continued for over nine years—almost twice as long as the station’s </w:t>
      </w:r>
      <w:r>
        <w:rPr>
          <w:szCs w:val="22"/>
        </w:rPr>
        <w:t xml:space="preserve">initial </w:t>
      </w:r>
      <w:r w:rsidRPr="00D15C2F">
        <w:rPr>
          <w:szCs w:val="22"/>
        </w:rPr>
        <w:t>license</w:t>
      </w:r>
      <w:r>
        <w:rPr>
          <w:szCs w:val="22"/>
        </w:rPr>
        <w:t xml:space="preserve"> term</w:t>
      </w:r>
      <w:r w:rsidRPr="00D15C2F">
        <w:rPr>
          <w:szCs w:val="22"/>
        </w:rPr>
        <w:t>.  Taken together, these facts do not constitute a minor violation.  Moreover, while Emigrant took prompt action to come into compliance with the Rules before the Commission initiate</w:t>
      </w:r>
      <w:r>
        <w:rPr>
          <w:szCs w:val="22"/>
        </w:rPr>
        <w:t xml:space="preserve">d the present investigation (and </w:t>
      </w:r>
      <w:r w:rsidRPr="00D15C2F">
        <w:rPr>
          <w:szCs w:val="22"/>
        </w:rPr>
        <w:t xml:space="preserve">which the Bureau acknowledged when it reduced the proposed forfeiture in the </w:t>
      </w:r>
      <w:r w:rsidRPr="00D15C2F">
        <w:rPr>
          <w:i/>
          <w:szCs w:val="22"/>
        </w:rPr>
        <w:t>NAL</w:t>
      </w:r>
      <w:r w:rsidRPr="00D15C2F">
        <w:rPr>
          <w:rStyle w:val="FootnoteReference"/>
          <w:szCs w:val="22"/>
        </w:rPr>
        <w:footnoteReference w:id="22"/>
      </w:r>
      <w:r w:rsidRPr="00D15C2F">
        <w:rPr>
          <w:szCs w:val="22"/>
        </w:rPr>
        <w:t xml:space="preserve">), the significant duration of the unauthorized operation and other facts and circumstances of this case do not justify cancelling or </w:t>
      </w:r>
      <w:r w:rsidR="007C1CEC">
        <w:rPr>
          <w:szCs w:val="22"/>
        </w:rPr>
        <w:t xml:space="preserve">further </w:t>
      </w:r>
      <w:r w:rsidRPr="00D15C2F">
        <w:rPr>
          <w:szCs w:val="22"/>
        </w:rPr>
        <w:t>reducing the proposed forfeiture.</w:t>
      </w:r>
    </w:p>
    <w:p w:rsidR="00F11E92" w:rsidRPr="00D15C2F" w:rsidRDefault="00F11E92" w:rsidP="00D15C2F">
      <w:pPr>
        <w:pStyle w:val="ParaNum"/>
        <w:widowControl/>
        <w:jc w:val="left"/>
        <w:rPr>
          <w:szCs w:val="22"/>
        </w:rPr>
      </w:pPr>
      <w:r w:rsidRPr="00D15C2F">
        <w:rPr>
          <w:szCs w:val="22"/>
        </w:rPr>
        <w:tab/>
        <w:t xml:space="preserve">In addition, Emigrant argues that the $20,000 forfeiture is “excessive” in light of the financial impact it would have on Emigrant and its owners, and also when compared to the $25,000 forfeiture assessed in </w:t>
      </w:r>
      <w:r w:rsidRPr="00D15C2F">
        <w:rPr>
          <w:i/>
          <w:szCs w:val="22"/>
        </w:rPr>
        <w:t>BASF</w:t>
      </w:r>
      <w:r w:rsidRPr="00D15C2F">
        <w:rPr>
          <w:szCs w:val="22"/>
        </w:rPr>
        <w:t>, which involved a “multi-national corporation and operation of a station at a large facility.”</w:t>
      </w:r>
      <w:r w:rsidRPr="00D15C2F">
        <w:rPr>
          <w:rStyle w:val="FootnoteReference"/>
          <w:szCs w:val="22"/>
        </w:rPr>
        <w:footnoteReference w:id="23"/>
      </w:r>
      <w:r w:rsidRPr="00D15C2F">
        <w:rPr>
          <w:szCs w:val="22"/>
        </w:rPr>
        <w:t xml:space="preserve">  As a threshold matter, the financial records Emigrant provided with its NAL Response do not support a downward adjustment or cancellation for inability to pay.  Although Emigrant did not expressly state that it could not pay the forfeiture, it provided financial records to argue that the forfeiture was “excessive” and a “significant punitive penalty” when compared to Emigrant’s gross revenues and overall size.</w:t>
      </w:r>
      <w:r w:rsidRPr="00D15C2F">
        <w:rPr>
          <w:rStyle w:val="FootnoteReference"/>
          <w:kern w:val="0"/>
          <w:szCs w:val="22"/>
        </w:rPr>
        <w:footnoteReference w:id="24"/>
      </w:r>
      <w:r w:rsidRPr="00D15C2F">
        <w:rPr>
          <w:szCs w:val="22"/>
        </w:rPr>
        <w:t xml:space="preserve">  In general, an entity’s “gross revenues are the best indicator of its ability to pay a forfeiture.”</w:t>
      </w:r>
      <w:r w:rsidRPr="00D15C2F">
        <w:rPr>
          <w:rStyle w:val="FootnoteReference"/>
          <w:szCs w:val="22"/>
        </w:rPr>
        <w:footnoteReference w:id="25"/>
      </w:r>
      <w:r w:rsidRPr="00D15C2F">
        <w:rPr>
          <w:szCs w:val="22"/>
        </w:rPr>
        <w:t xml:space="preserve">  Having examined the financial records provided by Emigrant, we find that a $20,000 forfeiture expressed as a percentage of Emigrant’s gross revenues </w:t>
      </w:r>
      <w:r w:rsidRPr="00D15C2F">
        <w:rPr>
          <w:color w:val="000000"/>
          <w:szCs w:val="22"/>
        </w:rPr>
        <w:t>is payable,</w:t>
      </w:r>
      <w:r w:rsidRPr="00D15C2F">
        <w:rPr>
          <w:rStyle w:val="FootnoteReference"/>
          <w:szCs w:val="22"/>
        </w:rPr>
        <w:footnoteReference w:id="26"/>
      </w:r>
      <w:r w:rsidRPr="00D15C2F">
        <w:rPr>
          <w:color w:val="000000"/>
          <w:szCs w:val="22"/>
        </w:rPr>
        <w:t xml:space="preserve"> and as such, </w:t>
      </w:r>
      <w:r>
        <w:rPr>
          <w:color w:val="000000"/>
          <w:szCs w:val="22"/>
        </w:rPr>
        <w:t>d</w:t>
      </w:r>
      <w:r w:rsidRPr="00D15C2F">
        <w:rPr>
          <w:color w:val="000000"/>
          <w:szCs w:val="22"/>
        </w:rPr>
        <w:t xml:space="preserve">ecline to cancel or reduce the forfeiture on this basis.  </w:t>
      </w:r>
    </w:p>
    <w:p w:rsidR="00F11E92" w:rsidRPr="00D15C2F" w:rsidRDefault="00F11E92" w:rsidP="00D15C2F">
      <w:pPr>
        <w:pStyle w:val="ParaNum"/>
        <w:widowControl/>
        <w:jc w:val="left"/>
        <w:rPr>
          <w:kern w:val="0"/>
          <w:szCs w:val="22"/>
        </w:rPr>
      </w:pPr>
      <w:r w:rsidRPr="00D15C2F">
        <w:rPr>
          <w:szCs w:val="22"/>
        </w:rPr>
        <w:tab/>
        <w:t xml:space="preserve">Moreover, we are unpersuaded by Emigrant’s argument that the forfeiture is excessive when compared to the forfeiture assessed in </w:t>
      </w:r>
      <w:r w:rsidRPr="00D15C2F">
        <w:rPr>
          <w:i/>
          <w:szCs w:val="22"/>
        </w:rPr>
        <w:t>BASF</w:t>
      </w:r>
      <w:r w:rsidRPr="00D15C2F">
        <w:rPr>
          <w:szCs w:val="22"/>
        </w:rPr>
        <w:t>.</w:t>
      </w:r>
      <w:r w:rsidRPr="00D15C2F">
        <w:rPr>
          <w:rStyle w:val="FootnoteReference"/>
          <w:szCs w:val="22"/>
        </w:rPr>
        <w:footnoteReference w:id="27"/>
      </w:r>
      <w:r w:rsidRPr="00D15C2F">
        <w:rPr>
          <w:szCs w:val="22"/>
        </w:rPr>
        <w:t xml:space="preserve">  Specifically, Emigrant argues that </w:t>
      </w:r>
      <w:r w:rsidRPr="00D15C2F">
        <w:rPr>
          <w:i/>
          <w:szCs w:val="22"/>
        </w:rPr>
        <w:t>BASF</w:t>
      </w:r>
      <w:r w:rsidRPr="00D15C2F">
        <w:rPr>
          <w:szCs w:val="22"/>
        </w:rPr>
        <w:t xml:space="preserve"> “was a virtually identical factual situation; however, it involved a multimillion dollar multi-national corporation and operation of a station at a large facility,” but resulted in a forfeiture that was only $5,000 more than the forfeiture proposed here.</w:t>
      </w:r>
      <w:r w:rsidRPr="00D15C2F">
        <w:rPr>
          <w:rStyle w:val="FootnoteReference"/>
          <w:szCs w:val="22"/>
        </w:rPr>
        <w:footnoteReference w:id="28"/>
      </w:r>
      <w:r w:rsidRPr="00D15C2F">
        <w:rPr>
          <w:szCs w:val="22"/>
        </w:rPr>
        <w:t xml:space="preserve">  In making that comparison, Emigrant fails to note the significant difference in the length of </w:t>
      </w:r>
      <w:r>
        <w:rPr>
          <w:szCs w:val="22"/>
        </w:rPr>
        <w:t xml:space="preserve">the </w:t>
      </w:r>
      <w:r w:rsidRPr="00D15C2F">
        <w:rPr>
          <w:szCs w:val="22"/>
        </w:rPr>
        <w:t xml:space="preserve">unauthorized operation.  In assessing the $25,000 forfeiture in </w:t>
      </w:r>
      <w:r w:rsidRPr="00D15C2F">
        <w:rPr>
          <w:i/>
          <w:szCs w:val="22"/>
        </w:rPr>
        <w:t>BASF</w:t>
      </w:r>
      <w:r w:rsidRPr="00D15C2F">
        <w:rPr>
          <w:szCs w:val="22"/>
        </w:rPr>
        <w:t>, the Bureau stressed the five years of unauthorized operation as well as the company’s status as a profitable enterprise.</w:t>
      </w:r>
      <w:r w:rsidRPr="00D15C2F">
        <w:rPr>
          <w:rStyle w:val="FootnoteReference"/>
          <w:szCs w:val="22"/>
        </w:rPr>
        <w:footnoteReference w:id="29"/>
      </w:r>
      <w:r w:rsidRPr="00D15C2F">
        <w:rPr>
          <w:szCs w:val="22"/>
        </w:rPr>
        <w:t xml:space="preserve">  </w:t>
      </w:r>
      <w:r w:rsidRPr="00D15C2F">
        <w:rPr>
          <w:color w:val="000000"/>
          <w:szCs w:val="22"/>
        </w:rPr>
        <w:t xml:space="preserve">In the instant case, the Bureau carefully considered the nine-year duration of Emigrant’s misconduct (nearly </w:t>
      </w:r>
      <w:r w:rsidRPr="00D15C2F">
        <w:rPr>
          <w:i/>
          <w:color w:val="000000"/>
          <w:szCs w:val="22"/>
        </w:rPr>
        <w:t>twice</w:t>
      </w:r>
      <w:r w:rsidRPr="00D15C2F">
        <w:rPr>
          <w:color w:val="000000"/>
          <w:szCs w:val="22"/>
        </w:rPr>
        <w:t xml:space="preserve"> the length of the initial license term) in the </w:t>
      </w:r>
      <w:r w:rsidRPr="00D15C2F">
        <w:rPr>
          <w:i/>
          <w:color w:val="000000"/>
          <w:szCs w:val="22"/>
        </w:rPr>
        <w:t>NAL</w:t>
      </w:r>
      <w:r w:rsidRPr="00D15C2F">
        <w:rPr>
          <w:color w:val="000000"/>
          <w:szCs w:val="22"/>
        </w:rPr>
        <w:t xml:space="preserve"> when proposing a forfeiture amount.</w:t>
      </w:r>
      <w:r w:rsidRPr="00D15C2F">
        <w:rPr>
          <w:rStyle w:val="FootnoteReference"/>
          <w:szCs w:val="22"/>
        </w:rPr>
        <w:footnoteReference w:id="30"/>
      </w:r>
      <w:r w:rsidRPr="00D15C2F">
        <w:rPr>
          <w:color w:val="000000"/>
          <w:szCs w:val="22"/>
        </w:rPr>
        <w:t xml:space="preserve">  Thus, we also decline to cancel or reduce the forfeiture on this basis.</w:t>
      </w:r>
      <w:r w:rsidRPr="00D15C2F">
        <w:rPr>
          <w:rStyle w:val="FootnoteReference"/>
          <w:szCs w:val="22"/>
        </w:rPr>
        <w:footnoteReference w:id="31"/>
      </w:r>
      <w:r w:rsidRPr="00D15C2F">
        <w:rPr>
          <w:color w:val="000000"/>
          <w:szCs w:val="22"/>
        </w:rPr>
        <w:t xml:space="preserve">  </w:t>
      </w:r>
    </w:p>
    <w:p w:rsidR="00F11E92" w:rsidRPr="00D15C2F" w:rsidRDefault="00F11E92" w:rsidP="00D15C2F">
      <w:pPr>
        <w:pStyle w:val="ParaNum"/>
        <w:widowControl/>
        <w:jc w:val="left"/>
        <w:rPr>
          <w:szCs w:val="22"/>
        </w:rPr>
      </w:pPr>
      <w:r w:rsidRPr="00D15C2F">
        <w:rPr>
          <w:szCs w:val="22"/>
        </w:rPr>
        <w:tab/>
        <w:t xml:space="preserve">In sum, after full consideration of Emigrant’s NAL Response, the record before us, and the applicable statutory factors, we affirm our conclusion in the </w:t>
      </w:r>
      <w:r w:rsidRPr="00D15C2F">
        <w:rPr>
          <w:i/>
          <w:szCs w:val="22"/>
        </w:rPr>
        <w:t>NAL</w:t>
      </w:r>
      <w:r w:rsidRPr="00D15C2F">
        <w:rPr>
          <w:szCs w:val="22"/>
        </w:rPr>
        <w:t xml:space="preserve"> that Emigrant willfully and repeatedly</w:t>
      </w:r>
      <w:r>
        <w:rPr>
          <w:szCs w:val="22"/>
        </w:rPr>
        <w:t xml:space="preserve"> </w:t>
      </w:r>
      <w:r w:rsidRPr="00D15C2F">
        <w:rPr>
          <w:szCs w:val="22"/>
        </w:rPr>
        <w:t>violated Section 301 of the Act and Section 1.903(a) of the Rules</w:t>
      </w:r>
      <w:r w:rsidRPr="00D15C2F">
        <w:rPr>
          <w:rStyle w:val="FootnoteReference"/>
          <w:szCs w:val="22"/>
        </w:rPr>
        <w:footnoteReference w:id="32"/>
      </w:r>
      <w:r w:rsidRPr="00D15C2F">
        <w:rPr>
          <w:szCs w:val="22"/>
        </w:rPr>
        <w:t xml:space="preserve"> by operating station WPKM212 without authorization and also </w:t>
      </w:r>
      <w:r w:rsidR="00804F68">
        <w:rPr>
          <w:szCs w:val="22"/>
        </w:rPr>
        <w:t xml:space="preserve">violated </w:t>
      </w:r>
      <w:r w:rsidRPr="00D15C2F">
        <w:rPr>
          <w:szCs w:val="22"/>
        </w:rPr>
        <w:t>Section 1.949(a) of the Rules</w:t>
      </w:r>
      <w:r w:rsidRPr="00D15C2F">
        <w:rPr>
          <w:rStyle w:val="FootnoteReference"/>
          <w:szCs w:val="22"/>
        </w:rPr>
        <w:footnoteReference w:id="33"/>
      </w:r>
      <w:r w:rsidRPr="00D15C2F">
        <w:rPr>
          <w:szCs w:val="22"/>
        </w:rPr>
        <w:t xml:space="preserve"> by failing to file a timely license renewal application for the station.  Further, because Emigrant failed to provide a sufficient basis for cancellation or reduction of the forfeiture, we also affirm the proposed $20,000 forfeiture.  </w:t>
      </w:r>
    </w:p>
    <w:p w:rsidR="00F11E92" w:rsidRPr="00D15C2F" w:rsidRDefault="00F11E92" w:rsidP="00D15C2F">
      <w:pPr>
        <w:keepNext/>
        <w:widowControl/>
        <w:spacing w:after="220"/>
        <w:rPr>
          <w:b/>
          <w:szCs w:val="22"/>
        </w:rPr>
      </w:pPr>
      <w:r w:rsidRPr="00D15C2F">
        <w:rPr>
          <w:b/>
          <w:szCs w:val="22"/>
        </w:rPr>
        <w:t xml:space="preserve">IV. </w:t>
      </w:r>
      <w:r w:rsidRPr="00D15C2F">
        <w:rPr>
          <w:b/>
          <w:szCs w:val="22"/>
        </w:rPr>
        <w:tab/>
        <w:t xml:space="preserve">ORDERING </w:t>
      </w:r>
      <w:r w:rsidRPr="00D15C2F">
        <w:rPr>
          <w:b/>
          <w:caps/>
          <w:szCs w:val="22"/>
        </w:rPr>
        <w:t>Clauses</w:t>
      </w:r>
    </w:p>
    <w:p w:rsidR="00F11E92" w:rsidRPr="00D15C2F" w:rsidRDefault="00F11E92" w:rsidP="00D15C2F">
      <w:pPr>
        <w:pStyle w:val="ParaNum"/>
        <w:widowControl/>
        <w:tabs>
          <w:tab w:val="clear" w:pos="1080"/>
        </w:tabs>
        <w:jc w:val="left"/>
        <w:rPr>
          <w:szCs w:val="22"/>
        </w:rPr>
      </w:pPr>
      <w:r w:rsidRPr="00D15C2F">
        <w:rPr>
          <w:szCs w:val="22"/>
        </w:rPr>
        <w:t xml:space="preserve">Accordingly, </w:t>
      </w:r>
      <w:r w:rsidRPr="00D15C2F">
        <w:rPr>
          <w:b/>
          <w:szCs w:val="22"/>
        </w:rPr>
        <w:t>IT IS ORDERED</w:t>
      </w:r>
      <w:r w:rsidRPr="00D15C2F">
        <w:rPr>
          <w:szCs w:val="22"/>
        </w:rPr>
        <w:t xml:space="preserve"> that, pursuant to Section 503(b) of the Communications Act of 1934, as amended, and Sections 0.111, 0.311 and 1.80 of the Commission’s rules,</w:t>
      </w:r>
      <w:r w:rsidRPr="00D15C2F">
        <w:rPr>
          <w:rStyle w:val="FootnoteReference"/>
          <w:szCs w:val="22"/>
        </w:rPr>
        <w:footnoteReference w:id="34"/>
      </w:r>
      <w:r w:rsidRPr="00D15C2F">
        <w:rPr>
          <w:szCs w:val="22"/>
        </w:rPr>
        <w:t xml:space="preserve"> Emigrant Storage LLC </w:t>
      </w:r>
      <w:r w:rsidRPr="00D15C2F">
        <w:rPr>
          <w:b/>
          <w:szCs w:val="22"/>
        </w:rPr>
        <w:t>IS LIABLE FOR A MONETARY FORFEITURE</w:t>
      </w:r>
      <w:r w:rsidRPr="00D15C2F">
        <w:rPr>
          <w:szCs w:val="22"/>
        </w:rPr>
        <w:t xml:space="preserve"> in the amount of twenty thousand dollars ($20,000) for willful and repeated violations of Section 301 of the Communications Act of 1934, as amended, and Sections 1.903(a) and 1.949(a) of the Commission’s rules.</w:t>
      </w:r>
      <w:r w:rsidRPr="00D15C2F">
        <w:rPr>
          <w:rStyle w:val="FootnoteReference"/>
          <w:szCs w:val="22"/>
        </w:rPr>
        <w:footnoteReference w:id="35"/>
      </w:r>
    </w:p>
    <w:p w:rsidR="00F11E92" w:rsidRPr="00D15C2F" w:rsidRDefault="00F11E92" w:rsidP="00D15C2F">
      <w:pPr>
        <w:pStyle w:val="ParaNum"/>
        <w:widowControl/>
        <w:tabs>
          <w:tab w:val="clear" w:pos="1080"/>
        </w:tabs>
        <w:jc w:val="left"/>
        <w:rPr>
          <w:rFonts w:eastAsia="MS Mincho"/>
          <w:color w:val="000000"/>
          <w:szCs w:val="22"/>
        </w:rPr>
      </w:pPr>
      <w:r w:rsidRPr="00D15C2F">
        <w:rPr>
          <w:rFonts w:eastAsia="MS Mincho"/>
          <w:szCs w:val="22"/>
        </w:rPr>
        <w:t xml:space="preserve">Payment of the forfeiture shall be made in the manner provided for in Section 1.80 of the Commission’s rules within thirty (30) </w:t>
      </w:r>
      <w:r>
        <w:rPr>
          <w:rFonts w:eastAsia="MS Mincho"/>
          <w:szCs w:val="22"/>
        </w:rPr>
        <w:t xml:space="preserve">calendar days after the release </w:t>
      </w:r>
      <w:r w:rsidRPr="00D15C2F">
        <w:rPr>
          <w:rFonts w:eastAsia="MS Mincho"/>
          <w:szCs w:val="22"/>
        </w:rPr>
        <w:t>date of this Forfeiture Order.</w:t>
      </w:r>
      <w:r w:rsidRPr="00D15C2F">
        <w:rPr>
          <w:rStyle w:val="FootnoteReference"/>
          <w:rFonts w:eastAsia="MS Mincho"/>
          <w:szCs w:val="22"/>
        </w:rPr>
        <w:footnoteReference w:id="36"/>
      </w:r>
      <w:r w:rsidRPr="00D15C2F">
        <w:rPr>
          <w:rFonts w:eastAsia="MS Mincho"/>
          <w:szCs w:val="22"/>
        </w:rPr>
        <w:t xml:space="preserve">  If the forfeiture is not paid within the period specified, the case may be referred to the U.S. Department of Justice for enforcement of the forfeiture pursuant to Section 504(a) of the Communications Act of 1934, as amended.</w:t>
      </w:r>
      <w:r w:rsidRPr="00D15C2F">
        <w:rPr>
          <w:rStyle w:val="FootnoteReference"/>
          <w:rFonts w:eastAsia="MS Mincho"/>
          <w:szCs w:val="22"/>
        </w:rPr>
        <w:footnoteReference w:id="37"/>
      </w:r>
      <w:r w:rsidRPr="00D15C2F">
        <w:rPr>
          <w:rFonts w:eastAsia="MS Mincho"/>
          <w:szCs w:val="22"/>
        </w:rPr>
        <w:t xml:space="preserve">  </w:t>
      </w:r>
      <w:r w:rsidRPr="00D15C2F">
        <w:rPr>
          <w:szCs w:val="22"/>
        </w:rPr>
        <w:t>Emigrant Storage LLC</w:t>
      </w:r>
      <w:r w:rsidRPr="00D15C2F">
        <w:rPr>
          <w:rFonts w:eastAsia="MS Mincho"/>
          <w:szCs w:val="22"/>
        </w:rPr>
        <w:t xml:space="preserve"> shall send electronic notification of payment to Jason Koslofsky at Jason.Koslofsky@fcc.gov, Daudeline Meme at Daudeline.Meme@fcc.gov, and Samantha Peoples at Sam.Peoples@fcc.gov on the date said payment is made.  </w:t>
      </w:r>
    </w:p>
    <w:p w:rsidR="00F11E92" w:rsidRPr="00D15C2F" w:rsidRDefault="00F11E92" w:rsidP="00D15C2F">
      <w:pPr>
        <w:pStyle w:val="ParaNum"/>
        <w:widowControl/>
        <w:tabs>
          <w:tab w:val="clear" w:pos="1080"/>
        </w:tabs>
        <w:jc w:val="left"/>
        <w:rPr>
          <w:rFonts w:eastAsia="MS Mincho"/>
          <w:szCs w:val="22"/>
        </w:rPr>
      </w:pPr>
      <w:r w:rsidRPr="00D15C2F">
        <w:rPr>
          <w:rFonts w:eastAsia="MS Mincho"/>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D15C2F">
        <w:rPr>
          <w:rStyle w:val="FootnoteReference"/>
          <w:rFonts w:eastAsia="MS Mincho"/>
          <w:szCs w:val="22"/>
        </w:rPr>
        <w:footnoteReference w:id="38"/>
      </w:r>
      <w:r w:rsidRPr="00D15C2F">
        <w:rPr>
          <w:rFonts w:eastAsia="MS Mincho"/>
          <w:szCs w:val="22"/>
        </w:rPr>
        <w:t xml:space="preserve">  When completing the FCC Form 159, enter the Account Number in block number 23A (call sign/other ID) and enter the letters “FORF” in block n</w:t>
      </w:r>
      <w:r>
        <w:rPr>
          <w:rFonts w:eastAsia="MS Mincho"/>
          <w:szCs w:val="22"/>
        </w:rPr>
        <w:t xml:space="preserve">umber 24A (payment type code).  </w:t>
      </w:r>
      <w:r w:rsidRPr="00D15C2F">
        <w:rPr>
          <w:color w:val="000000"/>
          <w:szCs w:val="22"/>
        </w:rPr>
        <w:t xml:space="preserve">Below are additional instructions </w:t>
      </w:r>
      <w:r w:rsidRPr="00D15C2F">
        <w:rPr>
          <w:szCs w:val="22"/>
        </w:rPr>
        <w:t>Emigrant Storage LLC</w:t>
      </w:r>
      <w:r w:rsidRPr="00D15C2F">
        <w:rPr>
          <w:color w:val="000000"/>
          <w:szCs w:val="22"/>
        </w:rPr>
        <w:t xml:space="preserve"> should follow based on the form of payment it selects:  </w:t>
      </w:r>
    </w:p>
    <w:p w:rsidR="00F11E92" w:rsidRPr="00D15C2F" w:rsidRDefault="00F11E92" w:rsidP="00D15C2F">
      <w:pPr>
        <w:pStyle w:val="ParaNum"/>
        <w:keepLines/>
        <w:widowControl/>
        <w:numPr>
          <w:ilvl w:val="0"/>
          <w:numId w:val="11"/>
        </w:numPr>
        <w:tabs>
          <w:tab w:val="clear" w:pos="1080"/>
        </w:tabs>
        <w:jc w:val="left"/>
        <w:rPr>
          <w:rFonts w:eastAsia="MS Mincho"/>
          <w:szCs w:val="22"/>
        </w:rPr>
      </w:pPr>
      <w:r w:rsidRPr="00D15C2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F11E92" w:rsidRPr="00D15C2F" w:rsidRDefault="00F11E92" w:rsidP="00D15C2F">
      <w:pPr>
        <w:pStyle w:val="ParaNum"/>
        <w:keepNext/>
        <w:keepLines/>
        <w:widowControl/>
        <w:numPr>
          <w:ilvl w:val="0"/>
          <w:numId w:val="11"/>
        </w:numPr>
        <w:tabs>
          <w:tab w:val="clear" w:pos="1080"/>
        </w:tabs>
        <w:jc w:val="left"/>
        <w:rPr>
          <w:rFonts w:eastAsia="MS Mincho"/>
          <w:szCs w:val="22"/>
        </w:rPr>
      </w:pPr>
      <w:r w:rsidRPr="00D15C2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11E92" w:rsidRPr="00D15C2F" w:rsidRDefault="00F11E92" w:rsidP="00D15C2F">
      <w:pPr>
        <w:pStyle w:val="ParaNum"/>
        <w:widowControl/>
        <w:numPr>
          <w:ilvl w:val="0"/>
          <w:numId w:val="11"/>
        </w:numPr>
        <w:tabs>
          <w:tab w:val="clear" w:pos="1080"/>
        </w:tabs>
        <w:jc w:val="left"/>
        <w:rPr>
          <w:rFonts w:eastAsia="MS Mincho"/>
          <w:szCs w:val="22"/>
        </w:rPr>
      </w:pPr>
      <w:r w:rsidRPr="00D15C2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F11E92" w:rsidRPr="00D15C2F" w:rsidRDefault="00F11E92" w:rsidP="00D15C2F">
      <w:pPr>
        <w:pStyle w:val="ParaNum"/>
        <w:widowControl/>
        <w:tabs>
          <w:tab w:val="clear" w:pos="1080"/>
        </w:tabs>
        <w:jc w:val="left"/>
        <w:rPr>
          <w:rFonts w:eastAsia="MS Mincho"/>
          <w:szCs w:val="22"/>
        </w:rPr>
      </w:pPr>
      <w:r w:rsidRPr="00D15C2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D15C2F">
        <w:rPr>
          <w:rStyle w:val="FootnoteReference"/>
          <w:rFonts w:eastAsia="MS Mincho"/>
          <w:szCs w:val="22"/>
        </w:rPr>
        <w:footnoteReference w:id="39"/>
      </w:r>
      <w:r>
        <w:rPr>
          <w:rFonts w:eastAsia="MS Mincho"/>
          <w:szCs w:val="22"/>
        </w:rPr>
        <w:t xml:space="preserve">  </w:t>
      </w:r>
      <w:r w:rsidRPr="00D15C2F">
        <w:rPr>
          <w:rFonts w:eastAsia="MS Mincho"/>
          <w:szCs w:val="22"/>
        </w:rPr>
        <w:t xml:space="preserve">If </w:t>
      </w:r>
      <w:r w:rsidRPr="00D15C2F">
        <w:rPr>
          <w:szCs w:val="22"/>
        </w:rPr>
        <w:t>Emigrant Storage, LLC</w:t>
      </w:r>
      <w:r w:rsidRPr="00D15C2F">
        <w:rPr>
          <w:rFonts w:eastAsia="MS Mincho"/>
          <w:szCs w:val="22"/>
        </w:rPr>
        <w:t xml:space="preserve"> has questions regarding payment procedures, it should contact the Financial Operations Group Help Desk by phone, 1-877-480-3201, or by e</w:t>
      </w:r>
      <w:r w:rsidRPr="00D15C2F">
        <w:rPr>
          <w:rFonts w:eastAsia="MS Mincho"/>
          <w:szCs w:val="22"/>
        </w:rPr>
        <w:noBreakHyphen/>
        <w:t>mail, ARINQUIRIES@fcc.gov. </w:t>
      </w:r>
    </w:p>
    <w:p w:rsidR="00F11E92" w:rsidRPr="00D15C2F" w:rsidRDefault="00F11E92" w:rsidP="003C254A">
      <w:pPr>
        <w:pStyle w:val="ParaNum"/>
        <w:widowControl/>
        <w:tabs>
          <w:tab w:val="clear" w:pos="1080"/>
        </w:tabs>
        <w:spacing w:after="120"/>
        <w:jc w:val="left"/>
        <w:rPr>
          <w:kern w:val="0"/>
          <w:szCs w:val="22"/>
        </w:rPr>
      </w:pPr>
      <w:r w:rsidRPr="00D15C2F">
        <w:rPr>
          <w:b/>
          <w:szCs w:val="22"/>
        </w:rPr>
        <w:t>IT IS FURTHER ORDERED</w:t>
      </w:r>
      <w:r w:rsidRPr="00D15C2F">
        <w:rPr>
          <w:szCs w:val="22"/>
        </w:rPr>
        <w:t xml:space="preserve"> that a copy of this Forfeiture Order</w:t>
      </w:r>
      <w:r w:rsidRPr="00D15C2F">
        <w:rPr>
          <w:i/>
          <w:szCs w:val="22"/>
        </w:rPr>
        <w:t xml:space="preserve"> </w:t>
      </w:r>
      <w:r w:rsidRPr="00D15C2F">
        <w:rPr>
          <w:szCs w:val="22"/>
        </w:rPr>
        <w:t>shall be sent by Certified Mail, Return Receipt Requested, to William A. Manke, Sr. and Lavon T. Manke, Owners, Emigrant Storage LLC, 2500 Longley Lane, Reno, NV 89502; and to James M. Walsh, Walsh, Baker &amp; Rosevear, P.C., counsel to Emigrant Storage LLC, 9468 Double R Boulevard, Suite A, Reno, NV 89521.</w:t>
      </w:r>
    </w:p>
    <w:p w:rsidR="00F11E92" w:rsidRPr="00D15C2F" w:rsidRDefault="00F11E92" w:rsidP="004E72C7">
      <w:pPr>
        <w:widowControl/>
        <w:rPr>
          <w:b/>
          <w:szCs w:val="22"/>
        </w:rPr>
      </w:pPr>
    </w:p>
    <w:p w:rsidR="00F11E92" w:rsidRDefault="00F11E92" w:rsidP="00894472">
      <w:pPr>
        <w:pStyle w:val="ParaNum"/>
        <w:widowControl/>
        <w:numPr>
          <w:ilvl w:val="0"/>
          <w:numId w:val="0"/>
        </w:numPr>
        <w:tabs>
          <w:tab w:val="left" w:pos="720"/>
          <w:tab w:val="left" w:pos="1440"/>
        </w:tabs>
        <w:spacing w:after="360"/>
        <w:rPr>
          <w:szCs w:val="22"/>
        </w:rPr>
      </w:pPr>
    </w:p>
    <w:p w:rsidR="00F11E92" w:rsidRPr="00D15C2F" w:rsidRDefault="00F11E92" w:rsidP="00894472">
      <w:pPr>
        <w:pStyle w:val="ParaNum"/>
        <w:widowControl/>
        <w:numPr>
          <w:ilvl w:val="0"/>
          <w:numId w:val="0"/>
        </w:numPr>
        <w:tabs>
          <w:tab w:val="left" w:pos="720"/>
          <w:tab w:val="left" w:pos="1440"/>
        </w:tabs>
        <w:spacing w:after="360"/>
        <w:rPr>
          <w:szCs w:val="22"/>
        </w:rPr>
      </w:pPr>
      <w:r w:rsidRPr="00D15C2F">
        <w:rPr>
          <w:szCs w:val="22"/>
        </w:rPr>
        <w:tab/>
      </w:r>
      <w:r w:rsidRPr="00D15C2F">
        <w:rPr>
          <w:szCs w:val="22"/>
        </w:rPr>
        <w:tab/>
      </w:r>
      <w:r w:rsidRPr="00D15C2F">
        <w:rPr>
          <w:szCs w:val="22"/>
        </w:rPr>
        <w:tab/>
      </w:r>
      <w:r w:rsidRPr="00D15C2F">
        <w:rPr>
          <w:szCs w:val="22"/>
        </w:rPr>
        <w:tab/>
      </w:r>
      <w:r w:rsidRPr="00D15C2F">
        <w:rPr>
          <w:szCs w:val="22"/>
        </w:rPr>
        <w:tab/>
      </w:r>
      <w:r w:rsidRPr="00D15C2F">
        <w:rPr>
          <w:szCs w:val="22"/>
        </w:rPr>
        <w:tab/>
        <w:t>FEDERAL COMMUNICATIONS COMMISSION</w:t>
      </w:r>
    </w:p>
    <w:p w:rsidR="00F11E92" w:rsidRPr="00D15C2F" w:rsidRDefault="00F11E92" w:rsidP="00894472">
      <w:pPr>
        <w:pStyle w:val="ParaNum"/>
        <w:widowControl/>
        <w:numPr>
          <w:ilvl w:val="0"/>
          <w:numId w:val="0"/>
        </w:numPr>
        <w:tabs>
          <w:tab w:val="left" w:pos="720"/>
          <w:tab w:val="left" w:pos="1440"/>
        </w:tabs>
        <w:rPr>
          <w:szCs w:val="22"/>
        </w:rPr>
      </w:pPr>
    </w:p>
    <w:p w:rsidR="00F11E92" w:rsidRPr="00D15C2F" w:rsidRDefault="00F11E92" w:rsidP="00894472">
      <w:pPr>
        <w:widowControl/>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t>Travis LeBlanc</w:t>
      </w:r>
      <w:r w:rsidRPr="00D15C2F">
        <w:rPr>
          <w:szCs w:val="22"/>
        </w:rPr>
        <w:t xml:space="preserve"> </w:t>
      </w:r>
    </w:p>
    <w:p w:rsidR="00F11E92" w:rsidRPr="00D15C2F" w:rsidRDefault="00F11E92" w:rsidP="00894472">
      <w:pPr>
        <w:widowControl/>
        <w:rPr>
          <w:szCs w:val="22"/>
        </w:rPr>
      </w:pPr>
      <w:r w:rsidRPr="00D15C2F">
        <w:rPr>
          <w:szCs w:val="22"/>
        </w:rPr>
        <w:tab/>
      </w:r>
      <w:r w:rsidRPr="00D15C2F">
        <w:rPr>
          <w:szCs w:val="22"/>
        </w:rPr>
        <w:tab/>
      </w:r>
      <w:r w:rsidRPr="00D15C2F">
        <w:rPr>
          <w:szCs w:val="22"/>
        </w:rPr>
        <w:tab/>
      </w:r>
      <w:r w:rsidRPr="00D15C2F">
        <w:rPr>
          <w:szCs w:val="22"/>
        </w:rPr>
        <w:tab/>
      </w:r>
      <w:r w:rsidRPr="00D15C2F">
        <w:rPr>
          <w:szCs w:val="22"/>
        </w:rPr>
        <w:tab/>
      </w:r>
      <w:r w:rsidRPr="00D15C2F">
        <w:rPr>
          <w:szCs w:val="22"/>
        </w:rPr>
        <w:tab/>
      </w:r>
      <w:r>
        <w:rPr>
          <w:szCs w:val="22"/>
        </w:rPr>
        <w:t xml:space="preserve">Acting </w:t>
      </w:r>
      <w:r w:rsidRPr="00D15C2F">
        <w:rPr>
          <w:szCs w:val="22"/>
        </w:rPr>
        <w:t>Chief</w:t>
      </w:r>
    </w:p>
    <w:p w:rsidR="00F11E92" w:rsidRPr="00D15C2F" w:rsidRDefault="00F11E92" w:rsidP="00894472">
      <w:pPr>
        <w:widowControl/>
        <w:rPr>
          <w:szCs w:val="22"/>
        </w:rPr>
      </w:pPr>
      <w:r w:rsidRPr="00D15C2F">
        <w:rPr>
          <w:szCs w:val="22"/>
        </w:rPr>
        <w:tab/>
      </w:r>
      <w:r w:rsidRPr="00D15C2F">
        <w:rPr>
          <w:szCs w:val="22"/>
        </w:rPr>
        <w:tab/>
      </w:r>
      <w:r w:rsidRPr="00D15C2F">
        <w:rPr>
          <w:szCs w:val="22"/>
        </w:rPr>
        <w:tab/>
      </w:r>
      <w:r w:rsidRPr="00D15C2F">
        <w:rPr>
          <w:szCs w:val="22"/>
        </w:rPr>
        <w:tab/>
      </w:r>
      <w:r w:rsidRPr="00D15C2F">
        <w:rPr>
          <w:szCs w:val="22"/>
        </w:rPr>
        <w:tab/>
      </w:r>
      <w:r w:rsidRPr="00D15C2F">
        <w:rPr>
          <w:szCs w:val="22"/>
        </w:rPr>
        <w:tab/>
        <w:t>Enforcement Bureau</w:t>
      </w:r>
    </w:p>
    <w:p w:rsidR="00F11E92" w:rsidRPr="00D15C2F" w:rsidRDefault="00F11E92" w:rsidP="00894472">
      <w:pPr>
        <w:pStyle w:val="Paranum0"/>
        <w:numPr>
          <w:ilvl w:val="0"/>
          <w:numId w:val="0"/>
        </w:numPr>
        <w:tabs>
          <w:tab w:val="clear" w:pos="1440"/>
        </w:tabs>
        <w:rPr>
          <w:szCs w:val="22"/>
        </w:rPr>
      </w:pPr>
    </w:p>
    <w:sectPr w:rsidR="00F11E92" w:rsidRPr="00D15C2F" w:rsidSect="00E57C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CF" w:rsidRDefault="00597ACF">
      <w:pPr>
        <w:spacing w:line="20" w:lineRule="exact"/>
      </w:pPr>
    </w:p>
  </w:endnote>
  <w:endnote w:type="continuationSeparator" w:id="0">
    <w:p w:rsidR="00597ACF" w:rsidRDefault="00597ACF">
      <w:r>
        <w:t xml:space="preserve"> </w:t>
      </w:r>
    </w:p>
  </w:endnote>
  <w:endnote w:type="continuationNotice" w:id="1">
    <w:p w:rsidR="00597ACF" w:rsidRDefault="00597A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92" w:rsidRDefault="00F11E92">
    <w:pPr>
      <w:pStyle w:val="Footer"/>
      <w:framePr w:wrap="around" w:vAnchor="text" w:hAnchor="margin" w:xAlign="center" w:y="1"/>
    </w:pPr>
    <w:r>
      <w:fldChar w:fldCharType="begin"/>
    </w:r>
    <w:r>
      <w:instrText xml:space="preserve">PAGE  </w:instrText>
    </w:r>
    <w:r>
      <w:fldChar w:fldCharType="end"/>
    </w:r>
  </w:p>
  <w:p w:rsidR="00F11E92" w:rsidRDefault="00F1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92" w:rsidRDefault="001E7B3C">
    <w:pPr>
      <w:pStyle w:val="Footer"/>
      <w:jc w:val="center"/>
    </w:pPr>
    <w:r>
      <w:fldChar w:fldCharType="begin"/>
    </w:r>
    <w:r>
      <w:instrText xml:space="preserve"> PAGE   \* MERGEFORMAT </w:instrText>
    </w:r>
    <w:r>
      <w:fldChar w:fldCharType="separate"/>
    </w:r>
    <w:r w:rsidR="00FC23BB">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7D" w:rsidRDefault="002A6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CF" w:rsidRDefault="00597ACF">
      <w:r>
        <w:separator/>
      </w:r>
    </w:p>
  </w:footnote>
  <w:footnote w:type="continuationSeparator" w:id="0">
    <w:p w:rsidR="00597ACF" w:rsidRDefault="00597ACF">
      <w:pPr>
        <w:rPr>
          <w:sz w:val="20"/>
        </w:rPr>
      </w:pPr>
      <w:r>
        <w:rPr>
          <w:sz w:val="20"/>
        </w:rPr>
        <w:t xml:space="preserve">(continued from previous page . . . ) </w:t>
      </w:r>
      <w:r>
        <w:rPr>
          <w:sz w:val="20"/>
        </w:rPr>
        <w:separator/>
      </w:r>
    </w:p>
  </w:footnote>
  <w:footnote w:type="continuationNotice" w:id="1">
    <w:p w:rsidR="00597ACF" w:rsidRDefault="00597ACF">
      <w:pPr>
        <w:rPr>
          <w:sz w:val="20"/>
        </w:rPr>
      </w:pPr>
      <w:r>
        <w:rPr>
          <w:sz w:val="20"/>
        </w:rPr>
        <w:t>(continued . . . )</w:t>
      </w:r>
    </w:p>
  </w:footnote>
  <w:footnote w:id="2">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t xml:space="preserve">The investigation was initiated under File </w:t>
      </w:r>
      <w:r w:rsidRPr="00BF0CB5">
        <w:t>No</w:t>
      </w:r>
      <w:r>
        <w:t>.</w:t>
      </w:r>
      <w:r w:rsidRPr="001C4A20">
        <w:rPr>
          <w:spacing w:val="-2"/>
        </w:rPr>
        <w:t xml:space="preserve"> EB-11-SE-102</w:t>
      </w:r>
      <w:r>
        <w:rPr>
          <w:spacing w:val="-2"/>
        </w:rPr>
        <w:t xml:space="preserve"> and subsequently assigned File No.</w:t>
      </w:r>
      <w:r w:rsidRPr="00BF0CB5">
        <w:t xml:space="preserve"> EB-SED-13-</w:t>
      </w:r>
      <w:r w:rsidRPr="001C4A20">
        <w:rPr>
          <w:spacing w:val="-2"/>
        </w:rPr>
        <w:t>0000888</w:t>
      </w:r>
      <w:r>
        <w:rPr>
          <w:spacing w:val="-2"/>
        </w:rPr>
        <w:t xml:space="preserve">5. </w:t>
      </w:r>
      <w:r>
        <w:t xml:space="preserve"> Any future</w:t>
      </w:r>
      <w:r w:rsidRPr="00BF0CB5">
        <w:t xml:space="preserve"> correspondence with the FCC concerni</w:t>
      </w:r>
      <w:r>
        <w:t>ng this matter</w:t>
      </w:r>
      <w:r w:rsidRPr="00BF0CB5">
        <w:t xml:space="preserve"> should </w:t>
      </w:r>
      <w:r>
        <w:t>reflect</w:t>
      </w:r>
      <w:r w:rsidRPr="00BF0CB5">
        <w:t xml:space="preserve"> the new case number.  </w:t>
      </w:r>
    </w:p>
  </w:footnote>
  <w:footnote w:id="3">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Pr>
          <w:i/>
          <w:iCs/>
          <w:color w:val="000000"/>
        </w:rPr>
        <w:t>Emigrant Storage</w:t>
      </w:r>
      <w:r w:rsidRPr="00BF0CB5">
        <w:rPr>
          <w:i/>
          <w:iCs/>
          <w:color w:val="000000"/>
        </w:rPr>
        <w:t xml:space="preserve"> LLC</w:t>
      </w:r>
      <w:r w:rsidRPr="00BF0CB5">
        <w:rPr>
          <w:iCs/>
          <w:color w:val="000000"/>
        </w:rPr>
        <w:t>, Notice of Apparent Liability for Forfeiture, 27 FCC Rcd 8917 (Enf. Bur. 2012) (</w:t>
      </w:r>
      <w:r w:rsidRPr="00BF0CB5">
        <w:rPr>
          <w:i/>
          <w:iCs/>
          <w:color w:val="000000"/>
        </w:rPr>
        <w:t>NAL</w:t>
      </w:r>
      <w:r w:rsidRPr="00BF0CB5">
        <w:rPr>
          <w:iCs/>
          <w:color w:val="000000"/>
        </w:rPr>
        <w:t xml:space="preserve">). </w:t>
      </w:r>
      <w:r>
        <w:rPr>
          <w:iCs/>
          <w:color w:val="000000"/>
        </w:rPr>
        <w:t xml:space="preserve"> T</w:t>
      </w:r>
      <w:r w:rsidRPr="00BF0CB5">
        <w:rPr>
          <w:iCs/>
          <w:color w:val="000000"/>
        </w:rPr>
        <w:t xml:space="preserve">he </w:t>
      </w:r>
      <w:r w:rsidRPr="00BF0CB5">
        <w:rPr>
          <w:i/>
          <w:iCs/>
          <w:color w:val="000000"/>
        </w:rPr>
        <w:t>NAL</w:t>
      </w:r>
      <w:r>
        <w:rPr>
          <w:iCs/>
          <w:color w:val="000000"/>
        </w:rPr>
        <w:t xml:space="preserve"> includes a</w:t>
      </w:r>
      <w:r w:rsidRPr="00BF0CB5">
        <w:rPr>
          <w:iCs/>
          <w:color w:val="000000"/>
        </w:rPr>
        <w:t xml:space="preserve"> more complete recitation of the facts and history of this case and is incorporated herein by reference.    </w:t>
      </w:r>
    </w:p>
  </w:footnote>
  <w:footnote w:id="4">
    <w:p w:rsidR="00F11E92" w:rsidRDefault="00F11E92" w:rsidP="00D15C2F">
      <w:pPr>
        <w:pStyle w:val="FootnoteText"/>
        <w:spacing w:after="120"/>
        <w:ind w:firstLine="0"/>
      </w:pPr>
      <w:r w:rsidRPr="00BF0CB5">
        <w:rPr>
          <w:rStyle w:val="FootnoteReference"/>
          <w:sz w:val="20"/>
        </w:rPr>
        <w:footnoteRef/>
      </w:r>
      <w:r w:rsidRPr="00BF0CB5">
        <w:t xml:space="preserve"> 47 U.S.C. § 301; 47 C.F.R. §§ 1.903(a), 1.949(a).</w:t>
      </w:r>
      <w:r>
        <w:t xml:space="preserve">  </w:t>
      </w:r>
      <w:r w:rsidRPr="00BF0CB5">
        <w:rPr>
          <w:i/>
        </w:rPr>
        <w:t>See also Biennial Regulatory Review – Amendment of Parts 0, 1, 13, 22, 24, 26, 27, 80, 87, 90, 95, 97, and 101 of the Commission’s Rules to Facilitate the Development and Use of the Universal Licensing System in the Wireless Telecommunications Services</w:t>
      </w:r>
      <w:r w:rsidRPr="00BF0CB5">
        <w:t>, Report and Order, 13 FCC Rcd 21027, 21071, para.</w:t>
      </w:r>
      <w:r>
        <w:t> </w:t>
      </w:r>
      <w:r w:rsidRPr="00BF0CB5">
        <w:t>96 (1998) (</w:t>
      </w:r>
      <w:r w:rsidRPr="00BF0CB5">
        <w:rPr>
          <w:i/>
        </w:rPr>
        <w:t>Universal Licensing System Report and Order</w:t>
      </w:r>
      <w:r w:rsidRPr="00BF0CB5">
        <w:t>) (adopting</w:t>
      </w:r>
      <w:r>
        <w:t>,</w:t>
      </w:r>
      <w:r w:rsidRPr="00BF0CB5">
        <w:t xml:space="preserve"> </w:t>
      </w:r>
      <w:r w:rsidRPr="001C4A20">
        <w:rPr>
          <w:i/>
        </w:rPr>
        <w:t>inter alia</w:t>
      </w:r>
      <w:r>
        <w:t>,</w:t>
      </w:r>
      <w:r w:rsidRPr="00BF0CB5">
        <w:t xml:space="preserve"> Section 1.949 of the Rules); Memorandum Opinion and Order on Reconsideration, 14 FCC Rcd 11476, 11485–86, para. 22 (1999) (</w:t>
      </w:r>
      <w:r w:rsidRPr="00BF0CB5">
        <w:rPr>
          <w:i/>
        </w:rPr>
        <w:t>Universal Licensing System MO&amp;O</w:t>
      </w:r>
      <w:r w:rsidRPr="00BF0CB5">
        <w:t xml:space="preserve">) (collectively, </w:t>
      </w:r>
      <w:r w:rsidRPr="00BF0CB5">
        <w:rPr>
          <w:i/>
        </w:rPr>
        <w:t>Universal Licensing System Orders</w:t>
      </w:r>
      <w:r w:rsidRPr="00BF0CB5">
        <w:t>).</w:t>
      </w:r>
    </w:p>
  </w:footnote>
  <w:footnote w:id="5">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See NAL</w:t>
      </w:r>
      <w:r w:rsidRPr="00BF0CB5">
        <w:t>, 27 FCC Rcd at 8918–</w:t>
      </w:r>
      <w:r>
        <w:t>21</w:t>
      </w:r>
      <w:r w:rsidRPr="00BF0CB5">
        <w:t>, para</w:t>
      </w:r>
      <w:r>
        <w:t>s</w:t>
      </w:r>
      <w:r w:rsidRPr="00BF0CB5">
        <w:t>.</w:t>
      </w:r>
      <w:r>
        <w:t xml:space="preserve"> 5–9.</w:t>
      </w:r>
      <w:r w:rsidRPr="00BF0CB5">
        <w:t xml:space="preserve">  </w:t>
      </w:r>
    </w:p>
  </w:footnote>
  <w:footnote w:id="6">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See</w:t>
      </w:r>
      <w:r w:rsidRPr="00BF0CB5">
        <w:t xml:space="preserve"> </w:t>
      </w:r>
      <w:r>
        <w:t xml:space="preserve">Emigrant Storage LLC, </w:t>
      </w:r>
      <w:r w:rsidRPr="00BF0CB5">
        <w:rPr>
          <w:iCs/>
          <w:color w:val="000000"/>
        </w:rPr>
        <w:t>Response to Apparent Liability for Forfeiture and Request for Cancellation or Reduction</w:t>
      </w:r>
      <w:r w:rsidRPr="00BF0CB5">
        <w:t xml:space="preserve"> </w:t>
      </w:r>
      <w:r w:rsidRPr="00BF0CB5">
        <w:rPr>
          <w:iCs/>
          <w:color w:val="000000"/>
        </w:rPr>
        <w:t xml:space="preserve">(Aug. 27, 2012) (on file in </w:t>
      </w:r>
      <w:r w:rsidRPr="001C4A20">
        <w:rPr>
          <w:spacing w:val="-2"/>
        </w:rPr>
        <w:t>EB-SED-13-00008885</w:t>
      </w:r>
      <w:r w:rsidRPr="00BF0CB5">
        <w:rPr>
          <w:iCs/>
          <w:color w:val="000000"/>
        </w:rPr>
        <w:t xml:space="preserve">) (NAL Response).  </w:t>
      </w:r>
    </w:p>
  </w:footnote>
  <w:footnote w:id="7">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Pr>
          <w:i/>
        </w:rPr>
        <w:t>I</w:t>
      </w:r>
      <w:r w:rsidRPr="00BF0CB5">
        <w:rPr>
          <w:i/>
        </w:rPr>
        <w:t>d</w:t>
      </w:r>
      <w:r w:rsidRPr="00BF0CB5">
        <w:t xml:space="preserve">. at 1.  </w:t>
      </w:r>
    </w:p>
  </w:footnote>
  <w:footnote w:id="8">
    <w:p w:rsidR="00F11E92" w:rsidRDefault="00F11E92" w:rsidP="00D15C2F">
      <w:pPr>
        <w:autoSpaceDE w:val="0"/>
        <w:autoSpaceDN w:val="0"/>
        <w:adjustRightInd w:val="0"/>
        <w:spacing w:after="120"/>
        <w:jc w:val="left"/>
      </w:pPr>
      <w:r w:rsidRPr="00BF0CB5">
        <w:rPr>
          <w:rStyle w:val="FootnoteReference"/>
          <w:sz w:val="20"/>
        </w:rPr>
        <w:footnoteRef/>
      </w:r>
      <w:r w:rsidRPr="00BF0CB5">
        <w:rPr>
          <w:sz w:val="20"/>
        </w:rPr>
        <w:t xml:space="preserve"> </w:t>
      </w:r>
      <w:r>
        <w:rPr>
          <w:i/>
          <w:sz w:val="20"/>
        </w:rPr>
        <w:t>See id.</w:t>
      </w:r>
      <w:r>
        <w:rPr>
          <w:sz w:val="20"/>
        </w:rPr>
        <w:t xml:space="preserve"> at 1–2 (citing </w:t>
      </w:r>
      <w:r w:rsidRPr="00BF0CB5">
        <w:rPr>
          <w:i/>
          <w:iCs/>
          <w:color w:val="000000"/>
          <w:sz w:val="20"/>
        </w:rPr>
        <w:t>BASF Corp</w:t>
      </w:r>
      <w:r>
        <w:rPr>
          <w:i/>
          <w:iCs/>
          <w:color w:val="000000"/>
          <w:sz w:val="20"/>
        </w:rPr>
        <w:t>.</w:t>
      </w:r>
      <w:r w:rsidRPr="00BF0CB5">
        <w:rPr>
          <w:iCs/>
          <w:color w:val="000000"/>
          <w:sz w:val="20"/>
        </w:rPr>
        <w:t>,</w:t>
      </w:r>
      <w:r w:rsidRPr="00BF0CB5">
        <w:rPr>
          <w:color w:val="000000"/>
          <w:sz w:val="20"/>
        </w:rPr>
        <w:t xml:space="preserve"> Notice of Apparent Liability for Forfeiture, 25 FCC Rcd 17300 (Enf. Bur. 2010) ($25,000 forfeiture </w:t>
      </w:r>
      <w:r>
        <w:rPr>
          <w:color w:val="000000"/>
          <w:sz w:val="20"/>
        </w:rPr>
        <w:t>assessed</w:t>
      </w:r>
      <w:r w:rsidRPr="00BF0CB5">
        <w:rPr>
          <w:color w:val="000000"/>
          <w:sz w:val="20"/>
        </w:rPr>
        <w:t xml:space="preserve"> for five years of apparent unauthorized operation</w:t>
      </w:r>
      <w:r>
        <w:rPr>
          <w:color w:val="000000"/>
          <w:sz w:val="20"/>
        </w:rPr>
        <w:t xml:space="preserve"> and failure to seek timely renewal of station license</w:t>
      </w:r>
      <w:r w:rsidRPr="00BF0CB5">
        <w:rPr>
          <w:color w:val="000000"/>
          <w:sz w:val="20"/>
        </w:rPr>
        <w:t>) (</w:t>
      </w:r>
      <w:r w:rsidRPr="00BF0CB5">
        <w:rPr>
          <w:i/>
          <w:color w:val="000000"/>
          <w:sz w:val="20"/>
        </w:rPr>
        <w:t>BASF</w:t>
      </w:r>
      <w:r w:rsidRPr="00BF0CB5">
        <w:rPr>
          <w:color w:val="000000"/>
          <w:sz w:val="20"/>
        </w:rPr>
        <w:t xml:space="preserve">) </w:t>
      </w:r>
      <w:r>
        <w:rPr>
          <w:color w:val="000000"/>
          <w:sz w:val="20"/>
        </w:rPr>
        <w:t>(</w:t>
      </w:r>
      <w:r w:rsidRPr="00844123">
        <w:rPr>
          <w:color w:val="000000"/>
          <w:sz w:val="20"/>
        </w:rPr>
        <w:t>forfeiture paid</w:t>
      </w:r>
      <w:r w:rsidRPr="006F4568">
        <w:rPr>
          <w:color w:val="000000"/>
          <w:sz w:val="20"/>
        </w:rPr>
        <w:t>)</w:t>
      </w:r>
      <w:r>
        <w:rPr>
          <w:color w:val="000000"/>
          <w:sz w:val="20"/>
        </w:rPr>
        <w:t>).</w:t>
      </w:r>
    </w:p>
  </w:footnote>
  <w:footnote w:id="9">
    <w:p w:rsidR="00F11E92" w:rsidRDefault="00F11E92" w:rsidP="00D15C2F">
      <w:pPr>
        <w:pStyle w:val="FootnoteText"/>
        <w:tabs>
          <w:tab w:val="clear" w:pos="720"/>
          <w:tab w:val="clear" w:pos="1440"/>
        </w:tabs>
        <w:spacing w:after="120"/>
        <w:ind w:right="0" w:firstLine="0"/>
      </w:pPr>
      <w:r w:rsidRPr="00BF0CB5">
        <w:rPr>
          <w:rStyle w:val="FootnoteReference"/>
          <w:color w:val="000000"/>
          <w:sz w:val="20"/>
        </w:rPr>
        <w:footnoteRef/>
      </w:r>
      <w:r w:rsidRPr="00BF0CB5">
        <w:rPr>
          <w:color w:val="000000"/>
        </w:rPr>
        <w:t xml:space="preserve"> 47 U.S.C. § 503(b).  </w:t>
      </w:r>
    </w:p>
  </w:footnote>
  <w:footnote w:id="10">
    <w:p w:rsidR="00F11E92" w:rsidRDefault="00F11E92" w:rsidP="00D15C2F">
      <w:pPr>
        <w:pStyle w:val="FootnoteText"/>
        <w:tabs>
          <w:tab w:val="clear" w:pos="720"/>
          <w:tab w:val="clear" w:pos="1440"/>
        </w:tabs>
        <w:spacing w:after="120"/>
        <w:ind w:right="0" w:firstLine="0"/>
      </w:pPr>
      <w:r w:rsidRPr="00BF0CB5">
        <w:rPr>
          <w:rStyle w:val="FootnoteReference"/>
          <w:color w:val="000000"/>
          <w:sz w:val="20"/>
        </w:rPr>
        <w:footnoteRef/>
      </w:r>
      <w:r w:rsidRPr="00BF0CB5">
        <w:rPr>
          <w:color w:val="000000"/>
        </w:rPr>
        <w:t xml:space="preserve"> 47 C.F.R. § 1.80.</w:t>
      </w:r>
    </w:p>
  </w:footnote>
  <w:footnote w:id="11">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 xml:space="preserve">The Commission’s Forfeiture Policy Statement and Amendment of Section 1.80 of the Rules to Incorporate the Forfeiture Guidelines, </w:t>
      </w:r>
      <w:r w:rsidRPr="00BF0CB5">
        <w:t>Report and Order, 12 FCC Rcd 17087, 17113 (1997) (</w:t>
      </w:r>
      <w:r w:rsidRPr="00BF0CB5">
        <w:rPr>
          <w:i/>
        </w:rPr>
        <w:t>Forfeiture Policy Statement</w:t>
      </w:r>
      <w:r w:rsidRPr="00BF0CB5">
        <w:t>),</w:t>
      </w:r>
      <w:r w:rsidRPr="00BF0CB5">
        <w:rPr>
          <w:i/>
        </w:rPr>
        <w:t xml:space="preserve"> recon</w:t>
      </w:r>
      <w:r>
        <w:rPr>
          <w:i/>
        </w:rPr>
        <w:t>s</w:t>
      </w:r>
      <w:r w:rsidRPr="00BF0CB5">
        <w:rPr>
          <w:i/>
        </w:rPr>
        <w:t>. denied</w:t>
      </w:r>
      <w:r w:rsidRPr="00BF0CB5">
        <w:t xml:space="preserve">, Memorandum Opinion and Order, 15 FCC Rcd 303 (1999). </w:t>
      </w:r>
    </w:p>
  </w:footnote>
  <w:footnote w:id="12">
    <w:p w:rsidR="00F11E92" w:rsidRDefault="00F11E92" w:rsidP="00D15C2F">
      <w:pPr>
        <w:widowControl/>
        <w:spacing w:after="120"/>
        <w:jc w:val="left"/>
      </w:pPr>
      <w:r w:rsidRPr="00BF0CB5">
        <w:rPr>
          <w:rStyle w:val="FootnoteReference"/>
          <w:color w:val="000000"/>
          <w:sz w:val="20"/>
        </w:rPr>
        <w:footnoteRef/>
      </w:r>
      <w:r w:rsidRPr="00BF0CB5">
        <w:rPr>
          <w:sz w:val="20"/>
        </w:rPr>
        <w:t xml:space="preserve"> 47 U.S.C. § 503(b)(2)(E).</w:t>
      </w:r>
    </w:p>
  </w:footnote>
  <w:footnote w:id="13">
    <w:p w:rsidR="00F11E92" w:rsidRDefault="00F11E92" w:rsidP="000951D3">
      <w:pPr>
        <w:pStyle w:val="FootnoteText"/>
        <w:tabs>
          <w:tab w:val="clear" w:pos="720"/>
          <w:tab w:val="clear" w:pos="1440"/>
        </w:tabs>
        <w:spacing w:after="120"/>
        <w:ind w:right="0" w:firstLine="0"/>
      </w:pPr>
      <w:r w:rsidRPr="00BF0CB5">
        <w:rPr>
          <w:rStyle w:val="FootnoteReference"/>
          <w:sz w:val="20"/>
        </w:rPr>
        <w:footnoteRef/>
      </w:r>
      <w:r w:rsidRPr="00BF0CB5">
        <w:t xml:space="preserve"> Section 312(f)(1) of the Act defines “willful” as “the conscious and deliberate commission or omission of [any] act, irrespective of any intent to violate” the law.  </w:t>
      </w:r>
      <w:r>
        <w:t xml:space="preserve">47 U.S.C. </w:t>
      </w:r>
      <w:r w:rsidRPr="00BF0CB5">
        <w:t>§ 312(f)(1).  The legislative history of Section 312 clarifies that this definition of willful applies to Sections 312 and 503 of the Act, H.R. Rep. No. 97-765 (1982) (Conf. Rep.), and the Commission has so interpreted the term in the Section 503(b) contex</w:t>
      </w:r>
      <w:r>
        <w:t xml:space="preserve">t.  </w:t>
      </w:r>
      <w:r w:rsidRPr="003C254A">
        <w:rPr>
          <w:i/>
        </w:rPr>
        <w:t>See</w:t>
      </w:r>
      <w:r>
        <w:t xml:space="preserve"> </w:t>
      </w:r>
      <w:r w:rsidRPr="00BF0CB5">
        <w:rPr>
          <w:i/>
          <w:iCs/>
        </w:rPr>
        <w:t>So. Cal. Broad. Co.</w:t>
      </w:r>
      <w:r w:rsidRPr="00BF0CB5">
        <w:rPr>
          <w:iCs/>
        </w:rPr>
        <w:t>,</w:t>
      </w:r>
      <w:r w:rsidRPr="00BF0CB5">
        <w:t xml:space="preserve"> Memorandum Opinion and Order, 6 FCC Rcd 4387, 4387–88, para. 5 (1991), </w:t>
      </w:r>
      <w:r w:rsidRPr="00BF0CB5">
        <w:rPr>
          <w:i/>
          <w:iCs/>
        </w:rPr>
        <w:t>recon</w:t>
      </w:r>
      <w:r>
        <w:rPr>
          <w:i/>
          <w:iCs/>
        </w:rPr>
        <w:t>s</w:t>
      </w:r>
      <w:r w:rsidRPr="00BF0CB5">
        <w:rPr>
          <w:i/>
          <w:iCs/>
        </w:rPr>
        <w:t xml:space="preserve">. denied, </w:t>
      </w:r>
      <w:r w:rsidRPr="00BF0CB5">
        <w:t>7 FCC Rcd 3454 (1992).</w:t>
      </w:r>
    </w:p>
  </w:footnote>
  <w:footnote w:id="14">
    <w:p w:rsidR="00F11E92" w:rsidRDefault="00F11E92" w:rsidP="000951D3">
      <w:pPr>
        <w:pStyle w:val="FootnoteText"/>
        <w:tabs>
          <w:tab w:val="clear" w:pos="720"/>
          <w:tab w:val="clear" w:pos="1440"/>
        </w:tabs>
        <w:spacing w:after="120"/>
        <w:ind w:right="0" w:firstLine="0"/>
      </w:pPr>
      <w:r w:rsidRPr="00BF0CB5">
        <w:rPr>
          <w:rStyle w:val="FootnoteReference"/>
          <w:sz w:val="20"/>
        </w:rPr>
        <w:footnoteRef/>
      </w:r>
      <w:r w:rsidRPr="00BF0CB5">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BF0CB5">
        <w:rPr>
          <w:i/>
        </w:rPr>
        <w:t xml:space="preserve">see </w:t>
      </w:r>
      <w:r>
        <w:rPr>
          <w:i/>
        </w:rPr>
        <w:t>Callais Cablevision, Inc</w:t>
      </w:r>
      <w:r w:rsidRPr="003C254A">
        <w:t>., Notice of Apparent Liability for Monetary Forfeiture, 16 FCC 1359, 1362, para. 9 (2001).</w:t>
      </w:r>
    </w:p>
  </w:footnote>
  <w:footnote w:id="15">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t>47 U.S.C.</w:t>
      </w:r>
      <w:r w:rsidRPr="00BF0CB5">
        <w:t xml:space="preserve"> § 301; 47 C.F.R. § 1.903(a).  </w:t>
      </w:r>
    </w:p>
  </w:footnote>
  <w:footnote w:id="16">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C.F.R. § 1.949(a).  Licensees who want to operate their stations after the expiration of their station licenses must affirmatively request continued operating authority from the Commission.  In its </w:t>
      </w:r>
      <w:r w:rsidRPr="00BF0CB5">
        <w:rPr>
          <w:i/>
        </w:rPr>
        <w:t>Universal Licensing System Orders</w:t>
      </w:r>
      <w:r w:rsidRPr="00BF0CB5">
        <w:t xml:space="preserve">, the Commission mandates the filing of certain applications to obtain such authority.  If a licensee intending continued operations fails to file a timely renewal application, the Commission requires such licensee to seek </w:t>
      </w:r>
      <w:r>
        <w:t xml:space="preserve">temporary or new </w:t>
      </w:r>
      <w:r w:rsidRPr="00BF0CB5">
        <w:t xml:space="preserve">operating authority.  </w:t>
      </w:r>
      <w:r w:rsidRPr="00BF0CB5">
        <w:rPr>
          <w:i/>
        </w:rPr>
        <w:t>See</w:t>
      </w:r>
      <w:r w:rsidRPr="00BF0CB5">
        <w:t xml:space="preserve"> </w:t>
      </w:r>
      <w:r w:rsidRPr="00BF0CB5">
        <w:rPr>
          <w:i/>
        </w:rPr>
        <w:t>Universal Licensing System Report and Order</w:t>
      </w:r>
      <w:r w:rsidRPr="00BF0CB5">
        <w:t xml:space="preserve">, 13 FCC Rcd at 21071, para. 98 (directing licensees that fail to file timely renewal applications to submit a new application or, if necessary, a request for special temporary operating authority); </w:t>
      </w:r>
      <w:r w:rsidRPr="00BF0CB5">
        <w:rPr>
          <w:i/>
        </w:rPr>
        <w:t>Universal Licensing System MO&amp;O</w:t>
      </w:r>
      <w:r w:rsidRPr="00BF0CB5">
        <w:t xml:space="preserve">, 14 FCC Rcd at 11485–86, para. 22 (permitting, in the alternative, the acceptance and processing of late filed renewal applications under certain circumstances).  In the </w:t>
      </w:r>
      <w:r w:rsidRPr="00BF0CB5">
        <w:rPr>
          <w:i/>
        </w:rPr>
        <w:t>Universal Licensing System MO&amp;O</w:t>
      </w:r>
      <w:r w:rsidRPr="00BF0CB5">
        <w:t>,</w:t>
      </w:r>
      <w:r w:rsidRPr="00BF0CB5">
        <w:rPr>
          <w:i/>
        </w:rPr>
        <w:t xml:space="preserve"> </w:t>
      </w:r>
      <w:r w:rsidRPr="00BF0CB5">
        <w:t xml:space="preserve">the Commission expressly held that it could “initiate enforcement action against the licensee for untimely filing and unauthorized operation between the expiration of the license and the late renewal filing, including, if appropriate, the imposition of fines or forfeitures for these rule violations.”  </w:t>
      </w:r>
      <w:smartTag w:uri="urn:schemas-microsoft-com:office:smarttags" w:element="PostalCode">
        <w:r w:rsidRPr="00BF0CB5">
          <w:rPr>
            <w:i/>
          </w:rPr>
          <w:t>Id</w:t>
        </w:r>
        <w:r w:rsidRPr="00BF0CB5">
          <w:t>.</w:t>
        </w:r>
      </w:smartTag>
      <w:r w:rsidRPr="00BF0CB5">
        <w:t xml:space="preserve">  </w:t>
      </w:r>
    </w:p>
  </w:footnote>
  <w:footnote w:id="17">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 xml:space="preserve">See </w:t>
      </w:r>
      <w:r w:rsidRPr="00BF0CB5">
        <w:t>47 C.F.R. § 1.955(a)(1).</w:t>
      </w:r>
    </w:p>
  </w:footnote>
  <w:footnote w:id="18">
    <w:p w:rsidR="00F11E92" w:rsidRDefault="00F11E92" w:rsidP="00D15C2F">
      <w:pPr>
        <w:pStyle w:val="FootnoteText"/>
        <w:spacing w:after="120"/>
        <w:ind w:firstLine="0"/>
      </w:pPr>
      <w:r w:rsidRPr="00002735">
        <w:rPr>
          <w:rStyle w:val="FootnoteReference"/>
          <w:sz w:val="20"/>
        </w:rPr>
        <w:footnoteRef/>
      </w:r>
      <w:r w:rsidRPr="00002735">
        <w:t xml:space="preserve"> </w:t>
      </w:r>
      <w:r>
        <w:rPr>
          <w:i/>
        </w:rPr>
        <w:t xml:space="preserve">See </w:t>
      </w:r>
      <w:r>
        <w:t xml:space="preserve">NAL Response at 1.  </w:t>
      </w:r>
      <w:r w:rsidRPr="00BF0CB5">
        <w:t xml:space="preserve">Emigrant acknowledged that </w:t>
      </w:r>
      <w:r>
        <w:t xml:space="preserve">its </w:t>
      </w:r>
      <w:r w:rsidRPr="00BF0CB5">
        <w:t>earlier ar</w:t>
      </w:r>
      <w:r>
        <w:t>guments of inadvertence</w:t>
      </w:r>
      <w:r w:rsidRPr="00BF0CB5">
        <w:t xml:space="preserve"> and</w:t>
      </w:r>
      <w:r>
        <w:t xml:space="preserve"> changes in personnel</w:t>
      </w:r>
      <w:r w:rsidRPr="00BF0CB5">
        <w:t xml:space="preserve"> were not sufficient reasons to cancel or reduce the forfeiture.  </w:t>
      </w:r>
      <w:r>
        <w:rPr>
          <w:i/>
        </w:rPr>
        <w:t>See i</w:t>
      </w:r>
      <w:r w:rsidRPr="00BF0CB5">
        <w:rPr>
          <w:i/>
        </w:rPr>
        <w:t>d</w:t>
      </w:r>
      <w:r w:rsidRPr="00BF0CB5">
        <w:t xml:space="preserve">. </w:t>
      </w:r>
    </w:p>
  </w:footnote>
  <w:footnote w:id="19">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 xml:space="preserve">See </w:t>
      </w:r>
      <w:r w:rsidRPr="00BF0CB5">
        <w:t>47 U.S.C. § 301; 47 C.F.R. § 1.903(a).</w:t>
      </w:r>
    </w:p>
  </w:footnote>
  <w:footnote w:id="20">
    <w:p w:rsidR="00F11E92" w:rsidRDefault="00F11E92" w:rsidP="00D15C2F">
      <w:pPr>
        <w:pStyle w:val="FootnoteText"/>
        <w:tabs>
          <w:tab w:val="clear" w:pos="720"/>
          <w:tab w:val="clear" w:pos="1440"/>
        </w:tabs>
        <w:spacing w:after="120"/>
        <w:ind w:right="0" w:firstLine="0"/>
      </w:pPr>
      <w:r w:rsidRPr="00DF451E">
        <w:rPr>
          <w:rStyle w:val="FootnoteReference"/>
          <w:sz w:val="20"/>
        </w:rPr>
        <w:footnoteRef/>
      </w:r>
      <w:r w:rsidRPr="00DF451E">
        <w:t xml:space="preserve"> </w:t>
      </w:r>
      <w:r w:rsidRPr="00DF451E">
        <w:rPr>
          <w:i/>
        </w:rPr>
        <w:t>Promoting Efficient Use of Spectrum Through Elimination of Barriers to the Development of Secondary Markets</w:t>
      </w:r>
      <w:r w:rsidRPr="00DF451E">
        <w:t xml:space="preserve">, Notice of Proposed Rulemaking, 15 FCC </w:t>
      </w:r>
      <w:smartTag w:uri="urn:schemas-microsoft-com:office:smarttags" w:element="PostalCode">
        <w:smartTag w:uri="urn:schemas-microsoft-com:office:smarttags" w:element="PostalCode">
          <w:r w:rsidRPr="00DF451E">
            <w:t>Rcd</w:t>
          </w:r>
        </w:smartTag>
        <w:r w:rsidRPr="00DF451E">
          <w:t xml:space="preserve"> </w:t>
        </w:r>
        <w:smartTag w:uri="urn:schemas-microsoft-com:office:smarttags" w:element="PostalCode">
          <w:r w:rsidRPr="00DF451E">
            <w:t>24203</w:t>
          </w:r>
        </w:smartTag>
        <w:r w:rsidRPr="00DF451E">
          <w:t xml:space="preserve">, </w:t>
        </w:r>
        <w:smartTag w:uri="urn:schemas-microsoft-com:office:smarttags" w:element="PostalCode">
          <w:r w:rsidRPr="00DF451E">
            <w:t>2</w:t>
          </w:r>
          <w:r>
            <w:t>4</w:t>
          </w:r>
          <w:r w:rsidRPr="00DF451E">
            <w:t>2</w:t>
          </w:r>
          <w:r>
            <w:t>1</w:t>
          </w:r>
          <w:r w:rsidRPr="00DF451E">
            <w:t>7</w:t>
          </w:r>
        </w:smartTag>
      </w:smartTag>
      <w:r w:rsidRPr="00DF451E">
        <w:t>, para. 35 (2000).</w:t>
      </w:r>
    </w:p>
  </w:footnote>
  <w:footnote w:id="21">
    <w:p w:rsidR="00F11E92" w:rsidRDefault="00F11E92" w:rsidP="00D15C2F">
      <w:pPr>
        <w:pStyle w:val="FootnoteText"/>
        <w:spacing w:after="120"/>
        <w:ind w:firstLine="0"/>
      </w:pPr>
      <w:r w:rsidRPr="00002735">
        <w:rPr>
          <w:rStyle w:val="FootnoteReference"/>
          <w:sz w:val="20"/>
        </w:rPr>
        <w:footnoteRef/>
      </w:r>
      <w:r w:rsidRPr="00002735">
        <w:t xml:space="preserve"> As discussed in the </w:t>
      </w:r>
      <w:r>
        <w:rPr>
          <w:i/>
        </w:rPr>
        <w:t>NAL</w:t>
      </w:r>
      <w:r>
        <w:t xml:space="preserve">, Emigrant became aware of its unauthorized operation when another wireless operator called to complain of interference.  </w:t>
      </w:r>
      <w:r>
        <w:rPr>
          <w:i/>
        </w:rPr>
        <w:t xml:space="preserve">See </w:t>
      </w:r>
      <w:r w:rsidRPr="00002735">
        <w:rPr>
          <w:i/>
        </w:rPr>
        <w:t>NAL</w:t>
      </w:r>
      <w:r>
        <w:t>, 27 FCC Rcd at 8918, para. 4.</w:t>
      </w:r>
    </w:p>
  </w:footnote>
  <w:footnote w:id="22">
    <w:p w:rsidR="00F11E92" w:rsidRDefault="00F11E92" w:rsidP="00D15C2F">
      <w:pPr>
        <w:pStyle w:val="FootnoteText"/>
        <w:spacing w:after="120"/>
        <w:ind w:firstLine="0"/>
      </w:pPr>
      <w:r w:rsidRPr="00002735">
        <w:rPr>
          <w:rStyle w:val="FootnoteReference"/>
          <w:sz w:val="20"/>
        </w:rPr>
        <w:footnoteRef/>
      </w:r>
      <w:r w:rsidRPr="00002735">
        <w:t xml:space="preserve"> </w:t>
      </w:r>
      <w:r w:rsidRPr="00BF0CB5">
        <w:rPr>
          <w:i/>
        </w:rPr>
        <w:t>See id</w:t>
      </w:r>
      <w:r w:rsidRPr="00BF0CB5">
        <w:t>. at 8920–21, para. 9</w:t>
      </w:r>
      <w:r>
        <w:t xml:space="preserve"> (recognizing Emigrant’s “</w:t>
      </w:r>
      <w:r>
        <w:rPr>
          <w:color w:val="000000"/>
        </w:rPr>
        <w:t>non-dilatory actions” taken to “come into compliance” before “the Bureau’s investigation and the initiation of enforcement action”</w:t>
      </w:r>
      <w:r>
        <w:rPr>
          <w:szCs w:val="22"/>
        </w:rPr>
        <w:t>).</w:t>
      </w:r>
      <w:r w:rsidRPr="00277FF1">
        <w:rPr>
          <w:szCs w:val="22"/>
        </w:rPr>
        <w:t xml:space="preserve"> </w:t>
      </w:r>
    </w:p>
  </w:footnote>
  <w:footnote w:id="23">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Cs/>
          <w:color w:val="000000"/>
        </w:rPr>
        <w:t>NAL Response at 2.</w:t>
      </w:r>
    </w:p>
  </w:footnote>
  <w:footnote w:id="24">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See</w:t>
      </w:r>
      <w:r w:rsidRPr="00BF0CB5">
        <w:t xml:space="preserve"> </w:t>
      </w:r>
      <w:r>
        <w:rPr>
          <w:i/>
        </w:rPr>
        <w:t>id.</w:t>
      </w:r>
      <w:r w:rsidRPr="00BF0CB5">
        <w:t xml:space="preserve"> at 1–2.  </w:t>
      </w:r>
    </w:p>
  </w:footnote>
  <w:footnote w:id="25">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rPr>
          <w:i/>
        </w:rPr>
        <w:t xml:space="preserve"> PJB Commc’ns of Va., Inc</w:t>
      </w:r>
      <w:r w:rsidRPr="00BF0CB5">
        <w:t xml:space="preserve">., Memorandum Opinion and Order, 7 FCC Rcd 2088, 2089, para. 8 (1992). </w:t>
      </w:r>
    </w:p>
  </w:footnote>
  <w:footnote w:id="26">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iCs/>
        </w:rPr>
        <w:t>See</w:t>
      </w:r>
      <w:r>
        <w:rPr>
          <w:i/>
          <w:iCs/>
        </w:rPr>
        <w:t xml:space="preserve"> id. </w:t>
      </w:r>
      <w:r w:rsidRPr="00BF0CB5">
        <w:t>(forfeiture not deemed excessive where it represented approximately 2.02 percent of the violator’s gross revenues)</w:t>
      </w:r>
      <w:r>
        <w:t xml:space="preserve">; </w:t>
      </w:r>
      <w:r>
        <w:rPr>
          <w:i/>
        </w:rPr>
        <w:t>Coleman Enters.</w:t>
      </w:r>
      <w:r w:rsidRPr="00BF0CB5">
        <w:rPr>
          <w:i/>
        </w:rPr>
        <w:t>, Inc.</w:t>
      </w:r>
      <w:r w:rsidRPr="00BF0CB5">
        <w:t>,</w:t>
      </w:r>
      <w:r>
        <w:t xml:space="preserve"> Order of Reconsideration</w:t>
      </w:r>
      <w:r w:rsidRPr="00BF0CB5">
        <w:t xml:space="preserve">, 16 FCC Rcd 10023, 10025, para. 6 (2001) (forfeiture not deemed excessive where it represented approximately 7.9 percent of the violator’s gross revenues); </w:t>
      </w:r>
      <w:r w:rsidRPr="00BF0CB5">
        <w:rPr>
          <w:i/>
        </w:rPr>
        <w:t>Hoosier Broad. Corp.</w:t>
      </w:r>
      <w:r w:rsidRPr="00BF0CB5">
        <w:t xml:space="preserve">, </w:t>
      </w:r>
      <w:r>
        <w:t xml:space="preserve">Memorandum Opinion and Order, </w:t>
      </w:r>
      <w:r w:rsidRPr="00BF0CB5">
        <w:t>15 FCC Rcd 8640, 8641</w:t>
      </w:r>
      <w:r>
        <w:t>, para. 7</w:t>
      </w:r>
      <w:r w:rsidRPr="00BF0CB5">
        <w:t xml:space="preserve"> (Enf. Bur. 2002) (forfeiture not deemed excessive where it represented approximately 7.6 percent of the violator’s gross revenues).</w:t>
      </w:r>
    </w:p>
  </w:footnote>
  <w:footnote w:id="27">
    <w:p w:rsidR="00F11E92" w:rsidRDefault="00F11E92" w:rsidP="00D15C2F">
      <w:pPr>
        <w:pStyle w:val="FootnoteText"/>
        <w:spacing w:after="120"/>
        <w:ind w:firstLine="0"/>
      </w:pPr>
      <w:r>
        <w:rPr>
          <w:rStyle w:val="FootnoteReference"/>
          <w:sz w:val="20"/>
        </w:rPr>
        <w:footnoteRef/>
      </w:r>
      <w:r w:rsidRPr="00516383">
        <w:t xml:space="preserve"> </w:t>
      </w:r>
      <w:r w:rsidRPr="001C4A20">
        <w:rPr>
          <w:i/>
        </w:rPr>
        <w:t>See supra</w:t>
      </w:r>
      <w:r>
        <w:t xml:space="preserve"> note 7.  </w:t>
      </w:r>
    </w:p>
  </w:footnote>
  <w:footnote w:id="28">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See</w:t>
      </w:r>
      <w:r w:rsidRPr="00BF0CB5">
        <w:t xml:space="preserve"> NAL Response at 2.  </w:t>
      </w:r>
    </w:p>
  </w:footnote>
  <w:footnote w:id="29">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Pr>
          <w:i/>
        </w:rPr>
        <w:t xml:space="preserve">See </w:t>
      </w:r>
      <w:r w:rsidRPr="00BF0CB5">
        <w:rPr>
          <w:i/>
          <w:iCs/>
          <w:color w:val="000000"/>
        </w:rPr>
        <w:t>BASF</w:t>
      </w:r>
      <w:r w:rsidRPr="00BF0CB5">
        <w:rPr>
          <w:iCs/>
          <w:color w:val="000000"/>
        </w:rPr>
        <w:t>,</w:t>
      </w:r>
      <w:r w:rsidRPr="00BF0CB5">
        <w:rPr>
          <w:i/>
          <w:iCs/>
          <w:color w:val="000000"/>
        </w:rPr>
        <w:t xml:space="preserve"> </w:t>
      </w:r>
      <w:r w:rsidRPr="00BF0CB5">
        <w:rPr>
          <w:color w:val="000000"/>
        </w:rPr>
        <w:t>25 FCC Rcd at 17303–04, para. 11.</w:t>
      </w:r>
      <w:r w:rsidRPr="00B307ED">
        <w:t xml:space="preserve"> </w:t>
      </w:r>
      <w:r>
        <w:t xml:space="preserve"> </w:t>
      </w:r>
    </w:p>
  </w:footnote>
  <w:footnote w:id="30">
    <w:p w:rsidR="00F11E92" w:rsidRDefault="00F11E92" w:rsidP="00D15C2F">
      <w:pPr>
        <w:pStyle w:val="FootnoteText"/>
        <w:spacing w:after="120"/>
        <w:ind w:firstLine="0"/>
      </w:pPr>
      <w:r>
        <w:rPr>
          <w:rStyle w:val="FootnoteReference"/>
          <w:sz w:val="20"/>
        </w:rPr>
        <w:footnoteRef/>
      </w:r>
      <w:r w:rsidRPr="001C4A20">
        <w:t xml:space="preserve"> </w:t>
      </w:r>
      <w:r>
        <w:t xml:space="preserve">It is well established that </w:t>
      </w:r>
      <w:r w:rsidRPr="00475D20">
        <w:t>the Commission considers duration of the violation a critical factor in determining the amount of a forfeiture</w:t>
      </w:r>
      <w:r w:rsidRPr="00475D20">
        <w:rPr>
          <w:color w:val="000000"/>
        </w:rPr>
        <w:t xml:space="preserve"> in order to avoid creating perverse incentives</w:t>
      </w:r>
      <w:r>
        <w:rPr>
          <w:color w:val="000000"/>
        </w:rPr>
        <w:t xml:space="preserve">, </w:t>
      </w:r>
      <w:r w:rsidRPr="00475D20">
        <w:rPr>
          <w:color w:val="000000"/>
        </w:rPr>
        <w:t xml:space="preserve">to encourage </w:t>
      </w:r>
      <w:r>
        <w:rPr>
          <w:color w:val="000000"/>
        </w:rPr>
        <w:t>licensees</w:t>
      </w:r>
      <w:r w:rsidRPr="00475D20">
        <w:rPr>
          <w:color w:val="000000"/>
        </w:rPr>
        <w:t xml:space="preserve"> to monitor their license expiration dates</w:t>
      </w:r>
      <w:r>
        <w:rPr>
          <w:color w:val="000000"/>
        </w:rPr>
        <w:t>,</w:t>
      </w:r>
      <w:r w:rsidRPr="00475D20">
        <w:rPr>
          <w:color w:val="000000"/>
        </w:rPr>
        <w:t xml:space="preserve"> and to </w:t>
      </w:r>
      <w:r>
        <w:rPr>
          <w:color w:val="000000"/>
        </w:rPr>
        <w:t xml:space="preserve">ensure that licensees </w:t>
      </w:r>
      <w:r w:rsidRPr="00475D20">
        <w:rPr>
          <w:color w:val="000000"/>
        </w:rPr>
        <w:t xml:space="preserve">timely seek </w:t>
      </w:r>
      <w:r>
        <w:rPr>
          <w:color w:val="000000"/>
        </w:rPr>
        <w:t>operating authority</w:t>
      </w:r>
      <w:r w:rsidRPr="0012085C">
        <w:rPr>
          <w:color w:val="000000"/>
        </w:rPr>
        <w:t>.</w:t>
      </w:r>
      <w:r w:rsidRPr="0012085C">
        <w:rPr>
          <w:i/>
          <w:iCs/>
          <w:color w:val="000000"/>
        </w:rPr>
        <w:t xml:space="preserve">  See</w:t>
      </w:r>
      <w:r>
        <w:rPr>
          <w:i/>
          <w:iCs/>
          <w:color w:val="000000"/>
        </w:rPr>
        <w:t xml:space="preserve"> NAL</w:t>
      </w:r>
      <w:r>
        <w:rPr>
          <w:iCs/>
          <w:color w:val="000000"/>
        </w:rPr>
        <w:t xml:space="preserve">, </w:t>
      </w:r>
      <w:r w:rsidRPr="00BF0CB5">
        <w:t>27 FCC Rcd at 89</w:t>
      </w:r>
      <w:r>
        <w:t>20</w:t>
      </w:r>
      <w:r w:rsidRPr="00BF0CB5">
        <w:t>, para</w:t>
      </w:r>
      <w:r>
        <w:t>.</w:t>
      </w:r>
      <w:r w:rsidRPr="00BF0CB5">
        <w:t xml:space="preserve"> </w:t>
      </w:r>
      <w:r>
        <w:t xml:space="preserve">9 n.26 </w:t>
      </w:r>
      <w:r w:rsidRPr="00D4535C">
        <w:t>(noting line of cases where the Commission “upwardly adjusted the base forfeiture . . . [because] the unauthorized operation continued for an extended period of time</w:t>
      </w:r>
      <w:r>
        <w:t>”</w:t>
      </w:r>
      <w:r w:rsidRPr="00D4535C">
        <w:t>)</w:t>
      </w:r>
      <w:r w:rsidRPr="003C254A">
        <w:t>;</w:t>
      </w:r>
      <w:r w:rsidRPr="003C254A">
        <w:rPr>
          <w:iCs/>
          <w:color w:val="000000"/>
        </w:rPr>
        <w:t xml:space="preserve"> </w:t>
      </w:r>
      <w:r>
        <w:rPr>
          <w:i/>
          <w:iCs/>
          <w:color w:val="000000"/>
        </w:rPr>
        <w:t>see also Remel, Inc.</w:t>
      </w:r>
      <w:r w:rsidRPr="0012085C">
        <w:rPr>
          <w:i/>
          <w:iCs/>
          <w:color w:val="000000"/>
        </w:rPr>
        <w:t xml:space="preserve"> &amp; Its Corporate Parent Thermo Fisher Scientific, Inc.</w:t>
      </w:r>
      <w:r w:rsidRPr="008856BD">
        <w:rPr>
          <w:iCs/>
          <w:color w:val="000000"/>
        </w:rPr>
        <w:t>,</w:t>
      </w:r>
      <w:r>
        <w:rPr>
          <w:iCs/>
          <w:color w:val="000000"/>
        </w:rPr>
        <w:t xml:space="preserve"> </w:t>
      </w:r>
      <w:r w:rsidRPr="0012085C">
        <w:rPr>
          <w:iCs/>
          <w:color w:val="000000"/>
        </w:rPr>
        <w:t>Notice of Apparent Liability for Forfeiture</w:t>
      </w:r>
      <w:r>
        <w:rPr>
          <w:iCs/>
          <w:color w:val="000000"/>
        </w:rPr>
        <w:t>, 28 FCC Rcd 8778, 8781, para. 8 n.28</w:t>
      </w:r>
      <w:r w:rsidRPr="008856BD">
        <w:rPr>
          <w:iCs/>
          <w:color w:val="000000"/>
        </w:rPr>
        <w:t xml:space="preserve"> (2013)</w:t>
      </w:r>
      <w:r>
        <w:rPr>
          <w:iCs/>
          <w:color w:val="000000"/>
        </w:rPr>
        <w:t xml:space="preserve"> (same) (</w:t>
      </w:r>
      <w:r w:rsidRPr="00436BB1">
        <w:rPr>
          <w:iCs/>
          <w:color w:val="000000"/>
        </w:rPr>
        <w:t>forfeiture paid</w:t>
      </w:r>
      <w:r>
        <w:rPr>
          <w:iCs/>
          <w:color w:val="000000"/>
        </w:rPr>
        <w:t>).</w:t>
      </w:r>
    </w:p>
  </w:footnote>
  <w:footnote w:id="31">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t xml:space="preserve">The Commission has </w:t>
      </w:r>
      <w:r w:rsidRPr="00BF0CB5">
        <w:t xml:space="preserve">broad discretion to determine the appropriate forfeiture depending on the circumstances of each case and </w:t>
      </w:r>
      <w:r>
        <w:t>is</w:t>
      </w:r>
      <w:r w:rsidRPr="00BF0CB5">
        <w:t xml:space="preserve"> not bound by the forfeiture</w:t>
      </w:r>
      <w:r>
        <w:t>s</w:t>
      </w:r>
      <w:r w:rsidRPr="00BF0CB5">
        <w:t xml:space="preserve"> imposed in different cases.  </w:t>
      </w:r>
      <w:r>
        <w:rPr>
          <w:i/>
        </w:rPr>
        <w:t>See, e.g.</w:t>
      </w:r>
      <w:r w:rsidRPr="00844123">
        <w:t>,</w:t>
      </w:r>
      <w:r>
        <w:rPr>
          <w:i/>
        </w:rPr>
        <w:t xml:space="preserve"> </w:t>
      </w:r>
      <w:r w:rsidRPr="00BF0CB5">
        <w:rPr>
          <w:i/>
        </w:rPr>
        <w:t>Cont</w:t>
      </w:r>
      <w:r>
        <w:rPr>
          <w:i/>
        </w:rPr>
        <w:t>’</w:t>
      </w:r>
      <w:r w:rsidRPr="00BF0CB5">
        <w:rPr>
          <w:i/>
        </w:rPr>
        <w:t xml:space="preserve">l Broad. </w:t>
      </w:r>
      <w:r>
        <w:rPr>
          <w:i/>
        </w:rPr>
        <w:t>Inc</w:t>
      </w:r>
      <w:r w:rsidRPr="00BF0CB5">
        <w:rPr>
          <w:i/>
        </w:rPr>
        <w:t>. v. FCC</w:t>
      </w:r>
      <w:r w:rsidRPr="00BF0CB5">
        <w:t>, 439 F.2d 580, 583 (D.C. Cir.</w:t>
      </w:r>
      <w:r>
        <w:t xml:space="preserve"> 1971</w:t>
      </w:r>
      <w:r w:rsidRPr="00BF0CB5">
        <w:t>)</w:t>
      </w:r>
      <w:r>
        <w:t xml:space="preserve"> </w:t>
      </w:r>
      <w:r w:rsidRPr="00862B6D">
        <w:t xml:space="preserve">(noting that “the choice of remedies and sanctions is a matter wherein the Commission has broad </w:t>
      </w:r>
      <w:r>
        <w:t>discretion”) (internal citation</w:t>
      </w:r>
      <w:r w:rsidRPr="00862B6D">
        <w:t xml:space="preserve"> omitted)</w:t>
      </w:r>
      <w:r w:rsidRPr="00BF0CB5">
        <w:t>.</w:t>
      </w:r>
    </w:p>
  </w:footnote>
  <w:footnote w:id="32">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U.S.C. § 301; 47 C.F.R. § 1.903(a).</w:t>
      </w:r>
    </w:p>
  </w:footnote>
  <w:footnote w:id="33">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C.F.R. § 1.949(a).</w:t>
      </w:r>
    </w:p>
  </w:footnote>
  <w:footnote w:id="34">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U.S.C. § 503(b); 47 C.F.R. §§ 0.111, 0.311, 1.80.</w:t>
      </w:r>
    </w:p>
  </w:footnote>
  <w:footnote w:id="35">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U.S.C. § 301; 47 C.F.R. §§ 1.903(a), 1.949(a).  </w:t>
      </w:r>
    </w:p>
  </w:footnote>
  <w:footnote w:id="36">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C.F.R. § 1.80.</w:t>
      </w:r>
    </w:p>
  </w:footnote>
  <w:footnote w:id="37">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47 U.S.C. § 504(a).</w:t>
      </w:r>
    </w:p>
  </w:footnote>
  <w:footnote w:id="38">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rFonts w:eastAsia="MS Mincho"/>
        </w:rPr>
        <w:t>An FCC Form 159 and detailed instructions for completing the form may be obtained at http://www.fcc.gov/Forms/Form159/159.pdf.</w:t>
      </w:r>
    </w:p>
  </w:footnote>
  <w:footnote w:id="39">
    <w:p w:rsidR="00F11E92" w:rsidRDefault="00F11E92" w:rsidP="00D15C2F">
      <w:pPr>
        <w:pStyle w:val="FootnoteText"/>
        <w:tabs>
          <w:tab w:val="clear" w:pos="720"/>
          <w:tab w:val="clear" w:pos="1440"/>
        </w:tabs>
        <w:spacing w:after="120"/>
        <w:ind w:right="0" w:firstLine="0"/>
      </w:pPr>
      <w:r w:rsidRPr="00BF0CB5">
        <w:rPr>
          <w:rStyle w:val="FootnoteReference"/>
          <w:sz w:val="20"/>
        </w:rPr>
        <w:footnoteRef/>
      </w:r>
      <w:r w:rsidRPr="00BF0CB5">
        <w:t xml:space="preserve"> </w:t>
      </w:r>
      <w:r w:rsidRPr="00BF0CB5">
        <w:rPr>
          <w:i/>
        </w:rPr>
        <w:t>See</w:t>
      </w:r>
      <w:r w:rsidRPr="00BF0CB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7D" w:rsidRDefault="002A6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92" w:rsidRPr="007419E1" w:rsidRDefault="00F11E92" w:rsidP="007419E1">
    <w:pPr>
      <w:pStyle w:val="Header"/>
    </w:pPr>
    <w:r>
      <w:tab/>
    </w:r>
    <w:r w:rsidRPr="007419E1">
      <w:t>Federal Communications Commission</w:t>
    </w:r>
    <w:r w:rsidRPr="007419E1">
      <w:tab/>
      <w:t>DA 14</w:t>
    </w:r>
    <w:r w:rsidR="001F3E74">
      <w:t>-440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92" w:rsidRPr="00C56593" w:rsidRDefault="00F11E92" w:rsidP="007419E1">
    <w:pPr>
      <w:pStyle w:val="Header"/>
    </w:pPr>
    <w:r>
      <w:tab/>
    </w:r>
    <w:r w:rsidRPr="007419E1">
      <w:t>Federal Communications Commission</w:t>
    </w:r>
    <w:r>
      <w:tab/>
    </w:r>
    <w:r w:rsidRPr="007419E1">
      <w:t>DA 14</w:t>
    </w:r>
    <w:r w:rsidR="001F3E74">
      <w:t>-440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29C"/>
    <w:multiLevelType w:val="hybridMultilevel"/>
    <w:tmpl w:val="3D38FF86"/>
    <w:lvl w:ilvl="0" w:tplc="013A59F2">
      <w:start w:val="1"/>
      <w:numFmt w:val="decimal"/>
      <w:lvlText w:val="%1."/>
      <w:lvlJc w:val="left"/>
      <w:pPr>
        <w:ind w:left="1080" w:hanging="360"/>
      </w:pPr>
      <w:rPr>
        <w:rFonts w:cs="Times New Roman" w:hint="default"/>
        <w:color w:val="00000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E6716E0"/>
    <w:multiLevelType w:val="hybridMultilevel"/>
    <w:tmpl w:val="7088B1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DFF4DAE"/>
    <w:multiLevelType w:val="hybridMultilevel"/>
    <w:tmpl w:val="9934D69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1127E7E"/>
    <w:multiLevelType w:val="hybridMultilevel"/>
    <w:tmpl w:val="90466524"/>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56314E01"/>
    <w:multiLevelType w:val="hybridMultilevel"/>
    <w:tmpl w:val="8EEC61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182925"/>
    <w:multiLevelType w:val="singleLevel"/>
    <w:tmpl w:val="9B84C4BC"/>
    <w:lvl w:ilvl="0">
      <w:start w:val="1"/>
      <w:numFmt w:val="decimal"/>
      <w:pStyle w:val="ParaNum"/>
      <w:lvlText w:val="%1."/>
      <w:lvlJc w:val="left"/>
      <w:pPr>
        <w:tabs>
          <w:tab w:val="num" w:pos="1080"/>
        </w:tabs>
        <w:ind w:firstLine="720"/>
      </w:pPr>
      <w:rPr>
        <w:rFonts w:cs="Times New Roman"/>
        <w:b w:val="0"/>
        <w:sz w:val="22"/>
        <w:szCs w:val="22"/>
      </w:rPr>
    </w:lvl>
  </w:abstractNum>
  <w:abstractNum w:abstractNumId="8">
    <w:nsid w:val="6D2B48D2"/>
    <w:multiLevelType w:val="singleLevel"/>
    <w:tmpl w:val="C9C40FE0"/>
    <w:lvl w:ilvl="0">
      <w:start w:val="1"/>
      <w:numFmt w:val="decimal"/>
      <w:pStyle w:val="Paranum0"/>
      <w:lvlText w:val="%1."/>
      <w:lvlJc w:val="left"/>
      <w:pPr>
        <w:tabs>
          <w:tab w:val="num" w:pos="1170"/>
        </w:tabs>
        <w:ind w:left="1170" w:hanging="360"/>
      </w:pPr>
      <w:rPr>
        <w:rFonts w:cs="Times New Roman"/>
      </w:rPr>
    </w:lvl>
  </w:abstractNum>
  <w:abstractNum w:abstractNumId="9">
    <w:nsid w:val="7926073D"/>
    <w:multiLevelType w:val="hybridMultilevel"/>
    <w:tmpl w:val="A9046F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8"/>
  </w:num>
  <w:num w:numId="5">
    <w:abstractNumId w:val="7"/>
    <w:lvlOverride w:ilvl="0">
      <w:startOverride w:val="9"/>
    </w:lvlOverride>
  </w:num>
  <w:num w:numId="6">
    <w:abstractNumId w:val="7"/>
  </w:num>
  <w:num w:numId="7">
    <w:abstractNumId w:val="3"/>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5"/>
  </w:num>
  <w:num w:numId="12">
    <w:abstractNumId w:val="7"/>
    <w:lvlOverride w:ilvl="0">
      <w:startOverride w:val="1"/>
    </w:lvlOverride>
  </w:num>
  <w:num w:numId="13">
    <w:abstractNumId w:val="9"/>
  </w:num>
  <w:num w:numId="14">
    <w:abstractNumId w:val="6"/>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BA"/>
    <w:rsid w:val="00002735"/>
    <w:rsid w:val="000063F6"/>
    <w:rsid w:val="000118A8"/>
    <w:rsid w:val="00011A9B"/>
    <w:rsid w:val="000141C4"/>
    <w:rsid w:val="000145CA"/>
    <w:rsid w:val="00016D2D"/>
    <w:rsid w:val="00022500"/>
    <w:rsid w:val="000237F5"/>
    <w:rsid w:val="00024AF0"/>
    <w:rsid w:val="00024B76"/>
    <w:rsid w:val="00025AB7"/>
    <w:rsid w:val="00026C3F"/>
    <w:rsid w:val="00032374"/>
    <w:rsid w:val="00033422"/>
    <w:rsid w:val="0003438F"/>
    <w:rsid w:val="00034C6B"/>
    <w:rsid w:val="00035BE1"/>
    <w:rsid w:val="000406EE"/>
    <w:rsid w:val="000409A4"/>
    <w:rsid w:val="00041286"/>
    <w:rsid w:val="0004171D"/>
    <w:rsid w:val="000417B8"/>
    <w:rsid w:val="00043359"/>
    <w:rsid w:val="00043ABD"/>
    <w:rsid w:val="000440D5"/>
    <w:rsid w:val="000461CF"/>
    <w:rsid w:val="00046283"/>
    <w:rsid w:val="0004658B"/>
    <w:rsid w:val="00046989"/>
    <w:rsid w:val="0005088D"/>
    <w:rsid w:val="00051EB8"/>
    <w:rsid w:val="00056ADC"/>
    <w:rsid w:val="0006039B"/>
    <w:rsid w:val="00060652"/>
    <w:rsid w:val="00071469"/>
    <w:rsid w:val="00074E9F"/>
    <w:rsid w:val="00076379"/>
    <w:rsid w:val="00076D45"/>
    <w:rsid w:val="0008104E"/>
    <w:rsid w:val="000842A4"/>
    <w:rsid w:val="0008553F"/>
    <w:rsid w:val="00087C51"/>
    <w:rsid w:val="000951D3"/>
    <w:rsid w:val="000A1512"/>
    <w:rsid w:val="000A7C54"/>
    <w:rsid w:val="000B08EF"/>
    <w:rsid w:val="000B0E1E"/>
    <w:rsid w:val="000B31ED"/>
    <w:rsid w:val="000B5687"/>
    <w:rsid w:val="000B5DD4"/>
    <w:rsid w:val="000C3185"/>
    <w:rsid w:val="000C389E"/>
    <w:rsid w:val="000C470A"/>
    <w:rsid w:val="000C5681"/>
    <w:rsid w:val="000D4DC8"/>
    <w:rsid w:val="000D71BF"/>
    <w:rsid w:val="000D7DDF"/>
    <w:rsid w:val="000E0EE7"/>
    <w:rsid w:val="000E0F82"/>
    <w:rsid w:val="000E3FFB"/>
    <w:rsid w:val="000E582D"/>
    <w:rsid w:val="000F0AC9"/>
    <w:rsid w:val="000F3AD1"/>
    <w:rsid w:val="000F3EDF"/>
    <w:rsid w:val="000F672F"/>
    <w:rsid w:val="000F75CD"/>
    <w:rsid w:val="0010245C"/>
    <w:rsid w:val="0010318C"/>
    <w:rsid w:val="0010344D"/>
    <w:rsid w:val="001036E9"/>
    <w:rsid w:val="00104C30"/>
    <w:rsid w:val="00105B7F"/>
    <w:rsid w:val="00105FCF"/>
    <w:rsid w:val="00106727"/>
    <w:rsid w:val="001068E8"/>
    <w:rsid w:val="00107E16"/>
    <w:rsid w:val="00111EDD"/>
    <w:rsid w:val="001124EE"/>
    <w:rsid w:val="001127D8"/>
    <w:rsid w:val="00116874"/>
    <w:rsid w:val="00117480"/>
    <w:rsid w:val="0012085C"/>
    <w:rsid w:val="00121BDE"/>
    <w:rsid w:val="00122754"/>
    <w:rsid w:val="0012378B"/>
    <w:rsid w:val="001243B7"/>
    <w:rsid w:val="00125C95"/>
    <w:rsid w:val="00131CC3"/>
    <w:rsid w:val="00133007"/>
    <w:rsid w:val="001342E7"/>
    <w:rsid w:val="00140A43"/>
    <w:rsid w:val="00141D80"/>
    <w:rsid w:val="00145B6F"/>
    <w:rsid w:val="00147EA4"/>
    <w:rsid w:val="00150A08"/>
    <w:rsid w:val="00151828"/>
    <w:rsid w:val="00151D2F"/>
    <w:rsid w:val="00153D32"/>
    <w:rsid w:val="00155E02"/>
    <w:rsid w:val="00156E6D"/>
    <w:rsid w:val="00156F4F"/>
    <w:rsid w:val="00162CC9"/>
    <w:rsid w:val="00163BC2"/>
    <w:rsid w:val="00164799"/>
    <w:rsid w:val="00170856"/>
    <w:rsid w:val="00171FBA"/>
    <w:rsid w:val="00173C35"/>
    <w:rsid w:val="00174B43"/>
    <w:rsid w:val="00176785"/>
    <w:rsid w:val="001825D1"/>
    <w:rsid w:val="00184533"/>
    <w:rsid w:val="0018573F"/>
    <w:rsid w:val="00185EEF"/>
    <w:rsid w:val="00194035"/>
    <w:rsid w:val="001957BC"/>
    <w:rsid w:val="00197F3F"/>
    <w:rsid w:val="001A011F"/>
    <w:rsid w:val="001A12FF"/>
    <w:rsid w:val="001A1718"/>
    <w:rsid w:val="001A40C4"/>
    <w:rsid w:val="001A4532"/>
    <w:rsid w:val="001A575F"/>
    <w:rsid w:val="001B0819"/>
    <w:rsid w:val="001B0B4C"/>
    <w:rsid w:val="001B0EC4"/>
    <w:rsid w:val="001B26A1"/>
    <w:rsid w:val="001B3176"/>
    <w:rsid w:val="001B6ED5"/>
    <w:rsid w:val="001B7C91"/>
    <w:rsid w:val="001C30BC"/>
    <w:rsid w:val="001C4A20"/>
    <w:rsid w:val="001C544C"/>
    <w:rsid w:val="001C73DA"/>
    <w:rsid w:val="001D04B9"/>
    <w:rsid w:val="001D22C3"/>
    <w:rsid w:val="001D4AEA"/>
    <w:rsid w:val="001D67A0"/>
    <w:rsid w:val="001D6D2E"/>
    <w:rsid w:val="001E00EC"/>
    <w:rsid w:val="001E10A7"/>
    <w:rsid w:val="001E2492"/>
    <w:rsid w:val="001E2554"/>
    <w:rsid w:val="001E7B3C"/>
    <w:rsid w:val="001F3E74"/>
    <w:rsid w:val="001F59D2"/>
    <w:rsid w:val="001F7EE0"/>
    <w:rsid w:val="002040D8"/>
    <w:rsid w:val="00210BE0"/>
    <w:rsid w:val="00215532"/>
    <w:rsid w:val="002165AC"/>
    <w:rsid w:val="00216EEA"/>
    <w:rsid w:val="00217AC4"/>
    <w:rsid w:val="002237B0"/>
    <w:rsid w:val="00224497"/>
    <w:rsid w:val="00225BB5"/>
    <w:rsid w:val="00227A8A"/>
    <w:rsid w:val="00231D04"/>
    <w:rsid w:val="00235A12"/>
    <w:rsid w:val="00235D1F"/>
    <w:rsid w:val="0023717D"/>
    <w:rsid w:val="0023795A"/>
    <w:rsid w:val="0024027D"/>
    <w:rsid w:val="00241A3A"/>
    <w:rsid w:val="00244C5C"/>
    <w:rsid w:val="00251462"/>
    <w:rsid w:val="00255170"/>
    <w:rsid w:val="002554D8"/>
    <w:rsid w:val="002600C8"/>
    <w:rsid w:val="00261255"/>
    <w:rsid w:val="00261354"/>
    <w:rsid w:val="00263FFD"/>
    <w:rsid w:val="0026443E"/>
    <w:rsid w:val="00266AFB"/>
    <w:rsid w:val="00270550"/>
    <w:rsid w:val="00272790"/>
    <w:rsid w:val="00272B80"/>
    <w:rsid w:val="00272F05"/>
    <w:rsid w:val="00275439"/>
    <w:rsid w:val="00277BC7"/>
    <w:rsid w:val="00277D54"/>
    <w:rsid w:val="00277FF1"/>
    <w:rsid w:val="002832EC"/>
    <w:rsid w:val="0028351E"/>
    <w:rsid w:val="00284FDA"/>
    <w:rsid w:val="00290FD8"/>
    <w:rsid w:val="00291299"/>
    <w:rsid w:val="00293D19"/>
    <w:rsid w:val="00293E70"/>
    <w:rsid w:val="002953C8"/>
    <w:rsid w:val="00295664"/>
    <w:rsid w:val="002A17DE"/>
    <w:rsid w:val="002A354E"/>
    <w:rsid w:val="002A5D03"/>
    <w:rsid w:val="002A687D"/>
    <w:rsid w:val="002A69C5"/>
    <w:rsid w:val="002B1055"/>
    <w:rsid w:val="002B142E"/>
    <w:rsid w:val="002B1B1C"/>
    <w:rsid w:val="002B1E49"/>
    <w:rsid w:val="002B28FC"/>
    <w:rsid w:val="002B2E2F"/>
    <w:rsid w:val="002B48D8"/>
    <w:rsid w:val="002B4A79"/>
    <w:rsid w:val="002B511D"/>
    <w:rsid w:val="002B5790"/>
    <w:rsid w:val="002B613D"/>
    <w:rsid w:val="002B76AC"/>
    <w:rsid w:val="002C4088"/>
    <w:rsid w:val="002C541C"/>
    <w:rsid w:val="002C64B0"/>
    <w:rsid w:val="002C7678"/>
    <w:rsid w:val="002D2154"/>
    <w:rsid w:val="002D35FC"/>
    <w:rsid w:val="002D5658"/>
    <w:rsid w:val="002D672A"/>
    <w:rsid w:val="002E1BB4"/>
    <w:rsid w:val="002E30D2"/>
    <w:rsid w:val="002E4CEB"/>
    <w:rsid w:val="002E5F84"/>
    <w:rsid w:val="002E7374"/>
    <w:rsid w:val="002F33A2"/>
    <w:rsid w:val="002F7B82"/>
    <w:rsid w:val="0030173B"/>
    <w:rsid w:val="0030366B"/>
    <w:rsid w:val="0030452D"/>
    <w:rsid w:val="00305428"/>
    <w:rsid w:val="00310266"/>
    <w:rsid w:val="0031209B"/>
    <w:rsid w:val="00320F6C"/>
    <w:rsid w:val="00321825"/>
    <w:rsid w:val="0032275A"/>
    <w:rsid w:val="00324780"/>
    <w:rsid w:val="003256CA"/>
    <w:rsid w:val="00325716"/>
    <w:rsid w:val="00327021"/>
    <w:rsid w:val="003279C0"/>
    <w:rsid w:val="00330A59"/>
    <w:rsid w:val="00334142"/>
    <w:rsid w:val="00335434"/>
    <w:rsid w:val="00337000"/>
    <w:rsid w:val="00337EE7"/>
    <w:rsid w:val="003405F8"/>
    <w:rsid w:val="00346EF7"/>
    <w:rsid w:val="0034794C"/>
    <w:rsid w:val="00352E8C"/>
    <w:rsid w:val="00355E41"/>
    <w:rsid w:val="003572DC"/>
    <w:rsid w:val="00357AFE"/>
    <w:rsid w:val="00360564"/>
    <w:rsid w:val="0036359F"/>
    <w:rsid w:val="00364310"/>
    <w:rsid w:val="0036678A"/>
    <w:rsid w:val="00366AEA"/>
    <w:rsid w:val="003713C8"/>
    <w:rsid w:val="00371733"/>
    <w:rsid w:val="003728EE"/>
    <w:rsid w:val="00372EAA"/>
    <w:rsid w:val="00375164"/>
    <w:rsid w:val="00376362"/>
    <w:rsid w:val="00377E14"/>
    <w:rsid w:val="00381A90"/>
    <w:rsid w:val="00385218"/>
    <w:rsid w:val="0038563D"/>
    <w:rsid w:val="00386A00"/>
    <w:rsid w:val="00387091"/>
    <w:rsid w:val="00392AB9"/>
    <w:rsid w:val="00393E4C"/>
    <w:rsid w:val="003961D6"/>
    <w:rsid w:val="003A2584"/>
    <w:rsid w:val="003A2647"/>
    <w:rsid w:val="003A3671"/>
    <w:rsid w:val="003A4B34"/>
    <w:rsid w:val="003B0B15"/>
    <w:rsid w:val="003B473F"/>
    <w:rsid w:val="003C0D9D"/>
    <w:rsid w:val="003C1B31"/>
    <w:rsid w:val="003C254A"/>
    <w:rsid w:val="003C46BD"/>
    <w:rsid w:val="003C47DC"/>
    <w:rsid w:val="003D6C44"/>
    <w:rsid w:val="003D768A"/>
    <w:rsid w:val="003E02E6"/>
    <w:rsid w:val="003E20A9"/>
    <w:rsid w:val="003E4F3D"/>
    <w:rsid w:val="003E5928"/>
    <w:rsid w:val="003E5CFD"/>
    <w:rsid w:val="003E6A57"/>
    <w:rsid w:val="003E7B47"/>
    <w:rsid w:val="003F26CB"/>
    <w:rsid w:val="003F37A1"/>
    <w:rsid w:val="003F7C07"/>
    <w:rsid w:val="004014E1"/>
    <w:rsid w:val="00403B4C"/>
    <w:rsid w:val="00404110"/>
    <w:rsid w:val="004046EF"/>
    <w:rsid w:val="00405BB9"/>
    <w:rsid w:val="00406384"/>
    <w:rsid w:val="004064AB"/>
    <w:rsid w:val="00407D94"/>
    <w:rsid w:val="00414C1B"/>
    <w:rsid w:val="00415577"/>
    <w:rsid w:val="00422681"/>
    <w:rsid w:val="0042401A"/>
    <w:rsid w:val="004310A2"/>
    <w:rsid w:val="00431BE2"/>
    <w:rsid w:val="00436BB1"/>
    <w:rsid w:val="00440591"/>
    <w:rsid w:val="00441A9C"/>
    <w:rsid w:val="0044329A"/>
    <w:rsid w:val="004433BA"/>
    <w:rsid w:val="004509BF"/>
    <w:rsid w:val="00454B69"/>
    <w:rsid w:val="00455095"/>
    <w:rsid w:val="00455647"/>
    <w:rsid w:val="00460D07"/>
    <w:rsid w:val="00465F2D"/>
    <w:rsid w:val="00466054"/>
    <w:rsid w:val="00475D20"/>
    <w:rsid w:val="00483A9B"/>
    <w:rsid w:val="0048581E"/>
    <w:rsid w:val="004868AD"/>
    <w:rsid w:val="00486D61"/>
    <w:rsid w:val="00487593"/>
    <w:rsid w:val="0049274E"/>
    <w:rsid w:val="00492E92"/>
    <w:rsid w:val="00494946"/>
    <w:rsid w:val="0049525C"/>
    <w:rsid w:val="0049568B"/>
    <w:rsid w:val="00497E53"/>
    <w:rsid w:val="004A2E47"/>
    <w:rsid w:val="004B39ED"/>
    <w:rsid w:val="004B4012"/>
    <w:rsid w:val="004B4155"/>
    <w:rsid w:val="004B79CF"/>
    <w:rsid w:val="004C09DC"/>
    <w:rsid w:val="004C16F3"/>
    <w:rsid w:val="004C2605"/>
    <w:rsid w:val="004C4230"/>
    <w:rsid w:val="004C4F56"/>
    <w:rsid w:val="004C59FC"/>
    <w:rsid w:val="004C73E4"/>
    <w:rsid w:val="004C7FE5"/>
    <w:rsid w:val="004D208F"/>
    <w:rsid w:val="004D2DAA"/>
    <w:rsid w:val="004D44CA"/>
    <w:rsid w:val="004D55AA"/>
    <w:rsid w:val="004D7470"/>
    <w:rsid w:val="004E04A1"/>
    <w:rsid w:val="004E72C7"/>
    <w:rsid w:val="004E7652"/>
    <w:rsid w:val="004F019C"/>
    <w:rsid w:val="004F0482"/>
    <w:rsid w:val="004F0A53"/>
    <w:rsid w:val="004F1A52"/>
    <w:rsid w:val="004F2494"/>
    <w:rsid w:val="004F5BD6"/>
    <w:rsid w:val="004F5DBA"/>
    <w:rsid w:val="00505A9A"/>
    <w:rsid w:val="00506268"/>
    <w:rsid w:val="00507AB1"/>
    <w:rsid w:val="005129E2"/>
    <w:rsid w:val="00515266"/>
    <w:rsid w:val="00516383"/>
    <w:rsid w:val="00520178"/>
    <w:rsid w:val="00520CB2"/>
    <w:rsid w:val="005216C8"/>
    <w:rsid w:val="0052257D"/>
    <w:rsid w:val="00524F32"/>
    <w:rsid w:val="00525000"/>
    <w:rsid w:val="005253FF"/>
    <w:rsid w:val="00526D18"/>
    <w:rsid w:val="00530FA0"/>
    <w:rsid w:val="005328F1"/>
    <w:rsid w:val="005331FC"/>
    <w:rsid w:val="00534D4C"/>
    <w:rsid w:val="00535655"/>
    <w:rsid w:val="0053583F"/>
    <w:rsid w:val="005361B4"/>
    <w:rsid w:val="00542EEF"/>
    <w:rsid w:val="00542F55"/>
    <w:rsid w:val="00551311"/>
    <w:rsid w:val="0055191E"/>
    <w:rsid w:val="00554752"/>
    <w:rsid w:val="0055534C"/>
    <w:rsid w:val="0055671E"/>
    <w:rsid w:val="00563C5B"/>
    <w:rsid w:val="005714E5"/>
    <w:rsid w:val="00572923"/>
    <w:rsid w:val="005766AC"/>
    <w:rsid w:val="00576BFD"/>
    <w:rsid w:val="00577162"/>
    <w:rsid w:val="00577242"/>
    <w:rsid w:val="00586761"/>
    <w:rsid w:val="005870E6"/>
    <w:rsid w:val="00587692"/>
    <w:rsid w:val="0059377F"/>
    <w:rsid w:val="00597ACF"/>
    <w:rsid w:val="005A1E84"/>
    <w:rsid w:val="005A2867"/>
    <w:rsid w:val="005A32D8"/>
    <w:rsid w:val="005A6B77"/>
    <w:rsid w:val="005B0A42"/>
    <w:rsid w:val="005B2701"/>
    <w:rsid w:val="005B4846"/>
    <w:rsid w:val="005B5A32"/>
    <w:rsid w:val="005C0F55"/>
    <w:rsid w:val="005C5509"/>
    <w:rsid w:val="005C5760"/>
    <w:rsid w:val="005D45DB"/>
    <w:rsid w:val="005D5BF1"/>
    <w:rsid w:val="005D6ABC"/>
    <w:rsid w:val="005E01F7"/>
    <w:rsid w:val="005E0DFC"/>
    <w:rsid w:val="005E1196"/>
    <w:rsid w:val="005E612A"/>
    <w:rsid w:val="005E6979"/>
    <w:rsid w:val="005F0678"/>
    <w:rsid w:val="005F08F5"/>
    <w:rsid w:val="005F0D0B"/>
    <w:rsid w:val="005F0FE5"/>
    <w:rsid w:val="005F2060"/>
    <w:rsid w:val="005F5C33"/>
    <w:rsid w:val="00602113"/>
    <w:rsid w:val="0060350B"/>
    <w:rsid w:val="00604322"/>
    <w:rsid w:val="006069D1"/>
    <w:rsid w:val="00611E90"/>
    <w:rsid w:val="00613A45"/>
    <w:rsid w:val="00613FA4"/>
    <w:rsid w:val="00615C49"/>
    <w:rsid w:val="00616892"/>
    <w:rsid w:val="00622E41"/>
    <w:rsid w:val="00623C12"/>
    <w:rsid w:val="00630854"/>
    <w:rsid w:val="00632DF5"/>
    <w:rsid w:val="00634BA5"/>
    <w:rsid w:val="00637796"/>
    <w:rsid w:val="00640208"/>
    <w:rsid w:val="006411AE"/>
    <w:rsid w:val="006439F1"/>
    <w:rsid w:val="00644445"/>
    <w:rsid w:val="00645C18"/>
    <w:rsid w:val="006470E5"/>
    <w:rsid w:val="0065001C"/>
    <w:rsid w:val="00650671"/>
    <w:rsid w:val="006541AA"/>
    <w:rsid w:val="006542FF"/>
    <w:rsid w:val="00657F6F"/>
    <w:rsid w:val="00660BC1"/>
    <w:rsid w:val="00664973"/>
    <w:rsid w:val="00666AAE"/>
    <w:rsid w:val="00667F4D"/>
    <w:rsid w:val="00670AD4"/>
    <w:rsid w:val="006720A9"/>
    <w:rsid w:val="00672284"/>
    <w:rsid w:val="00672802"/>
    <w:rsid w:val="00675466"/>
    <w:rsid w:val="00675D63"/>
    <w:rsid w:val="00677CC0"/>
    <w:rsid w:val="00681A3F"/>
    <w:rsid w:val="00685862"/>
    <w:rsid w:val="00690199"/>
    <w:rsid w:val="006904A0"/>
    <w:rsid w:val="00690A8B"/>
    <w:rsid w:val="00694F6B"/>
    <w:rsid w:val="00696BBC"/>
    <w:rsid w:val="00696E3B"/>
    <w:rsid w:val="0069760E"/>
    <w:rsid w:val="00697A4C"/>
    <w:rsid w:val="006A0B0F"/>
    <w:rsid w:val="006A7763"/>
    <w:rsid w:val="006A77BD"/>
    <w:rsid w:val="006A7984"/>
    <w:rsid w:val="006B23D9"/>
    <w:rsid w:val="006C59C2"/>
    <w:rsid w:val="006C5DAA"/>
    <w:rsid w:val="006D1811"/>
    <w:rsid w:val="006D2FAB"/>
    <w:rsid w:val="006D615A"/>
    <w:rsid w:val="006E6585"/>
    <w:rsid w:val="006F0C36"/>
    <w:rsid w:val="006F18FD"/>
    <w:rsid w:val="006F1C1A"/>
    <w:rsid w:val="006F1C40"/>
    <w:rsid w:val="006F2AB9"/>
    <w:rsid w:val="006F4440"/>
    <w:rsid w:val="006F4567"/>
    <w:rsid w:val="006F4568"/>
    <w:rsid w:val="006F48A2"/>
    <w:rsid w:val="006F5046"/>
    <w:rsid w:val="006F602B"/>
    <w:rsid w:val="00702BD7"/>
    <w:rsid w:val="00705F7C"/>
    <w:rsid w:val="007068D7"/>
    <w:rsid w:val="007074A2"/>
    <w:rsid w:val="00712DF6"/>
    <w:rsid w:val="00713F92"/>
    <w:rsid w:val="007141B4"/>
    <w:rsid w:val="0071428C"/>
    <w:rsid w:val="00714BBB"/>
    <w:rsid w:val="0071761A"/>
    <w:rsid w:val="0072110A"/>
    <w:rsid w:val="007224A3"/>
    <w:rsid w:val="007235AC"/>
    <w:rsid w:val="00726699"/>
    <w:rsid w:val="007320F4"/>
    <w:rsid w:val="0073272B"/>
    <w:rsid w:val="00733B7E"/>
    <w:rsid w:val="00740504"/>
    <w:rsid w:val="007419E1"/>
    <w:rsid w:val="00743B99"/>
    <w:rsid w:val="00747521"/>
    <w:rsid w:val="007477CB"/>
    <w:rsid w:val="00752D0E"/>
    <w:rsid w:val="00754DD7"/>
    <w:rsid w:val="0075547B"/>
    <w:rsid w:val="0075662A"/>
    <w:rsid w:val="00764FFF"/>
    <w:rsid w:val="00766382"/>
    <w:rsid w:val="00773050"/>
    <w:rsid w:val="00775A49"/>
    <w:rsid w:val="00780DE9"/>
    <w:rsid w:val="00785753"/>
    <w:rsid w:val="0078616F"/>
    <w:rsid w:val="007907A7"/>
    <w:rsid w:val="00790C2D"/>
    <w:rsid w:val="00792669"/>
    <w:rsid w:val="007931C0"/>
    <w:rsid w:val="00796259"/>
    <w:rsid w:val="0079660C"/>
    <w:rsid w:val="0079778C"/>
    <w:rsid w:val="00797B8F"/>
    <w:rsid w:val="007A0A2A"/>
    <w:rsid w:val="007A11EE"/>
    <w:rsid w:val="007A25EF"/>
    <w:rsid w:val="007A6E78"/>
    <w:rsid w:val="007A7BE3"/>
    <w:rsid w:val="007B4956"/>
    <w:rsid w:val="007B4BAE"/>
    <w:rsid w:val="007B6E89"/>
    <w:rsid w:val="007C0612"/>
    <w:rsid w:val="007C1CEC"/>
    <w:rsid w:val="007C211B"/>
    <w:rsid w:val="007C5835"/>
    <w:rsid w:val="007C6D63"/>
    <w:rsid w:val="007D127C"/>
    <w:rsid w:val="007D6D8D"/>
    <w:rsid w:val="007D71CA"/>
    <w:rsid w:val="007E46E1"/>
    <w:rsid w:val="007E5500"/>
    <w:rsid w:val="007E7614"/>
    <w:rsid w:val="007F21AC"/>
    <w:rsid w:val="007F2516"/>
    <w:rsid w:val="007F3EA4"/>
    <w:rsid w:val="0080026F"/>
    <w:rsid w:val="008012AC"/>
    <w:rsid w:val="008013E9"/>
    <w:rsid w:val="00803C3B"/>
    <w:rsid w:val="00804F68"/>
    <w:rsid w:val="008058BC"/>
    <w:rsid w:val="008113DE"/>
    <w:rsid w:val="00812A44"/>
    <w:rsid w:val="008201C2"/>
    <w:rsid w:val="00821448"/>
    <w:rsid w:val="0082169C"/>
    <w:rsid w:val="008263D6"/>
    <w:rsid w:val="00826989"/>
    <w:rsid w:val="00826A8C"/>
    <w:rsid w:val="00826D7E"/>
    <w:rsid w:val="008274A4"/>
    <w:rsid w:val="00830B14"/>
    <w:rsid w:val="00830F7D"/>
    <w:rsid w:val="0083354C"/>
    <w:rsid w:val="008336B5"/>
    <w:rsid w:val="00836E1D"/>
    <w:rsid w:val="00840E2B"/>
    <w:rsid w:val="00844123"/>
    <w:rsid w:val="00844332"/>
    <w:rsid w:val="00845ECD"/>
    <w:rsid w:val="0084746C"/>
    <w:rsid w:val="00854789"/>
    <w:rsid w:val="00854FD6"/>
    <w:rsid w:val="00862483"/>
    <w:rsid w:val="008626D7"/>
    <w:rsid w:val="00862B6D"/>
    <w:rsid w:val="00865A02"/>
    <w:rsid w:val="00873F3C"/>
    <w:rsid w:val="008764A0"/>
    <w:rsid w:val="008770BB"/>
    <w:rsid w:val="008777A3"/>
    <w:rsid w:val="00882A69"/>
    <w:rsid w:val="008856BD"/>
    <w:rsid w:val="00886D18"/>
    <w:rsid w:val="00887970"/>
    <w:rsid w:val="00891434"/>
    <w:rsid w:val="008922A8"/>
    <w:rsid w:val="00892515"/>
    <w:rsid w:val="00894472"/>
    <w:rsid w:val="00894820"/>
    <w:rsid w:val="00895C25"/>
    <w:rsid w:val="00895E44"/>
    <w:rsid w:val="008A1179"/>
    <w:rsid w:val="008A2354"/>
    <w:rsid w:val="008A2BB4"/>
    <w:rsid w:val="008A3727"/>
    <w:rsid w:val="008A59CF"/>
    <w:rsid w:val="008B451B"/>
    <w:rsid w:val="008B4714"/>
    <w:rsid w:val="008C4924"/>
    <w:rsid w:val="008C4AB5"/>
    <w:rsid w:val="008D089A"/>
    <w:rsid w:val="008D179C"/>
    <w:rsid w:val="008D1F9C"/>
    <w:rsid w:val="008D4795"/>
    <w:rsid w:val="008D6C1C"/>
    <w:rsid w:val="008E215B"/>
    <w:rsid w:val="008E2347"/>
    <w:rsid w:val="008E26B3"/>
    <w:rsid w:val="008E2A0F"/>
    <w:rsid w:val="008E68F0"/>
    <w:rsid w:val="008E7B8A"/>
    <w:rsid w:val="008F1CA1"/>
    <w:rsid w:val="008F33A8"/>
    <w:rsid w:val="008F33C3"/>
    <w:rsid w:val="008F3791"/>
    <w:rsid w:val="008F70AD"/>
    <w:rsid w:val="00905494"/>
    <w:rsid w:val="009068E8"/>
    <w:rsid w:val="00907585"/>
    <w:rsid w:val="00910F90"/>
    <w:rsid w:val="00911074"/>
    <w:rsid w:val="00913B90"/>
    <w:rsid w:val="009156AE"/>
    <w:rsid w:val="00916D04"/>
    <w:rsid w:val="00917807"/>
    <w:rsid w:val="00921A02"/>
    <w:rsid w:val="00924367"/>
    <w:rsid w:val="00924879"/>
    <w:rsid w:val="00931470"/>
    <w:rsid w:val="00931706"/>
    <w:rsid w:val="00933890"/>
    <w:rsid w:val="00935557"/>
    <w:rsid w:val="0094164C"/>
    <w:rsid w:val="009427EC"/>
    <w:rsid w:val="009447F8"/>
    <w:rsid w:val="009456CA"/>
    <w:rsid w:val="00946FCD"/>
    <w:rsid w:val="00950E59"/>
    <w:rsid w:val="00951497"/>
    <w:rsid w:val="0095466F"/>
    <w:rsid w:val="009559C7"/>
    <w:rsid w:val="00955DC6"/>
    <w:rsid w:val="00966D47"/>
    <w:rsid w:val="009755DC"/>
    <w:rsid w:val="00977327"/>
    <w:rsid w:val="0098002D"/>
    <w:rsid w:val="00981377"/>
    <w:rsid w:val="009827F5"/>
    <w:rsid w:val="00984EF0"/>
    <w:rsid w:val="009858D6"/>
    <w:rsid w:val="00986EA9"/>
    <w:rsid w:val="00987E7F"/>
    <w:rsid w:val="009903EA"/>
    <w:rsid w:val="00990AE8"/>
    <w:rsid w:val="009914AF"/>
    <w:rsid w:val="009946E5"/>
    <w:rsid w:val="0099473B"/>
    <w:rsid w:val="0099519D"/>
    <w:rsid w:val="00997F06"/>
    <w:rsid w:val="009A266E"/>
    <w:rsid w:val="009A2FDF"/>
    <w:rsid w:val="009A58C1"/>
    <w:rsid w:val="009A6AEC"/>
    <w:rsid w:val="009A771F"/>
    <w:rsid w:val="009B23DF"/>
    <w:rsid w:val="009B2C56"/>
    <w:rsid w:val="009B5707"/>
    <w:rsid w:val="009B65CD"/>
    <w:rsid w:val="009B675A"/>
    <w:rsid w:val="009B6B55"/>
    <w:rsid w:val="009B7C27"/>
    <w:rsid w:val="009C1FD8"/>
    <w:rsid w:val="009C2DCF"/>
    <w:rsid w:val="009C5828"/>
    <w:rsid w:val="009C5C6B"/>
    <w:rsid w:val="009C6C99"/>
    <w:rsid w:val="009D0838"/>
    <w:rsid w:val="009D13AC"/>
    <w:rsid w:val="009D2E46"/>
    <w:rsid w:val="009D3A2E"/>
    <w:rsid w:val="009D4889"/>
    <w:rsid w:val="009D6976"/>
    <w:rsid w:val="009D77AD"/>
    <w:rsid w:val="009E0ABA"/>
    <w:rsid w:val="009E2AA2"/>
    <w:rsid w:val="009E2E49"/>
    <w:rsid w:val="009E32D3"/>
    <w:rsid w:val="009E34DD"/>
    <w:rsid w:val="009E46FE"/>
    <w:rsid w:val="009F073B"/>
    <w:rsid w:val="009F1530"/>
    <w:rsid w:val="009F2364"/>
    <w:rsid w:val="009F7A31"/>
    <w:rsid w:val="00A0373C"/>
    <w:rsid w:val="00A06E60"/>
    <w:rsid w:val="00A10F2A"/>
    <w:rsid w:val="00A1468D"/>
    <w:rsid w:val="00A153A8"/>
    <w:rsid w:val="00A2048E"/>
    <w:rsid w:val="00A22042"/>
    <w:rsid w:val="00A238C1"/>
    <w:rsid w:val="00A24993"/>
    <w:rsid w:val="00A25A12"/>
    <w:rsid w:val="00A265FF"/>
    <w:rsid w:val="00A27F3F"/>
    <w:rsid w:val="00A32444"/>
    <w:rsid w:val="00A34606"/>
    <w:rsid w:val="00A371A8"/>
    <w:rsid w:val="00A40893"/>
    <w:rsid w:val="00A40990"/>
    <w:rsid w:val="00A50672"/>
    <w:rsid w:val="00A56CD1"/>
    <w:rsid w:val="00A621EA"/>
    <w:rsid w:val="00A62DB6"/>
    <w:rsid w:val="00A64CBD"/>
    <w:rsid w:val="00A65C39"/>
    <w:rsid w:val="00A714EF"/>
    <w:rsid w:val="00A71C8A"/>
    <w:rsid w:val="00A7789B"/>
    <w:rsid w:val="00A859D7"/>
    <w:rsid w:val="00A917D0"/>
    <w:rsid w:val="00A926AA"/>
    <w:rsid w:val="00A92DCC"/>
    <w:rsid w:val="00A92FD2"/>
    <w:rsid w:val="00A96463"/>
    <w:rsid w:val="00AA0845"/>
    <w:rsid w:val="00AA0CA8"/>
    <w:rsid w:val="00AA0FD4"/>
    <w:rsid w:val="00AA2224"/>
    <w:rsid w:val="00AA4C3C"/>
    <w:rsid w:val="00AA4F0D"/>
    <w:rsid w:val="00AA64AE"/>
    <w:rsid w:val="00AB24E6"/>
    <w:rsid w:val="00AB69B7"/>
    <w:rsid w:val="00AB6D85"/>
    <w:rsid w:val="00AC3E8B"/>
    <w:rsid w:val="00AC4E4E"/>
    <w:rsid w:val="00AC5EF7"/>
    <w:rsid w:val="00AC7718"/>
    <w:rsid w:val="00AC7881"/>
    <w:rsid w:val="00AD31BF"/>
    <w:rsid w:val="00AD3708"/>
    <w:rsid w:val="00AD7F57"/>
    <w:rsid w:val="00AE4BD0"/>
    <w:rsid w:val="00AF6F12"/>
    <w:rsid w:val="00AF7F92"/>
    <w:rsid w:val="00B06D8F"/>
    <w:rsid w:val="00B103D0"/>
    <w:rsid w:val="00B1162C"/>
    <w:rsid w:val="00B11695"/>
    <w:rsid w:val="00B13236"/>
    <w:rsid w:val="00B14D50"/>
    <w:rsid w:val="00B1590E"/>
    <w:rsid w:val="00B20B6B"/>
    <w:rsid w:val="00B21BAF"/>
    <w:rsid w:val="00B27129"/>
    <w:rsid w:val="00B307ED"/>
    <w:rsid w:val="00B30F89"/>
    <w:rsid w:val="00B32CC5"/>
    <w:rsid w:val="00B335CD"/>
    <w:rsid w:val="00B36880"/>
    <w:rsid w:val="00B42A33"/>
    <w:rsid w:val="00B43F8E"/>
    <w:rsid w:val="00B44508"/>
    <w:rsid w:val="00B47073"/>
    <w:rsid w:val="00B479DE"/>
    <w:rsid w:val="00B47A1E"/>
    <w:rsid w:val="00B5069D"/>
    <w:rsid w:val="00B543BA"/>
    <w:rsid w:val="00B5575A"/>
    <w:rsid w:val="00B55F11"/>
    <w:rsid w:val="00B574E5"/>
    <w:rsid w:val="00B62B4F"/>
    <w:rsid w:val="00B65A92"/>
    <w:rsid w:val="00B65F8A"/>
    <w:rsid w:val="00B66537"/>
    <w:rsid w:val="00B67112"/>
    <w:rsid w:val="00B67E97"/>
    <w:rsid w:val="00B715B2"/>
    <w:rsid w:val="00B7266C"/>
    <w:rsid w:val="00B74463"/>
    <w:rsid w:val="00B77432"/>
    <w:rsid w:val="00B80C16"/>
    <w:rsid w:val="00B8718A"/>
    <w:rsid w:val="00B901D4"/>
    <w:rsid w:val="00B91DAB"/>
    <w:rsid w:val="00B92983"/>
    <w:rsid w:val="00B93100"/>
    <w:rsid w:val="00B93601"/>
    <w:rsid w:val="00B939C3"/>
    <w:rsid w:val="00B94E98"/>
    <w:rsid w:val="00BA12F0"/>
    <w:rsid w:val="00BA7856"/>
    <w:rsid w:val="00BB4712"/>
    <w:rsid w:val="00BC189D"/>
    <w:rsid w:val="00BC1EAF"/>
    <w:rsid w:val="00BC3005"/>
    <w:rsid w:val="00BC35DC"/>
    <w:rsid w:val="00BC4255"/>
    <w:rsid w:val="00BC7342"/>
    <w:rsid w:val="00BE1364"/>
    <w:rsid w:val="00BE1C8A"/>
    <w:rsid w:val="00BE4124"/>
    <w:rsid w:val="00BE4649"/>
    <w:rsid w:val="00BE4CD7"/>
    <w:rsid w:val="00BE5A15"/>
    <w:rsid w:val="00BE7717"/>
    <w:rsid w:val="00BF0691"/>
    <w:rsid w:val="00BF0CB5"/>
    <w:rsid w:val="00BF13CD"/>
    <w:rsid w:val="00BF3809"/>
    <w:rsid w:val="00BF39A2"/>
    <w:rsid w:val="00BF609F"/>
    <w:rsid w:val="00BF6B41"/>
    <w:rsid w:val="00BF79E3"/>
    <w:rsid w:val="00C02B5E"/>
    <w:rsid w:val="00C030BC"/>
    <w:rsid w:val="00C0376B"/>
    <w:rsid w:val="00C03DC4"/>
    <w:rsid w:val="00C065E2"/>
    <w:rsid w:val="00C11723"/>
    <w:rsid w:val="00C129B9"/>
    <w:rsid w:val="00C13EB8"/>
    <w:rsid w:val="00C14D14"/>
    <w:rsid w:val="00C16D5A"/>
    <w:rsid w:val="00C21ED0"/>
    <w:rsid w:val="00C221CA"/>
    <w:rsid w:val="00C24632"/>
    <w:rsid w:val="00C25C44"/>
    <w:rsid w:val="00C2611C"/>
    <w:rsid w:val="00C261CB"/>
    <w:rsid w:val="00C339B8"/>
    <w:rsid w:val="00C33A02"/>
    <w:rsid w:val="00C36F50"/>
    <w:rsid w:val="00C42128"/>
    <w:rsid w:val="00C43A67"/>
    <w:rsid w:val="00C53605"/>
    <w:rsid w:val="00C54792"/>
    <w:rsid w:val="00C54D18"/>
    <w:rsid w:val="00C56593"/>
    <w:rsid w:val="00C56EDE"/>
    <w:rsid w:val="00C574F6"/>
    <w:rsid w:val="00C630F6"/>
    <w:rsid w:val="00C635AB"/>
    <w:rsid w:val="00C667F4"/>
    <w:rsid w:val="00C66832"/>
    <w:rsid w:val="00C7546A"/>
    <w:rsid w:val="00C831F4"/>
    <w:rsid w:val="00C8504C"/>
    <w:rsid w:val="00C86C6A"/>
    <w:rsid w:val="00C902A9"/>
    <w:rsid w:val="00C95213"/>
    <w:rsid w:val="00C97FB6"/>
    <w:rsid w:val="00CB13CD"/>
    <w:rsid w:val="00CB2351"/>
    <w:rsid w:val="00CB37A5"/>
    <w:rsid w:val="00CB6D49"/>
    <w:rsid w:val="00CC141F"/>
    <w:rsid w:val="00CC1757"/>
    <w:rsid w:val="00CC54AA"/>
    <w:rsid w:val="00CC6408"/>
    <w:rsid w:val="00CC6719"/>
    <w:rsid w:val="00CC7494"/>
    <w:rsid w:val="00CD030E"/>
    <w:rsid w:val="00CD03F7"/>
    <w:rsid w:val="00CD264E"/>
    <w:rsid w:val="00CD57E7"/>
    <w:rsid w:val="00CE0DD6"/>
    <w:rsid w:val="00CE1249"/>
    <w:rsid w:val="00CE4B57"/>
    <w:rsid w:val="00CF2AA8"/>
    <w:rsid w:val="00CF4D38"/>
    <w:rsid w:val="00CF4F71"/>
    <w:rsid w:val="00D01383"/>
    <w:rsid w:val="00D01851"/>
    <w:rsid w:val="00D021FB"/>
    <w:rsid w:val="00D03E49"/>
    <w:rsid w:val="00D048AB"/>
    <w:rsid w:val="00D04B1F"/>
    <w:rsid w:val="00D06BB1"/>
    <w:rsid w:val="00D07F38"/>
    <w:rsid w:val="00D11BC5"/>
    <w:rsid w:val="00D1203D"/>
    <w:rsid w:val="00D122D8"/>
    <w:rsid w:val="00D14656"/>
    <w:rsid w:val="00D15C2F"/>
    <w:rsid w:val="00D163C2"/>
    <w:rsid w:val="00D173A8"/>
    <w:rsid w:val="00D17967"/>
    <w:rsid w:val="00D2360A"/>
    <w:rsid w:val="00D23C6F"/>
    <w:rsid w:val="00D246E8"/>
    <w:rsid w:val="00D26061"/>
    <w:rsid w:val="00D26EC2"/>
    <w:rsid w:val="00D3402F"/>
    <w:rsid w:val="00D37E47"/>
    <w:rsid w:val="00D41B34"/>
    <w:rsid w:val="00D44779"/>
    <w:rsid w:val="00D4535C"/>
    <w:rsid w:val="00D468F4"/>
    <w:rsid w:val="00D46D46"/>
    <w:rsid w:val="00D509F2"/>
    <w:rsid w:val="00D50AB1"/>
    <w:rsid w:val="00D57305"/>
    <w:rsid w:val="00D57634"/>
    <w:rsid w:val="00D614FB"/>
    <w:rsid w:val="00D61573"/>
    <w:rsid w:val="00D64A45"/>
    <w:rsid w:val="00D660AD"/>
    <w:rsid w:val="00D758CE"/>
    <w:rsid w:val="00D75FC1"/>
    <w:rsid w:val="00D770DE"/>
    <w:rsid w:val="00D811C6"/>
    <w:rsid w:val="00D81D0D"/>
    <w:rsid w:val="00D82A7B"/>
    <w:rsid w:val="00D85F73"/>
    <w:rsid w:val="00D863EA"/>
    <w:rsid w:val="00D86564"/>
    <w:rsid w:val="00D87274"/>
    <w:rsid w:val="00D90B4E"/>
    <w:rsid w:val="00D90DB2"/>
    <w:rsid w:val="00D92032"/>
    <w:rsid w:val="00D93634"/>
    <w:rsid w:val="00D97AC5"/>
    <w:rsid w:val="00DA2F1C"/>
    <w:rsid w:val="00DA3445"/>
    <w:rsid w:val="00DA48B0"/>
    <w:rsid w:val="00DB1276"/>
    <w:rsid w:val="00DB2E27"/>
    <w:rsid w:val="00DB59BB"/>
    <w:rsid w:val="00DB6E15"/>
    <w:rsid w:val="00DB7423"/>
    <w:rsid w:val="00DB7782"/>
    <w:rsid w:val="00DB77A2"/>
    <w:rsid w:val="00DB7D90"/>
    <w:rsid w:val="00DC0687"/>
    <w:rsid w:val="00DC214F"/>
    <w:rsid w:val="00DC3A25"/>
    <w:rsid w:val="00DC5CEF"/>
    <w:rsid w:val="00DC7A41"/>
    <w:rsid w:val="00DC7D51"/>
    <w:rsid w:val="00DC7FED"/>
    <w:rsid w:val="00DD081A"/>
    <w:rsid w:val="00DD1908"/>
    <w:rsid w:val="00DD3432"/>
    <w:rsid w:val="00DD609D"/>
    <w:rsid w:val="00DE2125"/>
    <w:rsid w:val="00DE40F7"/>
    <w:rsid w:val="00DE5196"/>
    <w:rsid w:val="00DE5AAA"/>
    <w:rsid w:val="00DE7B89"/>
    <w:rsid w:val="00DF0357"/>
    <w:rsid w:val="00DF0ED5"/>
    <w:rsid w:val="00DF25D6"/>
    <w:rsid w:val="00DF451E"/>
    <w:rsid w:val="00DF6B33"/>
    <w:rsid w:val="00DF7A28"/>
    <w:rsid w:val="00E006E0"/>
    <w:rsid w:val="00E00AF7"/>
    <w:rsid w:val="00E03C8E"/>
    <w:rsid w:val="00E07877"/>
    <w:rsid w:val="00E07A91"/>
    <w:rsid w:val="00E11635"/>
    <w:rsid w:val="00E1667A"/>
    <w:rsid w:val="00E17D0E"/>
    <w:rsid w:val="00E20208"/>
    <w:rsid w:val="00E23356"/>
    <w:rsid w:val="00E24863"/>
    <w:rsid w:val="00E24BA5"/>
    <w:rsid w:val="00E26844"/>
    <w:rsid w:val="00E313E0"/>
    <w:rsid w:val="00E3148E"/>
    <w:rsid w:val="00E32D25"/>
    <w:rsid w:val="00E41860"/>
    <w:rsid w:val="00E463F8"/>
    <w:rsid w:val="00E47199"/>
    <w:rsid w:val="00E47A2F"/>
    <w:rsid w:val="00E5072F"/>
    <w:rsid w:val="00E5288B"/>
    <w:rsid w:val="00E53457"/>
    <w:rsid w:val="00E54B29"/>
    <w:rsid w:val="00E56D61"/>
    <w:rsid w:val="00E56D87"/>
    <w:rsid w:val="00E57C30"/>
    <w:rsid w:val="00E61559"/>
    <w:rsid w:val="00E66A5B"/>
    <w:rsid w:val="00E66ED7"/>
    <w:rsid w:val="00E70A51"/>
    <w:rsid w:val="00E70DEC"/>
    <w:rsid w:val="00E71003"/>
    <w:rsid w:val="00E73896"/>
    <w:rsid w:val="00E762CD"/>
    <w:rsid w:val="00E76A88"/>
    <w:rsid w:val="00E76B69"/>
    <w:rsid w:val="00E7727A"/>
    <w:rsid w:val="00E806BD"/>
    <w:rsid w:val="00E83117"/>
    <w:rsid w:val="00E84A45"/>
    <w:rsid w:val="00E85C06"/>
    <w:rsid w:val="00E90216"/>
    <w:rsid w:val="00E92F2D"/>
    <w:rsid w:val="00E93B6A"/>
    <w:rsid w:val="00E95C4A"/>
    <w:rsid w:val="00EA0DB5"/>
    <w:rsid w:val="00EA6158"/>
    <w:rsid w:val="00EA70E2"/>
    <w:rsid w:val="00EA77C4"/>
    <w:rsid w:val="00EA7F69"/>
    <w:rsid w:val="00EB1F0A"/>
    <w:rsid w:val="00EB6D96"/>
    <w:rsid w:val="00EB748F"/>
    <w:rsid w:val="00EB7E4A"/>
    <w:rsid w:val="00EC23D1"/>
    <w:rsid w:val="00EC246C"/>
    <w:rsid w:val="00EC42B4"/>
    <w:rsid w:val="00EC5DD6"/>
    <w:rsid w:val="00EC7406"/>
    <w:rsid w:val="00ED1E38"/>
    <w:rsid w:val="00ED3264"/>
    <w:rsid w:val="00ED5D5E"/>
    <w:rsid w:val="00ED7177"/>
    <w:rsid w:val="00EE1BFB"/>
    <w:rsid w:val="00EE1E88"/>
    <w:rsid w:val="00EE2F81"/>
    <w:rsid w:val="00EE386B"/>
    <w:rsid w:val="00EF11E1"/>
    <w:rsid w:val="00EF5952"/>
    <w:rsid w:val="00EF74D5"/>
    <w:rsid w:val="00EF7D26"/>
    <w:rsid w:val="00F03FD3"/>
    <w:rsid w:val="00F05F41"/>
    <w:rsid w:val="00F06546"/>
    <w:rsid w:val="00F06F69"/>
    <w:rsid w:val="00F1159A"/>
    <w:rsid w:val="00F11E92"/>
    <w:rsid w:val="00F174E0"/>
    <w:rsid w:val="00F176E9"/>
    <w:rsid w:val="00F2166E"/>
    <w:rsid w:val="00F242A8"/>
    <w:rsid w:val="00F24B2D"/>
    <w:rsid w:val="00F2623D"/>
    <w:rsid w:val="00F32754"/>
    <w:rsid w:val="00F33C21"/>
    <w:rsid w:val="00F34AF3"/>
    <w:rsid w:val="00F40C61"/>
    <w:rsid w:val="00F44892"/>
    <w:rsid w:val="00F46A4C"/>
    <w:rsid w:val="00F474C3"/>
    <w:rsid w:val="00F538B1"/>
    <w:rsid w:val="00F605E5"/>
    <w:rsid w:val="00F608EF"/>
    <w:rsid w:val="00F67280"/>
    <w:rsid w:val="00F70E8C"/>
    <w:rsid w:val="00F75523"/>
    <w:rsid w:val="00F774AC"/>
    <w:rsid w:val="00F80215"/>
    <w:rsid w:val="00F83A3E"/>
    <w:rsid w:val="00F854B8"/>
    <w:rsid w:val="00F86D09"/>
    <w:rsid w:val="00F87F1A"/>
    <w:rsid w:val="00F90513"/>
    <w:rsid w:val="00F94184"/>
    <w:rsid w:val="00FA5FDD"/>
    <w:rsid w:val="00FA6A08"/>
    <w:rsid w:val="00FB112E"/>
    <w:rsid w:val="00FC0F12"/>
    <w:rsid w:val="00FC20E0"/>
    <w:rsid w:val="00FC23BB"/>
    <w:rsid w:val="00FC3B43"/>
    <w:rsid w:val="00FC7411"/>
    <w:rsid w:val="00FC77FE"/>
    <w:rsid w:val="00FD1157"/>
    <w:rsid w:val="00FD2F57"/>
    <w:rsid w:val="00FD40D6"/>
    <w:rsid w:val="00FD5720"/>
    <w:rsid w:val="00FE088D"/>
    <w:rsid w:val="00FE1225"/>
    <w:rsid w:val="00FE132F"/>
    <w:rsid w:val="00FE54D7"/>
    <w:rsid w:val="00FE5995"/>
    <w:rsid w:val="00FF1134"/>
    <w:rsid w:val="00FF2AF3"/>
    <w:rsid w:val="00FF5CB4"/>
    <w:rsid w:val="00FF6003"/>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6C99"/>
    <w:pPr>
      <w:widowControl w:val="0"/>
      <w:jc w:val="both"/>
    </w:pPr>
    <w:rPr>
      <w:kern w:val="28"/>
      <w:szCs w:val="20"/>
    </w:rPr>
  </w:style>
  <w:style w:type="paragraph" w:styleId="Heading1">
    <w:name w:val="heading 1"/>
    <w:basedOn w:val="Normal"/>
    <w:next w:val="ParaNum"/>
    <w:link w:val="Heading1Char"/>
    <w:uiPriority w:val="99"/>
    <w:qFormat/>
    <w:rsid w:val="009C6C99"/>
    <w:pPr>
      <w:keepNext/>
      <w:numPr>
        <w:numId w:val="3"/>
      </w:numPr>
      <w:tabs>
        <w:tab w:val="left" w:pos="360"/>
      </w:tabs>
      <w:suppressAutoHyphens/>
      <w:spacing w:after="220"/>
      <w:outlineLvl w:val="0"/>
    </w:pPr>
    <w:rPr>
      <w:rFonts w:ascii="Cambria" w:hAnsi="Cambria"/>
      <w:b/>
      <w:bCs/>
      <w:kern w:val="32"/>
      <w:sz w:val="32"/>
      <w:szCs w:val="32"/>
    </w:rPr>
  </w:style>
  <w:style w:type="paragraph" w:styleId="Heading2">
    <w:name w:val="heading 2"/>
    <w:basedOn w:val="Normal"/>
    <w:next w:val="ParaNum"/>
    <w:link w:val="Heading2Char"/>
    <w:uiPriority w:val="99"/>
    <w:qFormat/>
    <w:rsid w:val="009C6C99"/>
    <w:pPr>
      <w:keepNext/>
      <w:numPr>
        <w:ilvl w:val="1"/>
        <w:numId w:val="3"/>
      </w:numPr>
      <w:tabs>
        <w:tab w:val="clear" w:pos="1440"/>
        <w:tab w:val="num" w:pos="720"/>
      </w:tabs>
      <w:spacing w:after="220"/>
      <w:ind w:left="720" w:hanging="360"/>
      <w:outlineLvl w:val="1"/>
    </w:pPr>
    <w:rPr>
      <w:rFonts w:ascii="Cambria" w:hAnsi="Cambria"/>
      <w:b/>
      <w:bCs/>
      <w:i/>
      <w:iCs/>
      <w:sz w:val="28"/>
      <w:szCs w:val="28"/>
    </w:rPr>
  </w:style>
  <w:style w:type="paragraph" w:styleId="Heading3">
    <w:name w:val="heading 3"/>
    <w:basedOn w:val="Normal"/>
    <w:next w:val="ParaNum"/>
    <w:link w:val="Heading3Char"/>
    <w:uiPriority w:val="99"/>
    <w:qFormat/>
    <w:rsid w:val="009C6C99"/>
    <w:pPr>
      <w:keepNext/>
      <w:numPr>
        <w:ilvl w:val="2"/>
        <w:numId w:val="3"/>
      </w:numPr>
      <w:tabs>
        <w:tab w:val="clear" w:pos="2160"/>
        <w:tab w:val="left" w:pos="1080"/>
      </w:tabs>
      <w:spacing w:after="220"/>
      <w:ind w:left="1080" w:hanging="360"/>
      <w:outlineLvl w:val="2"/>
    </w:pPr>
    <w:rPr>
      <w:rFonts w:ascii="Cambria" w:hAnsi="Cambria"/>
      <w:b/>
      <w:bCs/>
      <w:sz w:val="26"/>
      <w:szCs w:val="26"/>
    </w:rPr>
  </w:style>
  <w:style w:type="paragraph" w:styleId="Heading4">
    <w:name w:val="heading 4"/>
    <w:basedOn w:val="Normal"/>
    <w:next w:val="ParaNum"/>
    <w:link w:val="Heading4Char"/>
    <w:uiPriority w:val="99"/>
    <w:qFormat/>
    <w:rsid w:val="009C6C99"/>
    <w:pPr>
      <w:keepNext/>
      <w:numPr>
        <w:ilvl w:val="3"/>
        <w:numId w:val="3"/>
      </w:numPr>
      <w:tabs>
        <w:tab w:val="clear" w:pos="2880"/>
        <w:tab w:val="left" w:pos="1440"/>
      </w:tabs>
      <w:spacing w:after="220"/>
      <w:ind w:left="1440" w:hanging="360"/>
      <w:outlineLvl w:val="3"/>
    </w:pPr>
    <w:rPr>
      <w:rFonts w:ascii="Calibri" w:hAnsi="Calibri"/>
      <w:b/>
      <w:bCs/>
      <w:sz w:val="28"/>
      <w:szCs w:val="28"/>
    </w:rPr>
  </w:style>
  <w:style w:type="paragraph" w:styleId="Heading5">
    <w:name w:val="heading 5"/>
    <w:basedOn w:val="Normal"/>
    <w:next w:val="ParaNum"/>
    <w:link w:val="Heading5Char"/>
    <w:uiPriority w:val="99"/>
    <w:qFormat/>
    <w:rsid w:val="009C6C99"/>
    <w:pPr>
      <w:keepNext/>
      <w:numPr>
        <w:ilvl w:val="4"/>
        <w:numId w:val="3"/>
      </w:numPr>
      <w:tabs>
        <w:tab w:val="clear" w:pos="3600"/>
        <w:tab w:val="left" w:pos="1800"/>
      </w:tabs>
      <w:suppressAutoHyphens/>
      <w:spacing w:after="220"/>
      <w:ind w:left="1800" w:hanging="360"/>
      <w:outlineLvl w:val="4"/>
    </w:pPr>
    <w:rPr>
      <w:rFonts w:ascii="Calibri" w:hAnsi="Calibri"/>
      <w:b/>
      <w:bCs/>
      <w:i/>
      <w:iCs/>
      <w:sz w:val="26"/>
      <w:szCs w:val="26"/>
    </w:rPr>
  </w:style>
  <w:style w:type="paragraph" w:styleId="Heading6">
    <w:name w:val="heading 6"/>
    <w:basedOn w:val="Normal"/>
    <w:next w:val="ParaNum"/>
    <w:link w:val="Heading6Char"/>
    <w:uiPriority w:val="99"/>
    <w:qFormat/>
    <w:rsid w:val="009C6C99"/>
    <w:pPr>
      <w:numPr>
        <w:ilvl w:val="5"/>
        <w:numId w:val="3"/>
      </w:numPr>
      <w:tabs>
        <w:tab w:val="clear" w:pos="4320"/>
        <w:tab w:val="left" w:pos="2160"/>
      </w:tabs>
      <w:spacing w:after="220"/>
      <w:ind w:left="2160" w:hanging="360"/>
      <w:outlineLvl w:val="5"/>
    </w:pPr>
    <w:rPr>
      <w:rFonts w:ascii="Calibri" w:hAnsi="Calibri"/>
      <w:b/>
      <w:bCs/>
      <w:sz w:val="20"/>
    </w:rPr>
  </w:style>
  <w:style w:type="paragraph" w:styleId="Heading7">
    <w:name w:val="heading 7"/>
    <w:basedOn w:val="Normal"/>
    <w:next w:val="ParaNum"/>
    <w:link w:val="Heading7Char"/>
    <w:uiPriority w:val="99"/>
    <w:qFormat/>
    <w:rsid w:val="009C6C99"/>
    <w:pPr>
      <w:numPr>
        <w:ilvl w:val="6"/>
        <w:numId w:val="3"/>
      </w:numPr>
      <w:tabs>
        <w:tab w:val="clear" w:pos="5040"/>
        <w:tab w:val="left" w:pos="2520"/>
      </w:tabs>
      <w:spacing w:after="240"/>
      <w:ind w:left="2520" w:hanging="360"/>
      <w:outlineLvl w:val="6"/>
    </w:pPr>
    <w:rPr>
      <w:rFonts w:ascii="Calibri" w:hAnsi="Calibri"/>
      <w:sz w:val="24"/>
      <w:szCs w:val="24"/>
    </w:rPr>
  </w:style>
  <w:style w:type="paragraph" w:styleId="Heading8">
    <w:name w:val="heading 8"/>
    <w:basedOn w:val="Normal"/>
    <w:next w:val="ParaNum"/>
    <w:link w:val="Heading8Char"/>
    <w:uiPriority w:val="99"/>
    <w:qFormat/>
    <w:rsid w:val="009C6C99"/>
    <w:pPr>
      <w:numPr>
        <w:ilvl w:val="7"/>
        <w:numId w:val="3"/>
      </w:numPr>
      <w:tabs>
        <w:tab w:val="clear" w:pos="5400"/>
        <w:tab w:val="left" w:pos="2880"/>
      </w:tabs>
      <w:spacing w:after="240"/>
      <w:ind w:left="2880" w:hanging="360"/>
      <w:outlineLvl w:val="7"/>
    </w:pPr>
    <w:rPr>
      <w:rFonts w:ascii="Calibri" w:hAnsi="Calibri"/>
      <w:i/>
      <w:iCs/>
      <w:sz w:val="24"/>
      <w:szCs w:val="24"/>
    </w:rPr>
  </w:style>
  <w:style w:type="paragraph" w:styleId="Heading9">
    <w:name w:val="heading 9"/>
    <w:basedOn w:val="Normal"/>
    <w:next w:val="ParaNum"/>
    <w:link w:val="Heading9Char"/>
    <w:uiPriority w:val="99"/>
    <w:qFormat/>
    <w:rsid w:val="009C6C99"/>
    <w:pPr>
      <w:numPr>
        <w:ilvl w:val="8"/>
        <w:numId w:val="3"/>
      </w:numPr>
      <w:tabs>
        <w:tab w:val="clear" w:pos="6120"/>
        <w:tab w:val="left" w:pos="3240"/>
      </w:tabs>
      <w:spacing w:after="240"/>
      <w:ind w:left="3240" w:hanging="3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DB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A0DB5"/>
    <w:rPr>
      <w:rFonts w:ascii="Cambria" w:hAnsi="Cambria" w:cs="Times New Roman"/>
      <w:b/>
      <w:i/>
      <w:kern w:val="28"/>
      <w:sz w:val="28"/>
    </w:rPr>
  </w:style>
  <w:style w:type="character" w:customStyle="1" w:styleId="Heading3Char">
    <w:name w:val="Heading 3 Char"/>
    <w:basedOn w:val="DefaultParagraphFont"/>
    <w:link w:val="Heading3"/>
    <w:uiPriority w:val="99"/>
    <w:semiHidden/>
    <w:locked/>
    <w:rsid w:val="00EA0DB5"/>
    <w:rPr>
      <w:rFonts w:ascii="Cambria" w:hAnsi="Cambria" w:cs="Times New Roman"/>
      <w:b/>
      <w:kern w:val="28"/>
      <w:sz w:val="26"/>
    </w:rPr>
  </w:style>
  <w:style w:type="character" w:customStyle="1" w:styleId="Heading4Char">
    <w:name w:val="Heading 4 Char"/>
    <w:basedOn w:val="DefaultParagraphFont"/>
    <w:link w:val="Heading4"/>
    <w:uiPriority w:val="99"/>
    <w:semiHidden/>
    <w:locked/>
    <w:rsid w:val="00EA0DB5"/>
    <w:rPr>
      <w:rFonts w:ascii="Calibri" w:hAnsi="Calibri" w:cs="Times New Roman"/>
      <w:b/>
      <w:kern w:val="28"/>
      <w:sz w:val="28"/>
    </w:rPr>
  </w:style>
  <w:style w:type="character" w:customStyle="1" w:styleId="Heading5Char">
    <w:name w:val="Heading 5 Char"/>
    <w:basedOn w:val="DefaultParagraphFont"/>
    <w:link w:val="Heading5"/>
    <w:uiPriority w:val="99"/>
    <w:semiHidden/>
    <w:locked/>
    <w:rsid w:val="00EA0DB5"/>
    <w:rPr>
      <w:rFonts w:ascii="Calibri" w:hAnsi="Calibri" w:cs="Times New Roman"/>
      <w:b/>
      <w:i/>
      <w:kern w:val="28"/>
      <w:sz w:val="26"/>
    </w:rPr>
  </w:style>
  <w:style w:type="character" w:customStyle="1" w:styleId="Heading6Char">
    <w:name w:val="Heading 6 Char"/>
    <w:basedOn w:val="DefaultParagraphFont"/>
    <w:link w:val="Heading6"/>
    <w:uiPriority w:val="99"/>
    <w:semiHidden/>
    <w:locked/>
    <w:rsid w:val="00EA0DB5"/>
    <w:rPr>
      <w:rFonts w:ascii="Calibri" w:hAnsi="Calibri" w:cs="Times New Roman"/>
      <w:b/>
      <w:kern w:val="28"/>
    </w:rPr>
  </w:style>
  <w:style w:type="character" w:customStyle="1" w:styleId="Heading7Char">
    <w:name w:val="Heading 7 Char"/>
    <w:basedOn w:val="DefaultParagraphFont"/>
    <w:link w:val="Heading7"/>
    <w:uiPriority w:val="99"/>
    <w:semiHidden/>
    <w:locked/>
    <w:rsid w:val="00EA0DB5"/>
    <w:rPr>
      <w:rFonts w:ascii="Calibri" w:hAnsi="Calibri" w:cs="Times New Roman"/>
      <w:kern w:val="28"/>
      <w:sz w:val="24"/>
    </w:rPr>
  </w:style>
  <w:style w:type="character" w:customStyle="1" w:styleId="Heading8Char">
    <w:name w:val="Heading 8 Char"/>
    <w:basedOn w:val="DefaultParagraphFont"/>
    <w:link w:val="Heading8"/>
    <w:uiPriority w:val="99"/>
    <w:semiHidden/>
    <w:locked/>
    <w:rsid w:val="00EA0DB5"/>
    <w:rPr>
      <w:rFonts w:ascii="Calibri" w:hAnsi="Calibri" w:cs="Times New Roman"/>
      <w:i/>
      <w:kern w:val="28"/>
      <w:sz w:val="24"/>
    </w:rPr>
  </w:style>
  <w:style w:type="character" w:customStyle="1" w:styleId="Heading9Char">
    <w:name w:val="Heading 9 Char"/>
    <w:basedOn w:val="DefaultParagraphFont"/>
    <w:link w:val="Heading9"/>
    <w:uiPriority w:val="99"/>
    <w:semiHidden/>
    <w:locked/>
    <w:rsid w:val="00EA0DB5"/>
    <w:rPr>
      <w:rFonts w:ascii="Cambria" w:hAnsi="Cambria" w:cs="Times New Roman"/>
      <w:kern w:val="28"/>
    </w:rPr>
  </w:style>
  <w:style w:type="paragraph" w:styleId="BalloonText">
    <w:name w:val="Balloon Text"/>
    <w:basedOn w:val="Normal"/>
    <w:link w:val="BalloonTextChar"/>
    <w:uiPriority w:val="99"/>
    <w:semiHidden/>
    <w:rsid w:val="009C6C99"/>
    <w:rPr>
      <w:sz w:val="2"/>
    </w:rPr>
  </w:style>
  <w:style w:type="character" w:customStyle="1" w:styleId="BalloonTextChar">
    <w:name w:val="Balloon Text Char"/>
    <w:basedOn w:val="DefaultParagraphFont"/>
    <w:link w:val="BalloonText"/>
    <w:uiPriority w:val="99"/>
    <w:semiHidden/>
    <w:locked/>
    <w:rsid w:val="00EA0DB5"/>
    <w:rPr>
      <w:rFonts w:cs="Times New Roman"/>
      <w:kern w:val="28"/>
      <w:sz w:val="2"/>
    </w:rPr>
  </w:style>
  <w:style w:type="paragraph" w:customStyle="1" w:styleId="ParaNum">
    <w:name w:val="ParaNum"/>
    <w:basedOn w:val="Normal"/>
    <w:link w:val="ParaNumChar"/>
    <w:uiPriority w:val="99"/>
    <w:rsid w:val="009C6C99"/>
    <w:pPr>
      <w:numPr>
        <w:numId w:val="2"/>
      </w:numPr>
      <w:spacing w:after="220"/>
    </w:pPr>
  </w:style>
  <w:style w:type="paragraph" w:styleId="EndnoteText">
    <w:name w:val="endnote text"/>
    <w:basedOn w:val="Normal"/>
    <w:link w:val="EndnoteTextChar"/>
    <w:uiPriority w:val="99"/>
    <w:semiHidden/>
    <w:rsid w:val="009C6C99"/>
    <w:rPr>
      <w:sz w:val="20"/>
    </w:rPr>
  </w:style>
  <w:style w:type="character" w:customStyle="1" w:styleId="EndnoteTextChar">
    <w:name w:val="Endnote Text Char"/>
    <w:basedOn w:val="DefaultParagraphFont"/>
    <w:link w:val="EndnoteText"/>
    <w:uiPriority w:val="99"/>
    <w:semiHidden/>
    <w:locked/>
    <w:rsid w:val="00EA0DB5"/>
    <w:rPr>
      <w:rFonts w:cs="Times New Roman"/>
      <w:kern w:val="28"/>
      <w:sz w:val="20"/>
    </w:rPr>
  </w:style>
  <w:style w:type="character" w:styleId="EndnoteReference">
    <w:name w:val="endnote reference"/>
    <w:basedOn w:val="DefaultParagraphFont"/>
    <w:uiPriority w:val="99"/>
    <w:semiHidden/>
    <w:rsid w:val="009C6C99"/>
    <w:rPr>
      <w:rFonts w:cs="Times New Roman"/>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S"/>
    <w:basedOn w:val="Normal"/>
    <w:link w:val="FootnoteTextChar"/>
    <w:uiPriority w:val="99"/>
    <w:rsid w:val="009C6C99"/>
    <w:pPr>
      <w:widowControl/>
      <w:tabs>
        <w:tab w:val="left" w:pos="720"/>
        <w:tab w:val="left" w:pos="1440"/>
      </w:tabs>
      <w:spacing w:after="200"/>
      <w:ind w:right="144" w:firstLine="720"/>
      <w:jc w:val="left"/>
    </w:pPr>
    <w:rPr>
      <w:kern w:val="0"/>
      <w:sz w:val="20"/>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basedOn w:val="DefaultParagraphFont"/>
    <w:link w:val="FootnoteText"/>
    <w:uiPriority w:val="99"/>
    <w:locked/>
    <w:rsid w:val="009C6C99"/>
    <w:rPr>
      <w:rFonts w:cs="Times New Roman"/>
      <w:lang w:val="en-US" w:eastAsia="en-US"/>
    </w:rPr>
  </w:style>
  <w:style w:type="character" w:styleId="FootnoteReference">
    <w:name w:val="footnote reference"/>
    <w:aliases w:val="Style 12,(NECG) Footnote Reference,Appel note de bas de p,Style 124,Style 4,Style 13,o,fr,Style 3"/>
    <w:basedOn w:val="DefaultParagraphFont"/>
    <w:uiPriority w:val="99"/>
    <w:rsid w:val="009C6C99"/>
    <w:rPr>
      <w:rFonts w:ascii="Times New Roman" w:hAnsi="Times New Roman" w:cs="Times New Roman"/>
      <w:color w:val="auto"/>
      <w:sz w:val="22"/>
      <w:vertAlign w:val="superscript"/>
    </w:rPr>
  </w:style>
  <w:style w:type="paragraph" w:styleId="TOC1">
    <w:name w:val="toc 1"/>
    <w:basedOn w:val="Normal"/>
    <w:next w:val="Normal"/>
    <w:uiPriority w:val="99"/>
    <w:semiHidden/>
    <w:rsid w:val="009C6C9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9C6C9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9C6C9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9C6C9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9C6C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9C6C9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9C6C9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9C6C9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9C6C9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9C6C99"/>
    <w:pPr>
      <w:tabs>
        <w:tab w:val="right" w:pos="9360"/>
      </w:tabs>
      <w:suppressAutoHyphens/>
    </w:pPr>
  </w:style>
  <w:style w:type="character" w:customStyle="1" w:styleId="EquationCaption">
    <w:name w:val="_Equation Caption"/>
    <w:uiPriority w:val="99"/>
    <w:rsid w:val="009C6C99"/>
  </w:style>
  <w:style w:type="paragraph" w:styleId="Header">
    <w:name w:val="header"/>
    <w:basedOn w:val="Normal"/>
    <w:link w:val="HeaderChar"/>
    <w:autoRedefine/>
    <w:uiPriority w:val="99"/>
    <w:rsid w:val="007419E1"/>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uiPriority w:val="99"/>
    <w:semiHidden/>
    <w:locked/>
    <w:rsid w:val="007419E1"/>
    <w:rPr>
      <w:rFonts w:cs="Times New Roman"/>
      <w:b/>
      <w:kern w:val="28"/>
      <w:sz w:val="22"/>
      <w:szCs w:val="22"/>
      <w:lang w:val="en-US" w:eastAsia="en-US" w:bidi="ar-SA"/>
    </w:rPr>
  </w:style>
  <w:style w:type="paragraph" w:styleId="Footer">
    <w:name w:val="footer"/>
    <w:basedOn w:val="Normal"/>
    <w:link w:val="FooterChar"/>
    <w:uiPriority w:val="99"/>
    <w:rsid w:val="009C6C99"/>
    <w:pPr>
      <w:tabs>
        <w:tab w:val="center" w:pos="4320"/>
        <w:tab w:val="right" w:pos="8640"/>
      </w:tabs>
    </w:pPr>
  </w:style>
  <w:style w:type="character" w:customStyle="1" w:styleId="FooterChar">
    <w:name w:val="Footer Char"/>
    <w:basedOn w:val="DefaultParagraphFont"/>
    <w:link w:val="Footer"/>
    <w:uiPriority w:val="99"/>
    <w:locked/>
    <w:rsid w:val="00984EF0"/>
    <w:rPr>
      <w:rFonts w:cs="Times New Roman"/>
      <w:snapToGrid w:val="0"/>
      <w:kern w:val="28"/>
      <w:sz w:val="22"/>
    </w:rPr>
  </w:style>
  <w:style w:type="character" w:styleId="PageNumber">
    <w:name w:val="page number"/>
    <w:basedOn w:val="DefaultParagraphFont"/>
    <w:uiPriority w:val="99"/>
    <w:rsid w:val="009C6C99"/>
    <w:rPr>
      <w:rFonts w:cs="Times New Roman"/>
    </w:rPr>
  </w:style>
  <w:style w:type="paragraph" w:styleId="BlockText">
    <w:name w:val="Block Text"/>
    <w:basedOn w:val="Normal"/>
    <w:uiPriority w:val="99"/>
    <w:rsid w:val="009C6C99"/>
    <w:pPr>
      <w:spacing w:after="240"/>
      <w:ind w:left="1440" w:right="1440"/>
    </w:pPr>
  </w:style>
  <w:style w:type="paragraph" w:customStyle="1" w:styleId="Paratitle">
    <w:name w:val="Para title"/>
    <w:basedOn w:val="Normal"/>
    <w:uiPriority w:val="99"/>
    <w:rsid w:val="009C6C99"/>
    <w:pPr>
      <w:tabs>
        <w:tab w:val="center" w:pos="9270"/>
      </w:tabs>
      <w:spacing w:after="240"/>
      <w:jc w:val="left"/>
    </w:pPr>
    <w:rPr>
      <w:spacing w:val="-2"/>
    </w:rPr>
  </w:style>
  <w:style w:type="paragraph" w:customStyle="1" w:styleId="Bullet">
    <w:name w:val="Bullet"/>
    <w:basedOn w:val="Normal"/>
    <w:uiPriority w:val="99"/>
    <w:rsid w:val="009C6C99"/>
    <w:pPr>
      <w:numPr>
        <w:numId w:val="1"/>
      </w:numPr>
      <w:tabs>
        <w:tab w:val="clear" w:pos="360"/>
        <w:tab w:val="left" w:pos="2160"/>
      </w:tabs>
      <w:spacing w:after="220"/>
      <w:ind w:left="2160" w:hanging="720"/>
    </w:pPr>
  </w:style>
  <w:style w:type="paragraph" w:customStyle="1" w:styleId="TableFormat">
    <w:name w:val="TableFormat"/>
    <w:basedOn w:val="Bullet"/>
    <w:uiPriority w:val="99"/>
    <w:rsid w:val="009C6C99"/>
    <w:pPr>
      <w:numPr>
        <w:numId w:val="0"/>
      </w:numPr>
      <w:tabs>
        <w:tab w:val="clear" w:pos="2160"/>
        <w:tab w:val="left" w:pos="5040"/>
      </w:tabs>
      <w:ind w:left="5040" w:hanging="3600"/>
    </w:pPr>
  </w:style>
  <w:style w:type="paragraph" w:customStyle="1" w:styleId="TOCTitle">
    <w:name w:val="TOC Title"/>
    <w:basedOn w:val="Normal"/>
    <w:uiPriority w:val="99"/>
    <w:rsid w:val="009C6C99"/>
    <w:pPr>
      <w:spacing w:before="240" w:after="240"/>
      <w:jc w:val="center"/>
    </w:pPr>
    <w:rPr>
      <w:rFonts w:ascii="Times New Roman Bold" w:hAnsi="Times New Roman Bold"/>
      <w:b/>
      <w:caps/>
      <w:spacing w:val="-2"/>
    </w:rPr>
  </w:style>
  <w:style w:type="paragraph" w:customStyle="1" w:styleId="Paranum0">
    <w:name w:val="Paranum"/>
    <w:uiPriority w:val="99"/>
    <w:rsid w:val="009C6C99"/>
    <w:pPr>
      <w:numPr>
        <w:numId w:val="4"/>
      </w:numPr>
      <w:tabs>
        <w:tab w:val="left" w:pos="1440"/>
      </w:tabs>
      <w:spacing w:after="240"/>
      <w:ind w:left="0" w:firstLine="720"/>
      <w:jc w:val="both"/>
    </w:pPr>
    <w:rPr>
      <w:szCs w:val="20"/>
    </w:rPr>
  </w:style>
  <w:style w:type="character" w:customStyle="1" w:styleId="Footnote">
    <w:name w:val="Footnote"/>
    <w:uiPriority w:val="99"/>
    <w:rsid w:val="009C6C99"/>
    <w:rPr>
      <w:rFonts w:ascii="Times New Roman" w:hAnsi="Times New Roman"/>
      <w:sz w:val="20"/>
    </w:rPr>
  </w:style>
  <w:style w:type="character" w:styleId="Hyperlink">
    <w:name w:val="Hyperlink"/>
    <w:basedOn w:val="DefaultParagraphFont"/>
    <w:uiPriority w:val="99"/>
    <w:rsid w:val="009C6C99"/>
    <w:rPr>
      <w:rFonts w:cs="Times New Roman"/>
      <w:color w:val="0000FF"/>
      <w:u w:val="single"/>
    </w:rPr>
  </w:style>
  <w:style w:type="character" w:customStyle="1" w:styleId="documentbody1">
    <w:name w:val="documentbody1"/>
    <w:uiPriority w:val="99"/>
    <w:rsid w:val="009C6C99"/>
    <w:rPr>
      <w:rFonts w:ascii="Verdana" w:hAnsi="Verdana"/>
      <w:sz w:val="19"/>
      <w:shd w:val="clear" w:color="auto" w:fill="FFFFFF"/>
    </w:rPr>
  </w:style>
  <w:style w:type="paragraph" w:styleId="DocumentMap">
    <w:name w:val="Document Map"/>
    <w:basedOn w:val="Normal"/>
    <w:link w:val="DocumentMapChar"/>
    <w:uiPriority w:val="99"/>
    <w:semiHidden/>
    <w:rsid w:val="009C6C99"/>
    <w:pPr>
      <w:shd w:val="clear" w:color="auto" w:fill="000080"/>
    </w:pPr>
    <w:rPr>
      <w:sz w:val="2"/>
    </w:rPr>
  </w:style>
  <w:style w:type="character" w:customStyle="1" w:styleId="DocumentMapChar">
    <w:name w:val="Document Map Char"/>
    <w:basedOn w:val="DefaultParagraphFont"/>
    <w:link w:val="DocumentMap"/>
    <w:uiPriority w:val="99"/>
    <w:semiHidden/>
    <w:locked/>
    <w:rsid w:val="00EA0DB5"/>
    <w:rPr>
      <w:rFonts w:cs="Times New Roman"/>
      <w:kern w:val="28"/>
      <w:sz w:val="2"/>
    </w:rPr>
  </w:style>
  <w:style w:type="character" w:customStyle="1" w:styleId="documentbody">
    <w:name w:val="documentbody"/>
    <w:uiPriority w:val="99"/>
    <w:rsid w:val="009C6C99"/>
  </w:style>
  <w:style w:type="character" w:customStyle="1" w:styleId="searchterm">
    <w:name w:val="searchterm"/>
    <w:uiPriority w:val="99"/>
    <w:rsid w:val="009C6C99"/>
  </w:style>
  <w:style w:type="character" w:customStyle="1" w:styleId="bestsection">
    <w:name w:val="bestsection"/>
    <w:uiPriority w:val="99"/>
    <w:rsid w:val="009C6C99"/>
  </w:style>
  <w:style w:type="character" w:customStyle="1" w:styleId="searchterm1">
    <w:name w:val="searchterm1"/>
    <w:uiPriority w:val="99"/>
    <w:rsid w:val="009C6C99"/>
    <w:rPr>
      <w:b/>
      <w:shd w:val="clear" w:color="auto" w:fill="FFFF00"/>
    </w:rPr>
  </w:style>
  <w:style w:type="character" w:styleId="FollowedHyperlink">
    <w:name w:val="FollowedHyperlink"/>
    <w:basedOn w:val="DefaultParagraphFont"/>
    <w:uiPriority w:val="99"/>
    <w:rsid w:val="009C6C99"/>
    <w:rPr>
      <w:rFonts w:cs="Times New Roman"/>
      <w:color w:val="800080"/>
      <w:u w:val="single"/>
    </w:rPr>
  </w:style>
  <w:style w:type="character" w:customStyle="1" w:styleId="FootnoteTextChar1CharCharCharChar">
    <w:name w:val="Footnote Text Char1 Char Char Char Char"/>
    <w:aliases w:val="rrfootnote Char1 Char Char Char Char,Footnote Text Char Char Char Char Char Char1,rrfootnote Char Char Char Char Char Char,rrfootnote Char,Footnote Text Char Char Char Char Char Char"/>
    <w:uiPriority w:val="99"/>
    <w:rsid w:val="009C6C99"/>
    <w:rPr>
      <w:lang w:val="en-US" w:eastAsia="en-US"/>
    </w:rPr>
  </w:style>
  <w:style w:type="character" w:customStyle="1" w:styleId="starpage1">
    <w:name w:val="starpage1"/>
    <w:uiPriority w:val="99"/>
    <w:rsid w:val="009C6C99"/>
    <w:rPr>
      <w:b/>
      <w:i/>
      <w:color w:val="800080"/>
    </w:rPr>
  </w:style>
  <w:style w:type="character" w:customStyle="1" w:styleId="ParaNumChar">
    <w:name w:val="ParaNum Char"/>
    <w:link w:val="ParaNum"/>
    <w:uiPriority w:val="99"/>
    <w:locked/>
    <w:rsid w:val="00B543BA"/>
    <w:rPr>
      <w:snapToGrid w:val="0"/>
      <w:kern w:val="28"/>
      <w:sz w:val="22"/>
    </w:rPr>
  </w:style>
  <w:style w:type="character" w:customStyle="1" w:styleId="bestsection1">
    <w:name w:val="bestsection1"/>
    <w:uiPriority w:val="99"/>
    <w:rsid w:val="008E2A0F"/>
    <w:rPr>
      <w:color w:val="FF0000"/>
    </w:rPr>
  </w:style>
  <w:style w:type="character" w:styleId="CommentReference">
    <w:name w:val="annotation reference"/>
    <w:basedOn w:val="DefaultParagraphFont"/>
    <w:uiPriority w:val="99"/>
    <w:rsid w:val="00DA3445"/>
    <w:rPr>
      <w:rFonts w:cs="Times New Roman"/>
      <w:sz w:val="18"/>
    </w:rPr>
  </w:style>
  <w:style w:type="paragraph" w:styleId="CommentText">
    <w:name w:val="annotation text"/>
    <w:basedOn w:val="Normal"/>
    <w:link w:val="CommentTextChar"/>
    <w:uiPriority w:val="99"/>
    <w:rsid w:val="00DA3445"/>
    <w:rPr>
      <w:sz w:val="24"/>
      <w:szCs w:val="24"/>
    </w:rPr>
  </w:style>
  <w:style w:type="character" w:customStyle="1" w:styleId="CommentTextChar">
    <w:name w:val="Comment Text Char"/>
    <w:basedOn w:val="DefaultParagraphFont"/>
    <w:link w:val="CommentText"/>
    <w:uiPriority w:val="99"/>
    <w:locked/>
    <w:rsid w:val="00DA3445"/>
    <w:rPr>
      <w:rFonts w:cs="Times New Roman"/>
      <w:snapToGrid w:val="0"/>
      <w:kern w:val="28"/>
      <w:sz w:val="24"/>
    </w:rPr>
  </w:style>
  <w:style w:type="paragraph" w:styleId="CommentSubject">
    <w:name w:val="annotation subject"/>
    <w:basedOn w:val="CommentText"/>
    <w:next w:val="CommentText"/>
    <w:link w:val="CommentSubjectChar"/>
    <w:uiPriority w:val="99"/>
    <w:rsid w:val="001A1718"/>
    <w:rPr>
      <w:b/>
      <w:bCs/>
    </w:rPr>
  </w:style>
  <w:style w:type="character" w:customStyle="1" w:styleId="CommentSubjectChar">
    <w:name w:val="Comment Subject Char"/>
    <w:basedOn w:val="CommentTextChar"/>
    <w:link w:val="CommentSubject"/>
    <w:uiPriority w:val="99"/>
    <w:locked/>
    <w:rsid w:val="001A1718"/>
    <w:rPr>
      <w:rFonts w:cs="Times New Roman"/>
      <w:b/>
      <w:snapToGrid w:val="0"/>
      <w:kern w:val="28"/>
      <w:sz w:val="24"/>
    </w:rPr>
  </w:style>
  <w:style w:type="paragraph" w:styleId="Revision">
    <w:name w:val="Revision"/>
    <w:hidden/>
    <w:uiPriority w:val="99"/>
    <w:semiHidden/>
    <w:rsid w:val="00016D2D"/>
    <w:rPr>
      <w:kern w:val="28"/>
      <w:szCs w:val="20"/>
    </w:rPr>
  </w:style>
  <w:style w:type="paragraph" w:styleId="ListParagraph">
    <w:name w:val="List Paragraph"/>
    <w:basedOn w:val="Normal"/>
    <w:uiPriority w:val="99"/>
    <w:qFormat/>
    <w:rsid w:val="008F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6C99"/>
    <w:pPr>
      <w:widowControl w:val="0"/>
      <w:jc w:val="both"/>
    </w:pPr>
    <w:rPr>
      <w:kern w:val="28"/>
      <w:szCs w:val="20"/>
    </w:rPr>
  </w:style>
  <w:style w:type="paragraph" w:styleId="Heading1">
    <w:name w:val="heading 1"/>
    <w:basedOn w:val="Normal"/>
    <w:next w:val="ParaNum"/>
    <w:link w:val="Heading1Char"/>
    <w:uiPriority w:val="99"/>
    <w:qFormat/>
    <w:rsid w:val="009C6C99"/>
    <w:pPr>
      <w:keepNext/>
      <w:numPr>
        <w:numId w:val="3"/>
      </w:numPr>
      <w:tabs>
        <w:tab w:val="left" w:pos="360"/>
      </w:tabs>
      <w:suppressAutoHyphens/>
      <w:spacing w:after="220"/>
      <w:outlineLvl w:val="0"/>
    </w:pPr>
    <w:rPr>
      <w:rFonts w:ascii="Cambria" w:hAnsi="Cambria"/>
      <w:b/>
      <w:bCs/>
      <w:kern w:val="32"/>
      <w:sz w:val="32"/>
      <w:szCs w:val="32"/>
    </w:rPr>
  </w:style>
  <w:style w:type="paragraph" w:styleId="Heading2">
    <w:name w:val="heading 2"/>
    <w:basedOn w:val="Normal"/>
    <w:next w:val="ParaNum"/>
    <w:link w:val="Heading2Char"/>
    <w:uiPriority w:val="99"/>
    <w:qFormat/>
    <w:rsid w:val="009C6C99"/>
    <w:pPr>
      <w:keepNext/>
      <w:numPr>
        <w:ilvl w:val="1"/>
        <w:numId w:val="3"/>
      </w:numPr>
      <w:tabs>
        <w:tab w:val="clear" w:pos="1440"/>
        <w:tab w:val="num" w:pos="720"/>
      </w:tabs>
      <w:spacing w:after="220"/>
      <w:ind w:left="720" w:hanging="360"/>
      <w:outlineLvl w:val="1"/>
    </w:pPr>
    <w:rPr>
      <w:rFonts w:ascii="Cambria" w:hAnsi="Cambria"/>
      <w:b/>
      <w:bCs/>
      <w:i/>
      <w:iCs/>
      <w:sz w:val="28"/>
      <w:szCs w:val="28"/>
    </w:rPr>
  </w:style>
  <w:style w:type="paragraph" w:styleId="Heading3">
    <w:name w:val="heading 3"/>
    <w:basedOn w:val="Normal"/>
    <w:next w:val="ParaNum"/>
    <w:link w:val="Heading3Char"/>
    <w:uiPriority w:val="99"/>
    <w:qFormat/>
    <w:rsid w:val="009C6C99"/>
    <w:pPr>
      <w:keepNext/>
      <w:numPr>
        <w:ilvl w:val="2"/>
        <w:numId w:val="3"/>
      </w:numPr>
      <w:tabs>
        <w:tab w:val="clear" w:pos="2160"/>
        <w:tab w:val="left" w:pos="1080"/>
      </w:tabs>
      <w:spacing w:after="220"/>
      <w:ind w:left="1080" w:hanging="360"/>
      <w:outlineLvl w:val="2"/>
    </w:pPr>
    <w:rPr>
      <w:rFonts w:ascii="Cambria" w:hAnsi="Cambria"/>
      <w:b/>
      <w:bCs/>
      <w:sz w:val="26"/>
      <w:szCs w:val="26"/>
    </w:rPr>
  </w:style>
  <w:style w:type="paragraph" w:styleId="Heading4">
    <w:name w:val="heading 4"/>
    <w:basedOn w:val="Normal"/>
    <w:next w:val="ParaNum"/>
    <w:link w:val="Heading4Char"/>
    <w:uiPriority w:val="99"/>
    <w:qFormat/>
    <w:rsid w:val="009C6C99"/>
    <w:pPr>
      <w:keepNext/>
      <w:numPr>
        <w:ilvl w:val="3"/>
        <w:numId w:val="3"/>
      </w:numPr>
      <w:tabs>
        <w:tab w:val="clear" w:pos="2880"/>
        <w:tab w:val="left" w:pos="1440"/>
      </w:tabs>
      <w:spacing w:after="220"/>
      <w:ind w:left="1440" w:hanging="360"/>
      <w:outlineLvl w:val="3"/>
    </w:pPr>
    <w:rPr>
      <w:rFonts w:ascii="Calibri" w:hAnsi="Calibri"/>
      <w:b/>
      <w:bCs/>
      <w:sz w:val="28"/>
      <w:szCs w:val="28"/>
    </w:rPr>
  </w:style>
  <w:style w:type="paragraph" w:styleId="Heading5">
    <w:name w:val="heading 5"/>
    <w:basedOn w:val="Normal"/>
    <w:next w:val="ParaNum"/>
    <w:link w:val="Heading5Char"/>
    <w:uiPriority w:val="99"/>
    <w:qFormat/>
    <w:rsid w:val="009C6C99"/>
    <w:pPr>
      <w:keepNext/>
      <w:numPr>
        <w:ilvl w:val="4"/>
        <w:numId w:val="3"/>
      </w:numPr>
      <w:tabs>
        <w:tab w:val="clear" w:pos="3600"/>
        <w:tab w:val="left" w:pos="1800"/>
      </w:tabs>
      <w:suppressAutoHyphens/>
      <w:spacing w:after="220"/>
      <w:ind w:left="1800" w:hanging="360"/>
      <w:outlineLvl w:val="4"/>
    </w:pPr>
    <w:rPr>
      <w:rFonts w:ascii="Calibri" w:hAnsi="Calibri"/>
      <w:b/>
      <w:bCs/>
      <w:i/>
      <w:iCs/>
      <w:sz w:val="26"/>
      <w:szCs w:val="26"/>
    </w:rPr>
  </w:style>
  <w:style w:type="paragraph" w:styleId="Heading6">
    <w:name w:val="heading 6"/>
    <w:basedOn w:val="Normal"/>
    <w:next w:val="ParaNum"/>
    <w:link w:val="Heading6Char"/>
    <w:uiPriority w:val="99"/>
    <w:qFormat/>
    <w:rsid w:val="009C6C99"/>
    <w:pPr>
      <w:numPr>
        <w:ilvl w:val="5"/>
        <w:numId w:val="3"/>
      </w:numPr>
      <w:tabs>
        <w:tab w:val="clear" w:pos="4320"/>
        <w:tab w:val="left" w:pos="2160"/>
      </w:tabs>
      <w:spacing w:after="220"/>
      <w:ind w:left="2160" w:hanging="360"/>
      <w:outlineLvl w:val="5"/>
    </w:pPr>
    <w:rPr>
      <w:rFonts w:ascii="Calibri" w:hAnsi="Calibri"/>
      <w:b/>
      <w:bCs/>
      <w:sz w:val="20"/>
    </w:rPr>
  </w:style>
  <w:style w:type="paragraph" w:styleId="Heading7">
    <w:name w:val="heading 7"/>
    <w:basedOn w:val="Normal"/>
    <w:next w:val="ParaNum"/>
    <w:link w:val="Heading7Char"/>
    <w:uiPriority w:val="99"/>
    <w:qFormat/>
    <w:rsid w:val="009C6C99"/>
    <w:pPr>
      <w:numPr>
        <w:ilvl w:val="6"/>
        <w:numId w:val="3"/>
      </w:numPr>
      <w:tabs>
        <w:tab w:val="clear" w:pos="5040"/>
        <w:tab w:val="left" w:pos="2520"/>
      </w:tabs>
      <w:spacing w:after="240"/>
      <w:ind w:left="2520" w:hanging="360"/>
      <w:outlineLvl w:val="6"/>
    </w:pPr>
    <w:rPr>
      <w:rFonts w:ascii="Calibri" w:hAnsi="Calibri"/>
      <w:sz w:val="24"/>
      <w:szCs w:val="24"/>
    </w:rPr>
  </w:style>
  <w:style w:type="paragraph" w:styleId="Heading8">
    <w:name w:val="heading 8"/>
    <w:basedOn w:val="Normal"/>
    <w:next w:val="ParaNum"/>
    <w:link w:val="Heading8Char"/>
    <w:uiPriority w:val="99"/>
    <w:qFormat/>
    <w:rsid w:val="009C6C99"/>
    <w:pPr>
      <w:numPr>
        <w:ilvl w:val="7"/>
        <w:numId w:val="3"/>
      </w:numPr>
      <w:tabs>
        <w:tab w:val="clear" w:pos="5400"/>
        <w:tab w:val="left" w:pos="2880"/>
      </w:tabs>
      <w:spacing w:after="240"/>
      <w:ind w:left="2880" w:hanging="360"/>
      <w:outlineLvl w:val="7"/>
    </w:pPr>
    <w:rPr>
      <w:rFonts w:ascii="Calibri" w:hAnsi="Calibri"/>
      <w:i/>
      <w:iCs/>
      <w:sz w:val="24"/>
      <w:szCs w:val="24"/>
    </w:rPr>
  </w:style>
  <w:style w:type="paragraph" w:styleId="Heading9">
    <w:name w:val="heading 9"/>
    <w:basedOn w:val="Normal"/>
    <w:next w:val="ParaNum"/>
    <w:link w:val="Heading9Char"/>
    <w:uiPriority w:val="99"/>
    <w:qFormat/>
    <w:rsid w:val="009C6C99"/>
    <w:pPr>
      <w:numPr>
        <w:ilvl w:val="8"/>
        <w:numId w:val="3"/>
      </w:numPr>
      <w:tabs>
        <w:tab w:val="clear" w:pos="6120"/>
        <w:tab w:val="left" w:pos="3240"/>
      </w:tabs>
      <w:spacing w:after="240"/>
      <w:ind w:left="3240" w:hanging="3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DB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A0DB5"/>
    <w:rPr>
      <w:rFonts w:ascii="Cambria" w:hAnsi="Cambria" w:cs="Times New Roman"/>
      <w:b/>
      <w:i/>
      <w:kern w:val="28"/>
      <w:sz w:val="28"/>
    </w:rPr>
  </w:style>
  <w:style w:type="character" w:customStyle="1" w:styleId="Heading3Char">
    <w:name w:val="Heading 3 Char"/>
    <w:basedOn w:val="DefaultParagraphFont"/>
    <w:link w:val="Heading3"/>
    <w:uiPriority w:val="99"/>
    <w:semiHidden/>
    <w:locked/>
    <w:rsid w:val="00EA0DB5"/>
    <w:rPr>
      <w:rFonts w:ascii="Cambria" w:hAnsi="Cambria" w:cs="Times New Roman"/>
      <w:b/>
      <w:kern w:val="28"/>
      <w:sz w:val="26"/>
    </w:rPr>
  </w:style>
  <w:style w:type="character" w:customStyle="1" w:styleId="Heading4Char">
    <w:name w:val="Heading 4 Char"/>
    <w:basedOn w:val="DefaultParagraphFont"/>
    <w:link w:val="Heading4"/>
    <w:uiPriority w:val="99"/>
    <w:semiHidden/>
    <w:locked/>
    <w:rsid w:val="00EA0DB5"/>
    <w:rPr>
      <w:rFonts w:ascii="Calibri" w:hAnsi="Calibri" w:cs="Times New Roman"/>
      <w:b/>
      <w:kern w:val="28"/>
      <w:sz w:val="28"/>
    </w:rPr>
  </w:style>
  <w:style w:type="character" w:customStyle="1" w:styleId="Heading5Char">
    <w:name w:val="Heading 5 Char"/>
    <w:basedOn w:val="DefaultParagraphFont"/>
    <w:link w:val="Heading5"/>
    <w:uiPriority w:val="99"/>
    <w:semiHidden/>
    <w:locked/>
    <w:rsid w:val="00EA0DB5"/>
    <w:rPr>
      <w:rFonts w:ascii="Calibri" w:hAnsi="Calibri" w:cs="Times New Roman"/>
      <w:b/>
      <w:i/>
      <w:kern w:val="28"/>
      <w:sz w:val="26"/>
    </w:rPr>
  </w:style>
  <w:style w:type="character" w:customStyle="1" w:styleId="Heading6Char">
    <w:name w:val="Heading 6 Char"/>
    <w:basedOn w:val="DefaultParagraphFont"/>
    <w:link w:val="Heading6"/>
    <w:uiPriority w:val="99"/>
    <w:semiHidden/>
    <w:locked/>
    <w:rsid w:val="00EA0DB5"/>
    <w:rPr>
      <w:rFonts w:ascii="Calibri" w:hAnsi="Calibri" w:cs="Times New Roman"/>
      <w:b/>
      <w:kern w:val="28"/>
    </w:rPr>
  </w:style>
  <w:style w:type="character" w:customStyle="1" w:styleId="Heading7Char">
    <w:name w:val="Heading 7 Char"/>
    <w:basedOn w:val="DefaultParagraphFont"/>
    <w:link w:val="Heading7"/>
    <w:uiPriority w:val="99"/>
    <w:semiHidden/>
    <w:locked/>
    <w:rsid w:val="00EA0DB5"/>
    <w:rPr>
      <w:rFonts w:ascii="Calibri" w:hAnsi="Calibri" w:cs="Times New Roman"/>
      <w:kern w:val="28"/>
      <w:sz w:val="24"/>
    </w:rPr>
  </w:style>
  <w:style w:type="character" w:customStyle="1" w:styleId="Heading8Char">
    <w:name w:val="Heading 8 Char"/>
    <w:basedOn w:val="DefaultParagraphFont"/>
    <w:link w:val="Heading8"/>
    <w:uiPriority w:val="99"/>
    <w:semiHidden/>
    <w:locked/>
    <w:rsid w:val="00EA0DB5"/>
    <w:rPr>
      <w:rFonts w:ascii="Calibri" w:hAnsi="Calibri" w:cs="Times New Roman"/>
      <w:i/>
      <w:kern w:val="28"/>
      <w:sz w:val="24"/>
    </w:rPr>
  </w:style>
  <w:style w:type="character" w:customStyle="1" w:styleId="Heading9Char">
    <w:name w:val="Heading 9 Char"/>
    <w:basedOn w:val="DefaultParagraphFont"/>
    <w:link w:val="Heading9"/>
    <w:uiPriority w:val="99"/>
    <w:semiHidden/>
    <w:locked/>
    <w:rsid w:val="00EA0DB5"/>
    <w:rPr>
      <w:rFonts w:ascii="Cambria" w:hAnsi="Cambria" w:cs="Times New Roman"/>
      <w:kern w:val="28"/>
    </w:rPr>
  </w:style>
  <w:style w:type="paragraph" w:styleId="BalloonText">
    <w:name w:val="Balloon Text"/>
    <w:basedOn w:val="Normal"/>
    <w:link w:val="BalloonTextChar"/>
    <w:uiPriority w:val="99"/>
    <w:semiHidden/>
    <w:rsid w:val="009C6C99"/>
    <w:rPr>
      <w:sz w:val="2"/>
    </w:rPr>
  </w:style>
  <w:style w:type="character" w:customStyle="1" w:styleId="BalloonTextChar">
    <w:name w:val="Balloon Text Char"/>
    <w:basedOn w:val="DefaultParagraphFont"/>
    <w:link w:val="BalloonText"/>
    <w:uiPriority w:val="99"/>
    <w:semiHidden/>
    <w:locked/>
    <w:rsid w:val="00EA0DB5"/>
    <w:rPr>
      <w:rFonts w:cs="Times New Roman"/>
      <w:kern w:val="28"/>
      <w:sz w:val="2"/>
    </w:rPr>
  </w:style>
  <w:style w:type="paragraph" w:customStyle="1" w:styleId="ParaNum">
    <w:name w:val="ParaNum"/>
    <w:basedOn w:val="Normal"/>
    <w:link w:val="ParaNumChar"/>
    <w:uiPriority w:val="99"/>
    <w:rsid w:val="009C6C99"/>
    <w:pPr>
      <w:numPr>
        <w:numId w:val="2"/>
      </w:numPr>
      <w:spacing w:after="220"/>
    </w:pPr>
  </w:style>
  <w:style w:type="paragraph" w:styleId="EndnoteText">
    <w:name w:val="endnote text"/>
    <w:basedOn w:val="Normal"/>
    <w:link w:val="EndnoteTextChar"/>
    <w:uiPriority w:val="99"/>
    <w:semiHidden/>
    <w:rsid w:val="009C6C99"/>
    <w:rPr>
      <w:sz w:val="20"/>
    </w:rPr>
  </w:style>
  <w:style w:type="character" w:customStyle="1" w:styleId="EndnoteTextChar">
    <w:name w:val="Endnote Text Char"/>
    <w:basedOn w:val="DefaultParagraphFont"/>
    <w:link w:val="EndnoteText"/>
    <w:uiPriority w:val="99"/>
    <w:semiHidden/>
    <w:locked/>
    <w:rsid w:val="00EA0DB5"/>
    <w:rPr>
      <w:rFonts w:cs="Times New Roman"/>
      <w:kern w:val="28"/>
      <w:sz w:val="20"/>
    </w:rPr>
  </w:style>
  <w:style w:type="character" w:styleId="EndnoteReference">
    <w:name w:val="endnote reference"/>
    <w:basedOn w:val="DefaultParagraphFont"/>
    <w:uiPriority w:val="99"/>
    <w:semiHidden/>
    <w:rsid w:val="009C6C99"/>
    <w:rPr>
      <w:rFonts w:cs="Times New Roman"/>
      <w:vertAlign w:val="superscript"/>
    </w:r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fn,S"/>
    <w:basedOn w:val="Normal"/>
    <w:link w:val="FootnoteTextChar"/>
    <w:uiPriority w:val="99"/>
    <w:rsid w:val="009C6C99"/>
    <w:pPr>
      <w:widowControl/>
      <w:tabs>
        <w:tab w:val="left" w:pos="720"/>
        <w:tab w:val="left" w:pos="1440"/>
      </w:tabs>
      <w:spacing w:after="200"/>
      <w:ind w:right="144" w:firstLine="720"/>
      <w:jc w:val="left"/>
    </w:pPr>
    <w:rPr>
      <w:kern w:val="0"/>
      <w:sz w:val="20"/>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basedOn w:val="DefaultParagraphFont"/>
    <w:link w:val="FootnoteText"/>
    <w:uiPriority w:val="99"/>
    <w:locked/>
    <w:rsid w:val="009C6C99"/>
    <w:rPr>
      <w:rFonts w:cs="Times New Roman"/>
      <w:lang w:val="en-US" w:eastAsia="en-US"/>
    </w:rPr>
  </w:style>
  <w:style w:type="character" w:styleId="FootnoteReference">
    <w:name w:val="footnote reference"/>
    <w:aliases w:val="Style 12,(NECG) Footnote Reference,Appel note de bas de p,Style 124,Style 4,Style 13,o,fr,Style 3"/>
    <w:basedOn w:val="DefaultParagraphFont"/>
    <w:uiPriority w:val="99"/>
    <w:rsid w:val="009C6C99"/>
    <w:rPr>
      <w:rFonts w:ascii="Times New Roman" w:hAnsi="Times New Roman" w:cs="Times New Roman"/>
      <w:color w:val="auto"/>
      <w:sz w:val="22"/>
      <w:vertAlign w:val="superscript"/>
    </w:rPr>
  </w:style>
  <w:style w:type="paragraph" w:styleId="TOC1">
    <w:name w:val="toc 1"/>
    <w:basedOn w:val="Normal"/>
    <w:next w:val="Normal"/>
    <w:uiPriority w:val="99"/>
    <w:semiHidden/>
    <w:rsid w:val="009C6C9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9C6C9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9C6C9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9C6C9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9C6C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9C6C9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9C6C9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9C6C9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9C6C9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9C6C99"/>
    <w:pPr>
      <w:tabs>
        <w:tab w:val="right" w:pos="9360"/>
      </w:tabs>
      <w:suppressAutoHyphens/>
    </w:pPr>
  </w:style>
  <w:style w:type="character" w:customStyle="1" w:styleId="EquationCaption">
    <w:name w:val="_Equation Caption"/>
    <w:uiPriority w:val="99"/>
    <w:rsid w:val="009C6C99"/>
  </w:style>
  <w:style w:type="paragraph" w:styleId="Header">
    <w:name w:val="header"/>
    <w:basedOn w:val="Normal"/>
    <w:link w:val="HeaderChar"/>
    <w:autoRedefine/>
    <w:uiPriority w:val="99"/>
    <w:rsid w:val="007419E1"/>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uiPriority w:val="99"/>
    <w:semiHidden/>
    <w:locked/>
    <w:rsid w:val="007419E1"/>
    <w:rPr>
      <w:rFonts w:cs="Times New Roman"/>
      <w:b/>
      <w:kern w:val="28"/>
      <w:sz w:val="22"/>
      <w:szCs w:val="22"/>
      <w:lang w:val="en-US" w:eastAsia="en-US" w:bidi="ar-SA"/>
    </w:rPr>
  </w:style>
  <w:style w:type="paragraph" w:styleId="Footer">
    <w:name w:val="footer"/>
    <w:basedOn w:val="Normal"/>
    <w:link w:val="FooterChar"/>
    <w:uiPriority w:val="99"/>
    <w:rsid w:val="009C6C99"/>
    <w:pPr>
      <w:tabs>
        <w:tab w:val="center" w:pos="4320"/>
        <w:tab w:val="right" w:pos="8640"/>
      </w:tabs>
    </w:pPr>
  </w:style>
  <w:style w:type="character" w:customStyle="1" w:styleId="FooterChar">
    <w:name w:val="Footer Char"/>
    <w:basedOn w:val="DefaultParagraphFont"/>
    <w:link w:val="Footer"/>
    <w:uiPriority w:val="99"/>
    <w:locked/>
    <w:rsid w:val="00984EF0"/>
    <w:rPr>
      <w:rFonts w:cs="Times New Roman"/>
      <w:snapToGrid w:val="0"/>
      <w:kern w:val="28"/>
      <w:sz w:val="22"/>
    </w:rPr>
  </w:style>
  <w:style w:type="character" w:styleId="PageNumber">
    <w:name w:val="page number"/>
    <w:basedOn w:val="DefaultParagraphFont"/>
    <w:uiPriority w:val="99"/>
    <w:rsid w:val="009C6C99"/>
    <w:rPr>
      <w:rFonts w:cs="Times New Roman"/>
    </w:rPr>
  </w:style>
  <w:style w:type="paragraph" w:styleId="BlockText">
    <w:name w:val="Block Text"/>
    <w:basedOn w:val="Normal"/>
    <w:uiPriority w:val="99"/>
    <w:rsid w:val="009C6C99"/>
    <w:pPr>
      <w:spacing w:after="240"/>
      <w:ind w:left="1440" w:right="1440"/>
    </w:pPr>
  </w:style>
  <w:style w:type="paragraph" w:customStyle="1" w:styleId="Paratitle">
    <w:name w:val="Para title"/>
    <w:basedOn w:val="Normal"/>
    <w:uiPriority w:val="99"/>
    <w:rsid w:val="009C6C99"/>
    <w:pPr>
      <w:tabs>
        <w:tab w:val="center" w:pos="9270"/>
      </w:tabs>
      <w:spacing w:after="240"/>
      <w:jc w:val="left"/>
    </w:pPr>
    <w:rPr>
      <w:spacing w:val="-2"/>
    </w:rPr>
  </w:style>
  <w:style w:type="paragraph" w:customStyle="1" w:styleId="Bullet">
    <w:name w:val="Bullet"/>
    <w:basedOn w:val="Normal"/>
    <w:uiPriority w:val="99"/>
    <w:rsid w:val="009C6C99"/>
    <w:pPr>
      <w:numPr>
        <w:numId w:val="1"/>
      </w:numPr>
      <w:tabs>
        <w:tab w:val="clear" w:pos="360"/>
        <w:tab w:val="left" w:pos="2160"/>
      </w:tabs>
      <w:spacing w:after="220"/>
      <w:ind w:left="2160" w:hanging="720"/>
    </w:pPr>
  </w:style>
  <w:style w:type="paragraph" w:customStyle="1" w:styleId="TableFormat">
    <w:name w:val="TableFormat"/>
    <w:basedOn w:val="Bullet"/>
    <w:uiPriority w:val="99"/>
    <w:rsid w:val="009C6C99"/>
    <w:pPr>
      <w:numPr>
        <w:numId w:val="0"/>
      </w:numPr>
      <w:tabs>
        <w:tab w:val="clear" w:pos="2160"/>
        <w:tab w:val="left" w:pos="5040"/>
      </w:tabs>
      <w:ind w:left="5040" w:hanging="3600"/>
    </w:pPr>
  </w:style>
  <w:style w:type="paragraph" w:customStyle="1" w:styleId="TOCTitle">
    <w:name w:val="TOC Title"/>
    <w:basedOn w:val="Normal"/>
    <w:uiPriority w:val="99"/>
    <w:rsid w:val="009C6C99"/>
    <w:pPr>
      <w:spacing w:before="240" w:after="240"/>
      <w:jc w:val="center"/>
    </w:pPr>
    <w:rPr>
      <w:rFonts w:ascii="Times New Roman Bold" w:hAnsi="Times New Roman Bold"/>
      <w:b/>
      <w:caps/>
      <w:spacing w:val="-2"/>
    </w:rPr>
  </w:style>
  <w:style w:type="paragraph" w:customStyle="1" w:styleId="Paranum0">
    <w:name w:val="Paranum"/>
    <w:uiPriority w:val="99"/>
    <w:rsid w:val="009C6C99"/>
    <w:pPr>
      <w:numPr>
        <w:numId w:val="4"/>
      </w:numPr>
      <w:tabs>
        <w:tab w:val="left" w:pos="1440"/>
      </w:tabs>
      <w:spacing w:after="240"/>
      <w:ind w:left="0" w:firstLine="720"/>
      <w:jc w:val="both"/>
    </w:pPr>
    <w:rPr>
      <w:szCs w:val="20"/>
    </w:rPr>
  </w:style>
  <w:style w:type="character" w:customStyle="1" w:styleId="Footnote">
    <w:name w:val="Footnote"/>
    <w:uiPriority w:val="99"/>
    <w:rsid w:val="009C6C99"/>
    <w:rPr>
      <w:rFonts w:ascii="Times New Roman" w:hAnsi="Times New Roman"/>
      <w:sz w:val="20"/>
    </w:rPr>
  </w:style>
  <w:style w:type="character" w:styleId="Hyperlink">
    <w:name w:val="Hyperlink"/>
    <w:basedOn w:val="DefaultParagraphFont"/>
    <w:uiPriority w:val="99"/>
    <w:rsid w:val="009C6C99"/>
    <w:rPr>
      <w:rFonts w:cs="Times New Roman"/>
      <w:color w:val="0000FF"/>
      <w:u w:val="single"/>
    </w:rPr>
  </w:style>
  <w:style w:type="character" w:customStyle="1" w:styleId="documentbody1">
    <w:name w:val="documentbody1"/>
    <w:uiPriority w:val="99"/>
    <w:rsid w:val="009C6C99"/>
    <w:rPr>
      <w:rFonts w:ascii="Verdana" w:hAnsi="Verdana"/>
      <w:sz w:val="19"/>
      <w:shd w:val="clear" w:color="auto" w:fill="FFFFFF"/>
    </w:rPr>
  </w:style>
  <w:style w:type="paragraph" w:styleId="DocumentMap">
    <w:name w:val="Document Map"/>
    <w:basedOn w:val="Normal"/>
    <w:link w:val="DocumentMapChar"/>
    <w:uiPriority w:val="99"/>
    <w:semiHidden/>
    <w:rsid w:val="009C6C99"/>
    <w:pPr>
      <w:shd w:val="clear" w:color="auto" w:fill="000080"/>
    </w:pPr>
    <w:rPr>
      <w:sz w:val="2"/>
    </w:rPr>
  </w:style>
  <w:style w:type="character" w:customStyle="1" w:styleId="DocumentMapChar">
    <w:name w:val="Document Map Char"/>
    <w:basedOn w:val="DefaultParagraphFont"/>
    <w:link w:val="DocumentMap"/>
    <w:uiPriority w:val="99"/>
    <w:semiHidden/>
    <w:locked/>
    <w:rsid w:val="00EA0DB5"/>
    <w:rPr>
      <w:rFonts w:cs="Times New Roman"/>
      <w:kern w:val="28"/>
      <w:sz w:val="2"/>
    </w:rPr>
  </w:style>
  <w:style w:type="character" w:customStyle="1" w:styleId="documentbody">
    <w:name w:val="documentbody"/>
    <w:uiPriority w:val="99"/>
    <w:rsid w:val="009C6C99"/>
  </w:style>
  <w:style w:type="character" w:customStyle="1" w:styleId="searchterm">
    <w:name w:val="searchterm"/>
    <w:uiPriority w:val="99"/>
    <w:rsid w:val="009C6C99"/>
  </w:style>
  <w:style w:type="character" w:customStyle="1" w:styleId="bestsection">
    <w:name w:val="bestsection"/>
    <w:uiPriority w:val="99"/>
    <w:rsid w:val="009C6C99"/>
  </w:style>
  <w:style w:type="character" w:customStyle="1" w:styleId="searchterm1">
    <w:name w:val="searchterm1"/>
    <w:uiPriority w:val="99"/>
    <w:rsid w:val="009C6C99"/>
    <w:rPr>
      <w:b/>
      <w:shd w:val="clear" w:color="auto" w:fill="FFFF00"/>
    </w:rPr>
  </w:style>
  <w:style w:type="character" w:styleId="FollowedHyperlink">
    <w:name w:val="FollowedHyperlink"/>
    <w:basedOn w:val="DefaultParagraphFont"/>
    <w:uiPriority w:val="99"/>
    <w:rsid w:val="009C6C99"/>
    <w:rPr>
      <w:rFonts w:cs="Times New Roman"/>
      <w:color w:val="800080"/>
      <w:u w:val="single"/>
    </w:rPr>
  </w:style>
  <w:style w:type="character" w:customStyle="1" w:styleId="FootnoteTextChar1CharCharCharChar">
    <w:name w:val="Footnote Text Char1 Char Char Char Char"/>
    <w:aliases w:val="rrfootnote Char1 Char Char Char Char,Footnote Text Char Char Char Char Char Char1,rrfootnote Char Char Char Char Char Char,rrfootnote Char,Footnote Text Char Char Char Char Char Char"/>
    <w:uiPriority w:val="99"/>
    <w:rsid w:val="009C6C99"/>
    <w:rPr>
      <w:lang w:val="en-US" w:eastAsia="en-US"/>
    </w:rPr>
  </w:style>
  <w:style w:type="character" w:customStyle="1" w:styleId="starpage1">
    <w:name w:val="starpage1"/>
    <w:uiPriority w:val="99"/>
    <w:rsid w:val="009C6C99"/>
    <w:rPr>
      <w:b/>
      <w:i/>
      <w:color w:val="800080"/>
    </w:rPr>
  </w:style>
  <w:style w:type="character" w:customStyle="1" w:styleId="ParaNumChar">
    <w:name w:val="ParaNum Char"/>
    <w:link w:val="ParaNum"/>
    <w:uiPriority w:val="99"/>
    <w:locked/>
    <w:rsid w:val="00B543BA"/>
    <w:rPr>
      <w:snapToGrid w:val="0"/>
      <w:kern w:val="28"/>
      <w:sz w:val="22"/>
    </w:rPr>
  </w:style>
  <w:style w:type="character" w:customStyle="1" w:styleId="bestsection1">
    <w:name w:val="bestsection1"/>
    <w:uiPriority w:val="99"/>
    <w:rsid w:val="008E2A0F"/>
    <w:rPr>
      <w:color w:val="FF0000"/>
    </w:rPr>
  </w:style>
  <w:style w:type="character" w:styleId="CommentReference">
    <w:name w:val="annotation reference"/>
    <w:basedOn w:val="DefaultParagraphFont"/>
    <w:uiPriority w:val="99"/>
    <w:rsid w:val="00DA3445"/>
    <w:rPr>
      <w:rFonts w:cs="Times New Roman"/>
      <w:sz w:val="18"/>
    </w:rPr>
  </w:style>
  <w:style w:type="paragraph" w:styleId="CommentText">
    <w:name w:val="annotation text"/>
    <w:basedOn w:val="Normal"/>
    <w:link w:val="CommentTextChar"/>
    <w:uiPriority w:val="99"/>
    <w:rsid w:val="00DA3445"/>
    <w:rPr>
      <w:sz w:val="24"/>
      <w:szCs w:val="24"/>
    </w:rPr>
  </w:style>
  <w:style w:type="character" w:customStyle="1" w:styleId="CommentTextChar">
    <w:name w:val="Comment Text Char"/>
    <w:basedOn w:val="DefaultParagraphFont"/>
    <w:link w:val="CommentText"/>
    <w:uiPriority w:val="99"/>
    <w:locked/>
    <w:rsid w:val="00DA3445"/>
    <w:rPr>
      <w:rFonts w:cs="Times New Roman"/>
      <w:snapToGrid w:val="0"/>
      <w:kern w:val="28"/>
      <w:sz w:val="24"/>
    </w:rPr>
  </w:style>
  <w:style w:type="paragraph" w:styleId="CommentSubject">
    <w:name w:val="annotation subject"/>
    <w:basedOn w:val="CommentText"/>
    <w:next w:val="CommentText"/>
    <w:link w:val="CommentSubjectChar"/>
    <w:uiPriority w:val="99"/>
    <w:rsid w:val="001A1718"/>
    <w:rPr>
      <w:b/>
      <w:bCs/>
    </w:rPr>
  </w:style>
  <w:style w:type="character" w:customStyle="1" w:styleId="CommentSubjectChar">
    <w:name w:val="Comment Subject Char"/>
    <w:basedOn w:val="CommentTextChar"/>
    <w:link w:val="CommentSubject"/>
    <w:uiPriority w:val="99"/>
    <w:locked/>
    <w:rsid w:val="001A1718"/>
    <w:rPr>
      <w:rFonts w:cs="Times New Roman"/>
      <w:b/>
      <w:snapToGrid w:val="0"/>
      <w:kern w:val="28"/>
      <w:sz w:val="24"/>
    </w:rPr>
  </w:style>
  <w:style w:type="paragraph" w:styleId="Revision">
    <w:name w:val="Revision"/>
    <w:hidden/>
    <w:uiPriority w:val="99"/>
    <w:semiHidden/>
    <w:rsid w:val="00016D2D"/>
    <w:rPr>
      <w:kern w:val="28"/>
      <w:szCs w:val="20"/>
    </w:rPr>
  </w:style>
  <w:style w:type="paragraph" w:styleId="ListParagraph">
    <w:name w:val="List Paragraph"/>
    <w:basedOn w:val="Normal"/>
    <w:uiPriority w:val="99"/>
    <w:qFormat/>
    <w:rsid w:val="008F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932">
      <w:marLeft w:val="0"/>
      <w:marRight w:val="0"/>
      <w:marTop w:val="0"/>
      <w:marBottom w:val="0"/>
      <w:divBdr>
        <w:top w:val="none" w:sz="0" w:space="0" w:color="auto"/>
        <w:left w:val="none" w:sz="0" w:space="0" w:color="auto"/>
        <w:bottom w:val="none" w:sz="0" w:space="0" w:color="auto"/>
        <w:right w:val="none" w:sz="0" w:space="0" w:color="auto"/>
      </w:divBdr>
    </w:div>
    <w:div w:id="18102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1870</Words>
  <Characters>10209</Characters>
  <Application>Microsoft Office Word</Application>
  <DocSecurity>0</DocSecurity>
  <Lines>167</Lines>
  <Paragraphs>42</Paragraphs>
  <ScaleCrop>false</ScaleCrop>
  <Manager/>
  <Company/>
  <LinksUpToDate>false</LinksUpToDate>
  <CharactersWithSpaces>12144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2014-04-01T18:34:00Z</dcterms:created>
  <dcterms:modified xsi:type="dcterms:W3CDTF">2014-04-01T18:34:00Z</dcterms:modified>
  <cp:category> </cp:category>
  <cp:contentStatus> </cp:contentStatus>
</cp:coreProperties>
</file>