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973" w:rsidRDefault="00157973" w:rsidP="00157973">
      <w:pPr>
        <w:jc w:val="center"/>
        <w:rPr>
          <w:b/>
        </w:rPr>
      </w:pPr>
      <w:bookmarkStart w:id="0" w:name="_GoBack"/>
      <w:bookmarkEnd w:id="0"/>
      <w:r w:rsidRPr="0070224F">
        <w:rPr>
          <w:rFonts w:ascii="Times New Roman Bold" w:hAnsi="Times New Roman Bold"/>
          <w:b/>
          <w:kern w:val="0"/>
          <w:szCs w:val="22"/>
        </w:rPr>
        <w:t>Before</w:t>
      </w:r>
      <w:r>
        <w:rPr>
          <w:b/>
        </w:rPr>
        <w:t xml:space="preserve"> the</w:t>
      </w:r>
    </w:p>
    <w:p w:rsidR="00157973" w:rsidRDefault="00157973" w:rsidP="00157973">
      <w:pPr>
        <w:pStyle w:val="StyleBoldCentered"/>
      </w:pPr>
      <w:r>
        <w:t>F</w:t>
      </w:r>
      <w:r>
        <w:rPr>
          <w:caps w:val="0"/>
        </w:rPr>
        <w:t>ederal Communications Commission</w:t>
      </w:r>
    </w:p>
    <w:p w:rsidR="00157973" w:rsidRDefault="00157973" w:rsidP="00157973">
      <w:pPr>
        <w:pStyle w:val="StyleBoldCentered"/>
      </w:pPr>
      <w:r>
        <w:rPr>
          <w:caps w:val="0"/>
        </w:rPr>
        <w:t>Washington, D.C. 20554</w:t>
      </w:r>
    </w:p>
    <w:p w:rsidR="00157973" w:rsidRDefault="00157973" w:rsidP="00157973"/>
    <w:p w:rsidR="00157973" w:rsidRDefault="00157973" w:rsidP="00157973"/>
    <w:tbl>
      <w:tblPr>
        <w:tblW w:w="0" w:type="auto"/>
        <w:tblLayout w:type="fixed"/>
        <w:tblLook w:val="0000" w:firstRow="0" w:lastRow="0" w:firstColumn="0" w:lastColumn="0" w:noHBand="0" w:noVBand="0"/>
      </w:tblPr>
      <w:tblGrid>
        <w:gridCol w:w="4698"/>
        <w:gridCol w:w="630"/>
        <w:gridCol w:w="4248"/>
      </w:tblGrid>
      <w:tr w:rsidR="00157973" w:rsidTr="00C96E5D">
        <w:tc>
          <w:tcPr>
            <w:tcW w:w="4698" w:type="dxa"/>
          </w:tcPr>
          <w:p w:rsidR="00157973" w:rsidRDefault="00157973" w:rsidP="00C96E5D">
            <w:pPr>
              <w:tabs>
                <w:tab w:val="center" w:pos="4680"/>
              </w:tabs>
              <w:suppressAutoHyphens/>
              <w:rPr>
                <w:spacing w:val="-2"/>
              </w:rPr>
            </w:pPr>
            <w:r>
              <w:rPr>
                <w:spacing w:val="-2"/>
              </w:rPr>
              <w:t>In the Matter of</w:t>
            </w:r>
          </w:p>
          <w:p w:rsidR="00157973" w:rsidRDefault="00157973" w:rsidP="00C96E5D">
            <w:pPr>
              <w:tabs>
                <w:tab w:val="center" w:pos="4680"/>
              </w:tabs>
              <w:suppressAutoHyphens/>
              <w:rPr>
                <w:spacing w:val="-2"/>
              </w:rPr>
            </w:pPr>
          </w:p>
          <w:p w:rsidR="00157973" w:rsidRDefault="00157973" w:rsidP="00C96E5D">
            <w:pPr>
              <w:tabs>
                <w:tab w:val="center" w:pos="4680"/>
              </w:tabs>
              <w:suppressAutoHyphens/>
              <w:rPr>
                <w:spacing w:val="-2"/>
              </w:rPr>
            </w:pPr>
            <w:r>
              <w:rPr>
                <w:spacing w:val="-2"/>
              </w:rPr>
              <w:t xml:space="preserve">SES Americom, Inc. </w:t>
            </w:r>
          </w:p>
          <w:p w:rsidR="00157973" w:rsidRDefault="00157973" w:rsidP="00C96E5D">
            <w:pPr>
              <w:tabs>
                <w:tab w:val="center" w:pos="4680"/>
              </w:tabs>
              <w:suppressAutoHyphens/>
              <w:rPr>
                <w:spacing w:val="-2"/>
              </w:rPr>
            </w:pPr>
          </w:p>
          <w:p w:rsidR="00157973" w:rsidRPr="007115F7" w:rsidRDefault="00157973" w:rsidP="00C96E5D">
            <w:pPr>
              <w:tabs>
                <w:tab w:val="center" w:pos="4680"/>
              </w:tabs>
              <w:suppressAutoHyphens/>
              <w:rPr>
                <w:spacing w:val="-2"/>
              </w:rPr>
            </w:pPr>
            <w:r>
              <w:rPr>
                <w:spacing w:val="-2"/>
              </w:rPr>
              <w:t>Application for Authority to Operate the SES-3 Satellite at 103º W.L.</w:t>
            </w:r>
          </w:p>
        </w:tc>
        <w:tc>
          <w:tcPr>
            <w:tcW w:w="630" w:type="dxa"/>
          </w:tcPr>
          <w:p w:rsidR="00157973" w:rsidRDefault="00157973" w:rsidP="00C96E5D">
            <w:pPr>
              <w:tabs>
                <w:tab w:val="center" w:pos="4680"/>
              </w:tabs>
              <w:suppressAutoHyphens/>
              <w:rPr>
                <w:b/>
                <w:spacing w:val="-2"/>
              </w:rPr>
            </w:pPr>
            <w:r>
              <w:rPr>
                <w:b/>
                <w:spacing w:val="-2"/>
              </w:rPr>
              <w:t>)</w:t>
            </w:r>
          </w:p>
          <w:p w:rsidR="00157973" w:rsidRDefault="00157973" w:rsidP="00C96E5D">
            <w:pPr>
              <w:tabs>
                <w:tab w:val="center" w:pos="4680"/>
              </w:tabs>
              <w:suppressAutoHyphens/>
              <w:rPr>
                <w:b/>
                <w:spacing w:val="-2"/>
              </w:rPr>
            </w:pPr>
            <w:r>
              <w:rPr>
                <w:b/>
                <w:spacing w:val="-2"/>
              </w:rPr>
              <w:t>)</w:t>
            </w:r>
          </w:p>
          <w:p w:rsidR="00157973" w:rsidRDefault="00157973" w:rsidP="00C96E5D">
            <w:pPr>
              <w:tabs>
                <w:tab w:val="center" w:pos="4680"/>
              </w:tabs>
              <w:suppressAutoHyphens/>
              <w:rPr>
                <w:b/>
                <w:spacing w:val="-2"/>
              </w:rPr>
            </w:pPr>
            <w:r>
              <w:rPr>
                <w:b/>
                <w:spacing w:val="-2"/>
              </w:rPr>
              <w:t>)</w:t>
            </w:r>
          </w:p>
          <w:p w:rsidR="00157973" w:rsidRDefault="00157973" w:rsidP="00C96E5D">
            <w:pPr>
              <w:tabs>
                <w:tab w:val="center" w:pos="4680"/>
              </w:tabs>
              <w:suppressAutoHyphens/>
              <w:rPr>
                <w:b/>
                <w:spacing w:val="-2"/>
              </w:rPr>
            </w:pPr>
            <w:r>
              <w:rPr>
                <w:b/>
                <w:spacing w:val="-2"/>
              </w:rPr>
              <w:t>)</w:t>
            </w:r>
          </w:p>
          <w:p w:rsidR="00157973" w:rsidRDefault="00157973" w:rsidP="00C96E5D">
            <w:pPr>
              <w:tabs>
                <w:tab w:val="center" w:pos="4680"/>
              </w:tabs>
              <w:suppressAutoHyphens/>
              <w:rPr>
                <w:b/>
                <w:spacing w:val="-2"/>
              </w:rPr>
            </w:pPr>
            <w:r>
              <w:rPr>
                <w:b/>
                <w:spacing w:val="-2"/>
              </w:rPr>
              <w:t>)</w:t>
            </w:r>
          </w:p>
          <w:p w:rsidR="00157973" w:rsidRDefault="00157973" w:rsidP="00C96E5D">
            <w:pPr>
              <w:tabs>
                <w:tab w:val="center" w:pos="4680"/>
              </w:tabs>
              <w:suppressAutoHyphens/>
              <w:rPr>
                <w:b/>
                <w:spacing w:val="-2"/>
              </w:rPr>
            </w:pPr>
            <w:r>
              <w:rPr>
                <w:b/>
                <w:spacing w:val="-2"/>
              </w:rPr>
              <w:t>)</w:t>
            </w:r>
          </w:p>
          <w:p w:rsidR="00157973" w:rsidRDefault="00157973" w:rsidP="00C96E5D">
            <w:pPr>
              <w:tabs>
                <w:tab w:val="center" w:pos="4680"/>
              </w:tabs>
              <w:suppressAutoHyphens/>
              <w:rPr>
                <w:spacing w:val="-2"/>
              </w:rPr>
            </w:pPr>
          </w:p>
        </w:tc>
        <w:tc>
          <w:tcPr>
            <w:tcW w:w="4248" w:type="dxa"/>
          </w:tcPr>
          <w:p w:rsidR="00157973" w:rsidRPr="002F15E1" w:rsidRDefault="00157973" w:rsidP="00C96E5D">
            <w:pPr>
              <w:tabs>
                <w:tab w:val="center" w:pos="4680"/>
              </w:tabs>
              <w:suppressAutoHyphens/>
              <w:rPr>
                <w:spacing w:val="-2"/>
                <w:lang w:val="es-ES"/>
              </w:rPr>
            </w:pPr>
          </w:p>
          <w:p w:rsidR="00157973" w:rsidRPr="002F15E1" w:rsidRDefault="00157973" w:rsidP="00C96E5D">
            <w:pPr>
              <w:pStyle w:val="TOAHeading"/>
              <w:tabs>
                <w:tab w:val="clear" w:pos="9360"/>
                <w:tab w:val="center" w:pos="4680"/>
              </w:tabs>
              <w:rPr>
                <w:spacing w:val="-2"/>
                <w:lang w:val="es-ES"/>
              </w:rPr>
            </w:pPr>
          </w:p>
          <w:p w:rsidR="00157973" w:rsidRPr="002F15E1" w:rsidRDefault="00157973" w:rsidP="00C96E5D">
            <w:pPr>
              <w:tabs>
                <w:tab w:val="center" w:pos="4680"/>
              </w:tabs>
              <w:suppressAutoHyphens/>
              <w:rPr>
                <w:spacing w:val="-2"/>
                <w:szCs w:val="22"/>
                <w:lang w:val="es-ES"/>
              </w:rPr>
            </w:pPr>
            <w:r w:rsidRPr="002F15E1">
              <w:rPr>
                <w:spacing w:val="-2"/>
                <w:szCs w:val="22"/>
                <w:lang w:val="es-ES"/>
              </w:rPr>
              <w:t>IBFS File Nos. SAT-RPL-20121228-00227</w:t>
            </w:r>
          </w:p>
          <w:p w:rsidR="00157973" w:rsidRDefault="00157973" w:rsidP="00C96E5D">
            <w:pPr>
              <w:tabs>
                <w:tab w:val="center" w:pos="4680"/>
              </w:tabs>
              <w:suppressAutoHyphens/>
              <w:rPr>
                <w:spacing w:val="-2"/>
                <w:szCs w:val="22"/>
              </w:rPr>
            </w:pPr>
            <w:r w:rsidRPr="002F15E1">
              <w:rPr>
                <w:spacing w:val="-2"/>
                <w:szCs w:val="22"/>
                <w:lang w:val="es-ES"/>
              </w:rPr>
              <w:t xml:space="preserve">                         </w:t>
            </w:r>
            <w:r>
              <w:rPr>
                <w:spacing w:val="-2"/>
                <w:szCs w:val="22"/>
                <w:lang w:val="es-ES"/>
              </w:rPr>
              <w:t xml:space="preserve"> </w:t>
            </w:r>
            <w:r w:rsidRPr="002110F3">
              <w:rPr>
                <w:spacing w:val="-2"/>
                <w:szCs w:val="22"/>
              </w:rPr>
              <w:t>SAT-AMD-20131113-00132</w:t>
            </w:r>
            <w:r>
              <w:rPr>
                <w:spacing w:val="-2"/>
                <w:szCs w:val="22"/>
              </w:rPr>
              <w:t xml:space="preserve">   </w:t>
            </w:r>
          </w:p>
          <w:p w:rsidR="00157973" w:rsidRDefault="00157973" w:rsidP="00C96E5D">
            <w:pPr>
              <w:tabs>
                <w:tab w:val="center" w:pos="4680"/>
              </w:tabs>
              <w:suppressAutoHyphens/>
              <w:rPr>
                <w:spacing w:val="-2"/>
                <w:szCs w:val="22"/>
              </w:rPr>
            </w:pPr>
            <w:r>
              <w:rPr>
                <w:spacing w:val="-2"/>
                <w:szCs w:val="22"/>
              </w:rPr>
              <w:t xml:space="preserve">                         </w:t>
            </w:r>
            <w:r w:rsidR="005E6B34">
              <w:rPr>
                <w:spacing w:val="-2"/>
                <w:szCs w:val="22"/>
              </w:rPr>
              <w:t xml:space="preserve"> </w:t>
            </w:r>
            <w:r>
              <w:rPr>
                <w:spacing w:val="-2"/>
                <w:szCs w:val="22"/>
              </w:rPr>
              <w:t>Call Sign: S2892</w:t>
            </w:r>
          </w:p>
          <w:p w:rsidR="00157973" w:rsidRDefault="00157973" w:rsidP="00C96E5D">
            <w:pPr>
              <w:tabs>
                <w:tab w:val="center" w:pos="4680"/>
              </w:tabs>
              <w:suppressAutoHyphens/>
              <w:rPr>
                <w:spacing w:val="-2"/>
              </w:rPr>
            </w:pPr>
          </w:p>
        </w:tc>
      </w:tr>
      <w:tr w:rsidR="00157973" w:rsidTr="00C96E5D">
        <w:tc>
          <w:tcPr>
            <w:tcW w:w="4698" w:type="dxa"/>
          </w:tcPr>
          <w:p w:rsidR="00157973" w:rsidRDefault="00157973" w:rsidP="00C96E5D">
            <w:pPr>
              <w:tabs>
                <w:tab w:val="center" w:pos="4680"/>
              </w:tabs>
              <w:suppressAutoHyphens/>
              <w:rPr>
                <w:spacing w:val="-2"/>
              </w:rPr>
            </w:pPr>
          </w:p>
        </w:tc>
        <w:tc>
          <w:tcPr>
            <w:tcW w:w="630" w:type="dxa"/>
          </w:tcPr>
          <w:p w:rsidR="00157973" w:rsidRDefault="00157973" w:rsidP="00C96E5D">
            <w:pPr>
              <w:tabs>
                <w:tab w:val="center" w:pos="4680"/>
              </w:tabs>
              <w:suppressAutoHyphens/>
              <w:rPr>
                <w:b/>
                <w:spacing w:val="-2"/>
              </w:rPr>
            </w:pPr>
          </w:p>
        </w:tc>
        <w:tc>
          <w:tcPr>
            <w:tcW w:w="4248" w:type="dxa"/>
          </w:tcPr>
          <w:p w:rsidR="00157973" w:rsidRPr="002F15E1" w:rsidRDefault="00157973" w:rsidP="00C96E5D">
            <w:pPr>
              <w:tabs>
                <w:tab w:val="center" w:pos="4680"/>
              </w:tabs>
              <w:suppressAutoHyphens/>
              <w:rPr>
                <w:spacing w:val="-2"/>
                <w:lang w:val="es-ES"/>
              </w:rPr>
            </w:pPr>
          </w:p>
        </w:tc>
      </w:tr>
    </w:tbl>
    <w:p w:rsidR="00157973" w:rsidRDefault="00157973" w:rsidP="00157973">
      <w:pPr>
        <w:pStyle w:val="StyleBoldCentered"/>
      </w:pPr>
      <w:r>
        <w:t>ORDER</w:t>
      </w:r>
    </w:p>
    <w:p w:rsidR="00157973" w:rsidRDefault="00157973" w:rsidP="00157973">
      <w:pPr>
        <w:tabs>
          <w:tab w:val="left" w:pos="-720"/>
        </w:tabs>
        <w:suppressAutoHyphens/>
        <w:spacing w:line="227" w:lineRule="auto"/>
        <w:rPr>
          <w:spacing w:val="-2"/>
        </w:rPr>
      </w:pPr>
    </w:p>
    <w:p w:rsidR="00157973" w:rsidRDefault="00157973" w:rsidP="00157973">
      <w:pPr>
        <w:tabs>
          <w:tab w:val="left" w:pos="720"/>
          <w:tab w:val="right" w:pos="9360"/>
        </w:tabs>
        <w:suppressAutoHyphens/>
        <w:spacing w:line="227" w:lineRule="auto"/>
        <w:rPr>
          <w:spacing w:val="-2"/>
        </w:rPr>
      </w:pPr>
      <w:r>
        <w:rPr>
          <w:b/>
          <w:spacing w:val="-2"/>
        </w:rPr>
        <w:t xml:space="preserve">Adopted:  </w:t>
      </w:r>
      <w:r w:rsidR="00081BF6">
        <w:rPr>
          <w:b/>
          <w:spacing w:val="-2"/>
        </w:rPr>
        <w:t>April 4, 2014</w:t>
      </w:r>
      <w:r>
        <w:rPr>
          <w:b/>
          <w:spacing w:val="-2"/>
        </w:rPr>
        <w:tab/>
        <w:t xml:space="preserve">Released:  </w:t>
      </w:r>
      <w:r w:rsidR="00081BF6">
        <w:rPr>
          <w:b/>
          <w:spacing w:val="-2"/>
        </w:rPr>
        <w:t>April 4, 2014</w:t>
      </w:r>
    </w:p>
    <w:p w:rsidR="00157973" w:rsidRDefault="00157973" w:rsidP="00157973"/>
    <w:p w:rsidR="00157973" w:rsidRDefault="00157973" w:rsidP="00157973">
      <w:pPr>
        <w:rPr>
          <w:spacing w:val="-2"/>
        </w:rPr>
      </w:pPr>
      <w:r>
        <w:t xml:space="preserve">By the </w:t>
      </w:r>
      <w:r w:rsidRPr="00504F78">
        <w:rPr>
          <w:spacing w:val="-2"/>
        </w:rPr>
        <w:t>Chief, International Bureau</w:t>
      </w:r>
      <w:r>
        <w:rPr>
          <w:spacing w:val="-2"/>
        </w:rPr>
        <w:t>:</w:t>
      </w:r>
    </w:p>
    <w:p w:rsidR="00157973" w:rsidRDefault="00157973" w:rsidP="00157973">
      <w:pPr>
        <w:rPr>
          <w:spacing w:val="-2"/>
        </w:rPr>
      </w:pPr>
    </w:p>
    <w:p w:rsidR="00157973" w:rsidRDefault="00157973" w:rsidP="00157973">
      <w:pPr>
        <w:pStyle w:val="Heading1"/>
      </w:pPr>
      <w:r>
        <w:t>introduction</w:t>
      </w:r>
    </w:p>
    <w:p w:rsidR="00157973" w:rsidRDefault="00157973" w:rsidP="00157973">
      <w:pPr>
        <w:pStyle w:val="ParaNum"/>
        <w:tabs>
          <w:tab w:val="clear" w:pos="1440"/>
          <w:tab w:val="num" w:pos="1080"/>
        </w:tabs>
      </w:pPr>
      <w:r>
        <w:t>By this Order, we authorize SES Americom, Inc</w:t>
      </w:r>
      <w:r w:rsidRPr="00551E8E">
        <w:t>. (SES Americom) to operate the SES-3</w:t>
      </w:r>
      <w:r>
        <w:t xml:space="preserve"> (Call Sign S2892)</w:t>
      </w:r>
      <w:r w:rsidRPr="00551E8E">
        <w:t xml:space="preserve"> satellite</w:t>
      </w:r>
      <w:r>
        <w:t xml:space="preserve"> </w:t>
      </w:r>
      <w:r w:rsidRPr="00551E8E">
        <w:t>at the 103º</w:t>
      </w:r>
      <w:r>
        <w:t xml:space="preserve"> W.L. orbital location for</w:t>
      </w:r>
      <w:r w:rsidRPr="00551E8E">
        <w:t xml:space="preserve"> telemetry, tracking and </w:t>
      </w:r>
      <w:r>
        <w:t xml:space="preserve">command </w:t>
      </w:r>
      <w:r w:rsidRPr="00551E8E">
        <w:t xml:space="preserve">(TT&amp;C) and </w:t>
      </w:r>
      <w:r>
        <w:t>for</w:t>
      </w:r>
      <w:r w:rsidRPr="00551E8E">
        <w:t xml:space="preserve"> two Ku-band beacons</w:t>
      </w:r>
      <w:r>
        <w:t>.  The specific center frequencies authorized are: 3700.5 MHz, 4199.5 MHz, 11701.0 MHz, 12199.0 MHz (space-to-Earth); 6423.5 MHz and 14499.0 MHz (Earth-to-space).  In addition to C- and Ku-band frequencies, the SES-3 satellite is also capable of operating in the 17/24 GHz (17.3-17.8 GHz downlink and 24.75-25.25 GHz uplink) frequency bands.  These frequencies are currently authorized by Industry Canada.  The Commission has completed an exchange of letters with Industry Canada concerning the operations of the satellite and the related licensing arrangements.  In response to a Petition to Deny or Defer filed by DIRECTV, LLC,</w:t>
      </w:r>
      <w:r>
        <w:rPr>
          <w:rStyle w:val="FootnoteReference"/>
        </w:rPr>
        <w:footnoteReference w:id="1"/>
      </w:r>
      <w:r>
        <w:t xml:space="preserve"> we defer action on SES Americom’s application to operate other C- and Ku-band frequencies</w:t>
      </w:r>
      <w:r>
        <w:rPr>
          <w:rStyle w:val="FootnoteReference"/>
        </w:rPr>
        <w:footnoteReference w:id="2"/>
      </w:r>
      <w:r>
        <w:t xml:space="preserve"> on the SES-3 satellite as a replacement for the AMC-1 satellite (Call Sign S2445) at the 103º W.L. orbital location.  This action will allow SES Americom to begin preparations, at its own risk, for a planned hand-over of C- and Ku- band traffic from the AMC-1 satellite to the SES-3 satellite, and will provide a period in which DIRECTV, LLC and SES Americom can pursue resolution of coordination matters concerning the satellite.        </w:t>
      </w:r>
    </w:p>
    <w:p w:rsidR="00157973" w:rsidRDefault="00157973" w:rsidP="00157973">
      <w:pPr>
        <w:pStyle w:val="Heading1"/>
      </w:pPr>
      <w:r>
        <w:t>background</w:t>
      </w:r>
    </w:p>
    <w:p w:rsidR="00157973" w:rsidRPr="00234CDB" w:rsidRDefault="00157973" w:rsidP="00157973">
      <w:pPr>
        <w:pStyle w:val="ParaNum"/>
      </w:pPr>
      <w:r w:rsidRPr="00647FFB">
        <w:rPr>
          <w:i/>
        </w:rPr>
        <w:t xml:space="preserve">SES-3 Application.  </w:t>
      </w:r>
      <w:r w:rsidRPr="00624289">
        <w:t>SES Americom f</w:t>
      </w:r>
      <w:r>
        <w:t>iled its application o</w:t>
      </w:r>
      <w:r w:rsidRPr="00624289">
        <w:t>n December 28, 2012</w:t>
      </w:r>
      <w:r>
        <w:t>.</w:t>
      </w:r>
      <w:r>
        <w:rPr>
          <w:rStyle w:val="FootnoteReference"/>
        </w:rPr>
        <w:footnoteReference w:id="3"/>
      </w:r>
      <w:r>
        <w:t xml:space="preserve">   The AMC-1 satellite SES Americom seeks to replace has been operating in the conventional C- and Ku-bands at 103º W.L. since its launch in </w:t>
      </w:r>
      <w:r w:rsidRPr="00CF4D2E">
        <w:t>1996</w:t>
      </w:r>
      <w:r>
        <w:t>.</w:t>
      </w:r>
      <w:r>
        <w:rPr>
          <w:rStyle w:val="FootnoteReference"/>
        </w:rPr>
        <w:footnoteReference w:id="4"/>
      </w:r>
      <w:r>
        <w:t xml:space="preserve">  SES intends to use the SES-3 space station to continue to provide </w:t>
      </w:r>
      <w:r>
        <w:lastRenderedPageBreak/>
        <w:t>video, broadband and data services, including direct-to-home (“DTH”) services, to users primarily in North America and the Caribbean.</w:t>
      </w:r>
      <w:r>
        <w:rPr>
          <w:rStyle w:val="FootnoteReference"/>
        </w:rPr>
        <w:footnoteReference w:id="5"/>
      </w:r>
      <w:r>
        <w:t xml:space="preserve">  SES Americom</w:t>
      </w:r>
      <w:r w:rsidRPr="00624289">
        <w:t xml:space="preserve"> amended </w:t>
      </w:r>
      <w:r>
        <w:t>its application</w:t>
      </w:r>
      <w:r w:rsidRPr="00624289">
        <w:t xml:space="preserve"> on November 13, 2013</w:t>
      </w:r>
      <w:r>
        <w:t xml:space="preserve"> to correct errors contained in the original application’s Technical Appendix.</w:t>
      </w:r>
      <w:r>
        <w:rPr>
          <w:rStyle w:val="FootnoteReference"/>
        </w:rPr>
        <w:footnoteReference w:id="6"/>
      </w:r>
      <w:r>
        <w:t xml:space="preserve">  SES Americom indicates that it needs extra time to transition customer traffic from AMC-1 to SES-3 because the two satellites have different Ku-band polarization characteristics.</w:t>
      </w:r>
      <w:r>
        <w:rPr>
          <w:rStyle w:val="FootnoteReference"/>
        </w:rPr>
        <w:footnoteReference w:id="7"/>
      </w:r>
      <w:r>
        <w:t xml:space="preserve">  The application and amendment were placed on Public Notice on November 15, 2013.</w:t>
      </w:r>
      <w:r>
        <w:rPr>
          <w:rStyle w:val="FootnoteReference"/>
        </w:rPr>
        <w:footnoteReference w:id="8"/>
      </w:r>
      <w:r>
        <w:t xml:space="preserve">  In response to the Public Notice, DIRECTV, LLC filed its Petition, SES Americom opposed the DIRECTV Petition,</w:t>
      </w:r>
      <w:r>
        <w:rPr>
          <w:rStyle w:val="FootnoteReference"/>
        </w:rPr>
        <w:footnoteReference w:id="9"/>
      </w:r>
      <w:r>
        <w:t xml:space="preserve"> and DIRECTV, LLC filed a reply to that opposition.</w:t>
      </w:r>
      <w:r>
        <w:rPr>
          <w:rStyle w:val="FootnoteReference"/>
        </w:rPr>
        <w:footnoteReference w:id="10"/>
      </w:r>
      <w:r>
        <w:t xml:space="preserve">  DIRECTV is the licensee of a 17/24 GHz satellite, to be located at the 102.825° W.L. orbital location,</w:t>
      </w:r>
      <w:r>
        <w:rPr>
          <w:rStyle w:val="FootnoteReference"/>
        </w:rPr>
        <w:footnoteReference w:id="11"/>
      </w:r>
      <w:r>
        <w:t xml:space="preserve"> scheduled for launch in 2015.</w:t>
      </w:r>
      <w:r>
        <w:rPr>
          <w:rStyle w:val="FootnoteReference"/>
        </w:rPr>
        <w:footnoteReference w:id="12"/>
      </w:r>
      <w:r>
        <w:t xml:space="preserve">  Eighteen </w:t>
      </w:r>
      <w:r>
        <w:rPr>
          <w:i/>
        </w:rPr>
        <w:t xml:space="preserve">ex parte </w:t>
      </w:r>
      <w:r>
        <w:t>filings have also been filed during the course of this proceeding.</w:t>
      </w:r>
      <w:r>
        <w:rPr>
          <w:rStyle w:val="FootnoteReference"/>
        </w:rPr>
        <w:footnoteReference w:id="13"/>
      </w:r>
    </w:p>
    <w:p w:rsidR="00157973" w:rsidRDefault="00157973" w:rsidP="00157973">
      <w:pPr>
        <w:pStyle w:val="ParaNum"/>
      </w:pPr>
      <w:r>
        <w:rPr>
          <w:i/>
        </w:rPr>
        <w:lastRenderedPageBreak/>
        <w:t xml:space="preserve">Background Concerning the SES-3 satellite.  </w:t>
      </w:r>
      <w:r>
        <w:t>In September 2012, SES Americom moved SES-3 to the 103.1º W.L. orbital location.</w:t>
      </w:r>
      <w:r>
        <w:rPr>
          <w:rStyle w:val="FootnoteReference"/>
        </w:rPr>
        <w:footnoteReference w:id="14"/>
      </w:r>
      <w:r>
        <w:t xml:space="preserve">  </w:t>
      </w:r>
      <w:r w:rsidRPr="00624289">
        <w:t>In connection with the operation of the satellite at the 103</w:t>
      </w:r>
      <w:r>
        <w:t>.1</w:t>
      </w:r>
      <w:r w:rsidRPr="00624289">
        <w:t xml:space="preserve">° W.L. orbital </w:t>
      </w:r>
      <w:r>
        <w:t>location</w:t>
      </w:r>
      <w:r w:rsidRPr="00624289">
        <w:t xml:space="preserve">, </w:t>
      </w:r>
      <w:r>
        <w:t>Industry Canada</w:t>
      </w:r>
      <w:r w:rsidRPr="00624289">
        <w:t xml:space="preserve"> issued an authorization to Ciel Satellite Limited Partnership, a Canadian affiliate of SES Americom, on September 21, 2012.</w:t>
      </w:r>
      <w:r>
        <w:rPr>
          <w:rStyle w:val="FootnoteReference"/>
        </w:rPr>
        <w:footnoteReference w:id="15"/>
      </w:r>
      <w:r w:rsidRPr="00624289">
        <w:t xml:space="preserve"> </w:t>
      </w:r>
      <w:r>
        <w:t xml:space="preserve"> In the C- and Ku-bands at the 103.1º W.L. orbital location, SES is currently operating only for telemetry, tracking and command (TT&amp;C) purposes.</w:t>
      </w:r>
      <w:r>
        <w:rPr>
          <w:rStyle w:val="FootnoteReference"/>
        </w:rPr>
        <w:footnoteReference w:id="16"/>
      </w:r>
      <w:r>
        <w:t xml:space="preserve">  SES Americom states that these TT&amp;C operations are based upon a Luxembourg ITU filing.</w:t>
      </w:r>
    </w:p>
    <w:p w:rsidR="00157973" w:rsidRPr="008A73F5" w:rsidRDefault="00157973" w:rsidP="00157973">
      <w:pPr>
        <w:pStyle w:val="ParaNum"/>
        <w:rPr>
          <w:szCs w:val="22"/>
        </w:rPr>
      </w:pPr>
      <w:r w:rsidRPr="008A73F5">
        <w:rPr>
          <w:szCs w:val="22"/>
        </w:rPr>
        <w:t>Th</w:t>
      </w:r>
      <w:r>
        <w:rPr>
          <w:szCs w:val="22"/>
        </w:rPr>
        <w:t>e 17/24 GHz transponder</w:t>
      </w:r>
      <w:r w:rsidRPr="008A73F5">
        <w:rPr>
          <w:szCs w:val="22"/>
        </w:rPr>
        <w:t xml:space="preserve"> </w:t>
      </w:r>
      <w:r>
        <w:rPr>
          <w:szCs w:val="22"/>
        </w:rPr>
        <w:t xml:space="preserve">on SES-3 </w:t>
      </w:r>
      <w:r w:rsidRPr="008A73F5">
        <w:rPr>
          <w:szCs w:val="22"/>
        </w:rPr>
        <w:t xml:space="preserve">is designated as Ciel 6i </w:t>
      </w:r>
      <w:r>
        <w:rPr>
          <w:szCs w:val="22"/>
        </w:rPr>
        <w:t xml:space="preserve">by Industry Canada </w:t>
      </w:r>
      <w:r w:rsidRPr="008A73F5">
        <w:rPr>
          <w:szCs w:val="22"/>
        </w:rPr>
        <w:t xml:space="preserve">and is </w:t>
      </w:r>
      <w:r>
        <w:rPr>
          <w:szCs w:val="22"/>
        </w:rPr>
        <w:t xml:space="preserve">considered an </w:t>
      </w:r>
      <w:r w:rsidRPr="008A73F5">
        <w:rPr>
          <w:szCs w:val="22"/>
        </w:rPr>
        <w:t xml:space="preserve">interim </w:t>
      </w:r>
      <w:r>
        <w:rPr>
          <w:szCs w:val="22"/>
        </w:rPr>
        <w:t>satellite</w:t>
      </w:r>
      <w:r w:rsidRPr="008A73F5">
        <w:rPr>
          <w:szCs w:val="22"/>
        </w:rPr>
        <w:t xml:space="preserve">.  Ciel also has an </w:t>
      </w:r>
      <w:r>
        <w:rPr>
          <w:szCs w:val="22"/>
        </w:rPr>
        <w:t xml:space="preserve">Industry Canada </w:t>
      </w:r>
      <w:r w:rsidRPr="008A73F5">
        <w:rPr>
          <w:szCs w:val="22"/>
        </w:rPr>
        <w:t>authorization for a satellite designated as Ciel-6</w:t>
      </w:r>
      <w:r>
        <w:rPr>
          <w:szCs w:val="22"/>
        </w:rPr>
        <w:t xml:space="preserve"> to </w:t>
      </w:r>
      <w:r w:rsidRPr="008A73F5">
        <w:rPr>
          <w:szCs w:val="22"/>
        </w:rPr>
        <w:t>provid</w:t>
      </w:r>
      <w:r>
        <w:rPr>
          <w:szCs w:val="22"/>
        </w:rPr>
        <w:t xml:space="preserve">e </w:t>
      </w:r>
      <w:r w:rsidRPr="008A73F5">
        <w:rPr>
          <w:szCs w:val="22"/>
        </w:rPr>
        <w:t>service in the 17/24 GHz frequencies at 103</w:t>
      </w:r>
      <w:r>
        <w:rPr>
          <w:szCs w:val="22"/>
        </w:rPr>
        <w:t>º</w:t>
      </w:r>
      <w:r w:rsidRPr="008A73F5">
        <w:rPr>
          <w:szCs w:val="22"/>
        </w:rPr>
        <w:t xml:space="preserve"> W.L.</w:t>
      </w:r>
      <w:r>
        <w:rPr>
          <w:rStyle w:val="FootnoteReference"/>
          <w:szCs w:val="22"/>
        </w:rPr>
        <w:footnoteReference w:id="17"/>
      </w:r>
      <w:r w:rsidRPr="008A73F5">
        <w:rPr>
          <w:szCs w:val="22"/>
        </w:rPr>
        <w:t xml:space="preserve">  The current deadline for </w:t>
      </w:r>
      <w:r w:rsidRPr="008A73F5">
        <w:rPr>
          <w:color w:val="000000"/>
          <w:szCs w:val="22"/>
          <w:shd w:val="clear" w:color="auto" w:fill="FFFFFF"/>
        </w:rPr>
        <w:t>placement</w:t>
      </w:r>
      <w:r>
        <w:rPr>
          <w:color w:val="000000"/>
          <w:szCs w:val="22"/>
          <w:shd w:val="clear" w:color="auto" w:fill="FFFFFF"/>
        </w:rPr>
        <w:t xml:space="preserve"> at</w:t>
      </w:r>
      <w:r w:rsidRPr="008A73F5">
        <w:rPr>
          <w:color w:val="000000"/>
          <w:szCs w:val="22"/>
          <w:shd w:val="clear" w:color="auto" w:fill="FFFFFF"/>
        </w:rPr>
        <w:t xml:space="preserve"> the authorized orbital </w:t>
      </w:r>
      <w:r>
        <w:rPr>
          <w:color w:val="000000"/>
          <w:szCs w:val="22"/>
          <w:shd w:val="clear" w:color="auto" w:fill="FFFFFF"/>
        </w:rPr>
        <w:t>location</w:t>
      </w:r>
      <w:r w:rsidRPr="008A73F5">
        <w:rPr>
          <w:color w:val="000000"/>
          <w:szCs w:val="22"/>
          <w:shd w:val="clear" w:color="auto" w:fill="FFFFFF"/>
        </w:rPr>
        <w:t xml:space="preserve"> </w:t>
      </w:r>
      <w:r>
        <w:rPr>
          <w:color w:val="000000"/>
          <w:szCs w:val="22"/>
          <w:shd w:val="clear" w:color="auto" w:fill="FFFFFF"/>
        </w:rPr>
        <w:t xml:space="preserve">and start of </w:t>
      </w:r>
      <w:r w:rsidRPr="008A73F5">
        <w:rPr>
          <w:color w:val="000000"/>
          <w:szCs w:val="22"/>
          <w:shd w:val="clear" w:color="auto" w:fill="FFFFFF"/>
        </w:rPr>
        <w:t>service of the new satellite is December 1, 2018.</w:t>
      </w:r>
      <w:r>
        <w:rPr>
          <w:rStyle w:val="FootnoteReference"/>
          <w:szCs w:val="22"/>
          <w:shd w:val="clear" w:color="auto" w:fill="FFFFFF"/>
        </w:rPr>
        <w:footnoteReference w:id="18"/>
      </w:r>
    </w:p>
    <w:p w:rsidR="00157973" w:rsidRDefault="00157973" w:rsidP="00157973">
      <w:pPr>
        <w:pStyle w:val="Heading1"/>
      </w:pPr>
      <w:r>
        <w:t>discussion</w:t>
      </w:r>
    </w:p>
    <w:p w:rsidR="00157973" w:rsidRDefault="00157973" w:rsidP="00157973">
      <w:pPr>
        <w:pStyle w:val="Heading2"/>
      </w:pPr>
      <w:r>
        <w:t>Dual Licensing</w:t>
      </w:r>
    </w:p>
    <w:p w:rsidR="00157973" w:rsidRDefault="00157973" w:rsidP="00157973">
      <w:pPr>
        <w:pStyle w:val="ParaNum"/>
      </w:pPr>
      <w:r>
        <w:t>The Commission has exchanged letters with Industry Canada to ensure a mutual understanding regarding the operations of SES-3.  The understandings, and the factual background for these understandings, are provided in Appendix A and are material considerations for the authorization contained in this order.</w:t>
      </w:r>
    </w:p>
    <w:p w:rsidR="00157973" w:rsidRDefault="00157973" w:rsidP="00157973">
      <w:pPr>
        <w:pStyle w:val="Heading2"/>
      </w:pPr>
      <w:r>
        <w:t>Waiver of 25.113(g)</w:t>
      </w:r>
    </w:p>
    <w:p w:rsidR="00157973" w:rsidRPr="008255D4" w:rsidRDefault="00157973" w:rsidP="00157973">
      <w:pPr>
        <w:pStyle w:val="ParaNum"/>
      </w:pPr>
      <w:r>
        <w:t>SES Americom requests a waiver</w:t>
      </w:r>
      <w:r w:rsidR="003168C7">
        <w:t>, to the extent necessary,</w:t>
      </w:r>
      <w:r>
        <w:t xml:space="preserve"> of Section 25.113(g) of the Commission’s rules which requires that a “launch authorization and station license (</w:t>
      </w:r>
      <w:r>
        <w:rPr>
          <w:i/>
        </w:rPr>
        <w:t>i.e.</w:t>
      </w:r>
      <w:r>
        <w:t>, operating authority) must be applied for and granted before a space station may be launched and operated in orbit.”</w:t>
      </w:r>
      <w:r>
        <w:rPr>
          <w:rStyle w:val="FootnoteReference"/>
        </w:rPr>
        <w:footnoteReference w:id="19"/>
      </w:r>
      <w:r>
        <w:t xml:space="preserve">  SES-3 was launched in 2011, but SES did not seek FCC approval in connection with the launch and initial operation of the satellite.  As stated earlier, </w:t>
      </w:r>
      <w:r w:rsidR="00CE1C85">
        <w:t xml:space="preserve">we </w:t>
      </w:r>
      <w:r>
        <w:t>will address SES Americom’s replacement application at a later date.  Because we are deferring action on the C- and Ku- band replacement operations, we will also defer a final ruling concerning this issue until that time.  In light of the ex</w:t>
      </w:r>
      <w:r w:rsidR="003168C7">
        <w:t>tended preparatory period request</w:t>
      </w:r>
      <w:r>
        <w:t>ed for the proposed hand-over of traffic from AMC-1 to SES-3, we provide a limited waiver</w:t>
      </w:r>
      <w:r w:rsidR="003168C7">
        <w:t>, to the extent necessary,</w:t>
      </w:r>
      <w:r>
        <w:t xml:space="preserve"> now to permit preparatory activities, solely at SES Americom’s risk.</w:t>
      </w:r>
      <w:r>
        <w:rPr>
          <w:rStyle w:val="FootnoteReference"/>
        </w:rPr>
        <w:footnoteReference w:id="20"/>
      </w:r>
      <w:r>
        <w:t xml:space="preserve">  We conclude, therefore, that the prior approval requirement of Section 25.113(g) would not be subverted by and is therefore not an impediment to granting operating authority for SES-3’s TT&amp;C and Ku-band beacons.  </w:t>
      </w:r>
    </w:p>
    <w:p w:rsidR="00157973" w:rsidRDefault="00157973" w:rsidP="00157973">
      <w:pPr>
        <w:pStyle w:val="Heading2"/>
      </w:pPr>
      <w:r>
        <w:t>License Term</w:t>
      </w:r>
    </w:p>
    <w:p w:rsidR="00157973" w:rsidRPr="00214844" w:rsidRDefault="00157973" w:rsidP="00157973">
      <w:pPr>
        <w:pStyle w:val="ParaNum"/>
      </w:pPr>
      <w:r>
        <w:t>Section 25.121 of the Commission’s rules specifies that licenses for satellites shall be issued for a period of 15 years or less.  On July 13, 2013, SES Americom filed a supplement to the record stating that based on events that occurred after the launch of SES-3, the nominal end-of-life estimate for the satellite had been re</w:t>
      </w:r>
      <w:r w:rsidR="005E6B34">
        <w:t xml:space="preserve">duced to 13.9 years, or June </w:t>
      </w:r>
      <w:r>
        <w:t>2025.</w:t>
      </w:r>
      <w:r>
        <w:rPr>
          <w:rStyle w:val="FootnoteReference"/>
        </w:rPr>
        <w:footnoteReference w:id="21"/>
      </w:r>
      <w:r>
        <w:t xml:space="preserve">  We therefore specify a license term ending June 30, 2025.  </w:t>
      </w:r>
    </w:p>
    <w:p w:rsidR="00157973" w:rsidRDefault="00157973" w:rsidP="00157973">
      <w:pPr>
        <w:pStyle w:val="Heading2"/>
      </w:pPr>
      <w:r>
        <w:t>International Coordination and SES-3 17/24 GHz Payload</w:t>
      </w:r>
    </w:p>
    <w:p w:rsidR="00157973" w:rsidRDefault="00157973" w:rsidP="00157973">
      <w:pPr>
        <w:pStyle w:val="ParaNum"/>
      </w:pPr>
      <w:r>
        <w:t xml:space="preserve">In its Petition to Deny or Defer SES Americom’s application, DIRECTV raises an issue related to international coordination between its planned 17/24 GHz BSS operations </w:t>
      </w:r>
      <w:r w:rsidR="005E6B34">
        <w:t xml:space="preserve">of the </w:t>
      </w:r>
      <w:r>
        <w:t>DIRECTV 15 satellite and the 17/24 GHz BSS operations of SES Americom at the 103º W.L. orbital location.</w:t>
      </w:r>
      <w:r>
        <w:rPr>
          <w:rStyle w:val="FootnoteReference"/>
        </w:rPr>
        <w:footnoteReference w:id="22"/>
      </w:r>
      <w:r>
        <w:t xml:space="preserve">  In 2009, the Commission granted DIRECTV authority to launch and operate a “state-of-the-art 17/24 GHz satellite” at 102.825º W.L.</w:t>
      </w:r>
      <w:r>
        <w:rPr>
          <w:rStyle w:val="FootnoteReference"/>
        </w:rPr>
        <w:footnoteReference w:id="23"/>
      </w:r>
      <w:r>
        <w:t xml:space="preserve">  The Canadian ITU filing for the 17/24 GHz BSS operations at the 103° W.L. orbital location predates the U.S. filing.</w:t>
      </w:r>
      <w:r>
        <w:rPr>
          <w:rStyle w:val="FootnoteReference"/>
        </w:rPr>
        <w:footnoteReference w:id="24"/>
      </w:r>
      <w:r>
        <w:t xml:space="preserve">  DIRECTV states that it is engaging in coordination discussions with Ciel, SES Americom’s affiliate, which holds the Canadian authorization for the SES-3 17/24 GHz BSS payload.</w:t>
      </w:r>
      <w:r>
        <w:rPr>
          <w:rStyle w:val="FootnoteReference"/>
        </w:rPr>
        <w:footnoteReference w:id="25"/>
      </w:r>
      <w:r>
        <w:t xml:space="preserve">  DIRECTV requested that the Commission either deny SES Americom’s application or defer decision on the application to replace AMC-1 with SES-3 until coordination between the parties has been completed.</w:t>
      </w:r>
      <w:r>
        <w:rPr>
          <w:rStyle w:val="FootnoteReference"/>
        </w:rPr>
        <w:footnoteReference w:id="26"/>
      </w:r>
      <w:r>
        <w:t xml:space="preserve">  </w:t>
      </w:r>
    </w:p>
    <w:p w:rsidR="00157973" w:rsidRDefault="00157973" w:rsidP="00157973">
      <w:pPr>
        <w:pStyle w:val="ParaNum"/>
      </w:pPr>
      <w:r>
        <w:t>We are providing a limited grant of SES Americom’s application to permit SES Americom to perform TT&amp;C functions for SES-3, and to prepare earth stations currently served by the AMC-1 satellite.  The Commission will rule on the regular operations of SES-3 at a later date.  SES Americom describes this process of preparing for regular operations as involving transmission of a beacon signal from SES-3.  This signal is briefly acquired and information regarding the signal characteristics is stored in the earth station equipment for use upon the future switchover to operations with SES-3.</w:t>
      </w:r>
      <w:r>
        <w:rPr>
          <w:rStyle w:val="FootnoteReference"/>
        </w:rPr>
        <w:footnoteReference w:id="27"/>
      </w:r>
      <w:r>
        <w:t xml:space="preserve">  Given the unusual technical challenges and substantial time required to prepare for this particular replacement, we consider it reasonable to allow SES Americom to proceed with such preparations, at its own risk.  </w:t>
      </w:r>
    </w:p>
    <w:p w:rsidR="00157973" w:rsidRDefault="00157973" w:rsidP="00157973">
      <w:pPr>
        <w:pStyle w:val="Heading2"/>
      </w:pPr>
      <w:r>
        <w:t>17/24 GHz Information Requirements</w:t>
      </w:r>
    </w:p>
    <w:p w:rsidR="00157973" w:rsidRDefault="00157973" w:rsidP="00157973">
      <w:pPr>
        <w:pStyle w:val="ParaNum"/>
      </w:pPr>
      <w:r>
        <w:t>SES Americom seeks limited waivers, to the extent necessary, in connection with certain information requirements applicable to 17/24 GHz operations.  Specifically, s</w:t>
      </w:r>
      <w:r w:rsidRPr="00FA4E30">
        <w:t xml:space="preserve">ection 25.114(d)(3) requires predicted space station antenna gain contour(s) for each transmit and each receive antenna beam and </w:t>
      </w:r>
      <w:r w:rsidRPr="001E6B48">
        <w:t>nominal orbital location requested.  SES Americom provided 17/24 GHz payload coverage maps which portray the -2, -4, -6, -8, -10, and -12 dB contours but states that it could not include a -15 or -20 dB contour because those contours fall beyond the visible Earth and cannot be depicted.  We find that S</w:t>
      </w:r>
      <w:r>
        <w:t>E</w:t>
      </w:r>
      <w:r w:rsidRPr="001E6B48">
        <w:t xml:space="preserve">S Americom has provided sufficient justification of a partial waiver of Section 25.114(d)(3).  Sections 25.264(c)-(d) require each applicant to provide the measured data on 17/24 GHz off-axis gain </w:t>
      </w:r>
      <w:r>
        <w:t xml:space="preserve">and associated power flux density levels.  SES Americom provided the available measured data responsive to Sections 25.264(c)-(d), but states that it does not have the measured data for the full range of parameters specified in these rules provision because the Commission had not yet released the space path interference rules when SES-3 was being constructed.  </w:t>
      </w:r>
      <w:r w:rsidRPr="00FA4E30">
        <w:t>We find that the information</w:t>
      </w:r>
      <w:r>
        <w:t xml:space="preserve"> provided in SES Americom’s Technical Appendix</w:t>
      </w:r>
      <w:r w:rsidRPr="00FA4E30">
        <w:t>, together with the descriptive characterization provided</w:t>
      </w:r>
      <w:r>
        <w:t xml:space="preserve"> in the waiver request contained in the Narrative</w:t>
      </w:r>
      <w:r w:rsidRPr="00FA4E30">
        <w:t xml:space="preserve">, </w:t>
      </w:r>
      <w:r>
        <w:t>are sufficient under the circumstances.</w:t>
      </w:r>
    </w:p>
    <w:p w:rsidR="00157973" w:rsidRDefault="00157973" w:rsidP="00157973">
      <w:pPr>
        <w:pStyle w:val="Heading1"/>
      </w:pPr>
      <w:r>
        <w:t>conclusion</w:t>
      </w:r>
    </w:p>
    <w:p w:rsidR="00157973" w:rsidRPr="00A47D5E" w:rsidRDefault="00157973" w:rsidP="00157973">
      <w:pPr>
        <w:pStyle w:val="ParaNum"/>
        <w:tabs>
          <w:tab w:val="clear" w:pos="1440"/>
          <w:tab w:val="num" w:pos="1080"/>
        </w:tabs>
      </w:pPr>
      <w:r>
        <w:t xml:space="preserve">We authorize SES Americom </w:t>
      </w:r>
      <w:r w:rsidRPr="00551E8E">
        <w:t>to operate the SES-3 TT&amp;C</w:t>
      </w:r>
      <w:r>
        <w:t xml:space="preserve"> frequencies</w:t>
      </w:r>
      <w:r w:rsidRPr="00551E8E">
        <w:t xml:space="preserve"> and the two Ku-band beacons at the 103º</w:t>
      </w:r>
      <w:r>
        <w:t xml:space="preserve"> W.L. orbital location.  We defer action on SES Americom’s application to operate SES-3 as a replacement satellite for AMC-1 in the conventional C- and Ku-band frequencies.  </w:t>
      </w:r>
    </w:p>
    <w:p w:rsidR="00157973" w:rsidRDefault="00157973" w:rsidP="00157973">
      <w:pPr>
        <w:pStyle w:val="Heading1"/>
      </w:pPr>
      <w:r>
        <w:t>ORDERING CLAUSES</w:t>
      </w:r>
    </w:p>
    <w:p w:rsidR="00157973" w:rsidRDefault="00157973" w:rsidP="00157973">
      <w:pPr>
        <w:pStyle w:val="ParaNum"/>
      </w:pPr>
      <w:r>
        <w:t>It is ordered that SES Americom, Inc. is granted authority to operate the TT&amp;C functions and beacon frequencies of SES-3 at the 103º W.L. orbital location, subject to the following terms and conditions:</w:t>
      </w:r>
    </w:p>
    <w:p w:rsidR="00157973" w:rsidRPr="00F57EC2" w:rsidRDefault="00157973" w:rsidP="00157973">
      <w:pPr>
        <w:pStyle w:val="Heading4"/>
        <w:tabs>
          <w:tab w:val="num" w:pos="2880"/>
        </w:tabs>
      </w:pPr>
      <w:r>
        <w:rPr>
          <w:b w:val="0"/>
        </w:rPr>
        <w:t xml:space="preserve">SES-3 may operate TT&amp;C using the following center frequencies:  </w:t>
      </w:r>
      <w:r w:rsidRPr="00F57EC2">
        <w:rPr>
          <w:b w:val="0"/>
        </w:rPr>
        <w:t xml:space="preserve"> </w:t>
      </w:r>
      <w:r w:rsidRPr="00C17B61">
        <w:rPr>
          <w:b w:val="0"/>
        </w:rPr>
        <w:t>3700.5 MHz, 4199.5 MHz, 11701.0 MHz, 12199.0 MHz (space-to-Earth); 6423.5 MHz and 14499.0 MHz (Earth-to-space).  SES Americom may also use its beacon transmissions</w:t>
      </w:r>
      <w:r w:rsidRPr="00F57EC2">
        <w:rPr>
          <w:b w:val="0"/>
        </w:rPr>
        <w:t xml:space="preserve"> to prepare</w:t>
      </w:r>
      <w:r>
        <w:rPr>
          <w:b w:val="0"/>
        </w:rPr>
        <w:t xml:space="preserve"> for a planned hand-over of C-and Ku-band traffic from the AMC-1 satellite to the SES-3 satellite</w:t>
      </w:r>
      <w:r w:rsidRPr="00F57EC2">
        <w:rPr>
          <w:b w:val="0"/>
        </w:rPr>
        <w:t>, sol</w:t>
      </w:r>
      <w:r>
        <w:rPr>
          <w:b w:val="0"/>
        </w:rPr>
        <w:t>ely at SES Americom’s risk.</w:t>
      </w:r>
    </w:p>
    <w:p w:rsidR="00157973" w:rsidRDefault="00157973" w:rsidP="00157973">
      <w:pPr>
        <w:pStyle w:val="Heading4"/>
        <w:tabs>
          <w:tab w:val="num" w:pos="2880"/>
        </w:tabs>
        <w:rPr>
          <w:b w:val="0"/>
        </w:rPr>
      </w:pPr>
      <w:r w:rsidRPr="00F57EC2">
        <w:rPr>
          <w:b w:val="0"/>
        </w:rPr>
        <w:t xml:space="preserve">The license term for SES-3 will be until June 30, 2025.  </w:t>
      </w:r>
    </w:p>
    <w:p w:rsidR="00157973" w:rsidRDefault="00157973" w:rsidP="00157973">
      <w:pPr>
        <w:pStyle w:val="Heading4"/>
        <w:tabs>
          <w:tab w:val="num" w:pos="2880"/>
        </w:tabs>
        <w:rPr>
          <w:b w:val="0"/>
        </w:rPr>
      </w:pPr>
      <w:r w:rsidRPr="00F57EC2">
        <w:rPr>
          <w:b w:val="0"/>
        </w:rPr>
        <w:t xml:space="preserve">SES Americom shall maintain its SES-3 </w:t>
      </w:r>
      <w:r>
        <w:rPr>
          <w:b w:val="0"/>
        </w:rPr>
        <w:t>satellite</w:t>
      </w:r>
      <w:r w:rsidRPr="00F57EC2">
        <w:rPr>
          <w:b w:val="0"/>
        </w:rPr>
        <w:t xml:space="preserve"> with an east-west longitudinal station-keeping tolerance of ± 0.05 degrees of the 103º W.L. orbital location</w:t>
      </w:r>
      <w:r>
        <w:rPr>
          <w:b w:val="0"/>
        </w:rPr>
        <w:t>.</w:t>
      </w:r>
    </w:p>
    <w:p w:rsidR="00157973" w:rsidRPr="00FC0420" w:rsidRDefault="00157973" w:rsidP="00157973">
      <w:pPr>
        <w:pStyle w:val="ParaNum"/>
        <w:tabs>
          <w:tab w:val="clear" w:pos="1440"/>
          <w:tab w:val="num" w:pos="1080"/>
        </w:tabs>
      </w:pPr>
      <w:r>
        <w:t xml:space="preserve">It is further ordered that DIRECTV LLC’s Petition to Deny or Defer is granted to the extent indicated herein.  </w:t>
      </w:r>
    </w:p>
    <w:p w:rsidR="00157973" w:rsidRDefault="00157973" w:rsidP="00157973">
      <w:pPr>
        <w:pStyle w:val="ParaNum"/>
      </w:pPr>
      <w:r>
        <w:t xml:space="preserve">It is further ordered that SES Americom, Inc. is afforded 30 days from the date of the release of this order and authorization to decline this authorization as conditioned.  Failure to respond within that period will constitute formal acceptance of the authorization as conditioned.  </w:t>
      </w:r>
    </w:p>
    <w:p w:rsidR="00803590" w:rsidRDefault="00803590">
      <w:pPr>
        <w:widowControl/>
        <w:spacing w:after="200" w:line="276" w:lineRule="auto"/>
      </w:pPr>
      <w:r>
        <w:br w:type="page"/>
      </w:r>
    </w:p>
    <w:p w:rsidR="00157973" w:rsidRDefault="00157973" w:rsidP="00157973">
      <w:pPr>
        <w:pStyle w:val="ParaNum"/>
      </w:pPr>
      <w:r w:rsidRPr="00992EF7">
        <w:t xml:space="preserve">This order is issued pursuant to Section 0.261 of the Commission’s rules on delegations of authority, 47 C.F.R. § 0.261, and is effective upon release.  Petitions for reconsideration under Section 1.106 or applications for review under Section 1.115 of the Commission’s rules, 47 C.F.R. §§ 1.106, 1.115, may be filed within 30 days of the date of the public notice indicating that this action was taken.  </w:t>
      </w:r>
    </w:p>
    <w:p w:rsidR="00157973" w:rsidRPr="00992EF7" w:rsidRDefault="00157973" w:rsidP="00157973">
      <w:pPr>
        <w:pStyle w:val="ParaNum"/>
        <w:numPr>
          <w:ilvl w:val="0"/>
          <w:numId w:val="0"/>
        </w:numPr>
        <w:spacing w:after="0"/>
        <w:ind w:left="720"/>
      </w:pPr>
    </w:p>
    <w:p w:rsidR="00157973" w:rsidRDefault="00157973" w:rsidP="00157973">
      <w:pPr>
        <w:pStyle w:val="ParaNum"/>
        <w:numPr>
          <w:ilvl w:val="0"/>
          <w:numId w:val="0"/>
        </w:numPr>
        <w:spacing w:after="0"/>
        <w:ind w:left="2880" w:firstLine="720"/>
      </w:pPr>
      <w:r>
        <w:t>FEDERAL COMMUNICATIONS COMMISSION</w:t>
      </w:r>
    </w:p>
    <w:p w:rsidR="00157973" w:rsidRDefault="00157973" w:rsidP="00157973">
      <w:pPr>
        <w:pStyle w:val="ParaNum"/>
        <w:numPr>
          <w:ilvl w:val="0"/>
          <w:numId w:val="0"/>
        </w:numPr>
        <w:ind w:left="2880" w:firstLine="720"/>
      </w:pPr>
    </w:p>
    <w:p w:rsidR="00157973" w:rsidRDefault="00157973" w:rsidP="00157973">
      <w:pPr>
        <w:pStyle w:val="ParaNum"/>
        <w:numPr>
          <w:ilvl w:val="0"/>
          <w:numId w:val="0"/>
        </w:numPr>
        <w:ind w:left="2880" w:firstLine="720"/>
      </w:pPr>
    </w:p>
    <w:p w:rsidR="00157973" w:rsidRDefault="00157973" w:rsidP="00157973">
      <w:pPr>
        <w:pStyle w:val="ParaNum"/>
        <w:numPr>
          <w:ilvl w:val="0"/>
          <w:numId w:val="0"/>
        </w:numPr>
        <w:ind w:left="2880" w:firstLine="720"/>
      </w:pPr>
    </w:p>
    <w:p w:rsidR="00157973" w:rsidRDefault="00157973" w:rsidP="00157973">
      <w:pPr>
        <w:pStyle w:val="ParaNum"/>
        <w:numPr>
          <w:ilvl w:val="0"/>
          <w:numId w:val="0"/>
        </w:numPr>
        <w:spacing w:after="0"/>
        <w:ind w:left="2880" w:firstLine="720"/>
      </w:pPr>
      <w:r>
        <w:t>Mindel De La Torre</w:t>
      </w:r>
    </w:p>
    <w:p w:rsidR="00157973" w:rsidRDefault="00157973" w:rsidP="00157973">
      <w:pPr>
        <w:pStyle w:val="ParaNum"/>
        <w:numPr>
          <w:ilvl w:val="0"/>
          <w:numId w:val="0"/>
        </w:numPr>
        <w:spacing w:after="0"/>
        <w:ind w:left="2880" w:firstLine="720"/>
      </w:pPr>
      <w:r>
        <w:t>Chief, International Bureau</w:t>
      </w:r>
    </w:p>
    <w:p w:rsidR="00157973" w:rsidRDefault="00157973" w:rsidP="00157973">
      <w:pPr>
        <w:pStyle w:val="Heading1"/>
        <w:numPr>
          <w:ilvl w:val="0"/>
          <w:numId w:val="0"/>
        </w:numPr>
        <w:ind w:left="720" w:hanging="720"/>
        <w:jc w:val="center"/>
      </w:pPr>
      <w:r>
        <w:br w:type="page"/>
      </w:r>
      <w:r w:rsidRPr="008F42B8">
        <w:t>APPENDIX</w:t>
      </w:r>
      <w:r>
        <w:t xml:space="preserve"> A</w:t>
      </w:r>
    </w:p>
    <w:p w:rsidR="00157973" w:rsidRDefault="00157973" w:rsidP="00157973">
      <w:pPr>
        <w:pStyle w:val="ParaNum"/>
        <w:numPr>
          <w:ilvl w:val="0"/>
          <w:numId w:val="0"/>
        </w:numPr>
        <w:ind w:left="720"/>
        <w:rPr>
          <w:noProof/>
          <w:snapToGrid/>
          <w:kern w:val="0"/>
          <w:sz w:val="24"/>
          <w:szCs w:val="24"/>
        </w:rPr>
      </w:pPr>
      <w:r>
        <w:rPr>
          <w:noProof/>
          <w:snapToGrid/>
          <w:kern w:val="0"/>
          <w:sz w:val="24"/>
          <w:szCs w:val="24"/>
        </w:rPr>
        <w:drawing>
          <wp:inline distT="0" distB="0" distL="0" distR="0">
            <wp:extent cx="6283960" cy="8027670"/>
            <wp:effectExtent l="0" t="0" r="2540" b="0"/>
            <wp:docPr id="6" name="Picture 8" descr="Description: Machine generated alternative text: Fcdcrai Communications Commission&#10;Washington, D.C. 20554&#10;March 21, 2014&#10;Mrs. Suzanne Lambert&#10;Director, Space Services Operations&#10;Engineering, Planning and Standards Branch&#10;Industiy Canada&#10;1 5m Floor - Jean Edmond Tower North&#10;300 Slater Street&#10;Ottawa, Ontario, Canada&#10;KIA OCX&#10;Re: Operation of thc SES-3 satellite&#10;Dear Mrs. I.ambeit:&#10;This letter is to confirm the informal understanding of Industry Canada and the Federal&#10;Communications Commission (FCC) concerning the proposed operation of the SES-3 satellite.&#10;The SES-3 satellite was launched in 2011 and is capable of operating using C-band frequencies&#10;(3700-4200 MHz downlink and 5925-6425 MHz uplink), Ku-band frequencies (11.7-12.2 GHz downlink&#10;and 14.0-14.5 GHz uplink), and 17/24 (3Hz band frequencies (17.3-17.8 (ilIz downlink and 24.75-25.25&#10;GHz uplink), with Telecomxnand, Telemetry and Control (TI’&amp;C) for the satellite in the C- and Ku-band&#10;frequencies.&#10;In connection with the operation of the satellite at the 103° W.L. orbital Location, industry Canada&#10;issued an authorization to Ciel Satellite Limited Partnership, a Canadian affiliate of SES Americom, on&#10;September 21, 2012 including a condition regarding the direction or control of the satellite facility. On&#10;December 28, 2012, SES Amencom filed an application with the FCC for a license to operate the C. and&#10;Ku-band frequencies on SES-3, and amended that application on November 13, 2013. The FCC has not&#10;presently issued any authorizations to SES Americom for operations of the C- and Ku-band frequencies&#10;on SES-3 at the 103° W.L. orbital location. SES Americom’s applications requesting such authority are&#10;pending and will require separate action by the FCC.&#10;Informal Understandings Between 1C and the FCC Concerning Operation of SES Amencom’s&#10;SES-3 Satellite&#10;It is my understanding that our agencies have concurred on the following technical issues&#10;concerning the operation of the SES-3 satellite:&#10;1. For purposes of No. 18.1 of the International Telecommunication Union (liii) Radio&#10;Regulations, the FCC will be the licensing administration for the C- and Ku- band frequencies on&#10;SES-3 and, while the satellite is located at the 103° W.L. orbital location, Industry Canada is the&#10;licensing administration for the 17/24 GHz band frequencies of the SES-3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chine generated alternative text: Fcdcrai Communications Commission&#10;Washington, D.C. 20554&#10;March 21, 2014&#10;Mrs. Suzanne Lambert&#10;Director, Space Services Operations&#10;Engineering, Planning and Standards Branch&#10;Industiy Canada&#10;1 5m Floor - Jean Edmond Tower North&#10;300 Slater Street&#10;Ottawa, Ontario, Canada&#10;KIA OCX&#10;Re: Operation of thc SES-3 satellite&#10;Dear Mrs. I.ambeit:&#10;This letter is to confirm the informal understanding of Industry Canada and the Federal&#10;Communications Commission (FCC) concerning the proposed operation of the SES-3 satellite.&#10;The SES-3 satellite was launched in 2011 and is capable of operating using C-band frequencies&#10;(3700-4200 MHz downlink and 5925-6425 MHz uplink), Ku-band frequencies (11.7-12.2 GHz downlink&#10;and 14.0-14.5 GHz uplink), and 17/24 (3Hz band frequencies (17.3-17.8 (ilIz downlink and 24.75-25.25&#10;GHz uplink), with Telecomxnand, Telemetry and Control (TI’&amp;C) for the satellite in the C- and Ku-band&#10;frequencies.&#10;In connection with the operation of the satellite at the 103° W.L. orbital Location, industry Canada&#10;issued an authorization to Ciel Satellite Limited Partnership, a Canadian affiliate of SES Americom, on&#10;September 21, 2012 including a condition regarding the direction or control of the satellite facility. On&#10;December 28, 2012, SES Amencom filed an application with the FCC for a license to operate the C. and&#10;Ku-band frequencies on SES-3, and amended that application on November 13, 2013. The FCC has not&#10;presently issued any authorizations to SES Americom for operations of the C- and Ku-band frequencies&#10;on SES-3 at the 103° W.L. orbital location. SES Americom’s applications requesting such authority are&#10;pending and will require separate action by the FCC.&#10;Informal Understandings Between 1C and the FCC Concerning Operation of SES Amencom’s&#10;SES-3 Satellite&#10;It is my understanding that our agencies have concurred on the following technical issues&#10;concerning the operation of the SES-3 satellite:&#10;1. For purposes of No. 18.1 of the International Telecommunication Union (liii) Radio&#10;Regulations, the FCC will be the licensing administration for the C- and Ku- band frequencies on&#10;SES-3 and, while the satellite is located at the 103° W.L. orbital location, Industry Canada is the&#10;licensing administration for the 17/24 GHz band frequencies of the SES-3 satelli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3960" cy="8027670"/>
                    </a:xfrm>
                    <a:prstGeom prst="rect">
                      <a:avLst/>
                    </a:prstGeom>
                    <a:noFill/>
                    <a:ln>
                      <a:noFill/>
                    </a:ln>
                  </pic:spPr>
                </pic:pic>
              </a:graphicData>
            </a:graphic>
          </wp:inline>
        </w:drawing>
      </w:r>
    </w:p>
    <w:p w:rsidR="00157973" w:rsidRDefault="00157973" w:rsidP="00157973">
      <w:pPr>
        <w:pStyle w:val="ParaNum"/>
        <w:numPr>
          <w:ilvl w:val="0"/>
          <w:numId w:val="0"/>
        </w:numPr>
        <w:ind w:firstLine="720"/>
        <w:rPr>
          <w:noProof/>
          <w:snapToGrid/>
          <w:kern w:val="0"/>
          <w:sz w:val="24"/>
          <w:szCs w:val="24"/>
        </w:rPr>
      </w:pPr>
      <w:r>
        <w:rPr>
          <w:noProof/>
          <w:snapToGrid/>
          <w:kern w:val="0"/>
          <w:sz w:val="24"/>
          <w:szCs w:val="24"/>
        </w:rPr>
        <w:br w:type="page"/>
      </w:r>
      <w:r>
        <w:rPr>
          <w:noProof/>
          <w:snapToGrid/>
          <w:kern w:val="0"/>
          <w:sz w:val="24"/>
          <w:szCs w:val="24"/>
        </w:rPr>
        <w:drawing>
          <wp:inline distT="0" distB="0" distL="0" distR="0">
            <wp:extent cx="6379845" cy="8388985"/>
            <wp:effectExtent l="0" t="0" r="1905" b="0"/>
            <wp:docPr id="5" name="Picture 7" descr="Description: Machine generated alternative text: 2. Operation of the SES-3 satellite at any location other than 103° Wi. will be subject solely to the&#10;licensing authority of the FCC, including the operation of the 17/24 (3Hz band frequencies and&#10;including any operations as a result of equipment failure in the satellite that results in the inability&#10;to maintain the satellite within ±0.05° of its assigned position at the 103° W.L. orbital location.&#10;3. SES Arnericom, under the authority issued by the United States will maintain control over the&#10;physical operations of SES-3. Ciel, under the authority issued by Canada will maintain direction&#10;and control of SES-3 satellite operations in the ¡ 7/24 0Hz band at 103° W.L.&#10;4. The FCC will retain the unilateral right in the event of extraordinary circumstances to direct SES&#10;Americom to cease operations of the satellite or any portion of the satellite, without the need for&#10;consultation with or approval from Industry Canada, for example to comply with a direction by&#10;the U.S. President under Section 706(c) of the Communications Act of 1934, as amended, 47&#10;U.S.C. § 606(c), or in the event of a satellite anomaly presenting an imminent danger, and SES&#10;Americom will be required to comply with any such direction.&#10;5. The FCC will consult with Industry Canada, if practicable, pnocto any relocation of the satellite,&#10;or as soon thereafter as possible.&#10;6. The FCC and IC will consult with each other in the event there is any proposal by the respective&#10;operators to modify licensing arrangements concerning the SES-3 satellite to include or&#10;substitute a third administration.&#10;7. Industry Canada and the Canadian licensee will be responsible for compliance with the rru&#10;Radio Regulations (in particular the coordination and notification procedures) for the Canadian&#10;licensee’s operation at 103° W.L in the 17/24 (3Hz frequency bands.&#10;8. The FCC and the U. S. licensee will be responsible for compliance with the ITU Radio&#10;Regulations (in particular the coordination and notification procedures) for the U.S. licensee’s&#10;operation at 103° W.L. in the C. and Ku- frequency bands,&#10;The informational understandings set forth above concerning operation of the SES-3 satellite do&#10;not constitute a concurrence by either the Industry Canada and the Canadian Administration or the FCC&#10;and the U.S. administration to any filings with the ITU.&#10;Additionally, it is my understanding that in the event the FCC issues a license for SES-3, the&#10;U.S. State Department will register the SES-3 spacecraft with the Secretary-General of the United&#10;Nations, pursuant to the 1976 U.N. Convention on Registration of Objects Launched into Outer Spac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hine generated alternative text: 2. Operation of the SES-3 satellite at any location other than 103° Wi. will be subject solely to the&#10;licensing authority of the FCC, including the operation of the 17/24 (3Hz band frequencies and&#10;including any operations as a result of equipment failure in the satellite that results in the inability&#10;to maintain the satellite within ±0.05° of its assigned position at the 103° W.L. orbital location.&#10;3. SES Arnericom, under the authority issued by the United States will maintain control over the&#10;physical operations of SES-3. Ciel, under the authority issued by Canada will maintain direction&#10;and control of SES-3 satellite operations in the ¡ 7/24 0Hz band at 103° W.L.&#10;4. The FCC will retain the unilateral right in the event of extraordinary circumstances to direct SES&#10;Americom to cease operations of the satellite or any portion of the satellite, without the need for&#10;consultation with or approval from Industry Canada, for example to comply with a direction by&#10;the U.S. President under Section 706(c) of the Communications Act of 1934, as amended, 47&#10;U.S.C. § 606(c), or in the event of a satellite anomaly presenting an imminent danger, and SES&#10;Americom will be required to comply with any such direction.&#10;5. The FCC will consult with Industry Canada, if practicable, pnocto any relocation of the satellite,&#10;or as soon thereafter as possible.&#10;6. The FCC and IC will consult with each other in the event there is any proposal by the respective&#10;operators to modify licensing arrangements concerning the SES-3 satellite to include or&#10;substitute a third administration.&#10;7. Industry Canada and the Canadian licensee will be responsible for compliance with the rru&#10;Radio Regulations (in particular the coordination and notification procedures) for the Canadian&#10;licensee’s operation at 103° W.L in the 17/24 (3Hz frequency bands.&#10;8. The FCC and the U. S. licensee will be responsible for compliance with the ITU Radio&#10;Regulations (in particular the coordination and notification procedures) for the U.S. licensee’s&#10;operation at 103° W.L. in the C. and Ku- frequency bands,&#10;The informational understandings set forth above concerning operation of the SES-3 satellite do&#10;not constitute a concurrence by either the Industry Canada and the Canadian Administration or the FCC&#10;and the U.S. administration to any filings with the ITU.&#10;Additionally, it is my understanding that in the event the FCC issues a license for SES-3, the&#10;U.S. State Department will register the SES-3 spacecraft with the Secretary-General of the United&#10;Nations, pursuant to the 1976 U.N. Convention on Registration of Objects Launched into Outer Space.&#1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9845" cy="8388985"/>
                    </a:xfrm>
                    <a:prstGeom prst="rect">
                      <a:avLst/>
                    </a:prstGeom>
                    <a:noFill/>
                    <a:ln>
                      <a:noFill/>
                    </a:ln>
                  </pic:spPr>
                </pic:pic>
              </a:graphicData>
            </a:graphic>
          </wp:inline>
        </w:drawing>
      </w:r>
    </w:p>
    <w:p w:rsidR="00157973" w:rsidRDefault="00157973" w:rsidP="00157973">
      <w:pPr>
        <w:pStyle w:val="ParaNum"/>
        <w:numPr>
          <w:ilvl w:val="0"/>
          <w:numId w:val="0"/>
        </w:numPr>
        <w:ind w:firstLine="720"/>
        <w:rPr>
          <w:noProof/>
          <w:snapToGrid/>
          <w:kern w:val="0"/>
          <w:sz w:val="24"/>
          <w:szCs w:val="24"/>
        </w:rPr>
      </w:pPr>
      <w:r>
        <w:rPr>
          <w:noProof/>
          <w:snapToGrid/>
          <w:kern w:val="0"/>
          <w:sz w:val="24"/>
          <w:szCs w:val="24"/>
        </w:rPr>
        <w:br w:type="page"/>
      </w:r>
      <w:r>
        <w:rPr>
          <w:noProof/>
          <w:snapToGrid/>
          <w:kern w:val="0"/>
          <w:sz w:val="24"/>
          <w:szCs w:val="24"/>
        </w:rPr>
        <w:drawing>
          <wp:inline distT="0" distB="0" distL="0" distR="0">
            <wp:extent cx="6719570" cy="8453120"/>
            <wp:effectExtent l="0" t="0" r="5080" b="5080"/>
            <wp:docPr id="3" name="Picture 6" descr="Description: Machine generated alternative text: Lastly, all notices, inquiries, and correspondences from Industzy Canada concerning these matters&#10;should be directed to the Chief, Satellite Division, International Bureau (phone number 202-418-2288)&#10;(email Jose.Albuqucrque(fcc.gov, with a copy to Karl.Kensingerfcc.gov), on the pan of the FCC. The&#10;FCC will forward all notices, inquiries, and correspondcnccs concerning these mattcrs to the Director,&#10;Space Services Operations, Engineering, Planning, and Standards Branch (phone number 613.998.3948)&#10;(email Suzanne.Lambert ic.gc.ca), on the pan of Industry Canada.&#10;1f the foregoing corresponds to your understanding of the informal arrangements between our two&#10;agencies concerning the various issues involved in the proposed operation of the SES-3 satellite at the&#10;103° W.L. orbital location, please confirm by return letter. Thank you.&#10;Sincerely,&#10;AltL9 apt&#10;3osc P. Albuquérque&#10;Chief, Satellite Division&#10;International Bureau&#10;cc: Karis Hastings&#10;Counsel for SES&#10;SatCom Law LLC&#10;1317 F Street NW, Suite 400&#10;Washington, D.C. 20004 USA&#10;Daniel C.H. Mah&#10;Regulatory Counsel&#10;SES Americom, Inc.&#10;1129 20th Street NW, Suite 1000&#10;Washington, D.C. 20036 USA&#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chine generated alternative text: Lastly, all notices, inquiries, and correspondences from Industzy Canada concerning these matters&#10;should be directed to the Chief, Satellite Division, International Bureau (phone number 202-418-2288)&#10;(email Jose.Albuqucrque(fcc.gov, with a copy to Karl.Kensingerfcc.gov), on the pan of the FCC. The&#10;FCC will forward all notices, inquiries, and correspondcnccs concerning these mattcrs to the Director,&#10;Space Services Operations, Engineering, Planning, and Standards Branch (phone number 613.998.3948)&#10;(email Suzanne.Lambert ic.gc.ca), on the pan of Industry Canada.&#10;1f the foregoing corresponds to your understanding of the informal arrangements between our two&#10;agencies concerning the various issues involved in the proposed operation of the SES-3 satellite at the&#10;103° W.L. orbital location, please confirm by return letter. Thank you.&#10;Sincerely,&#10;AltL9 apt&#10;3osc P. Albuquérque&#10;Chief, Satellite Division&#10;International Bureau&#10;cc: Karis Hastings&#10;Counsel for SES&#10;SatCom Law LLC&#10;1317 F Street NW, Suite 400&#10;Washington, D.C. 20004 USA&#10;Daniel C.H. Mah&#10;Regulatory Counsel&#10;SES Americom, Inc.&#10;1129 20th Street NW, Suite 1000&#10;Washington, D.C. 20036 USA&#1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19570" cy="8453120"/>
                    </a:xfrm>
                    <a:prstGeom prst="rect">
                      <a:avLst/>
                    </a:prstGeom>
                    <a:noFill/>
                    <a:ln>
                      <a:noFill/>
                    </a:ln>
                  </pic:spPr>
                </pic:pic>
              </a:graphicData>
            </a:graphic>
          </wp:inline>
        </w:drawing>
      </w:r>
    </w:p>
    <w:p w:rsidR="00157973" w:rsidRPr="001B10EA" w:rsidRDefault="00157973" w:rsidP="00157973">
      <w:pPr>
        <w:pStyle w:val="ParaNum"/>
        <w:numPr>
          <w:ilvl w:val="0"/>
          <w:numId w:val="0"/>
        </w:numPr>
      </w:pPr>
      <w:r>
        <w:rPr>
          <w:noProof/>
          <w:snapToGrid/>
          <w:kern w:val="0"/>
          <w:sz w:val="24"/>
          <w:szCs w:val="24"/>
        </w:rPr>
        <w:drawing>
          <wp:inline distT="0" distB="0" distL="0" distR="0">
            <wp:extent cx="6400800" cy="8101965"/>
            <wp:effectExtent l="0" t="0" r="0" b="0"/>
            <wp:docPr id="4" name="Picture 5" descr="Description: C:\Users\CURTRI~1.BAN\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CURTRI~1.BAN\AppData\Local\Temp\msohtmlclip1\02\clip_image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8101965"/>
                    </a:xfrm>
                    <a:prstGeom prst="rect">
                      <a:avLst/>
                    </a:prstGeom>
                    <a:noFill/>
                    <a:ln>
                      <a:noFill/>
                    </a:ln>
                  </pic:spPr>
                </pic:pic>
              </a:graphicData>
            </a:graphic>
          </wp:inline>
        </w:drawing>
      </w:r>
    </w:p>
    <w:p w:rsidR="00B438E7" w:rsidRDefault="008C4F37"/>
    <w:sectPr w:rsidR="00B438E7" w:rsidSect="0055614C">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pgMar w:top="1440" w:right="1440" w:bottom="720" w:left="1440" w:header="720" w:footer="72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602" w:rsidRDefault="00047602" w:rsidP="00157973">
      <w:r>
        <w:separator/>
      </w:r>
    </w:p>
  </w:endnote>
  <w:endnote w:type="continuationSeparator" w:id="0">
    <w:p w:rsidR="00047602" w:rsidRDefault="00047602" w:rsidP="00157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FB5" w:rsidRDefault="00AB5C82" w:rsidP="0055614C">
    <w:pPr>
      <w:pStyle w:val="Footer"/>
      <w:framePr w:wrap="around" w:vAnchor="text" w:hAnchor="margin" w:xAlign="center" w:y="1"/>
    </w:pPr>
    <w:r>
      <w:fldChar w:fldCharType="begin"/>
    </w:r>
    <w:r w:rsidR="009A1F24">
      <w:instrText xml:space="preserve">PAGE  </w:instrText>
    </w:r>
    <w:r>
      <w:fldChar w:fldCharType="end"/>
    </w:r>
  </w:p>
  <w:p w:rsidR="00D25FB5" w:rsidRDefault="008C4F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FB5" w:rsidRDefault="00AB5C82" w:rsidP="0055614C">
    <w:pPr>
      <w:pStyle w:val="Footer"/>
      <w:framePr w:wrap="around" w:vAnchor="text" w:hAnchor="margin" w:xAlign="center" w:y="1"/>
    </w:pPr>
    <w:r>
      <w:fldChar w:fldCharType="begin"/>
    </w:r>
    <w:r w:rsidR="009A1F24">
      <w:instrText xml:space="preserve">PAGE  </w:instrText>
    </w:r>
    <w:r>
      <w:fldChar w:fldCharType="separate"/>
    </w:r>
    <w:r w:rsidR="008C4F37">
      <w:rPr>
        <w:noProof/>
      </w:rPr>
      <w:t>2</w:t>
    </w:r>
    <w:r>
      <w:fldChar w:fldCharType="end"/>
    </w:r>
  </w:p>
  <w:p w:rsidR="00D25FB5" w:rsidRDefault="008C4F37">
    <w:pPr>
      <w:suppressAutoHyphens/>
      <w:spacing w:line="227"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FB5" w:rsidRDefault="008C4F37">
    <w:pPr>
      <w:pStyle w:val="Footer"/>
      <w:tabs>
        <w:tab w:val="clear"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602" w:rsidRDefault="00047602" w:rsidP="00157973">
      <w:r>
        <w:separator/>
      </w:r>
    </w:p>
  </w:footnote>
  <w:footnote w:type="continuationSeparator" w:id="0">
    <w:p w:rsidR="00047602" w:rsidRDefault="00047602" w:rsidP="00157973">
      <w:r>
        <w:continuationSeparator/>
      </w:r>
    </w:p>
  </w:footnote>
  <w:footnote w:id="1">
    <w:p w:rsidR="00157973" w:rsidRDefault="00157973" w:rsidP="00157973">
      <w:pPr>
        <w:pStyle w:val="FootnoteText"/>
      </w:pPr>
      <w:r>
        <w:rPr>
          <w:rStyle w:val="FootnoteReference"/>
        </w:rPr>
        <w:footnoteRef/>
      </w:r>
      <w:r>
        <w:t xml:space="preserve"> DIRECTV, LLC, Petition to Deny or Defer, IBFS File Nos. SAT-RPL-20121228-00227, SAT-AMD-20131113-00132 (filed Dec. 16, 2013) (DIRECTV Petition).</w:t>
      </w:r>
    </w:p>
  </w:footnote>
  <w:footnote w:id="2">
    <w:p w:rsidR="00157973" w:rsidRDefault="00157973" w:rsidP="00157973">
      <w:pPr>
        <w:pStyle w:val="FootnoteText"/>
      </w:pPr>
      <w:r>
        <w:rPr>
          <w:rStyle w:val="FootnoteReference"/>
        </w:rPr>
        <w:footnoteRef/>
      </w:r>
      <w:r>
        <w:t xml:space="preserve"> Both SES-3 and AMC-1 are capable of operating in the conventional </w:t>
      </w:r>
      <w:r w:rsidRPr="00624289">
        <w:t>C-</w:t>
      </w:r>
      <w:r>
        <w:t>band (3700-4200 MHz downlink and 5925-6425 MHz uplink)</w:t>
      </w:r>
      <w:r w:rsidRPr="00624289">
        <w:t xml:space="preserve"> and</w:t>
      </w:r>
      <w:r>
        <w:t xml:space="preserve"> conventional</w:t>
      </w:r>
      <w:r w:rsidRPr="00624289">
        <w:t xml:space="preserve"> Ku-band</w:t>
      </w:r>
      <w:r>
        <w:t xml:space="preserve"> (11.7-12.2 GHz downlink and 14.0-14.5 GHz uplink)</w:t>
      </w:r>
      <w:r w:rsidRPr="00624289">
        <w:t xml:space="preserve"> frequencies</w:t>
      </w:r>
      <w:r>
        <w:t>.</w:t>
      </w:r>
    </w:p>
  </w:footnote>
  <w:footnote w:id="3">
    <w:p w:rsidR="00157973" w:rsidRDefault="00157973" w:rsidP="00157973">
      <w:pPr>
        <w:pStyle w:val="FootnoteText"/>
      </w:pPr>
      <w:r>
        <w:rPr>
          <w:rStyle w:val="FootnoteReference"/>
        </w:rPr>
        <w:footnoteRef/>
      </w:r>
      <w:r>
        <w:t xml:space="preserve"> SES Americom, Inc., Application to Operate the SES-3 Replacement Satellite at 103º W.L., IBFS File No. SAT-RPL-20121228-00227 (filed Dec. 28, 2012). </w:t>
      </w:r>
    </w:p>
  </w:footnote>
  <w:footnote w:id="4">
    <w:p w:rsidR="00157973" w:rsidRPr="003812E2" w:rsidRDefault="00157973" w:rsidP="00157973">
      <w:pPr>
        <w:pStyle w:val="FootnoteText"/>
      </w:pPr>
      <w:r>
        <w:rPr>
          <w:rStyle w:val="FootnoteReference"/>
        </w:rPr>
        <w:footnoteRef/>
      </w:r>
      <w:r>
        <w:t xml:space="preserve"> SES states that it expects to seek Commission authority to relocate AMC-1 to another orbital location once SES-3 is in place.  Application Narrative, at n.5.  AMC-1’s license term extends until October 16, 2016.  </w:t>
      </w:r>
      <w:r>
        <w:rPr>
          <w:i/>
        </w:rPr>
        <w:t>GE American Communications, Inc.</w:t>
      </w:r>
      <w:r>
        <w:t xml:space="preserve">, 3 FCC Rcd 6984 (Comm. Car. Bur. 1988); </w:t>
      </w:r>
      <w:r>
        <w:rPr>
          <w:i/>
        </w:rPr>
        <w:t>GTE Spacenet Corp. and GE American Communications, Inc.</w:t>
      </w:r>
      <w:r>
        <w:t xml:space="preserve">, 9 FCC Rcd 1271 (Comm. Car. Bur. 1994); </w:t>
      </w:r>
      <w:r>
        <w:rPr>
          <w:i/>
        </w:rPr>
        <w:t>SES Americom, Inc.</w:t>
      </w:r>
      <w:r>
        <w:t>, Call Sign S2445, IBFS File No. SAT-MOD-20110718-00130 (IB Sat. Div. grant Oct. 13, 2010) (granting extension of license term until Oct. 16, 2016 and deorbit authority).</w:t>
      </w:r>
    </w:p>
  </w:footnote>
  <w:footnote w:id="5">
    <w:p w:rsidR="00157973" w:rsidRDefault="00157973" w:rsidP="00157973">
      <w:pPr>
        <w:pStyle w:val="FootnoteText"/>
      </w:pPr>
      <w:r>
        <w:rPr>
          <w:rStyle w:val="FootnoteReference"/>
        </w:rPr>
        <w:footnoteRef/>
      </w:r>
      <w:r>
        <w:t xml:space="preserve"> Narrative at 4.  </w:t>
      </w:r>
    </w:p>
  </w:footnote>
  <w:footnote w:id="6">
    <w:p w:rsidR="00157973" w:rsidRDefault="00157973" w:rsidP="00157973">
      <w:pPr>
        <w:pStyle w:val="FootnoteText"/>
      </w:pPr>
      <w:r>
        <w:rPr>
          <w:rStyle w:val="FootnoteReference"/>
        </w:rPr>
        <w:footnoteRef/>
      </w:r>
      <w:r>
        <w:t xml:space="preserve"> SES Americom, Inc., Amendment to Correct SFD Table, IBFS File No. SAT-AMD-2013-1113-00132 (filed Nov. 13, 2013).  The AMC-1 satellite’s estimated end-of-life is April 2016.  Letter from Karis A. Hastings, Counsel for SES Americom, to Marlene H. Dortch, Secretary, Federal Communications Commission (filed Feb. 11, 2014).    </w:t>
      </w:r>
    </w:p>
  </w:footnote>
  <w:footnote w:id="7">
    <w:p w:rsidR="00157973" w:rsidRPr="00BB53A3" w:rsidRDefault="00157973" w:rsidP="00157973">
      <w:pPr>
        <w:pStyle w:val="FootnoteText"/>
      </w:pPr>
      <w:r>
        <w:rPr>
          <w:rStyle w:val="FootnoteReference"/>
        </w:rPr>
        <w:footnoteRef/>
      </w:r>
      <w:r>
        <w:t xml:space="preserve"> Narrative at 5.  The AMC-1 Ku-band transponders have a polarization cant of 26 degrees while the SES-3 Ku-band transponders have horizontal and vertical polarization with no cant.  Narrative at 5, n.9; Technical Appendix, Section 2.1 and Table 1.  </w:t>
      </w:r>
    </w:p>
  </w:footnote>
  <w:footnote w:id="8">
    <w:p w:rsidR="00157973" w:rsidRDefault="00157973" w:rsidP="00157973">
      <w:pPr>
        <w:pStyle w:val="FootnoteText"/>
      </w:pPr>
      <w:r>
        <w:rPr>
          <w:rStyle w:val="FootnoteReference"/>
        </w:rPr>
        <w:footnoteRef/>
      </w:r>
      <w:r>
        <w:t xml:space="preserve"> Policy Branch Information, Satellite Space Applications Accepted for Filing, </w:t>
      </w:r>
      <w:r>
        <w:rPr>
          <w:i/>
        </w:rPr>
        <w:t>Public Notice</w:t>
      </w:r>
      <w:r>
        <w:t xml:space="preserve">, Report No. SAT-00980 (rel. Nov. 15, 2013).  </w:t>
      </w:r>
    </w:p>
  </w:footnote>
  <w:footnote w:id="9">
    <w:p w:rsidR="00157973" w:rsidRDefault="00157973" w:rsidP="00157973">
      <w:pPr>
        <w:pStyle w:val="FootnoteText"/>
      </w:pPr>
      <w:r>
        <w:rPr>
          <w:rStyle w:val="FootnoteReference"/>
        </w:rPr>
        <w:footnoteRef/>
      </w:r>
      <w:r>
        <w:t xml:space="preserve"> SES Americom, Inc., Opposition, IBFS File Nos. SAT-RPL-20121228-00227, SAT-AMD-20131113-00132 (filed Dec. 24, 2013) (SES Americom Opposition).  </w:t>
      </w:r>
    </w:p>
  </w:footnote>
  <w:footnote w:id="10">
    <w:p w:rsidR="00157973" w:rsidRDefault="00157973" w:rsidP="00157973">
      <w:pPr>
        <w:pStyle w:val="FootnoteText"/>
      </w:pPr>
      <w:r>
        <w:rPr>
          <w:rStyle w:val="FootnoteReference"/>
        </w:rPr>
        <w:footnoteRef/>
      </w:r>
      <w:r>
        <w:t xml:space="preserve"> DIRECTV, LLC, Reply, IBFS File Nos. SAT-RPL-20121228-00227, SAT-AMD-20131113-00132 (filed Jan. 3, 2014) (DIRECTV Reply).</w:t>
      </w:r>
    </w:p>
  </w:footnote>
  <w:footnote w:id="11">
    <w:p w:rsidR="00157973" w:rsidRDefault="00157973" w:rsidP="00157973">
      <w:pPr>
        <w:pStyle w:val="FootnoteText"/>
      </w:pPr>
      <w:r>
        <w:rPr>
          <w:rStyle w:val="FootnoteReference"/>
        </w:rPr>
        <w:footnoteRef/>
      </w:r>
      <w:r>
        <w:t xml:space="preserve"> DIRECTV Enterprises, LLC, Application for Authorization to Launch and Operate DIRECTV RB-2, a Satellite in the 17/24 GHz Broadcasting Satellite Service at the 102.825º W.L. Orbital Location, </w:t>
      </w:r>
      <w:r>
        <w:rPr>
          <w:i/>
        </w:rPr>
        <w:t>Order and Authorization</w:t>
      </w:r>
      <w:r>
        <w:t xml:space="preserve">, DA 09-1624 (granted July 28, 2009);  DIRECTV Enterprises, LLC, Application for 17/24 GHz Satellite at 102.825º W.L., </w:t>
      </w:r>
      <w:r w:rsidRPr="000C6C0D">
        <w:rPr>
          <w:i/>
        </w:rPr>
        <w:t>Order</w:t>
      </w:r>
      <w:r>
        <w:t xml:space="preserve">, </w:t>
      </w:r>
      <w:r w:rsidRPr="000C6C0D">
        <w:t>IBFS</w:t>
      </w:r>
      <w:r>
        <w:t xml:space="preserve"> File No. SAT-LOA-20060908-00100 (granted July 28, 2009).  The authorization for DIRECTV’s 17/24 GHz satellite, known as DIRECTV 15, covers the 17.3-17.7 GHz of downlink spectrum but does not include the 17.7-17.8 GHz downlink spectrum which is limited to international service.  DIRECTV Petition at 3, n.8.</w:t>
      </w:r>
    </w:p>
  </w:footnote>
  <w:footnote w:id="12">
    <w:p w:rsidR="00157973" w:rsidRDefault="00157973" w:rsidP="00157973">
      <w:pPr>
        <w:pStyle w:val="FootnoteText"/>
      </w:pPr>
      <w:r>
        <w:rPr>
          <w:rStyle w:val="FootnoteReference"/>
        </w:rPr>
        <w:footnoteRef/>
      </w:r>
      <w:r>
        <w:t xml:space="preserve"> DIRECTV Petition at 3-4.  </w:t>
      </w:r>
    </w:p>
  </w:footnote>
  <w:footnote w:id="13">
    <w:p w:rsidR="00157973" w:rsidRDefault="00157973" w:rsidP="00157973">
      <w:pPr>
        <w:pStyle w:val="FootnoteText"/>
      </w:pPr>
      <w:r>
        <w:rPr>
          <w:rStyle w:val="FootnoteReference"/>
        </w:rPr>
        <w:footnoteRef/>
      </w:r>
      <w:r>
        <w:t xml:space="preserve"> Letter from Karis A. Hastings, Counsel for SES Americom, to Marlene H. Dortch, Secretary, Federal Communications Commission (filed Nov. 13, 2013); Letter from Margaret L. Tobey, Vice President, Regulatory Affairs, NBCUniversal Media, LLC, to Marlene H. Dortch, Secretary, Federal Communications Commission (filed Jan. 16, 2014) (NBCU Jan. 16 </w:t>
      </w:r>
      <w:r>
        <w:rPr>
          <w:i/>
        </w:rPr>
        <w:t>ex parte</w:t>
      </w:r>
      <w:r>
        <w:t xml:space="preserve">); Letter from Karis A. Hastings, Counsel for SES Americom, to Marlene H. Dortch, Secretary, Federal Communications Commission (filed Jan. 21, 2014); Letter from Karis A. Hastings, Counsel for SES Americom, to Marlene H. Dortch, Secretary, Federal Communications Commission (filed Jan. 28, 2014); Letter from Karis A. Hastings, Counsel for SES Americom, to Marlene H. Dortch, Secretary, Federal Communications Commission (filed Feb. 11, 2014) (SES Americom Feb. 11 </w:t>
      </w:r>
      <w:r>
        <w:rPr>
          <w:i/>
        </w:rPr>
        <w:t>ex parte</w:t>
      </w:r>
      <w:r>
        <w:t xml:space="preserve">);  Letter from Margaret L. Tobey, Vice President, Regulatory Affairs, NBCUniversal Media, LLC, to Marlene H. Dortch, Secretary, Federal Communications Commission (filed Feb. 11, 2014); Letter from Karis A. Hastings, Counsel for SES Americom, to Marlene H. Dortch, Secretary, Federal Communications Commission (filed Feb. 18, 2014) (SES Americom Feb. 18 </w:t>
      </w:r>
      <w:r>
        <w:rPr>
          <w:i/>
        </w:rPr>
        <w:t>ex parte</w:t>
      </w:r>
      <w:r>
        <w:t>);  Letter from Karis A. Hastings, Counsel for SES Americom, to Marlene H. Dortch, Secretary, Federal Communications Commission (filed Feb. 19, 2014); Letter from William M. Wiltshire, Counsel for DIRECTV Enterprises, LLC, to Marlene H. Dortch, Secretary, Federal Communications Commission (filed Feb. 19, 2014);  Letter from Karis A. Hastings, Counsel for SES Americom, to Marlene H. Dortch, Secretary, Federal Communications Commission (filed Feb. 24, 2014); Letter from Karis A. Hastings, Counsel for SES Americom, to Marlene H. Dortch, Secretary, Federal Communications Commission (filed Feb. 24, 2014);  Letter from William M. Wiltshire, Counsel for DIRECTV Enterprises, LLC, to Marlene H. Dortch, Secretary, Federal Communications Commission (filed Feb. 25, 2014); Letter from Karis A. Hastings, Counsel for SES Americom, to Marlene H. Dortch, Secretary, Federal Communications Commission (filed Mar. 4, 2014); Letter from Karis A. Hastings, Counsel for SES Americom, to Marlene H. Dortch, Secretary, Federal Communications Commission (filed Mar. 6, 2014); Letter from Karis A. Hastings, Counsel for SES Americom, to Marlene H. Dortch, Secretary, Federal Communications Commission (filed Mar. 7, 2014); Letter from Karis A. Hastings, Counsel for SES Americom, to Marlene H. Dortch, Secretary, Federal Communications Commission (filed Mar. 11, 2014); Letter from Karis A. Hastings, Counsel for SES Americom, to Marlene H. Dortch, Secretary, Federal Communications Commission (filed Mar. 11, 2014); Letter from William M. Wiltshire, Counsel for DIRECTV Enterprises, LLC, to Marlene H. Dortch, Secretary, Federal Communications Commission (filed Mar. 11, 2014).</w:t>
      </w:r>
    </w:p>
  </w:footnote>
  <w:footnote w:id="14">
    <w:p w:rsidR="00157973" w:rsidRDefault="00157973" w:rsidP="00157973">
      <w:pPr>
        <w:pStyle w:val="FootnoteText"/>
      </w:pPr>
      <w:r>
        <w:rPr>
          <w:rStyle w:val="FootnoteReference"/>
        </w:rPr>
        <w:footnoteRef/>
      </w:r>
      <w:r>
        <w:t xml:space="preserve"> Narrative at 5.</w:t>
      </w:r>
    </w:p>
  </w:footnote>
  <w:footnote w:id="15">
    <w:p w:rsidR="00157973" w:rsidRDefault="00157973" w:rsidP="00157973">
      <w:pPr>
        <w:pStyle w:val="FootnoteText"/>
      </w:pPr>
      <w:r>
        <w:rPr>
          <w:rStyle w:val="FootnoteReference"/>
        </w:rPr>
        <w:footnoteRef/>
      </w:r>
      <w:r>
        <w:t xml:space="preserve"> Industry Canada Radio License, Account No. 07-140006068, effective Sept. 21, 2012.</w:t>
      </w:r>
    </w:p>
  </w:footnote>
  <w:footnote w:id="16">
    <w:p w:rsidR="00157973" w:rsidRDefault="00157973" w:rsidP="00157973">
      <w:pPr>
        <w:pStyle w:val="FootnoteText"/>
      </w:pPr>
      <w:r>
        <w:rPr>
          <w:rStyle w:val="FootnoteReference"/>
        </w:rPr>
        <w:footnoteRef/>
      </w:r>
      <w:r>
        <w:t xml:space="preserve"> Narrative at 5.  </w:t>
      </w:r>
    </w:p>
  </w:footnote>
  <w:footnote w:id="17">
    <w:p w:rsidR="00157973" w:rsidRDefault="00157973" w:rsidP="00157973">
      <w:pPr>
        <w:pStyle w:val="FootnoteText"/>
      </w:pPr>
      <w:r>
        <w:rPr>
          <w:rStyle w:val="FootnoteReference"/>
        </w:rPr>
        <w:footnoteRef/>
      </w:r>
      <w:r>
        <w:t xml:space="preserve"> See Industry Canada, “Authorized and Approved Canadian Satellites,” </w:t>
      </w:r>
      <w:r w:rsidRPr="00636E3D">
        <w:rPr>
          <w:i/>
        </w:rPr>
        <w:t>available at</w:t>
      </w:r>
      <w:r>
        <w:t xml:space="preserve"> http://www.ic.gc.ca/eic/site/smt-gst.nsf/eng/sf05343.html.</w:t>
      </w:r>
    </w:p>
  </w:footnote>
  <w:footnote w:id="18">
    <w:p w:rsidR="00157973" w:rsidRDefault="00157973" w:rsidP="00157973">
      <w:pPr>
        <w:pStyle w:val="FootnoteText"/>
      </w:pPr>
      <w:r>
        <w:rPr>
          <w:rStyle w:val="FootnoteReference"/>
        </w:rPr>
        <w:footnoteRef/>
      </w:r>
      <w:r>
        <w:t xml:space="preserve"> Letter to Bernie Haughian, Managing Director, Ciel Satellite Limited Partnership, from Suzanne Lambert, Director, Space Services Operations, Industry Canada (Sept. 21, 2012), </w:t>
      </w:r>
      <w:r>
        <w:rPr>
          <w:i/>
        </w:rPr>
        <w:t>available at</w:t>
      </w:r>
      <w:r>
        <w:t xml:space="preserve"> </w:t>
      </w:r>
      <w:hyperlink r:id="rId1" w:history="1">
        <w:r w:rsidRPr="00FD7AF3">
          <w:rPr>
            <w:rStyle w:val="Hyperlink"/>
          </w:rPr>
          <w:t>https://www.ic.gc.ca/eic/site/smt-gst.nsf/eng/sf09772.html</w:t>
        </w:r>
      </w:hyperlink>
      <w:r>
        <w:t xml:space="preserve">.   </w:t>
      </w:r>
    </w:p>
  </w:footnote>
  <w:footnote w:id="19">
    <w:p w:rsidR="00157973" w:rsidRDefault="00157973" w:rsidP="00157973">
      <w:pPr>
        <w:pStyle w:val="FootnoteText"/>
      </w:pPr>
      <w:r>
        <w:rPr>
          <w:rStyle w:val="FootnoteReference"/>
        </w:rPr>
        <w:footnoteRef/>
      </w:r>
      <w:r>
        <w:t xml:space="preserve"> 47 C.F.R. § 25.113(g).  </w:t>
      </w:r>
    </w:p>
  </w:footnote>
  <w:footnote w:id="20">
    <w:p w:rsidR="00157973" w:rsidRPr="001839A5" w:rsidRDefault="00157973" w:rsidP="00157973">
      <w:pPr>
        <w:pStyle w:val="FootnoteText"/>
      </w:pPr>
      <w:r>
        <w:rPr>
          <w:rStyle w:val="FootnoteReference"/>
        </w:rPr>
        <w:footnoteRef/>
      </w:r>
      <w:r>
        <w:t xml:space="preserve"> </w:t>
      </w:r>
      <w:r>
        <w:rPr>
          <w:i/>
        </w:rPr>
        <w:t>See infra</w:t>
      </w:r>
      <w:r>
        <w:t xml:space="preserve"> ¶ 9.</w:t>
      </w:r>
    </w:p>
  </w:footnote>
  <w:footnote w:id="21">
    <w:p w:rsidR="00157973" w:rsidRDefault="00157973" w:rsidP="00157973">
      <w:pPr>
        <w:pStyle w:val="FootnoteText"/>
      </w:pPr>
      <w:r>
        <w:rPr>
          <w:rStyle w:val="FootnoteReference"/>
        </w:rPr>
        <w:footnoteRef/>
      </w:r>
      <w:r>
        <w:t xml:space="preserve"> Letter from Karis Hastings, Counsel for SES Americom, to Marlene H. Dortch, Secretary, Federal Communications Commission, IBFS File Nos. SAT-RPL-20121228-00227, SAT-AMD-20131113-00132 (July 19, 2013). </w:t>
      </w:r>
    </w:p>
  </w:footnote>
  <w:footnote w:id="22">
    <w:p w:rsidR="00157973" w:rsidRDefault="00157973" w:rsidP="00157973">
      <w:pPr>
        <w:pStyle w:val="FootnoteText"/>
      </w:pPr>
      <w:r>
        <w:rPr>
          <w:rStyle w:val="FootnoteReference"/>
        </w:rPr>
        <w:footnoteRef/>
      </w:r>
      <w:r>
        <w:t xml:space="preserve"> </w:t>
      </w:r>
      <w:r w:rsidRPr="00883501">
        <w:t>DIRECTV Petition at 9; DIRECTV Reply at 9-10.</w:t>
      </w:r>
      <w:r>
        <w:t xml:space="preserve">  </w:t>
      </w:r>
    </w:p>
  </w:footnote>
  <w:footnote w:id="23">
    <w:p w:rsidR="00157973" w:rsidRDefault="00157973" w:rsidP="00157973">
      <w:pPr>
        <w:pStyle w:val="FootnoteText"/>
      </w:pPr>
      <w:r>
        <w:rPr>
          <w:rStyle w:val="FootnoteReference"/>
        </w:rPr>
        <w:footnoteRef/>
      </w:r>
      <w:r>
        <w:t xml:space="preserve"> DIRECTV Enterprises, LLC, Application for Authorization to Launch and Operate DIRECTV RB-2, a Satellite in the 17/24 GHz Broadcasting Satellite Service at the 102.825º W.L. Orbital Location, </w:t>
      </w:r>
      <w:r>
        <w:rPr>
          <w:i/>
        </w:rPr>
        <w:t>Order and Authorization</w:t>
      </w:r>
      <w:r>
        <w:t xml:space="preserve">, DA 09-1624 (granted July 28, 2009).  </w:t>
      </w:r>
    </w:p>
  </w:footnote>
  <w:footnote w:id="24">
    <w:p w:rsidR="00157973" w:rsidRDefault="00157973" w:rsidP="00157973">
      <w:pPr>
        <w:pStyle w:val="FootnoteText"/>
      </w:pPr>
      <w:r>
        <w:rPr>
          <w:rStyle w:val="FootnoteReference"/>
        </w:rPr>
        <w:footnoteRef/>
      </w:r>
      <w:r>
        <w:t xml:space="preserve"> The Canadian CANBSS-19 filing was filed on </w:t>
      </w:r>
      <w:r w:rsidRPr="00CC2D02">
        <w:t>January 30, 2006</w:t>
      </w:r>
      <w:r>
        <w:t xml:space="preserve"> and published in Special Section CRC 1907 with IFIC No. 2590 on March 3, 2007 prior to the date of filing of the U.S filings.  USABSN-12 was filed on February 10, 2006 and published in Special Section CRC 2009 with IFIC No. 2600 on July 23, 2007, USABSN-12A, was filed on September 24, 2008 and published in Special Section CRC 2389 with IFIC No. 2648 on June 29, 2009; and, USABSN-12B filing was filed </w:t>
      </w:r>
      <w:r w:rsidRPr="001D0B2C">
        <w:t xml:space="preserve">on </w:t>
      </w:r>
      <w:r w:rsidRPr="00636E3D">
        <w:t>August 19, 2011</w:t>
      </w:r>
      <w:r>
        <w:t xml:space="preserve"> and published in Special Section CRC 3410 with IFIC No. 2756 on October 14, 2013.</w:t>
      </w:r>
    </w:p>
  </w:footnote>
  <w:footnote w:id="25">
    <w:p w:rsidR="00157973" w:rsidRDefault="00157973" w:rsidP="00157973">
      <w:pPr>
        <w:pStyle w:val="FootnoteText"/>
      </w:pPr>
      <w:r>
        <w:rPr>
          <w:rStyle w:val="FootnoteReference"/>
        </w:rPr>
        <w:footnoteRef/>
      </w:r>
      <w:r>
        <w:t xml:space="preserve"> </w:t>
      </w:r>
      <w:r w:rsidRPr="00883501">
        <w:t>DIRECTV Petition at 9; DIRECTV Reply at 9-10.</w:t>
      </w:r>
      <w:r>
        <w:t xml:space="preserve">  </w:t>
      </w:r>
    </w:p>
  </w:footnote>
  <w:footnote w:id="26">
    <w:p w:rsidR="00157973" w:rsidRDefault="00157973" w:rsidP="00157973">
      <w:pPr>
        <w:pStyle w:val="FootnoteText"/>
      </w:pPr>
      <w:r>
        <w:rPr>
          <w:rStyle w:val="FootnoteReference"/>
        </w:rPr>
        <w:footnoteRef/>
      </w:r>
      <w:r>
        <w:t xml:space="preserve"> </w:t>
      </w:r>
      <w:r w:rsidRPr="00883501">
        <w:t xml:space="preserve">DIRECTV Petition at </w:t>
      </w:r>
      <w:r>
        <w:t>14</w:t>
      </w:r>
      <w:r w:rsidRPr="00883501">
        <w:t>; DIRECTV Reply at 9-10.</w:t>
      </w:r>
      <w:r>
        <w:t xml:space="preserve">  </w:t>
      </w:r>
    </w:p>
  </w:footnote>
  <w:footnote w:id="27">
    <w:p w:rsidR="00157973" w:rsidRPr="00252A7B" w:rsidRDefault="00157973" w:rsidP="00157973">
      <w:pPr>
        <w:pStyle w:val="FootnoteText"/>
      </w:pPr>
      <w:r>
        <w:rPr>
          <w:rStyle w:val="FootnoteReference"/>
        </w:rPr>
        <w:footnoteRef/>
      </w:r>
      <w:r w:rsidRPr="002F15E1">
        <w:rPr>
          <w:lang w:val="es-ES"/>
        </w:rPr>
        <w:t xml:space="preserve"> SES Americom Feb. 11 </w:t>
      </w:r>
      <w:r w:rsidRPr="002F15E1">
        <w:rPr>
          <w:i/>
          <w:lang w:val="es-ES"/>
        </w:rPr>
        <w:t xml:space="preserve">ex parte </w:t>
      </w:r>
      <w:r w:rsidRPr="002F15E1">
        <w:rPr>
          <w:lang w:val="es-ES"/>
        </w:rPr>
        <w:t xml:space="preserve">at 1-2; SES Americom Feb. 18 </w:t>
      </w:r>
      <w:r w:rsidRPr="002F15E1">
        <w:rPr>
          <w:i/>
          <w:lang w:val="es-ES"/>
        </w:rPr>
        <w:t>ex parte</w:t>
      </w:r>
      <w:r w:rsidRPr="002F15E1">
        <w:rPr>
          <w:lang w:val="es-ES"/>
        </w:rPr>
        <w:t xml:space="preserve"> at 1-2.  </w:t>
      </w:r>
      <w:r>
        <w:rPr>
          <w:i/>
        </w:rPr>
        <w:t xml:space="preserve">See also </w:t>
      </w:r>
      <w:r>
        <w:t xml:space="preserve">NBCU Jan. 16 </w:t>
      </w:r>
      <w:r>
        <w:rPr>
          <w:i/>
        </w:rPr>
        <w:t>ex parte</w:t>
      </w:r>
      <w:r>
        <w:t xml:space="preserve"> at 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98B" w:rsidRDefault="00AB29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FB5" w:rsidRDefault="009A1F24" w:rsidP="00810B6F">
    <w:pPr>
      <w:pStyle w:val="Header"/>
      <w:rPr>
        <w:b w:val="0"/>
      </w:rPr>
    </w:pPr>
    <w:r>
      <w:tab/>
      <w:t>Federal Com</w:t>
    </w:r>
    <w:r w:rsidR="00081BF6">
      <w:t>munications Commission</w:t>
    </w:r>
    <w:r w:rsidR="00081BF6">
      <w:tab/>
      <w:t>DA 14-462</w:t>
    </w:r>
  </w:p>
  <w:p w:rsidR="00D25FB5" w:rsidRDefault="00C51952">
    <w:pPr>
      <w:tabs>
        <w:tab w:val="left" w:pos="-720"/>
      </w:tabs>
      <w:suppressAutoHyphens/>
      <w:spacing w:line="19" w:lineRule="exact"/>
      <w:rPr>
        <w:spacing w:val="-2"/>
      </w:rPr>
    </w:pPr>
    <w:r>
      <w:rPr>
        <w:noProof/>
        <w:snapToGrid/>
      </w:rPr>
      <mc:AlternateContent>
        <mc:Choice Requires="wps">
          <w:drawing>
            <wp:anchor distT="0" distB="0" distL="114300" distR="114300" simplePos="0" relativeHeight="251659264" behindDoc="1" locked="0" layoutInCell="0" allowOverlap="1">
              <wp:simplePos x="0" y="0"/>
              <wp:positionH relativeFrom="margin">
                <wp:posOffset>0</wp:posOffset>
              </wp:positionH>
              <wp:positionV relativeFrom="paragraph">
                <wp:posOffset>0</wp:posOffset>
              </wp:positionV>
              <wp:extent cx="5943600" cy="12065"/>
              <wp:effectExtent l="0" t="0" r="0" b="698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468pt;height:.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ny5w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" o:allowincell="f" fillcolor="black" stroked="f" strokeweight=".05pt">
              <w10:wrap anchorx="margin"/>
            </v:rect>
          </w:pict>
        </mc:Fallback>
      </mc:AlternateContent>
    </w:r>
  </w:p>
  <w:p w:rsidR="00D25FB5" w:rsidRDefault="008C4F37">
    <w:pPr>
      <w:spacing w:after="389" w:line="100" w:lineRule="exact"/>
      <w:rPr>
        <w:sz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FB5" w:rsidRDefault="00C51952" w:rsidP="00810B6F">
    <w:pPr>
      <w:pStyle w:val="Header"/>
      <w:rPr>
        <w:b w:val="0"/>
      </w:rPr>
    </w:pPr>
    <w:r>
      <w:rPr>
        <w:noProof/>
        <w:snapToGrid/>
      </w:rPr>
      <mc:AlternateContent>
        <mc:Choice Requires="wps">
          <w:drawing>
            <wp:anchor distT="0" distB="0" distL="114300" distR="114300" simplePos="0" relativeHeight="251660288" behindDoc="1" locked="0" layoutInCell="0" allowOverlap="1">
              <wp:simplePos x="0" y="0"/>
              <wp:positionH relativeFrom="margin">
                <wp:posOffset>7620</wp:posOffset>
              </wp:positionH>
              <wp:positionV relativeFrom="paragraph">
                <wp:posOffset>160655</wp:posOffset>
              </wp:positionV>
              <wp:extent cx="5943600" cy="12065"/>
              <wp:effectExtent l="0" t="0" r="0" b="698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pt;margin-top:12.65pt;width:468pt;height:.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gB6Q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" o:allowincell="f" fillcolor="black" stroked="f" strokeweight=".05pt">
              <w10:wrap anchorx="margin"/>
            </v:rect>
          </w:pict>
        </mc:Fallback>
      </mc:AlternateContent>
    </w:r>
    <w:r w:rsidR="009A1F24">
      <w:tab/>
      <w:t>Federal Communications Commission</w:t>
    </w:r>
    <w:r w:rsidR="009A1F24">
      <w:tab/>
    </w:r>
    <w:r w:rsidR="009A1F24">
      <w:rPr>
        <w:spacing w:val="-2"/>
      </w:rPr>
      <w:t xml:space="preserve">DA </w:t>
    </w:r>
    <w:r w:rsidR="00081BF6">
      <w:rPr>
        <w:spacing w:val="-2"/>
      </w:rPr>
      <w:t>14-462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06CBB"/>
    <w:multiLevelType w:val="multilevel"/>
    <w:tmpl w:val="10AA8B5A"/>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rPr>
        <w:b w:val="0"/>
      </w:r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
    <w:nsid w:val="61182925"/>
    <w:multiLevelType w:val="singleLevel"/>
    <w:tmpl w:val="A9EE9842"/>
    <w:lvl w:ilvl="0">
      <w:start w:val="1"/>
      <w:numFmt w:val="decimal"/>
      <w:pStyle w:val="ParaNum"/>
      <w:lvlText w:val="%1."/>
      <w:lvlJc w:val="left"/>
      <w:pPr>
        <w:tabs>
          <w:tab w:val="num" w:pos="1080"/>
        </w:tabs>
        <w:ind w:left="0" w:firstLine="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973"/>
    <w:rsid w:val="00047602"/>
    <w:rsid w:val="00081BF6"/>
    <w:rsid w:val="000F2759"/>
    <w:rsid w:val="000F5DE1"/>
    <w:rsid w:val="00103F0A"/>
    <w:rsid w:val="00157973"/>
    <w:rsid w:val="0018418E"/>
    <w:rsid w:val="003168C7"/>
    <w:rsid w:val="003E38E3"/>
    <w:rsid w:val="00426952"/>
    <w:rsid w:val="00461A7C"/>
    <w:rsid w:val="005E6B34"/>
    <w:rsid w:val="00803590"/>
    <w:rsid w:val="008C4F37"/>
    <w:rsid w:val="009366F2"/>
    <w:rsid w:val="009A1F24"/>
    <w:rsid w:val="00AB298B"/>
    <w:rsid w:val="00AB5C82"/>
    <w:rsid w:val="00C51952"/>
    <w:rsid w:val="00CE1C85"/>
    <w:rsid w:val="00D51A2A"/>
    <w:rsid w:val="00FB4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973"/>
    <w:pPr>
      <w:widowControl w:val="0"/>
      <w:spacing w:after="0" w:line="240" w:lineRule="auto"/>
    </w:pPr>
    <w:rPr>
      <w:rFonts w:ascii="Times New Roman" w:eastAsia="Times New Roman" w:hAnsi="Times New Roman" w:cs="Times New Roman"/>
      <w:snapToGrid w:val="0"/>
      <w:kern w:val="28"/>
      <w:szCs w:val="20"/>
    </w:rPr>
  </w:style>
  <w:style w:type="paragraph" w:styleId="Heading1">
    <w:name w:val="heading 1"/>
    <w:basedOn w:val="Normal"/>
    <w:next w:val="ParaNum"/>
    <w:link w:val="Heading1Char"/>
    <w:qFormat/>
    <w:rsid w:val="00157973"/>
    <w:pPr>
      <w:keepNext/>
      <w:numPr>
        <w:numId w:val="2"/>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157973"/>
    <w:pPr>
      <w:keepNext/>
      <w:numPr>
        <w:ilvl w:val="1"/>
        <w:numId w:val="2"/>
      </w:numPr>
      <w:spacing w:after="120"/>
      <w:outlineLvl w:val="1"/>
    </w:pPr>
    <w:rPr>
      <w:b/>
    </w:rPr>
  </w:style>
  <w:style w:type="paragraph" w:styleId="Heading3">
    <w:name w:val="heading 3"/>
    <w:basedOn w:val="Normal"/>
    <w:next w:val="ParaNum"/>
    <w:link w:val="Heading3Char"/>
    <w:qFormat/>
    <w:rsid w:val="00157973"/>
    <w:pPr>
      <w:keepNext/>
      <w:numPr>
        <w:ilvl w:val="2"/>
        <w:numId w:val="2"/>
      </w:numPr>
      <w:tabs>
        <w:tab w:val="left" w:pos="2160"/>
      </w:tabs>
      <w:spacing w:after="120"/>
      <w:outlineLvl w:val="2"/>
    </w:pPr>
    <w:rPr>
      <w:b/>
    </w:rPr>
  </w:style>
  <w:style w:type="paragraph" w:styleId="Heading4">
    <w:name w:val="heading 4"/>
    <w:basedOn w:val="Normal"/>
    <w:next w:val="ParaNum"/>
    <w:link w:val="Heading4Char"/>
    <w:qFormat/>
    <w:rsid w:val="00157973"/>
    <w:pPr>
      <w:keepNext/>
      <w:numPr>
        <w:ilvl w:val="3"/>
        <w:numId w:val="2"/>
      </w:numPr>
      <w:tabs>
        <w:tab w:val="left" w:pos="2880"/>
      </w:tabs>
      <w:spacing w:after="120"/>
      <w:outlineLvl w:val="3"/>
    </w:pPr>
    <w:rPr>
      <w:b/>
    </w:rPr>
  </w:style>
  <w:style w:type="paragraph" w:styleId="Heading5">
    <w:name w:val="heading 5"/>
    <w:basedOn w:val="Normal"/>
    <w:next w:val="ParaNum"/>
    <w:link w:val="Heading5Char"/>
    <w:qFormat/>
    <w:rsid w:val="00157973"/>
    <w:pPr>
      <w:keepNext/>
      <w:numPr>
        <w:ilvl w:val="4"/>
        <w:numId w:val="2"/>
      </w:numPr>
      <w:tabs>
        <w:tab w:val="left" w:pos="3600"/>
      </w:tabs>
      <w:suppressAutoHyphens/>
      <w:spacing w:after="120"/>
      <w:outlineLvl w:val="4"/>
    </w:pPr>
    <w:rPr>
      <w:b/>
    </w:rPr>
  </w:style>
  <w:style w:type="paragraph" w:styleId="Heading6">
    <w:name w:val="heading 6"/>
    <w:basedOn w:val="Normal"/>
    <w:next w:val="ParaNum"/>
    <w:link w:val="Heading6Char"/>
    <w:qFormat/>
    <w:rsid w:val="00157973"/>
    <w:pPr>
      <w:numPr>
        <w:ilvl w:val="5"/>
        <w:numId w:val="2"/>
      </w:numPr>
      <w:tabs>
        <w:tab w:val="left" w:pos="4320"/>
      </w:tabs>
      <w:spacing w:after="120"/>
      <w:outlineLvl w:val="5"/>
    </w:pPr>
    <w:rPr>
      <w:b/>
    </w:rPr>
  </w:style>
  <w:style w:type="paragraph" w:styleId="Heading7">
    <w:name w:val="heading 7"/>
    <w:basedOn w:val="Normal"/>
    <w:next w:val="ParaNum"/>
    <w:link w:val="Heading7Char"/>
    <w:qFormat/>
    <w:rsid w:val="00157973"/>
    <w:pPr>
      <w:numPr>
        <w:ilvl w:val="6"/>
        <w:numId w:val="2"/>
      </w:numPr>
      <w:tabs>
        <w:tab w:val="left" w:pos="5040"/>
      </w:tabs>
      <w:spacing w:after="120"/>
      <w:ind w:left="5040" w:hanging="720"/>
      <w:outlineLvl w:val="6"/>
    </w:pPr>
    <w:rPr>
      <w:b/>
    </w:rPr>
  </w:style>
  <w:style w:type="paragraph" w:styleId="Heading8">
    <w:name w:val="heading 8"/>
    <w:basedOn w:val="Normal"/>
    <w:next w:val="ParaNum"/>
    <w:link w:val="Heading8Char"/>
    <w:qFormat/>
    <w:rsid w:val="00157973"/>
    <w:pPr>
      <w:numPr>
        <w:ilvl w:val="7"/>
        <w:numId w:val="2"/>
      </w:numPr>
      <w:tabs>
        <w:tab w:val="clear" w:pos="5400"/>
        <w:tab w:val="left" w:pos="5760"/>
      </w:tabs>
      <w:spacing w:after="120"/>
      <w:ind w:left="5760" w:hanging="720"/>
      <w:outlineLvl w:val="7"/>
    </w:pPr>
    <w:rPr>
      <w:b/>
    </w:rPr>
  </w:style>
  <w:style w:type="paragraph" w:styleId="Heading9">
    <w:name w:val="heading 9"/>
    <w:basedOn w:val="Normal"/>
    <w:next w:val="ParaNum"/>
    <w:link w:val="Heading9Char"/>
    <w:qFormat/>
    <w:rsid w:val="00157973"/>
    <w:pPr>
      <w:numPr>
        <w:ilvl w:val="8"/>
        <w:numId w:val="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973"/>
    <w:rPr>
      <w:rFonts w:ascii="Times New Roman Bold" w:eastAsia="Times New Roman" w:hAnsi="Times New Roman Bold" w:cs="Times New Roman"/>
      <w:b/>
      <w:caps/>
      <w:snapToGrid w:val="0"/>
      <w:kern w:val="28"/>
      <w:szCs w:val="20"/>
    </w:rPr>
  </w:style>
  <w:style w:type="character" w:customStyle="1" w:styleId="Heading2Char">
    <w:name w:val="Heading 2 Char"/>
    <w:basedOn w:val="DefaultParagraphFont"/>
    <w:link w:val="Heading2"/>
    <w:rsid w:val="00157973"/>
    <w:rPr>
      <w:rFonts w:ascii="Times New Roman" w:eastAsia="Times New Roman" w:hAnsi="Times New Roman" w:cs="Times New Roman"/>
      <w:b/>
      <w:snapToGrid w:val="0"/>
      <w:kern w:val="28"/>
      <w:szCs w:val="20"/>
    </w:rPr>
  </w:style>
  <w:style w:type="character" w:customStyle="1" w:styleId="Heading3Char">
    <w:name w:val="Heading 3 Char"/>
    <w:basedOn w:val="DefaultParagraphFont"/>
    <w:link w:val="Heading3"/>
    <w:rsid w:val="00157973"/>
    <w:rPr>
      <w:rFonts w:ascii="Times New Roman" w:eastAsia="Times New Roman" w:hAnsi="Times New Roman" w:cs="Times New Roman"/>
      <w:b/>
      <w:snapToGrid w:val="0"/>
      <w:kern w:val="28"/>
      <w:szCs w:val="20"/>
    </w:rPr>
  </w:style>
  <w:style w:type="character" w:customStyle="1" w:styleId="Heading4Char">
    <w:name w:val="Heading 4 Char"/>
    <w:basedOn w:val="DefaultParagraphFont"/>
    <w:link w:val="Heading4"/>
    <w:rsid w:val="00157973"/>
    <w:rPr>
      <w:rFonts w:ascii="Times New Roman" w:eastAsia="Times New Roman" w:hAnsi="Times New Roman" w:cs="Times New Roman"/>
      <w:b/>
      <w:snapToGrid w:val="0"/>
      <w:kern w:val="28"/>
      <w:szCs w:val="20"/>
    </w:rPr>
  </w:style>
  <w:style w:type="character" w:customStyle="1" w:styleId="Heading5Char">
    <w:name w:val="Heading 5 Char"/>
    <w:basedOn w:val="DefaultParagraphFont"/>
    <w:link w:val="Heading5"/>
    <w:rsid w:val="00157973"/>
    <w:rPr>
      <w:rFonts w:ascii="Times New Roman" w:eastAsia="Times New Roman" w:hAnsi="Times New Roman" w:cs="Times New Roman"/>
      <w:b/>
      <w:snapToGrid w:val="0"/>
      <w:kern w:val="28"/>
      <w:szCs w:val="20"/>
    </w:rPr>
  </w:style>
  <w:style w:type="character" w:customStyle="1" w:styleId="Heading6Char">
    <w:name w:val="Heading 6 Char"/>
    <w:basedOn w:val="DefaultParagraphFont"/>
    <w:link w:val="Heading6"/>
    <w:rsid w:val="00157973"/>
    <w:rPr>
      <w:rFonts w:ascii="Times New Roman" w:eastAsia="Times New Roman" w:hAnsi="Times New Roman" w:cs="Times New Roman"/>
      <w:b/>
      <w:snapToGrid w:val="0"/>
      <w:kern w:val="28"/>
      <w:szCs w:val="20"/>
    </w:rPr>
  </w:style>
  <w:style w:type="character" w:customStyle="1" w:styleId="Heading7Char">
    <w:name w:val="Heading 7 Char"/>
    <w:basedOn w:val="DefaultParagraphFont"/>
    <w:link w:val="Heading7"/>
    <w:rsid w:val="00157973"/>
    <w:rPr>
      <w:rFonts w:ascii="Times New Roman" w:eastAsia="Times New Roman" w:hAnsi="Times New Roman" w:cs="Times New Roman"/>
      <w:b/>
      <w:snapToGrid w:val="0"/>
      <w:kern w:val="28"/>
      <w:szCs w:val="20"/>
    </w:rPr>
  </w:style>
  <w:style w:type="character" w:customStyle="1" w:styleId="Heading8Char">
    <w:name w:val="Heading 8 Char"/>
    <w:basedOn w:val="DefaultParagraphFont"/>
    <w:link w:val="Heading8"/>
    <w:rsid w:val="00157973"/>
    <w:rPr>
      <w:rFonts w:ascii="Times New Roman" w:eastAsia="Times New Roman" w:hAnsi="Times New Roman" w:cs="Times New Roman"/>
      <w:b/>
      <w:snapToGrid w:val="0"/>
      <w:kern w:val="28"/>
      <w:szCs w:val="20"/>
    </w:rPr>
  </w:style>
  <w:style w:type="character" w:customStyle="1" w:styleId="Heading9Char">
    <w:name w:val="Heading 9 Char"/>
    <w:basedOn w:val="DefaultParagraphFont"/>
    <w:link w:val="Heading9"/>
    <w:rsid w:val="00157973"/>
    <w:rPr>
      <w:rFonts w:ascii="Times New Roman" w:eastAsia="Times New Roman" w:hAnsi="Times New Roman" w:cs="Times New Roman"/>
      <w:b/>
      <w:snapToGrid w:val="0"/>
      <w:kern w:val="28"/>
      <w:szCs w:val="20"/>
    </w:rPr>
  </w:style>
  <w:style w:type="paragraph" w:customStyle="1" w:styleId="ParaNum">
    <w:name w:val="ParaNum"/>
    <w:basedOn w:val="Normal"/>
    <w:link w:val="ParaNumChar1"/>
    <w:rsid w:val="00157973"/>
    <w:pPr>
      <w:numPr>
        <w:numId w:val="1"/>
      </w:numPr>
      <w:tabs>
        <w:tab w:val="clear" w:pos="1080"/>
        <w:tab w:val="num" w:pos="1440"/>
      </w:tabs>
      <w:spacing w:after="120"/>
    </w:pPr>
  </w:style>
  <w:style w:type="paragraph" w:styleId="FootnoteText">
    <w:name w:val="footnote text"/>
    <w:aliases w:val="Footnote Text Char1 Char,ALTS FOOTNOTE Char Char,fn Char Char,Footnote Text Char Char1 Char,Footnote Text Char2 Char1 Char Char,Footnote Text Char1 Char Char Char Char,Footnote Text Char Char Char Char Char Char,fn Char"/>
    <w:link w:val="FootnoteTextChar"/>
    <w:rsid w:val="00157973"/>
    <w:pPr>
      <w:spacing w:after="12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1 Char Char,ALTS FOOTNOTE Char Char Char,fn Char Char Char,Footnote Text Char Char1 Char Char,Footnote Text Char2 Char1 Char Char Char,Footnote Text Char1 Char Char Char Char Char,fn Char Char1"/>
    <w:basedOn w:val="DefaultParagraphFont"/>
    <w:link w:val="FootnoteText"/>
    <w:rsid w:val="00157973"/>
    <w:rPr>
      <w:rFonts w:ascii="Times New Roman" w:eastAsia="Times New Roman" w:hAnsi="Times New Roman" w:cs="Times New Roman"/>
      <w:sz w:val="20"/>
      <w:szCs w:val="20"/>
    </w:rPr>
  </w:style>
  <w:style w:type="character" w:styleId="FootnoteReference">
    <w:name w:val="footnote reference"/>
    <w:aliases w:val="Style 13,Style 12,(NECG) Footnote Reference,Appel note de bas de p,Style 124,fr,o,Style 3,FR,Style 6,Style 17,Footnote Reference/"/>
    <w:rsid w:val="00157973"/>
    <w:rPr>
      <w:rFonts w:ascii="Times New Roman" w:hAnsi="Times New Roman"/>
      <w:dstrike w:val="0"/>
      <w:color w:val="auto"/>
      <w:sz w:val="20"/>
      <w:vertAlign w:val="superscript"/>
    </w:rPr>
  </w:style>
  <w:style w:type="paragraph" w:styleId="TOAHeading">
    <w:name w:val="toa heading"/>
    <w:basedOn w:val="Normal"/>
    <w:next w:val="Normal"/>
    <w:semiHidden/>
    <w:rsid w:val="00157973"/>
    <w:pPr>
      <w:tabs>
        <w:tab w:val="right" w:pos="9360"/>
      </w:tabs>
      <w:suppressAutoHyphens/>
    </w:pPr>
  </w:style>
  <w:style w:type="paragraph" w:styleId="Header">
    <w:name w:val="header"/>
    <w:basedOn w:val="Normal"/>
    <w:link w:val="HeaderChar"/>
    <w:autoRedefine/>
    <w:rsid w:val="00157973"/>
    <w:pPr>
      <w:tabs>
        <w:tab w:val="center" w:pos="4680"/>
        <w:tab w:val="right" w:pos="9360"/>
      </w:tabs>
    </w:pPr>
    <w:rPr>
      <w:b/>
    </w:rPr>
  </w:style>
  <w:style w:type="character" w:customStyle="1" w:styleId="HeaderChar">
    <w:name w:val="Header Char"/>
    <w:basedOn w:val="DefaultParagraphFont"/>
    <w:link w:val="Header"/>
    <w:rsid w:val="00157973"/>
    <w:rPr>
      <w:rFonts w:ascii="Times New Roman" w:eastAsia="Times New Roman" w:hAnsi="Times New Roman" w:cs="Times New Roman"/>
      <w:b/>
      <w:snapToGrid w:val="0"/>
      <w:kern w:val="28"/>
      <w:szCs w:val="20"/>
    </w:rPr>
  </w:style>
  <w:style w:type="paragraph" w:styleId="Footer">
    <w:name w:val="footer"/>
    <w:basedOn w:val="Normal"/>
    <w:link w:val="FooterChar"/>
    <w:rsid w:val="00157973"/>
    <w:pPr>
      <w:tabs>
        <w:tab w:val="center" w:pos="4320"/>
        <w:tab w:val="right" w:pos="8640"/>
      </w:tabs>
    </w:pPr>
  </w:style>
  <w:style w:type="character" w:customStyle="1" w:styleId="FooterChar">
    <w:name w:val="Footer Char"/>
    <w:basedOn w:val="DefaultParagraphFont"/>
    <w:link w:val="Footer"/>
    <w:rsid w:val="00157973"/>
    <w:rPr>
      <w:rFonts w:ascii="Times New Roman" w:eastAsia="Times New Roman" w:hAnsi="Times New Roman" w:cs="Times New Roman"/>
      <w:snapToGrid w:val="0"/>
      <w:kern w:val="28"/>
      <w:szCs w:val="20"/>
    </w:rPr>
  </w:style>
  <w:style w:type="paragraph" w:customStyle="1" w:styleId="StyleBoldCentered">
    <w:name w:val="Style Bold Centered"/>
    <w:basedOn w:val="Normal"/>
    <w:rsid w:val="00157973"/>
    <w:pPr>
      <w:jc w:val="center"/>
    </w:pPr>
    <w:rPr>
      <w:rFonts w:ascii="Times New Roman Bold" w:hAnsi="Times New Roman Bold"/>
      <w:b/>
      <w:bCs/>
      <w:caps/>
      <w:szCs w:val="22"/>
    </w:rPr>
  </w:style>
  <w:style w:type="character" w:styleId="Hyperlink">
    <w:name w:val="Hyperlink"/>
    <w:rsid w:val="00157973"/>
    <w:rPr>
      <w:color w:val="0000FF"/>
      <w:u w:val="single"/>
    </w:rPr>
  </w:style>
  <w:style w:type="character" w:customStyle="1" w:styleId="ParaNumChar1">
    <w:name w:val="ParaNum Char1"/>
    <w:link w:val="ParaNum"/>
    <w:rsid w:val="00157973"/>
    <w:rPr>
      <w:rFonts w:ascii="Times New Roman" w:eastAsia="Times New Roman" w:hAnsi="Times New Roman" w:cs="Times New Roman"/>
      <w:snapToGrid w:val="0"/>
      <w:kern w:val="28"/>
      <w:szCs w:val="20"/>
    </w:rPr>
  </w:style>
  <w:style w:type="paragraph" w:styleId="BalloonText">
    <w:name w:val="Balloon Text"/>
    <w:basedOn w:val="Normal"/>
    <w:link w:val="BalloonTextChar"/>
    <w:uiPriority w:val="99"/>
    <w:semiHidden/>
    <w:unhideWhenUsed/>
    <w:rsid w:val="00157973"/>
    <w:rPr>
      <w:rFonts w:ascii="Tahoma" w:hAnsi="Tahoma" w:cs="Tahoma"/>
      <w:sz w:val="16"/>
      <w:szCs w:val="16"/>
    </w:rPr>
  </w:style>
  <w:style w:type="character" w:customStyle="1" w:styleId="BalloonTextChar">
    <w:name w:val="Balloon Text Char"/>
    <w:basedOn w:val="DefaultParagraphFont"/>
    <w:link w:val="BalloonText"/>
    <w:uiPriority w:val="99"/>
    <w:semiHidden/>
    <w:rsid w:val="00157973"/>
    <w:rPr>
      <w:rFonts w:ascii="Tahoma" w:eastAsia="Times New Roman" w:hAnsi="Tahoma" w:cs="Tahoma"/>
      <w:snapToGrid w:val="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973"/>
    <w:pPr>
      <w:widowControl w:val="0"/>
      <w:spacing w:after="0" w:line="240" w:lineRule="auto"/>
    </w:pPr>
    <w:rPr>
      <w:rFonts w:ascii="Times New Roman" w:eastAsia="Times New Roman" w:hAnsi="Times New Roman" w:cs="Times New Roman"/>
      <w:snapToGrid w:val="0"/>
      <w:kern w:val="28"/>
      <w:szCs w:val="20"/>
    </w:rPr>
  </w:style>
  <w:style w:type="paragraph" w:styleId="Heading1">
    <w:name w:val="heading 1"/>
    <w:basedOn w:val="Normal"/>
    <w:next w:val="ParaNum"/>
    <w:link w:val="Heading1Char"/>
    <w:qFormat/>
    <w:rsid w:val="00157973"/>
    <w:pPr>
      <w:keepNext/>
      <w:numPr>
        <w:numId w:val="2"/>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157973"/>
    <w:pPr>
      <w:keepNext/>
      <w:numPr>
        <w:ilvl w:val="1"/>
        <w:numId w:val="2"/>
      </w:numPr>
      <w:spacing w:after="120"/>
      <w:outlineLvl w:val="1"/>
    </w:pPr>
    <w:rPr>
      <w:b/>
    </w:rPr>
  </w:style>
  <w:style w:type="paragraph" w:styleId="Heading3">
    <w:name w:val="heading 3"/>
    <w:basedOn w:val="Normal"/>
    <w:next w:val="ParaNum"/>
    <w:link w:val="Heading3Char"/>
    <w:qFormat/>
    <w:rsid w:val="00157973"/>
    <w:pPr>
      <w:keepNext/>
      <w:numPr>
        <w:ilvl w:val="2"/>
        <w:numId w:val="2"/>
      </w:numPr>
      <w:tabs>
        <w:tab w:val="left" w:pos="2160"/>
      </w:tabs>
      <w:spacing w:after="120"/>
      <w:outlineLvl w:val="2"/>
    </w:pPr>
    <w:rPr>
      <w:b/>
    </w:rPr>
  </w:style>
  <w:style w:type="paragraph" w:styleId="Heading4">
    <w:name w:val="heading 4"/>
    <w:basedOn w:val="Normal"/>
    <w:next w:val="ParaNum"/>
    <w:link w:val="Heading4Char"/>
    <w:qFormat/>
    <w:rsid w:val="00157973"/>
    <w:pPr>
      <w:keepNext/>
      <w:numPr>
        <w:ilvl w:val="3"/>
        <w:numId w:val="2"/>
      </w:numPr>
      <w:tabs>
        <w:tab w:val="left" w:pos="2880"/>
      </w:tabs>
      <w:spacing w:after="120"/>
      <w:outlineLvl w:val="3"/>
    </w:pPr>
    <w:rPr>
      <w:b/>
    </w:rPr>
  </w:style>
  <w:style w:type="paragraph" w:styleId="Heading5">
    <w:name w:val="heading 5"/>
    <w:basedOn w:val="Normal"/>
    <w:next w:val="ParaNum"/>
    <w:link w:val="Heading5Char"/>
    <w:qFormat/>
    <w:rsid w:val="00157973"/>
    <w:pPr>
      <w:keepNext/>
      <w:numPr>
        <w:ilvl w:val="4"/>
        <w:numId w:val="2"/>
      </w:numPr>
      <w:tabs>
        <w:tab w:val="left" w:pos="3600"/>
      </w:tabs>
      <w:suppressAutoHyphens/>
      <w:spacing w:after="120"/>
      <w:outlineLvl w:val="4"/>
    </w:pPr>
    <w:rPr>
      <w:b/>
    </w:rPr>
  </w:style>
  <w:style w:type="paragraph" w:styleId="Heading6">
    <w:name w:val="heading 6"/>
    <w:basedOn w:val="Normal"/>
    <w:next w:val="ParaNum"/>
    <w:link w:val="Heading6Char"/>
    <w:qFormat/>
    <w:rsid w:val="00157973"/>
    <w:pPr>
      <w:numPr>
        <w:ilvl w:val="5"/>
        <w:numId w:val="2"/>
      </w:numPr>
      <w:tabs>
        <w:tab w:val="left" w:pos="4320"/>
      </w:tabs>
      <w:spacing w:after="120"/>
      <w:outlineLvl w:val="5"/>
    </w:pPr>
    <w:rPr>
      <w:b/>
    </w:rPr>
  </w:style>
  <w:style w:type="paragraph" w:styleId="Heading7">
    <w:name w:val="heading 7"/>
    <w:basedOn w:val="Normal"/>
    <w:next w:val="ParaNum"/>
    <w:link w:val="Heading7Char"/>
    <w:qFormat/>
    <w:rsid w:val="00157973"/>
    <w:pPr>
      <w:numPr>
        <w:ilvl w:val="6"/>
        <w:numId w:val="2"/>
      </w:numPr>
      <w:tabs>
        <w:tab w:val="left" w:pos="5040"/>
      </w:tabs>
      <w:spacing w:after="120"/>
      <w:ind w:left="5040" w:hanging="720"/>
      <w:outlineLvl w:val="6"/>
    </w:pPr>
    <w:rPr>
      <w:b/>
    </w:rPr>
  </w:style>
  <w:style w:type="paragraph" w:styleId="Heading8">
    <w:name w:val="heading 8"/>
    <w:basedOn w:val="Normal"/>
    <w:next w:val="ParaNum"/>
    <w:link w:val="Heading8Char"/>
    <w:qFormat/>
    <w:rsid w:val="00157973"/>
    <w:pPr>
      <w:numPr>
        <w:ilvl w:val="7"/>
        <w:numId w:val="2"/>
      </w:numPr>
      <w:tabs>
        <w:tab w:val="clear" w:pos="5400"/>
        <w:tab w:val="left" w:pos="5760"/>
      </w:tabs>
      <w:spacing w:after="120"/>
      <w:ind w:left="5760" w:hanging="720"/>
      <w:outlineLvl w:val="7"/>
    </w:pPr>
    <w:rPr>
      <w:b/>
    </w:rPr>
  </w:style>
  <w:style w:type="paragraph" w:styleId="Heading9">
    <w:name w:val="heading 9"/>
    <w:basedOn w:val="Normal"/>
    <w:next w:val="ParaNum"/>
    <w:link w:val="Heading9Char"/>
    <w:qFormat/>
    <w:rsid w:val="00157973"/>
    <w:pPr>
      <w:numPr>
        <w:ilvl w:val="8"/>
        <w:numId w:val="2"/>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973"/>
    <w:rPr>
      <w:rFonts w:ascii="Times New Roman Bold" w:eastAsia="Times New Roman" w:hAnsi="Times New Roman Bold" w:cs="Times New Roman"/>
      <w:b/>
      <w:caps/>
      <w:snapToGrid w:val="0"/>
      <w:kern w:val="28"/>
      <w:szCs w:val="20"/>
    </w:rPr>
  </w:style>
  <w:style w:type="character" w:customStyle="1" w:styleId="Heading2Char">
    <w:name w:val="Heading 2 Char"/>
    <w:basedOn w:val="DefaultParagraphFont"/>
    <w:link w:val="Heading2"/>
    <w:rsid w:val="00157973"/>
    <w:rPr>
      <w:rFonts w:ascii="Times New Roman" w:eastAsia="Times New Roman" w:hAnsi="Times New Roman" w:cs="Times New Roman"/>
      <w:b/>
      <w:snapToGrid w:val="0"/>
      <w:kern w:val="28"/>
      <w:szCs w:val="20"/>
    </w:rPr>
  </w:style>
  <w:style w:type="character" w:customStyle="1" w:styleId="Heading3Char">
    <w:name w:val="Heading 3 Char"/>
    <w:basedOn w:val="DefaultParagraphFont"/>
    <w:link w:val="Heading3"/>
    <w:rsid w:val="00157973"/>
    <w:rPr>
      <w:rFonts w:ascii="Times New Roman" w:eastAsia="Times New Roman" w:hAnsi="Times New Roman" w:cs="Times New Roman"/>
      <w:b/>
      <w:snapToGrid w:val="0"/>
      <w:kern w:val="28"/>
      <w:szCs w:val="20"/>
    </w:rPr>
  </w:style>
  <w:style w:type="character" w:customStyle="1" w:styleId="Heading4Char">
    <w:name w:val="Heading 4 Char"/>
    <w:basedOn w:val="DefaultParagraphFont"/>
    <w:link w:val="Heading4"/>
    <w:rsid w:val="00157973"/>
    <w:rPr>
      <w:rFonts w:ascii="Times New Roman" w:eastAsia="Times New Roman" w:hAnsi="Times New Roman" w:cs="Times New Roman"/>
      <w:b/>
      <w:snapToGrid w:val="0"/>
      <w:kern w:val="28"/>
      <w:szCs w:val="20"/>
    </w:rPr>
  </w:style>
  <w:style w:type="character" w:customStyle="1" w:styleId="Heading5Char">
    <w:name w:val="Heading 5 Char"/>
    <w:basedOn w:val="DefaultParagraphFont"/>
    <w:link w:val="Heading5"/>
    <w:rsid w:val="00157973"/>
    <w:rPr>
      <w:rFonts w:ascii="Times New Roman" w:eastAsia="Times New Roman" w:hAnsi="Times New Roman" w:cs="Times New Roman"/>
      <w:b/>
      <w:snapToGrid w:val="0"/>
      <w:kern w:val="28"/>
      <w:szCs w:val="20"/>
    </w:rPr>
  </w:style>
  <w:style w:type="character" w:customStyle="1" w:styleId="Heading6Char">
    <w:name w:val="Heading 6 Char"/>
    <w:basedOn w:val="DefaultParagraphFont"/>
    <w:link w:val="Heading6"/>
    <w:rsid w:val="00157973"/>
    <w:rPr>
      <w:rFonts w:ascii="Times New Roman" w:eastAsia="Times New Roman" w:hAnsi="Times New Roman" w:cs="Times New Roman"/>
      <w:b/>
      <w:snapToGrid w:val="0"/>
      <w:kern w:val="28"/>
      <w:szCs w:val="20"/>
    </w:rPr>
  </w:style>
  <w:style w:type="character" w:customStyle="1" w:styleId="Heading7Char">
    <w:name w:val="Heading 7 Char"/>
    <w:basedOn w:val="DefaultParagraphFont"/>
    <w:link w:val="Heading7"/>
    <w:rsid w:val="00157973"/>
    <w:rPr>
      <w:rFonts w:ascii="Times New Roman" w:eastAsia="Times New Roman" w:hAnsi="Times New Roman" w:cs="Times New Roman"/>
      <w:b/>
      <w:snapToGrid w:val="0"/>
      <w:kern w:val="28"/>
      <w:szCs w:val="20"/>
    </w:rPr>
  </w:style>
  <w:style w:type="character" w:customStyle="1" w:styleId="Heading8Char">
    <w:name w:val="Heading 8 Char"/>
    <w:basedOn w:val="DefaultParagraphFont"/>
    <w:link w:val="Heading8"/>
    <w:rsid w:val="00157973"/>
    <w:rPr>
      <w:rFonts w:ascii="Times New Roman" w:eastAsia="Times New Roman" w:hAnsi="Times New Roman" w:cs="Times New Roman"/>
      <w:b/>
      <w:snapToGrid w:val="0"/>
      <w:kern w:val="28"/>
      <w:szCs w:val="20"/>
    </w:rPr>
  </w:style>
  <w:style w:type="character" w:customStyle="1" w:styleId="Heading9Char">
    <w:name w:val="Heading 9 Char"/>
    <w:basedOn w:val="DefaultParagraphFont"/>
    <w:link w:val="Heading9"/>
    <w:rsid w:val="00157973"/>
    <w:rPr>
      <w:rFonts w:ascii="Times New Roman" w:eastAsia="Times New Roman" w:hAnsi="Times New Roman" w:cs="Times New Roman"/>
      <w:b/>
      <w:snapToGrid w:val="0"/>
      <w:kern w:val="28"/>
      <w:szCs w:val="20"/>
    </w:rPr>
  </w:style>
  <w:style w:type="paragraph" w:customStyle="1" w:styleId="ParaNum">
    <w:name w:val="ParaNum"/>
    <w:basedOn w:val="Normal"/>
    <w:link w:val="ParaNumChar1"/>
    <w:rsid w:val="00157973"/>
    <w:pPr>
      <w:numPr>
        <w:numId w:val="1"/>
      </w:numPr>
      <w:tabs>
        <w:tab w:val="clear" w:pos="1080"/>
        <w:tab w:val="num" w:pos="1440"/>
      </w:tabs>
      <w:spacing w:after="120"/>
    </w:pPr>
  </w:style>
  <w:style w:type="paragraph" w:styleId="FootnoteText">
    <w:name w:val="footnote text"/>
    <w:aliases w:val="Footnote Text Char1 Char,ALTS FOOTNOTE Char Char,fn Char Char,Footnote Text Char Char1 Char,Footnote Text Char2 Char1 Char Char,Footnote Text Char1 Char Char Char Char,Footnote Text Char Char Char Char Char Char,fn Char"/>
    <w:link w:val="FootnoteTextChar"/>
    <w:rsid w:val="00157973"/>
    <w:pPr>
      <w:spacing w:after="12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1 Char Char,ALTS FOOTNOTE Char Char Char,fn Char Char Char,Footnote Text Char Char1 Char Char,Footnote Text Char2 Char1 Char Char Char,Footnote Text Char1 Char Char Char Char Char,fn Char Char1"/>
    <w:basedOn w:val="DefaultParagraphFont"/>
    <w:link w:val="FootnoteText"/>
    <w:rsid w:val="00157973"/>
    <w:rPr>
      <w:rFonts w:ascii="Times New Roman" w:eastAsia="Times New Roman" w:hAnsi="Times New Roman" w:cs="Times New Roman"/>
      <w:sz w:val="20"/>
      <w:szCs w:val="20"/>
    </w:rPr>
  </w:style>
  <w:style w:type="character" w:styleId="FootnoteReference">
    <w:name w:val="footnote reference"/>
    <w:aliases w:val="Style 13,Style 12,(NECG) Footnote Reference,Appel note de bas de p,Style 124,fr,o,Style 3,FR,Style 6,Style 17,Footnote Reference/"/>
    <w:rsid w:val="00157973"/>
    <w:rPr>
      <w:rFonts w:ascii="Times New Roman" w:hAnsi="Times New Roman"/>
      <w:dstrike w:val="0"/>
      <w:color w:val="auto"/>
      <w:sz w:val="20"/>
      <w:vertAlign w:val="superscript"/>
    </w:rPr>
  </w:style>
  <w:style w:type="paragraph" w:styleId="TOAHeading">
    <w:name w:val="toa heading"/>
    <w:basedOn w:val="Normal"/>
    <w:next w:val="Normal"/>
    <w:semiHidden/>
    <w:rsid w:val="00157973"/>
    <w:pPr>
      <w:tabs>
        <w:tab w:val="right" w:pos="9360"/>
      </w:tabs>
      <w:suppressAutoHyphens/>
    </w:pPr>
  </w:style>
  <w:style w:type="paragraph" w:styleId="Header">
    <w:name w:val="header"/>
    <w:basedOn w:val="Normal"/>
    <w:link w:val="HeaderChar"/>
    <w:autoRedefine/>
    <w:rsid w:val="00157973"/>
    <w:pPr>
      <w:tabs>
        <w:tab w:val="center" w:pos="4680"/>
        <w:tab w:val="right" w:pos="9360"/>
      </w:tabs>
    </w:pPr>
    <w:rPr>
      <w:b/>
    </w:rPr>
  </w:style>
  <w:style w:type="character" w:customStyle="1" w:styleId="HeaderChar">
    <w:name w:val="Header Char"/>
    <w:basedOn w:val="DefaultParagraphFont"/>
    <w:link w:val="Header"/>
    <w:rsid w:val="00157973"/>
    <w:rPr>
      <w:rFonts w:ascii="Times New Roman" w:eastAsia="Times New Roman" w:hAnsi="Times New Roman" w:cs="Times New Roman"/>
      <w:b/>
      <w:snapToGrid w:val="0"/>
      <w:kern w:val="28"/>
      <w:szCs w:val="20"/>
    </w:rPr>
  </w:style>
  <w:style w:type="paragraph" w:styleId="Footer">
    <w:name w:val="footer"/>
    <w:basedOn w:val="Normal"/>
    <w:link w:val="FooterChar"/>
    <w:rsid w:val="00157973"/>
    <w:pPr>
      <w:tabs>
        <w:tab w:val="center" w:pos="4320"/>
        <w:tab w:val="right" w:pos="8640"/>
      </w:tabs>
    </w:pPr>
  </w:style>
  <w:style w:type="character" w:customStyle="1" w:styleId="FooterChar">
    <w:name w:val="Footer Char"/>
    <w:basedOn w:val="DefaultParagraphFont"/>
    <w:link w:val="Footer"/>
    <w:rsid w:val="00157973"/>
    <w:rPr>
      <w:rFonts w:ascii="Times New Roman" w:eastAsia="Times New Roman" w:hAnsi="Times New Roman" w:cs="Times New Roman"/>
      <w:snapToGrid w:val="0"/>
      <w:kern w:val="28"/>
      <w:szCs w:val="20"/>
    </w:rPr>
  </w:style>
  <w:style w:type="paragraph" w:customStyle="1" w:styleId="StyleBoldCentered">
    <w:name w:val="Style Bold Centered"/>
    <w:basedOn w:val="Normal"/>
    <w:rsid w:val="00157973"/>
    <w:pPr>
      <w:jc w:val="center"/>
    </w:pPr>
    <w:rPr>
      <w:rFonts w:ascii="Times New Roman Bold" w:hAnsi="Times New Roman Bold"/>
      <w:b/>
      <w:bCs/>
      <w:caps/>
      <w:szCs w:val="22"/>
    </w:rPr>
  </w:style>
  <w:style w:type="character" w:styleId="Hyperlink">
    <w:name w:val="Hyperlink"/>
    <w:rsid w:val="00157973"/>
    <w:rPr>
      <w:color w:val="0000FF"/>
      <w:u w:val="single"/>
    </w:rPr>
  </w:style>
  <w:style w:type="character" w:customStyle="1" w:styleId="ParaNumChar1">
    <w:name w:val="ParaNum Char1"/>
    <w:link w:val="ParaNum"/>
    <w:rsid w:val="00157973"/>
    <w:rPr>
      <w:rFonts w:ascii="Times New Roman" w:eastAsia="Times New Roman" w:hAnsi="Times New Roman" w:cs="Times New Roman"/>
      <w:snapToGrid w:val="0"/>
      <w:kern w:val="28"/>
      <w:szCs w:val="20"/>
    </w:rPr>
  </w:style>
  <w:style w:type="paragraph" w:styleId="BalloonText">
    <w:name w:val="Balloon Text"/>
    <w:basedOn w:val="Normal"/>
    <w:link w:val="BalloonTextChar"/>
    <w:uiPriority w:val="99"/>
    <w:semiHidden/>
    <w:unhideWhenUsed/>
    <w:rsid w:val="00157973"/>
    <w:rPr>
      <w:rFonts w:ascii="Tahoma" w:hAnsi="Tahoma" w:cs="Tahoma"/>
      <w:sz w:val="16"/>
      <w:szCs w:val="16"/>
    </w:rPr>
  </w:style>
  <w:style w:type="character" w:customStyle="1" w:styleId="BalloonTextChar">
    <w:name w:val="Balloon Text Char"/>
    <w:basedOn w:val="DefaultParagraphFont"/>
    <w:link w:val="BalloonText"/>
    <w:uiPriority w:val="99"/>
    <w:semiHidden/>
    <w:rsid w:val="00157973"/>
    <w:rPr>
      <w:rFonts w:ascii="Tahoma" w:eastAsia="Times New Roman" w:hAnsi="Tahoma" w:cs="Tahoma"/>
      <w:snapToGrid w:val="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c.gc.ca/eic/site/smt-gst.nsf/eng/sf0977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1726</Words>
  <Characters>9345</Characters>
  <Application>Microsoft Office Word</Application>
  <DocSecurity>0</DocSecurity>
  <Lines>175</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11155</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2014-04-04T16:59:00Z</cp:lastPrinted>
  <dcterms:created xsi:type="dcterms:W3CDTF">2014-04-04T17:03:00Z</dcterms:created>
  <dcterms:modified xsi:type="dcterms:W3CDTF">2014-04-04T17:03:00Z</dcterms:modified>
  <cp:category> </cp:category>
  <cp:contentStatus> </cp:contentStatus>
</cp:coreProperties>
</file>