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34" w:rsidRPr="00A06955" w:rsidRDefault="00930834" w:rsidP="00930834">
      <w:pPr>
        <w:jc w:val="right"/>
        <w:rPr>
          <w:rFonts w:ascii="Times New Roman Bold" w:hAnsi="Times New Roman Bold"/>
          <w:b/>
        </w:rPr>
      </w:pPr>
      <w:bookmarkStart w:id="0" w:name="_GoBack"/>
      <w:bookmarkEnd w:id="0"/>
      <w:r w:rsidRPr="00A06955">
        <w:rPr>
          <w:rFonts w:ascii="Times New Roman Bold" w:hAnsi="Times New Roman Bold"/>
          <w:b/>
        </w:rPr>
        <w:t>DA 1</w:t>
      </w:r>
      <w:r w:rsidR="00440146">
        <w:rPr>
          <w:rFonts w:ascii="Times New Roman Bold" w:hAnsi="Times New Roman Bold"/>
          <w:b/>
        </w:rPr>
        <w:t>4</w:t>
      </w:r>
      <w:r w:rsidRPr="00A06955">
        <w:rPr>
          <w:rFonts w:ascii="Times New Roman Bold" w:hAnsi="Times New Roman Bold"/>
          <w:b/>
        </w:rPr>
        <w:t>-</w:t>
      </w:r>
      <w:r w:rsidR="009D3461">
        <w:rPr>
          <w:rFonts w:ascii="Times New Roman Bold" w:hAnsi="Times New Roman Bold"/>
          <w:b/>
        </w:rPr>
        <w:t>464</w:t>
      </w:r>
    </w:p>
    <w:p w:rsidR="00930834" w:rsidRPr="00A06955" w:rsidRDefault="00930834" w:rsidP="00930834">
      <w:pPr>
        <w:jc w:val="right"/>
        <w:rPr>
          <w:rFonts w:ascii="Times New Roman Bold" w:hAnsi="Times New Roman Bold"/>
          <w:b/>
        </w:rPr>
      </w:pPr>
      <w:r w:rsidRPr="00A06955">
        <w:rPr>
          <w:rFonts w:ascii="Times New Roman Bold" w:hAnsi="Times New Roman Bold"/>
          <w:b/>
        </w:rPr>
        <w:t xml:space="preserve">Released:  </w:t>
      </w:r>
      <w:r w:rsidR="00B100B6">
        <w:rPr>
          <w:rFonts w:ascii="Times New Roman Bold" w:hAnsi="Times New Roman Bold"/>
          <w:b/>
        </w:rPr>
        <w:t xml:space="preserve">April </w:t>
      </w:r>
      <w:r w:rsidR="001827A7">
        <w:rPr>
          <w:rFonts w:ascii="Times New Roman Bold" w:hAnsi="Times New Roman Bold"/>
          <w:b/>
        </w:rPr>
        <w:t>4</w:t>
      </w:r>
      <w:r w:rsidR="00C56FD2">
        <w:rPr>
          <w:rFonts w:ascii="Times New Roman Bold" w:hAnsi="Times New Roman Bold"/>
          <w:b/>
        </w:rPr>
        <w:t xml:space="preserve">, </w:t>
      </w:r>
      <w:r w:rsidRPr="00A06955">
        <w:rPr>
          <w:rFonts w:ascii="Times New Roman Bold" w:hAnsi="Times New Roman Bold"/>
          <w:b/>
        </w:rPr>
        <w:t>201</w:t>
      </w:r>
      <w:r w:rsidR="00440146">
        <w:rPr>
          <w:rFonts w:ascii="Times New Roman Bold" w:hAnsi="Times New Roman Bold"/>
          <w:b/>
        </w:rPr>
        <w:t>4</w:t>
      </w:r>
    </w:p>
    <w:p w:rsidR="00930834" w:rsidRPr="00E50B4A" w:rsidRDefault="00930834" w:rsidP="00930834">
      <w:pPr>
        <w:spacing w:before="60"/>
        <w:jc w:val="right"/>
        <w:rPr>
          <w:rFonts w:ascii="Times New Roman Bold" w:hAnsi="Times New Roman Bold"/>
          <w:b/>
        </w:rPr>
      </w:pPr>
    </w:p>
    <w:p w:rsidR="00930834" w:rsidRPr="00E50B4A" w:rsidRDefault="00930834" w:rsidP="00930834">
      <w:pPr>
        <w:spacing w:before="60"/>
        <w:jc w:val="center"/>
        <w:rPr>
          <w:rFonts w:ascii="Times New Roman Bold" w:hAnsi="Times New Roman Bold"/>
          <w:b/>
        </w:rPr>
      </w:pPr>
      <w:r w:rsidRPr="00E50B4A">
        <w:rPr>
          <w:rFonts w:ascii="Times New Roman Bold" w:hAnsi="Times New Roman Bold"/>
          <w:b/>
        </w:rPr>
        <w:t xml:space="preserve">MEDIA BUREAU </w:t>
      </w:r>
      <w:r w:rsidR="00440146">
        <w:rPr>
          <w:rFonts w:ascii="Times New Roman Bold" w:hAnsi="Times New Roman Bold"/>
          <w:b/>
        </w:rPr>
        <w:t>REMINDS TELEVISION BROADCASTERS OF JULY 1, 2014</w:t>
      </w:r>
      <w:r w:rsidRPr="00E50B4A">
        <w:rPr>
          <w:rFonts w:ascii="Times New Roman Bold" w:hAnsi="Times New Roman Bold"/>
          <w:b/>
        </w:rPr>
        <w:t xml:space="preserve"> ONLINE P</w:t>
      </w:r>
      <w:r>
        <w:rPr>
          <w:rFonts w:ascii="Times New Roman Bold" w:hAnsi="Times New Roman Bold"/>
          <w:b/>
        </w:rPr>
        <w:t>OLITICAL</w:t>
      </w:r>
      <w:r w:rsidRPr="00E50B4A">
        <w:rPr>
          <w:rFonts w:ascii="Times New Roman Bold" w:hAnsi="Times New Roman Bold"/>
          <w:b/>
        </w:rPr>
        <w:t xml:space="preserve"> FILE</w:t>
      </w:r>
      <w:r w:rsidR="000821AC">
        <w:rPr>
          <w:rFonts w:ascii="Times New Roman Bold" w:hAnsi="Times New Roman Bold"/>
          <w:b/>
        </w:rPr>
        <w:t xml:space="preserve"> </w:t>
      </w:r>
      <w:r w:rsidR="00440146">
        <w:rPr>
          <w:rFonts w:ascii="Times New Roman Bold" w:hAnsi="Times New Roman Bold"/>
          <w:b/>
        </w:rPr>
        <w:t>DEADLINE</w:t>
      </w:r>
    </w:p>
    <w:p w:rsidR="00930834" w:rsidRPr="00E50B4A" w:rsidRDefault="00930834" w:rsidP="00930834">
      <w:pPr>
        <w:spacing w:before="60"/>
        <w:jc w:val="center"/>
        <w:rPr>
          <w:rFonts w:ascii="Times New Roman Bold" w:hAnsi="Times New Roman Bold"/>
          <w:b/>
        </w:rPr>
      </w:pPr>
    </w:p>
    <w:p w:rsidR="00930834" w:rsidRPr="00E50B4A" w:rsidRDefault="00930834" w:rsidP="00930834">
      <w:pPr>
        <w:spacing w:before="60"/>
        <w:jc w:val="center"/>
        <w:rPr>
          <w:rFonts w:ascii="Times New Roman Bold" w:hAnsi="Times New Roman Bold"/>
          <w:b/>
        </w:rPr>
      </w:pPr>
      <w:r w:rsidRPr="00E50B4A">
        <w:rPr>
          <w:rFonts w:ascii="Times New Roman Bold" w:hAnsi="Times New Roman Bold"/>
          <w:b/>
        </w:rPr>
        <w:t xml:space="preserve">MM Docket No. 00-168 </w:t>
      </w:r>
    </w:p>
    <w:p w:rsidR="00930834" w:rsidRPr="00E50B4A" w:rsidRDefault="00930834" w:rsidP="00930834">
      <w:pPr>
        <w:spacing w:before="60"/>
        <w:rPr>
          <w:rFonts w:ascii="Times New Roman Bold" w:hAnsi="Times New Roman Bold"/>
          <w:sz w:val="24"/>
        </w:rPr>
      </w:pPr>
    </w:p>
    <w:p w:rsidR="00030166" w:rsidRDefault="00930834" w:rsidP="002D750D">
      <w:pPr>
        <w:pStyle w:val="ParaNum"/>
        <w:numPr>
          <w:ilvl w:val="0"/>
          <w:numId w:val="26"/>
        </w:numPr>
        <w:ind w:left="0" w:firstLine="360"/>
      </w:pPr>
      <w:r w:rsidRPr="005F3D8F">
        <w:t>In</w:t>
      </w:r>
      <w:r w:rsidRPr="008B3A7D">
        <w:t xml:space="preserve"> the </w:t>
      </w:r>
      <w:r w:rsidRPr="002D750D">
        <w:rPr>
          <w:i/>
        </w:rPr>
        <w:t>Second Report and Order</w:t>
      </w:r>
      <w:r w:rsidR="00030166" w:rsidRPr="002D750D">
        <w:rPr>
          <w:i/>
        </w:rPr>
        <w:t xml:space="preserve"> </w:t>
      </w:r>
      <w:r w:rsidR="00030166">
        <w:t>in MM Docket Nos. 00-168 and 00-44</w:t>
      </w:r>
      <w:r>
        <w:t>,</w:t>
      </w:r>
      <w:r w:rsidR="00331DDB">
        <w:rPr>
          <w:rStyle w:val="FootnoteReference"/>
        </w:rPr>
        <w:footnoteReference w:id="2"/>
      </w:r>
      <w:r>
        <w:t xml:space="preserve"> </w:t>
      </w:r>
      <w:r w:rsidRPr="008B3A7D">
        <w:t xml:space="preserve">the Commission </w:t>
      </w:r>
      <w:r w:rsidR="00131713">
        <w:t xml:space="preserve">required </w:t>
      </w:r>
      <w:r w:rsidR="00030166">
        <w:t xml:space="preserve">broadcast television </w:t>
      </w:r>
      <w:r w:rsidRPr="008B3A7D">
        <w:t>stations to post their public files online in a Commission-hosted database rather than maintaining the files locally at their main studios.</w:t>
      </w:r>
      <w:r w:rsidR="00945566">
        <w:rPr>
          <w:rStyle w:val="FootnoteReference"/>
        </w:rPr>
        <w:footnoteReference w:id="3"/>
      </w:r>
      <w:r w:rsidRPr="008B3A7D">
        <w:t xml:space="preserve">  With respect to political file documents that must be maintained in the public file, </w:t>
      </w:r>
      <w:r w:rsidR="00331DDB">
        <w:t xml:space="preserve">stations </w:t>
      </w:r>
      <w:r w:rsidRPr="008B3A7D">
        <w:t xml:space="preserve">affiliated with the top four national networks (ABC, NBC, CBS, and Fox) licensed to serve communities in the top 50 Designated Market Areas (DMAs) </w:t>
      </w:r>
      <w:r w:rsidR="00A81B4E">
        <w:t>were required to post political file documents online beginning August 2, 201</w:t>
      </w:r>
      <w:r w:rsidR="00331DDB">
        <w:t>2</w:t>
      </w:r>
      <w:r w:rsidR="00A81B4E">
        <w:t xml:space="preserve">, but all other stations were </w:t>
      </w:r>
      <w:r w:rsidRPr="008B3A7D">
        <w:t>exempted from posting their political file documents to their online public file until July 1, 2014.</w:t>
      </w:r>
      <w:r w:rsidRPr="008B3A7D">
        <w:rPr>
          <w:rStyle w:val="FootnoteReference"/>
        </w:rPr>
        <w:footnoteReference w:id="4"/>
      </w:r>
      <w:r w:rsidRPr="008B3A7D">
        <w:t xml:space="preserve">  </w:t>
      </w:r>
    </w:p>
    <w:p w:rsidR="00CD766F" w:rsidRDefault="006C60BA" w:rsidP="00895FCC">
      <w:pPr>
        <w:pStyle w:val="ParaNum"/>
        <w:numPr>
          <w:ilvl w:val="0"/>
          <w:numId w:val="26"/>
        </w:numPr>
        <w:ind w:left="0" w:firstLine="360"/>
      </w:pPr>
      <w:r>
        <w:t xml:space="preserve">This Public Notice is a </w:t>
      </w:r>
      <w:r w:rsidR="00E671D9">
        <w:t>remind</w:t>
      </w:r>
      <w:r>
        <w:t>er to</w:t>
      </w:r>
      <w:r w:rsidR="00E671D9">
        <w:t xml:space="preserve"> television stations not affiliated with the top four national networks and those licensed to markets below the top 50 that</w:t>
      </w:r>
      <w:r w:rsidR="00107C3D">
        <w:t xml:space="preserve"> they must begin to comply on </w:t>
      </w:r>
      <w:r w:rsidR="00265E9A">
        <w:t>July 1, 2014</w:t>
      </w:r>
      <w:r w:rsidR="00107C3D">
        <w:t>.</w:t>
      </w:r>
      <w:r w:rsidR="002D750D">
        <w:rPr>
          <w:rStyle w:val="FootnoteReference"/>
        </w:rPr>
        <w:footnoteReference w:id="5"/>
      </w:r>
      <w:r w:rsidR="005531E3">
        <w:t xml:space="preserve">  </w:t>
      </w:r>
      <w:r w:rsidR="003A5259">
        <w:lastRenderedPageBreak/>
        <w:t>As noted above, on that date stations that are currently exempt must start uploading new political file material on a going</w:t>
      </w:r>
      <w:r w:rsidR="00CD766F">
        <w:t>-</w:t>
      </w:r>
      <w:r w:rsidR="003A5259">
        <w:t>forward basis.</w:t>
      </w:r>
      <w:r w:rsidR="00724300">
        <w:rPr>
          <w:rStyle w:val="FootnoteReference"/>
        </w:rPr>
        <w:footnoteReference w:id="6"/>
      </w:r>
      <w:r w:rsidR="003A5259">
        <w:t xml:space="preserve"> </w:t>
      </w:r>
      <w:r w:rsidR="00E647F2">
        <w:t xml:space="preserve"> </w:t>
      </w:r>
      <w:r w:rsidR="00CD766F">
        <w:t>These s</w:t>
      </w:r>
      <w:r w:rsidR="003A5259">
        <w:t xml:space="preserve">tations are not required to upload </w:t>
      </w:r>
      <w:r w:rsidR="00CD766F">
        <w:t>political files placed in their public file prior to July 1, 2014; however, they are required to retain those documents at the station until the end of the two-year retention period.</w:t>
      </w:r>
      <w:r w:rsidR="00CD766F">
        <w:rPr>
          <w:rStyle w:val="FootnoteReference"/>
        </w:rPr>
        <w:footnoteReference w:id="7"/>
      </w:r>
      <w:r w:rsidR="00CD766F">
        <w:t xml:space="preserve">  </w:t>
      </w:r>
      <w:r w:rsidR="005531E3">
        <w:t xml:space="preserve">Given that </w:t>
      </w:r>
      <w:r w:rsidR="00E665A1">
        <w:t xml:space="preserve">these </w:t>
      </w:r>
      <w:r w:rsidR="005531E3">
        <w:t xml:space="preserve">television stations have already been required to use the online public file for documents other than the political file since August 2, 2012, we do not expect </w:t>
      </w:r>
      <w:r w:rsidR="00E665A1">
        <w:t>them</w:t>
      </w:r>
      <w:r w:rsidR="005531E3">
        <w:t xml:space="preserve"> to have difficulty determining how to upload new political file documents to the online file.  </w:t>
      </w:r>
    </w:p>
    <w:p w:rsidR="00930834" w:rsidRPr="008B3A7D" w:rsidRDefault="00CD766F" w:rsidP="00DA5783">
      <w:pPr>
        <w:pStyle w:val="ParaNum"/>
        <w:numPr>
          <w:ilvl w:val="0"/>
          <w:numId w:val="26"/>
        </w:numPr>
        <w:ind w:left="0" w:firstLine="360"/>
      </w:pPr>
      <w:r w:rsidRPr="00CD766F">
        <w:t>Members of the public and broadcasters will find answers to Frequently Asked Questions</w:t>
      </w:r>
      <w:r>
        <w:t xml:space="preserve"> </w:t>
      </w:r>
      <w:r w:rsidRPr="00CD766F">
        <w:t xml:space="preserve">(FAQs) on the </w:t>
      </w:r>
      <w:r w:rsidR="00DA5783">
        <w:t xml:space="preserve">FCC’s </w:t>
      </w:r>
      <w:r w:rsidRPr="00CD766F">
        <w:t xml:space="preserve">website </w:t>
      </w:r>
      <w:r w:rsidR="00DA5783">
        <w:t>(</w:t>
      </w:r>
      <w:hyperlink r:id="rId8" w:history="1">
        <w:r w:rsidR="00DA5783" w:rsidRPr="00955C97">
          <w:rPr>
            <w:rStyle w:val="Hyperlink"/>
          </w:rPr>
          <w:t>https://stations.fcc.gov/</w:t>
        </w:r>
      </w:hyperlink>
      <w:r w:rsidR="00DA5783">
        <w:t xml:space="preserve">) </w:t>
      </w:r>
      <w:r w:rsidRPr="00CD766F">
        <w:t>if they have questions. For further information, you can contact the</w:t>
      </w:r>
      <w:r>
        <w:t xml:space="preserve"> </w:t>
      </w:r>
      <w:r w:rsidRPr="00CD766F">
        <w:t>Licensing Support Hotline at (877) 480-3201 option 2, (717) 338-2888, or (717) 338-2824</w:t>
      </w:r>
      <w:r>
        <w:t xml:space="preserve"> </w:t>
      </w:r>
      <w:r w:rsidRPr="00CD766F">
        <w:t>(TTY). The Hotline is available to assist with questions Monday through Friday 8:00 a.m. to</w:t>
      </w:r>
      <w:r>
        <w:t xml:space="preserve"> </w:t>
      </w:r>
      <w:r w:rsidRPr="00CD766F">
        <w:t>6:00 p.m. ET. You may also submit requests and report any errors or problems with the online</w:t>
      </w:r>
      <w:r>
        <w:t xml:space="preserve"> </w:t>
      </w:r>
      <w:r w:rsidRPr="00CD766F">
        <w:t>sites at https://esupport.fcc.gov/request.htm. In order to provide better service, all calls to the</w:t>
      </w:r>
      <w:r>
        <w:t xml:space="preserve"> </w:t>
      </w:r>
      <w:r w:rsidRPr="00CD766F">
        <w:t>Hotline are recorded.</w:t>
      </w:r>
      <w:r w:rsidRPr="00CD766F" w:rsidDel="00CD766F">
        <w:t xml:space="preserve"> </w:t>
      </w:r>
    </w:p>
    <w:p w:rsidR="00930834" w:rsidRDefault="00930834" w:rsidP="00CD766F">
      <w:pPr>
        <w:pStyle w:val="ParaNum"/>
        <w:numPr>
          <w:ilvl w:val="0"/>
          <w:numId w:val="26"/>
        </w:numPr>
        <w:ind w:left="0" w:firstLine="360"/>
      </w:pPr>
      <w:r w:rsidRPr="008B3A7D">
        <w:t xml:space="preserve">For </w:t>
      </w:r>
      <w:r>
        <w:t xml:space="preserve">additional information on this proceeding, </w:t>
      </w:r>
      <w:r w:rsidRPr="008B3A7D">
        <w:t>contact Kim Matthews</w:t>
      </w:r>
      <w:r>
        <w:t xml:space="preserve">, </w:t>
      </w:r>
      <w:hyperlink r:id="rId9" w:history="1">
        <w:r w:rsidRPr="00E16B85">
          <w:rPr>
            <w:rStyle w:val="Hyperlink"/>
          </w:rPr>
          <w:t>Kim.Matthews@fcc.gov</w:t>
        </w:r>
      </w:hyperlink>
      <w:r>
        <w:t xml:space="preserve">, </w:t>
      </w:r>
      <w:r w:rsidRPr="008B3A7D">
        <w:t>of the Media Bureau</w:t>
      </w:r>
      <w:r>
        <w:t xml:space="preserve">, Policy Division, </w:t>
      </w:r>
      <w:r w:rsidRPr="008B3A7D">
        <w:t xml:space="preserve">(202) 418-2154.  Press </w:t>
      </w:r>
      <w:r>
        <w:t xml:space="preserve">contact: </w:t>
      </w:r>
      <w:r w:rsidRPr="008B3A7D">
        <w:t xml:space="preserve">Janice Wise </w:t>
      </w:r>
      <w:r>
        <w:t>(</w:t>
      </w:r>
      <w:r w:rsidRPr="008B3A7D">
        <w:t>202</w:t>
      </w:r>
      <w:r>
        <w:t>-</w:t>
      </w:r>
      <w:r w:rsidRPr="008B3A7D">
        <w:t xml:space="preserve"> 418-8165</w:t>
      </w:r>
      <w:r>
        <w:t xml:space="preserve">; </w:t>
      </w:r>
      <w:hyperlink r:id="rId10" w:history="1">
        <w:r w:rsidRPr="00E16B85">
          <w:rPr>
            <w:rStyle w:val="Hyperlink"/>
          </w:rPr>
          <w:t>Janice.Wise@fcc.gov</w:t>
        </w:r>
      </w:hyperlink>
      <w:r>
        <w:t>)</w:t>
      </w:r>
      <w:r w:rsidRPr="008B3A7D">
        <w:t>.</w:t>
      </w:r>
    </w:p>
    <w:p w:rsidR="00930834" w:rsidRPr="005F3D8F" w:rsidRDefault="00930834" w:rsidP="00930834">
      <w:pPr>
        <w:pStyle w:val="Paranum0"/>
        <w:ind w:left="3600" w:firstLine="720"/>
      </w:pPr>
      <w:r>
        <w:t xml:space="preserve">- </w:t>
      </w:r>
      <w:r w:rsidRPr="005F3D8F">
        <w:t>FCC</w:t>
      </w:r>
      <w:r>
        <w:t xml:space="preserve"> -</w:t>
      </w:r>
    </w:p>
    <w:p w:rsidR="00930834" w:rsidRPr="00682228" w:rsidRDefault="00930834" w:rsidP="00930834"/>
    <w:p w:rsidR="00930834" w:rsidRPr="008B3A7D" w:rsidRDefault="00930834" w:rsidP="00930834">
      <w:pPr>
        <w:tabs>
          <w:tab w:val="num" w:pos="720"/>
        </w:tabs>
      </w:pPr>
    </w:p>
    <w:p w:rsidR="00930834" w:rsidRPr="00930834" w:rsidRDefault="00930834" w:rsidP="00930834"/>
    <w:sectPr w:rsidR="00930834" w:rsidRPr="00930834" w:rsidSect="007B680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2E6" w:rsidRDefault="00CF52E6">
      <w:pPr>
        <w:spacing w:line="20" w:lineRule="exact"/>
      </w:pPr>
    </w:p>
  </w:endnote>
  <w:endnote w:type="continuationSeparator" w:id="0">
    <w:p w:rsidR="00CF52E6" w:rsidRDefault="00CF52E6">
      <w:r>
        <w:t xml:space="preserve"> </w:t>
      </w:r>
    </w:p>
  </w:endnote>
  <w:endnote w:type="continuationNotice" w:id="1">
    <w:p w:rsidR="00CF52E6" w:rsidRDefault="00CF52E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492" w:rsidRDefault="00BB5709">
    <w:pPr>
      <w:pStyle w:val="Footer"/>
      <w:framePr w:wrap="around" w:vAnchor="text" w:hAnchor="margin" w:xAlign="center" w:y="1"/>
    </w:pPr>
    <w:r>
      <w:fldChar w:fldCharType="begin"/>
    </w:r>
    <w:r w:rsidR="004E6492">
      <w:instrText xml:space="preserve">PAGE  </w:instrText>
    </w:r>
    <w:r>
      <w:fldChar w:fldCharType="separate"/>
    </w:r>
    <w:r w:rsidR="00D77CDF">
      <w:rPr>
        <w:noProof/>
      </w:rPr>
      <w:t>2</w:t>
    </w:r>
    <w:r>
      <w:fldChar w:fldCharType="end"/>
    </w:r>
  </w:p>
  <w:p w:rsidR="004E6492" w:rsidRDefault="004E64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492" w:rsidRDefault="00BB5709">
    <w:pPr>
      <w:pStyle w:val="Footer"/>
      <w:framePr w:wrap="around" w:vAnchor="text" w:hAnchor="margin" w:xAlign="center" w:y="1"/>
    </w:pPr>
    <w:r>
      <w:fldChar w:fldCharType="begin"/>
    </w:r>
    <w:r w:rsidR="00FE7EB5">
      <w:instrText xml:space="preserve">PAGE  </w:instrText>
    </w:r>
    <w:r>
      <w:fldChar w:fldCharType="separate"/>
    </w:r>
    <w:r w:rsidR="00D77CDF">
      <w:rPr>
        <w:noProof/>
      </w:rPr>
      <w:t>2</w:t>
    </w:r>
    <w:r>
      <w:rPr>
        <w:noProof/>
      </w:rPr>
      <w:fldChar w:fldCharType="end"/>
    </w:r>
  </w:p>
  <w:p w:rsidR="004E6492" w:rsidRDefault="004E6492">
    <w:pPr>
      <w:spacing w:before="140" w:line="100" w:lineRule="exact"/>
      <w:rPr>
        <w:sz w:val="10"/>
      </w:rPr>
    </w:pPr>
  </w:p>
  <w:p w:rsidR="004E6492" w:rsidRDefault="004E6492">
    <w:pPr>
      <w:spacing w:line="227" w:lineRule="auto"/>
    </w:pPr>
  </w:p>
  <w:p w:rsidR="004E6492" w:rsidRDefault="004E649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492" w:rsidRDefault="004E6492">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2E6" w:rsidRDefault="00CF52E6">
      <w:r>
        <w:separator/>
      </w:r>
    </w:p>
  </w:footnote>
  <w:footnote w:type="continuationSeparator" w:id="0">
    <w:p w:rsidR="00CF52E6" w:rsidRDefault="00CF52E6">
      <w:pPr>
        <w:rPr>
          <w:sz w:val="20"/>
        </w:rPr>
      </w:pPr>
      <w:r>
        <w:rPr>
          <w:sz w:val="20"/>
        </w:rPr>
        <w:t xml:space="preserve">(Continued from previous page)  </w:t>
      </w:r>
      <w:r>
        <w:rPr>
          <w:sz w:val="20"/>
        </w:rPr>
        <w:separator/>
      </w:r>
    </w:p>
  </w:footnote>
  <w:footnote w:type="continuationNotice" w:id="1">
    <w:p w:rsidR="00CF52E6" w:rsidRDefault="00CF52E6">
      <w:pPr>
        <w:rPr>
          <w:sz w:val="20"/>
        </w:rPr>
      </w:pPr>
      <w:r>
        <w:rPr>
          <w:sz w:val="20"/>
        </w:rPr>
        <w:t>(continued….)</w:t>
      </w:r>
    </w:p>
  </w:footnote>
  <w:footnote w:id="2">
    <w:p w:rsidR="00331DDB" w:rsidRDefault="00331DDB">
      <w:pPr>
        <w:pStyle w:val="FootnoteText"/>
      </w:pPr>
      <w:r>
        <w:rPr>
          <w:rStyle w:val="FootnoteReference"/>
        </w:rPr>
        <w:footnoteRef/>
      </w:r>
      <w:r>
        <w:t xml:space="preserve"> </w:t>
      </w:r>
      <w:r w:rsidRPr="001E72E6">
        <w:rPr>
          <w:i/>
        </w:rPr>
        <w:t>Standardized and Enhanced Disclosure Requirements for Television Broadcast Licensee Public Interest Obligations</w:t>
      </w:r>
      <w:r>
        <w:t xml:space="preserve">, </w:t>
      </w:r>
      <w:r w:rsidRPr="001E72E6">
        <w:rPr>
          <w:i/>
        </w:rPr>
        <w:t>Extension of the Filing Requirement for Children’s Television Programming Report</w:t>
      </w:r>
      <w:r>
        <w:t xml:space="preserve">, </w:t>
      </w:r>
      <w:r w:rsidRPr="001E72E6">
        <w:rPr>
          <w:i/>
        </w:rPr>
        <w:t>Second Report and Order</w:t>
      </w:r>
      <w:r>
        <w:t>, 27 FCC Rcd 4535 (2012) (“</w:t>
      </w:r>
      <w:r w:rsidRPr="001E72E6">
        <w:rPr>
          <w:i/>
        </w:rPr>
        <w:t>Second Report and Order</w:t>
      </w:r>
      <w:r>
        <w:t xml:space="preserve">”).  </w:t>
      </w:r>
      <w:r w:rsidR="003A5259">
        <w:t xml:space="preserve">  </w:t>
      </w:r>
    </w:p>
  </w:footnote>
  <w:footnote w:id="3">
    <w:p w:rsidR="00945566" w:rsidRDefault="00945566" w:rsidP="00945566">
      <w:pPr>
        <w:pStyle w:val="FootnoteText"/>
      </w:pPr>
      <w:r>
        <w:rPr>
          <w:rStyle w:val="FootnoteReference"/>
        </w:rPr>
        <w:footnoteRef/>
      </w:r>
      <w:r>
        <w:t xml:space="preserve"> </w:t>
      </w:r>
      <w:r>
        <w:rPr>
          <w:color w:val="000000"/>
        </w:rPr>
        <w:t>All permittees and licensees of a “TV or Class A TV station” in the commercial and noncommercial educational broadcast services must maintain a public inspection file, including a political file.  </w:t>
      </w:r>
      <w:r>
        <w:rPr>
          <w:i/>
          <w:iCs/>
          <w:color w:val="000000"/>
        </w:rPr>
        <w:t xml:space="preserve">See </w:t>
      </w:r>
      <w:r>
        <w:rPr>
          <w:color w:val="000000"/>
        </w:rPr>
        <w:t>47 C</w:t>
      </w:r>
      <w:r w:rsidR="00F21615">
        <w:rPr>
          <w:color w:val="000000"/>
        </w:rPr>
        <w:t>.</w:t>
      </w:r>
      <w:r>
        <w:rPr>
          <w:color w:val="000000"/>
        </w:rPr>
        <w:t>F</w:t>
      </w:r>
      <w:r w:rsidR="00F21615">
        <w:rPr>
          <w:color w:val="000000"/>
        </w:rPr>
        <w:t>.</w:t>
      </w:r>
      <w:r>
        <w:rPr>
          <w:color w:val="000000"/>
        </w:rPr>
        <w:t>R</w:t>
      </w:r>
      <w:r w:rsidR="00F21615">
        <w:rPr>
          <w:color w:val="000000"/>
        </w:rPr>
        <w:t>.</w:t>
      </w:r>
      <w:r>
        <w:rPr>
          <w:color w:val="000000"/>
        </w:rPr>
        <w:t xml:space="preserve"> </w:t>
      </w:r>
      <w:r w:rsidR="00F21615">
        <w:rPr>
          <w:color w:val="000000"/>
        </w:rPr>
        <w:t xml:space="preserve">§§ </w:t>
      </w:r>
      <w:r>
        <w:rPr>
          <w:color w:val="000000"/>
        </w:rPr>
        <w:t>73.3526(a)(2) and 73.3527(a)(2).</w:t>
      </w:r>
    </w:p>
  </w:footnote>
  <w:footnote w:id="4">
    <w:p w:rsidR="00930834" w:rsidRPr="008B3A7D" w:rsidRDefault="00930834" w:rsidP="00930834">
      <w:pPr>
        <w:pStyle w:val="FootnoteText"/>
      </w:pPr>
      <w:r w:rsidRPr="008B3A7D">
        <w:rPr>
          <w:rStyle w:val="FootnoteReference"/>
        </w:rPr>
        <w:footnoteRef/>
      </w:r>
      <w:r w:rsidRPr="008B3A7D">
        <w:t xml:space="preserve"> </w:t>
      </w:r>
      <w:r w:rsidR="004F67C0" w:rsidRPr="004F67C0">
        <w:rPr>
          <w:i/>
        </w:rPr>
        <w:t>See Second Report and Order</w:t>
      </w:r>
      <w:r w:rsidR="004F67C0">
        <w:t xml:space="preserve">, 27 FCC Rcd </w:t>
      </w:r>
      <w:r w:rsidRPr="008B3A7D">
        <w:t xml:space="preserve">at </w:t>
      </w:r>
      <w:r>
        <w:t xml:space="preserve">4536-7, </w:t>
      </w:r>
      <w:r w:rsidRPr="008B3A7D">
        <w:t>¶ 3.</w:t>
      </w:r>
      <w:r w:rsidR="003A5259">
        <w:t xml:space="preserve">  On August 2, 2012, television stations that were not exempt were required to start uploading documents to the online file on a going-forward basis.  With respect to public file documents other than political file material, stations were given six months, until February 4, 2013, to complete the process of uploading their existing public file.  </w:t>
      </w:r>
      <w:r w:rsidR="003A5259" w:rsidRPr="00BB15A4">
        <w:rPr>
          <w:i/>
        </w:rPr>
        <w:t>Id</w:t>
      </w:r>
      <w:r w:rsidR="003A5259">
        <w:t xml:space="preserve">. at 4580-81, ¶ 98.  </w:t>
      </w:r>
      <w:r w:rsidR="003A5259" w:rsidRPr="003A5259">
        <w:rPr>
          <w:i/>
        </w:rPr>
        <w:t>See also Television Broadcast Stations Reminded of their Online Public Inspection File Obligations</w:t>
      </w:r>
      <w:r w:rsidR="003A5259">
        <w:t xml:space="preserve">, </w:t>
      </w:r>
      <w:r w:rsidR="003A5259" w:rsidRPr="00CD766F">
        <w:t>Public Notice</w:t>
      </w:r>
      <w:r w:rsidR="003A5259">
        <w:t xml:space="preserve">, MM Docket Nos. 00-168 and 00-44, DA 12-2003, rel. Dec. 11, 2012.  </w:t>
      </w:r>
      <w:r w:rsidR="008367ED">
        <w:t xml:space="preserve">Stations are not required to upload their political files </w:t>
      </w:r>
      <w:r w:rsidR="006C21DF">
        <w:t xml:space="preserve">as they existed prior to the relevant deadline </w:t>
      </w:r>
      <w:r w:rsidR="008367ED">
        <w:t xml:space="preserve">to the online database; rather, they are required only to upload new political file content on a going-forward basis.  </w:t>
      </w:r>
      <w:r w:rsidR="004F67C0" w:rsidRPr="004F67C0">
        <w:rPr>
          <w:i/>
        </w:rPr>
        <w:t>See Second Report and Order</w:t>
      </w:r>
      <w:r w:rsidR="004F67C0">
        <w:t xml:space="preserve">, 27 FCC Rcd </w:t>
      </w:r>
      <w:r w:rsidR="008367ED">
        <w:t xml:space="preserve">at 4536, ¶ 2 and at 4551, ¶ 33.  Existing political file documents not required to be uploaded to the online file must continue to be maintained at the station, however, until the end of the two-year retention period.   </w:t>
      </w:r>
      <w:r w:rsidR="008367ED" w:rsidRPr="003A5259">
        <w:rPr>
          <w:i/>
        </w:rPr>
        <w:t>See</w:t>
      </w:r>
      <w:r w:rsidR="008367ED">
        <w:t xml:space="preserve"> 47 C.F.R. §§ 73.3526(e)(6) and 73.3527(e)(5).</w:t>
      </w:r>
      <w:r w:rsidR="008367ED" w:rsidDel="00DC31BD">
        <w:t xml:space="preserve"> </w:t>
      </w:r>
    </w:p>
  </w:footnote>
  <w:footnote w:id="5">
    <w:p w:rsidR="002D750D" w:rsidRDefault="002D750D">
      <w:pPr>
        <w:pStyle w:val="FootnoteText"/>
      </w:pPr>
      <w:r>
        <w:rPr>
          <w:rStyle w:val="FootnoteReference"/>
        </w:rPr>
        <w:footnoteRef/>
      </w:r>
      <w:r>
        <w:t xml:space="preserve"> </w:t>
      </w:r>
      <w:r w:rsidRPr="002D750D">
        <w:t xml:space="preserve">In the </w:t>
      </w:r>
      <w:r w:rsidRPr="006C60BA">
        <w:rPr>
          <w:i/>
        </w:rPr>
        <w:t>Second Report and Order</w:t>
      </w:r>
      <w:r w:rsidRPr="002D750D">
        <w:t>, the Commission stated that, by July 1, 2013, the Media Bureau would issue a Public Notice seeking comment on the impact of the online posting requirement for the political file so that the Commission can consider whether any changes should be made to the requirement before it takes effect for other stations.</w:t>
      </w:r>
      <w:r w:rsidR="001C2A67">
        <w:t xml:space="preserve">  </w:t>
      </w:r>
      <w:r w:rsidR="004F67C0" w:rsidRPr="004F67C0">
        <w:rPr>
          <w:i/>
        </w:rPr>
        <w:t>See Second Report and Order</w:t>
      </w:r>
      <w:r w:rsidR="004F67C0">
        <w:t xml:space="preserve">, 27 FCC Rcd </w:t>
      </w:r>
      <w:r>
        <w:t xml:space="preserve">at 4536-7, ¶3.  </w:t>
      </w:r>
      <w:r w:rsidRPr="002D750D">
        <w:t>Consistent with this commitment, the Media Bureau issued a Public Notice on June 25, 2013</w:t>
      </w:r>
      <w:r w:rsidRPr="002D750D">
        <w:rPr>
          <w:sz w:val="22"/>
          <w:lang w:eastAsia="ar-SA"/>
        </w:rPr>
        <w:t xml:space="preserve"> </w:t>
      </w:r>
      <w:r w:rsidRPr="002D750D">
        <w:t>seeking comment on, among other things, the experience of stations currently subject to the online political file requirement in posting their political files to the Commission-hosted database and the ability of stations that are currently exempt from the political posting requirement to comply</w:t>
      </w:r>
      <w:r>
        <w:t xml:space="preserve"> with the July 1, 2014 deadline.  </w:t>
      </w:r>
      <w:r w:rsidRPr="002D750D">
        <w:rPr>
          <w:i/>
        </w:rPr>
        <w:t>Media Bureau Seeks Comment on Online Political File and Petition for Reconsideration Filed by the Television Station Group</w:t>
      </w:r>
      <w:r w:rsidRPr="002D750D">
        <w:t>, Public Notice, MM Docket No. 11-168, DA 13-1440, rel. June 25, 2013.</w:t>
      </w:r>
      <w:r>
        <w:t xml:space="preserve">  </w:t>
      </w:r>
      <w:r w:rsidRPr="002D750D">
        <w:t xml:space="preserve">The Media Bureau also sought comment on the Petition for Reconsideration filed by the Television Station Group which requests that the Commission reconsider the online political file requirement in the </w:t>
      </w:r>
      <w:r w:rsidRPr="002D750D">
        <w:rPr>
          <w:i/>
        </w:rPr>
        <w:t>Second Report and Order</w:t>
      </w:r>
      <w:r w:rsidRPr="002D750D">
        <w:t>.</w:t>
      </w:r>
      <w:r w:rsidR="006C60BA" w:rsidRPr="006C60BA">
        <w:rPr>
          <w:sz w:val="22"/>
          <w:lang w:eastAsia="ar-SA"/>
        </w:rPr>
        <w:t xml:space="preserve"> </w:t>
      </w:r>
      <w:r w:rsidR="006C60BA">
        <w:rPr>
          <w:sz w:val="22"/>
          <w:lang w:eastAsia="ar-SA"/>
        </w:rPr>
        <w:t xml:space="preserve"> </w:t>
      </w:r>
      <w:r w:rsidR="006C60BA" w:rsidRPr="006C60BA">
        <w:t xml:space="preserve">The Commission has not </w:t>
      </w:r>
      <w:r w:rsidR="006C60BA">
        <w:t xml:space="preserve">acted upon that Public Notice, or in any way </w:t>
      </w:r>
      <w:r w:rsidR="006C60BA" w:rsidRPr="006C60BA">
        <w:t>altered the online political file requirement or the July 1, 2014 deadline for compliance by television stations that are currently exempt</w:t>
      </w:r>
      <w:r w:rsidR="006C60BA">
        <w:t>.  Therefore, the requirement as codified –</w:t>
      </w:r>
      <w:r w:rsidR="006C60BA" w:rsidRPr="006C60BA">
        <w:t>the July 1, 2014 compliance deadline for stations not subject to the 2012 deadline</w:t>
      </w:r>
      <w:r w:rsidR="006C60BA">
        <w:t xml:space="preserve"> – still stands</w:t>
      </w:r>
      <w:r w:rsidR="006C60BA" w:rsidRPr="006C60BA">
        <w:t xml:space="preserve">.  47 C.F.R. § 73.3526(b)(3).  </w:t>
      </w:r>
    </w:p>
  </w:footnote>
  <w:footnote w:id="6">
    <w:p w:rsidR="00724300" w:rsidRDefault="00724300" w:rsidP="00E647F2">
      <w:pPr>
        <w:pStyle w:val="FootnoteText"/>
      </w:pPr>
      <w:r>
        <w:rPr>
          <w:rStyle w:val="FootnoteReference"/>
        </w:rPr>
        <w:footnoteRef/>
      </w:r>
      <w:r>
        <w:t xml:space="preserve"> </w:t>
      </w:r>
      <w:r w:rsidRPr="00724300">
        <w:t>We also remind all television broadcasters subject to the political file rules that documents must be placed in, or uploaded to, the file as soon as possible.</w:t>
      </w:r>
      <w:r>
        <w:t xml:space="preserve">  </w:t>
      </w:r>
      <w:r w:rsidRPr="00724300">
        <w:t>Section 73.1943</w:t>
      </w:r>
      <w:r w:rsidR="00E647F2">
        <w:t>(c)</w:t>
      </w:r>
      <w:r w:rsidRPr="00724300">
        <w:t xml:space="preserve"> of the Commission’s rules provides</w:t>
      </w:r>
      <w:r w:rsidR="00E647F2">
        <w:t xml:space="preserve"> that records “</w:t>
      </w:r>
      <w:r w:rsidRPr="00724300">
        <w:t xml:space="preserve">shall be placed in the political file </w:t>
      </w:r>
      <w:r w:rsidRPr="003A2465">
        <w:t>as soon as possible</w:t>
      </w:r>
      <w:r w:rsidRPr="00724300">
        <w:t xml:space="preserve"> and shall be retained for a period of two years. </w:t>
      </w:r>
      <w:r w:rsidRPr="003A2465">
        <w:t>As soon as possible means immediately absent unusual circumstances</w:t>
      </w:r>
      <w:r w:rsidRPr="00724300">
        <w:t>.</w:t>
      </w:r>
      <w:r w:rsidR="00E647F2">
        <w:t>”</w:t>
      </w:r>
      <w:r w:rsidRPr="00724300">
        <w:t xml:space="preserve"> </w:t>
      </w:r>
      <w:r w:rsidR="00E647F2" w:rsidRPr="00724300">
        <w:t>47 C.F.R. § 73.1943</w:t>
      </w:r>
      <w:r w:rsidR="00E647F2">
        <w:t>(c)</w:t>
      </w:r>
      <w:r w:rsidR="003A2465">
        <w:t>.</w:t>
      </w:r>
      <w:bookmarkStart w:id="1" w:name="d"/>
      <w:bookmarkEnd w:id="1"/>
    </w:p>
  </w:footnote>
  <w:footnote w:id="7">
    <w:p w:rsidR="00CD766F" w:rsidRDefault="00CD766F">
      <w:pPr>
        <w:pStyle w:val="FootnoteText"/>
      </w:pPr>
      <w:r>
        <w:rPr>
          <w:rStyle w:val="FootnoteReference"/>
        </w:rPr>
        <w:footnoteRef/>
      </w:r>
      <w:r>
        <w:t xml:space="preserve"> </w:t>
      </w:r>
      <w:r w:rsidRPr="00CD766F">
        <w:rPr>
          <w:i/>
        </w:rPr>
        <w:t>See</w:t>
      </w:r>
      <w:r>
        <w:t xml:space="preserve">, </w:t>
      </w:r>
      <w:r w:rsidRPr="00CD766F">
        <w:rPr>
          <w:i/>
        </w:rPr>
        <w:t>supra</w:t>
      </w:r>
      <w:r>
        <w:t xml:space="preserve">, note </w:t>
      </w:r>
      <w:r w:rsidR="004F67C0">
        <w:t>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CDF" w:rsidRDefault="00D77C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CDF" w:rsidRDefault="00D77C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492" w:rsidRDefault="0030747C">
    <w:pPr>
      <w:pStyle w:val="Header"/>
      <w:tabs>
        <w:tab w:val="left" w:pos="1080"/>
      </w:tabs>
      <w:spacing w:line="1120" w:lineRule="exact"/>
      <w:ind w:left="720"/>
      <w:rPr>
        <w:rFonts w:ascii="Arial" w:hAnsi="Arial"/>
        <w:b w:val="0"/>
        <w:sz w:val="96"/>
        <w:szCs w:val="96"/>
      </w:rPr>
    </w:pPr>
    <w:r>
      <w:rPr>
        <w:noProof/>
        <w:lang w:eastAsia="en-US"/>
      </w:rPr>
      <w:drawing>
        <wp:anchor distT="0" distB="0" distL="114935" distR="114935" simplePos="0" relativeHeight="251656192" behindDoc="0" locked="0" layoutInCell="1" allowOverlap="1" wp14:anchorId="7E440B0D" wp14:editId="1368FDFE">
          <wp:simplePos x="0" y="0"/>
          <wp:positionH relativeFrom="column">
            <wp:posOffset>50165</wp:posOffset>
          </wp:positionH>
          <wp:positionV relativeFrom="paragraph">
            <wp:posOffset>91440</wp:posOffset>
          </wp:positionV>
          <wp:extent cx="529590" cy="529590"/>
          <wp:effectExtent l="0" t="0" r="3810" b="381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590" cy="529590"/>
                  </a:xfrm>
                  <a:prstGeom prst="rect">
                    <a:avLst/>
                  </a:prstGeom>
                  <a:solidFill>
                    <a:srgbClr val="FFFFFF"/>
                  </a:solidFill>
                </pic:spPr>
              </pic:pic>
            </a:graphicData>
          </a:graphic>
        </wp:anchor>
      </w:drawing>
    </w:r>
    <w:r w:rsidR="004E6492">
      <w:rPr>
        <w:sz w:val="96"/>
        <w:szCs w:val="96"/>
      </w:rPr>
      <w:tab/>
    </w:r>
    <w:r w:rsidR="004E6492">
      <w:rPr>
        <w:rFonts w:ascii="Arial" w:hAnsi="Arial"/>
        <w:b w:val="0"/>
        <w:sz w:val="96"/>
        <w:szCs w:val="96"/>
      </w:rPr>
      <w:t>PUBLIC NOTICE</w:t>
    </w:r>
  </w:p>
  <w:p w:rsidR="004E6492" w:rsidRDefault="009D3461">
    <w:pPr>
      <w:pStyle w:val="Header"/>
      <w:tabs>
        <w:tab w:val="left" w:pos="1080"/>
      </w:tabs>
      <w:spacing w:line="1120" w:lineRule="exact"/>
      <w:ind w:left="720"/>
      <w:rPr>
        <w:rFonts w:ascii="Arial" w:hAnsi="Arial"/>
        <w:b w:val="0"/>
        <w:sz w:val="96"/>
        <w:szCs w:val="96"/>
      </w:rPr>
    </w:pPr>
    <w:r>
      <w:rPr>
        <w:noProof/>
        <w:lang w:eastAsia="en-US"/>
      </w:rPr>
      <mc:AlternateContent>
        <mc:Choice Requires="wps">
          <w:drawing>
            <wp:anchor distT="0" distB="0" distL="114935" distR="114935" simplePos="0" relativeHeight="251657216" behindDoc="1" locked="0" layoutInCell="1" allowOverlap="1" wp14:anchorId="3DE4ADF3" wp14:editId="08F2115B">
              <wp:simplePos x="0" y="0"/>
              <wp:positionH relativeFrom="column">
                <wp:posOffset>51435</wp:posOffset>
              </wp:positionH>
              <wp:positionV relativeFrom="paragraph">
                <wp:posOffset>91440</wp:posOffset>
              </wp:positionV>
              <wp:extent cx="3108325" cy="639445"/>
              <wp:effectExtent l="0" t="0" r="0" b="825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639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492" w:rsidRDefault="004E6492">
                          <w:pPr>
                            <w:rPr>
                              <w:rFonts w:ascii="Arial" w:hAnsi="Arial"/>
                              <w:b/>
                              <w:szCs w:val="22"/>
                            </w:rPr>
                          </w:pPr>
                          <w:r>
                            <w:rPr>
                              <w:rFonts w:ascii="Arial" w:hAnsi="Arial"/>
                              <w:b/>
                              <w:szCs w:val="22"/>
                            </w:rPr>
                            <w:t>Federal Communications Commission</w:t>
                          </w:r>
                        </w:p>
                        <w:p w:rsidR="004E6492" w:rsidRDefault="004E6492">
                          <w:pPr>
                            <w:rPr>
                              <w:rFonts w:ascii="Arial" w:hAnsi="Arial"/>
                              <w:b/>
                              <w:szCs w:val="22"/>
                            </w:rPr>
                          </w:pPr>
                          <w:smartTag w:uri="urn:schemas-microsoft-com:office:smarttags" w:element="Street">
                            <w:smartTag w:uri="urn:schemas-microsoft-com:office:smarttags" w:element="address">
                              <w:r>
                                <w:rPr>
                                  <w:rFonts w:ascii="Arial" w:hAnsi="Arial"/>
                                  <w:b/>
                                  <w:szCs w:val="22"/>
                                </w:rPr>
                                <w:t>445 12th St., S.W.</w:t>
                              </w:r>
                            </w:smartTag>
                          </w:smartTag>
                        </w:p>
                        <w:p w:rsidR="004E6492" w:rsidRDefault="004E6492">
                          <w:pPr>
                            <w:rPr>
                              <w:rFonts w:ascii="Arial" w:hAnsi="Arial"/>
                              <w:b/>
                              <w:szCs w:val="22"/>
                            </w:rPr>
                          </w:pPr>
                          <w:smartTag w:uri="urn:schemas-microsoft-com:office:smarttags" w:element="place">
                            <w:smartTag w:uri="urn:schemas-microsoft-com:office:smarttags" w:element="City">
                              <w:r>
                                <w:rPr>
                                  <w:rFonts w:ascii="Arial" w:hAnsi="Arial"/>
                                  <w:b/>
                                  <w:szCs w:val="22"/>
                                </w:rPr>
                                <w:t>Washington</w:t>
                              </w:r>
                            </w:smartTag>
                            <w:r>
                              <w:rPr>
                                <w:rFonts w:ascii="Arial" w:hAnsi="Arial"/>
                                <w:b/>
                                <w:szCs w:val="22"/>
                              </w:rPr>
                              <w:t xml:space="preserve">, </w:t>
                            </w:r>
                            <w:smartTag w:uri="urn:schemas-microsoft-com:office:smarttags" w:element="State">
                              <w:r>
                                <w:rPr>
                                  <w:rFonts w:ascii="Arial" w:hAnsi="Arial"/>
                                  <w:b/>
                                  <w:szCs w:val="22"/>
                                </w:rPr>
                                <w:t>D.C.</w:t>
                              </w:r>
                            </w:smartTag>
                            <w:r>
                              <w:rPr>
                                <w:rFonts w:ascii="Arial" w:hAnsi="Arial"/>
                                <w:b/>
                                <w:szCs w:val="22"/>
                              </w:rPr>
                              <w:t xml:space="preserve"> </w:t>
                            </w:r>
                            <w:smartTag w:uri="urn:schemas-microsoft-com:office:smarttags" w:element="PostalCode">
                              <w:r>
                                <w:rPr>
                                  <w:rFonts w:ascii="Arial" w:hAnsi="Arial"/>
                                  <w:b/>
                                  <w:szCs w:val="22"/>
                                </w:rPr>
                                <w:t>20554</w:t>
                              </w:r>
                            </w:smartTag>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7.2pt;width:244.75pt;height:50.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" stroked="f">
              <v:textbox inset="0,0,0,0">
                <w:txbxContent>
                  <w:p w:rsidR="004E6492" w:rsidRDefault="004E6492">
                    <w:pPr>
                      <w:rPr>
                        <w:rFonts w:ascii="Arial" w:hAnsi="Arial"/>
                        <w:b/>
                        <w:szCs w:val="22"/>
                      </w:rPr>
                    </w:pPr>
                    <w:r>
                      <w:rPr>
                        <w:rFonts w:ascii="Arial" w:hAnsi="Arial"/>
                        <w:b/>
                        <w:szCs w:val="22"/>
                      </w:rPr>
                      <w:t>Federal Communications Commission</w:t>
                    </w:r>
                  </w:p>
                  <w:p w:rsidR="004E6492" w:rsidRDefault="004E6492">
                    <w:pPr>
                      <w:rPr>
                        <w:rFonts w:ascii="Arial" w:hAnsi="Arial"/>
                        <w:b/>
                        <w:szCs w:val="22"/>
                      </w:rPr>
                    </w:pPr>
                    <w:smartTag w:uri="urn:schemas-microsoft-com:office:smarttags" w:element="Street">
                      <w:smartTag w:uri="urn:schemas-microsoft-com:office:smarttags" w:element="address">
                        <w:r>
                          <w:rPr>
                            <w:rFonts w:ascii="Arial" w:hAnsi="Arial"/>
                            <w:b/>
                            <w:szCs w:val="22"/>
                          </w:rPr>
                          <w:t>445 12th St., S.W.</w:t>
                        </w:r>
                      </w:smartTag>
                    </w:smartTag>
                  </w:p>
                  <w:p w:rsidR="004E6492" w:rsidRDefault="004E6492">
                    <w:pPr>
                      <w:rPr>
                        <w:rFonts w:ascii="Arial" w:hAnsi="Arial"/>
                        <w:b/>
                        <w:szCs w:val="22"/>
                      </w:rPr>
                    </w:pPr>
                    <w:smartTag w:uri="urn:schemas-microsoft-com:office:smarttags" w:element="place">
                      <w:smartTag w:uri="urn:schemas-microsoft-com:office:smarttags" w:element="City">
                        <w:r>
                          <w:rPr>
                            <w:rFonts w:ascii="Arial" w:hAnsi="Arial"/>
                            <w:b/>
                            <w:szCs w:val="22"/>
                          </w:rPr>
                          <w:t>Washington</w:t>
                        </w:r>
                      </w:smartTag>
                      <w:r>
                        <w:rPr>
                          <w:rFonts w:ascii="Arial" w:hAnsi="Arial"/>
                          <w:b/>
                          <w:szCs w:val="22"/>
                        </w:rPr>
                        <w:t xml:space="preserve">, </w:t>
                      </w:r>
                      <w:smartTag w:uri="urn:schemas-microsoft-com:office:smarttags" w:element="State">
                        <w:r>
                          <w:rPr>
                            <w:rFonts w:ascii="Arial" w:hAnsi="Arial"/>
                            <w:b/>
                            <w:szCs w:val="22"/>
                          </w:rPr>
                          <w:t>D.C.</w:t>
                        </w:r>
                      </w:smartTag>
                      <w:r>
                        <w:rPr>
                          <w:rFonts w:ascii="Arial" w:hAnsi="Arial"/>
                          <w:b/>
                          <w:szCs w:val="22"/>
                        </w:rPr>
                        <w:t xml:space="preserve"> </w:t>
                      </w:r>
                      <w:smartTag w:uri="urn:schemas-microsoft-com:office:smarttags" w:element="PostalCode">
                        <w:r>
                          <w:rPr>
                            <w:rFonts w:ascii="Arial" w:hAnsi="Arial"/>
                            <w:b/>
                            <w:szCs w:val="22"/>
                          </w:rPr>
                          <w:t>20554</w:t>
                        </w:r>
                      </w:smartTag>
                    </w:smartTag>
                  </w:p>
                </w:txbxContent>
              </v:textbox>
            </v:shape>
          </w:pict>
        </mc:Fallback>
      </mc:AlternateContent>
    </w:r>
    <w:r>
      <w:rPr>
        <w:noProof/>
        <w:lang w:eastAsia="en-US"/>
      </w:rPr>
      <mc:AlternateContent>
        <mc:Choice Requires="wps">
          <w:drawing>
            <wp:anchor distT="0" distB="0" distL="114935" distR="114935" simplePos="0" relativeHeight="251659264" behindDoc="1" locked="0" layoutInCell="1" allowOverlap="1" wp14:anchorId="49908DE0" wp14:editId="499F9E98">
              <wp:simplePos x="0" y="0"/>
              <wp:positionH relativeFrom="column">
                <wp:posOffset>2908935</wp:posOffset>
              </wp:positionH>
              <wp:positionV relativeFrom="paragraph">
                <wp:posOffset>91440</wp:posOffset>
              </wp:positionV>
              <wp:extent cx="3053715" cy="66738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667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6492" w:rsidRDefault="004E6492">
                          <w:pPr>
                            <w:spacing w:before="40"/>
                            <w:jc w:val="right"/>
                            <w:rPr>
                              <w:rFonts w:ascii="Arial" w:hAnsi="Arial"/>
                              <w:sz w:val="16"/>
                            </w:rPr>
                          </w:pPr>
                          <w:r>
                            <w:rPr>
                              <w:rFonts w:ascii="Arial" w:hAnsi="Arial"/>
                              <w:sz w:val="16"/>
                            </w:rPr>
                            <w:tab/>
                          </w:r>
                        </w:p>
                        <w:p w:rsidR="004E6492" w:rsidRDefault="004E6492">
                          <w:pPr>
                            <w:spacing w:before="40"/>
                            <w:jc w:val="right"/>
                            <w:rPr>
                              <w:rFonts w:ascii="Arial" w:hAnsi="Arial"/>
                              <w:b/>
                              <w:sz w:val="16"/>
                            </w:rPr>
                          </w:pPr>
                          <w:r>
                            <w:rPr>
                              <w:rFonts w:ascii="Arial" w:hAnsi="Arial"/>
                              <w:b/>
                              <w:sz w:val="16"/>
                            </w:rPr>
                            <w:t>News Media Information 202 / 418-0500</w:t>
                          </w:r>
                        </w:p>
                        <w:p w:rsidR="004E6492" w:rsidRDefault="004E6492">
                          <w:pPr>
                            <w:jc w:val="right"/>
                            <w:rPr>
                              <w:rFonts w:ascii="Arial" w:hAnsi="Arial"/>
                              <w:b/>
                              <w:sz w:val="16"/>
                            </w:rPr>
                          </w:pPr>
                          <w:r>
                            <w:rPr>
                              <w:rFonts w:ascii="Arial" w:hAnsi="Arial"/>
                              <w:b/>
                              <w:sz w:val="16"/>
                            </w:rPr>
                            <w:tab/>
                            <w:t>Internet: http://www.fcc.gov</w:t>
                          </w:r>
                        </w:p>
                        <w:p w:rsidR="004E6492" w:rsidRDefault="004E6492">
                          <w:pPr>
                            <w:jc w:val="right"/>
                            <w:rPr>
                              <w:rFonts w:ascii="Arial" w:hAnsi="Arial"/>
                              <w:b/>
                              <w:sz w:val="16"/>
                            </w:rPr>
                          </w:pPr>
                          <w:r>
                            <w:rPr>
                              <w:rFonts w:ascii="Arial" w:hAnsi="Arial"/>
                              <w:b/>
                              <w:sz w:val="16"/>
                            </w:rPr>
                            <w:t>TTY: 1-888-835-5322</w:t>
                          </w:r>
                        </w:p>
                        <w:p w:rsidR="004E6492" w:rsidRDefault="004E6492">
                          <w:pPr>
                            <w:jc w:val="right"/>
                          </w:pPr>
                        </w:p>
                        <w:p w:rsidR="004E6492" w:rsidRDefault="004E6492">
                          <w:pPr>
                            <w:jc w:val="right"/>
                            <w:rPr>
                              <w:rFonts w:ascii="Arial" w:hAnsi="Arial"/>
                              <w:sz w:val="16"/>
                            </w:rPr>
                          </w:pPr>
                        </w:p>
                        <w:p w:rsidR="004E6492" w:rsidRDefault="004E6492">
                          <w:pPr>
                            <w:jc w:val="right"/>
                            <w:rPr>
                              <w:rFonts w:ascii="Arial" w:hAnsi="Arial"/>
                              <w:sz w:val="16"/>
                            </w:rPr>
                          </w:pPr>
                          <w:r>
                            <w:rPr>
                              <w:rFonts w:ascii="Arial" w:hAnsi="Arial"/>
                              <w:sz w:val="16"/>
                            </w:rPr>
                            <w:tab/>
                          </w:r>
                        </w:p>
                        <w:p w:rsidR="004E6492" w:rsidRDefault="004E6492">
                          <w:pPr>
                            <w:jc w:val="right"/>
                            <w:rPr>
                              <w:rFonts w:ascii="Arial" w:hAnsi="Arial"/>
                              <w:sz w:val="16"/>
                            </w:rPr>
                          </w:pPr>
                          <w:r>
                            <w:rPr>
                              <w:rFonts w:ascii="Arial" w:hAnsi="Arial"/>
                              <w:sz w:val="16"/>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29.05pt;margin-top:7.2pt;width:240.45pt;height:52.5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" stroked="f">
              <v:textbox inset="0,0,0,0">
                <w:txbxContent>
                  <w:p w:rsidR="004E6492" w:rsidRDefault="004E6492">
                    <w:pPr>
                      <w:spacing w:before="40"/>
                      <w:jc w:val="right"/>
                      <w:rPr>
                        <w:rFonts w:ascii="Arial" w:hAnsi="Arial"/>
                        <w:sz w:val="16"/>
                      </w:rPr>
                    </w:pPr>
                    <w:r>
                      <w:rPr>
                        <w:rFonts w:ascii="Arial" w:hAnsi="Arial"/>
                        <w:sz w:val="16"/>
                      </w:rPr>
                      <w:tab/>
                    </w:r>
                  </w:p>
                  <w:p w:rsidR="004E6492" w:rsidRDefault="004E6492">
                    <w:pPr>
                      <w:spacing w:before="40"/>
                      <w:jc w:val="right"/>
                      <w:rPr>
                        <w:rFonts w:ascii="Arial" w:hAnsi="Arial"/>
                        <w:b/>
                        <w:sz w:val="16"/>
                      </w:rPr>
                    </w:pPr>
                    <w:r>
                      <w:rPr>
                        <w:rFonts w:ascii="Arial" w:hAnsi="Arial"/>
                        <w:b/>
                        <w:sz w:val="16"/>
                      </w:rPr>
                      <w:t>News Media Information 202 / 418-0500</w:t>
                    </w:r>
                  </w:p>
                  <w:p w:rsidR="004E6492" w:rsidRDefault="004E6492">
                    <w:pPr>
                      <w:jc w:val="right"/>
                      <w:rPr>
                        <w:rFonts w:ascii="Arial" w:hAnsi="Arial"/>
                        <w:b/>
                        <w:sz w:val="16"/>
                      </w:rPr>
                    </w:pPr>
                    <w:r>
                      <w:rPr>
                        <w:rFonts w:ascii="Arial" w:hAnsi="Arial"/>
                        <w:b/>
                        <w:sz w:val="16"/>
                      </w:rPr>
                      <w:tab/>
                      <w:t>Internet: http://www.fcc.gov</w:t>
                    </w:r>
                  </w:p>
                  <w:p w:rsidR="004E6492" w:rsidRDefault="004E6492">
                    <w:pPr>
                      <w:jc w:val="right"/>
                      <w:rPr>
                        <w:rFonts w:ascii="Arial" w:hAnsi="Arial"/>
                        <w:b/>
                        <w:sz w:val="16"/>
                      </w:rPr>
                    </w:pPr>
                    <w:r>
                      <w:rPr>
                        <w:rFonts w:ascii="Arial" w:hAnsi="Arial"/>
                        <w:b/>
                        <w:sz w:val="16"/>
                      </w:rPr>
                      <w:t>TTY: 1-888-835-5322</w:t>
                    </w:r>
                  </w:p>
                  <w:p w:rsidR="004E6492" w:rsidRDefault="004E6492">
                    <w:pPr>
                      <w:jc w:val="right"/>
                    </w:pPr>
                  </w:p>
                  <w:p w:rsidR="004E6492" w:rsidRDefault="004E6492">
                    <w:pPr>
                      <w:jc w:val="right"/>
                      <w:rPr>
                        <w:rFonts w:ascii="Arial" w:hAnsi="Arial"/>
                        <w:sz w:val="16"/>
                      </w:rPr>
                    </w:pPr>
                  </w:p>
                  <w:p w:rsidR="004E6492" w:rsidRDefault="004E6492">
                    <w:pPr>
                      <w:jc w:val="right"/>
                      <w:rPr>
                        <w:rFonts w:ascii="Arial" w:hAnsi="Arial"/>
                        <w:sz w:val="16"/>
                      </w:rPr>
                    </w:pPr>
                    <w:r>
                      <w:rPr>
                        <w:rFonts w:ascii="Arial" w:hAnsi="Arial"/>
                        <w:sz w:val="16"/>
                      </w:rPr>
                      <w:tab/>
                    </w:r>
                  </w:p>
                  <w:p w:rsidR="004E6492" w:rsidRDefault="004E6492">
                    <w:pPr>
                      <w:jc w:val="right"/>
                      <w:rPr>
                        <w:rFonts w:ascii="Arial" w:hAnsi="Arial"/>
                        <w:sz w:val="16"/>
                      </w:rPr>
                    </w:pPr>
                    <w:r>
                      <w:rPr>
                        <w:rFonts w:ascii="Arial" w:hAnsi="Arial"/>
                        <w:sz w:val="16"/>
                      </w:rPr>
                      <w:tab/>
                    </w:r>
                  </w:p>
                </w:txbxContent>
              </v:textbox>
            </v:shape>
          </w:pict>
        </mc:Fallback>
      </mc:AlternateContent>
    </w:r>
  </w:p>
  <w:p w:rsidR="004E6492" w:rsidRDefault="004E6492">
    <w:pPr>
      <w:pStyle w:val="Header"/>
      <w:rPr>
        <w:rFonts w:ascii="Arial" w:hAnsi="Arial"/>
        <w:b w:val="0"/>
        <w:sz w:val="24"/>
        <w:szCs w:val="24"/>
      </w:rPr>
    </w:pPr>
  </w:p>
  <w:p w:rsidR="004E6492" w:rsidRDefault="009D3461">
    <w:pPr>
      <w:jc w:val="right"/>
      <w:rPr>
        <w:b/>
      </w:rPr>
    </w:pPr>
    <w:r>
      <w:rPr>
        <w:noProof/>
        <w:lang w:eastAsia="en-US"/>
      </w:rPr>
      <mc:AlternateContent>
        <mc:Choice Requires="wps">
          <w:drawing>
            <wp:anchor distT="4294967295" distB="4294967295" distL="114300" distR="114300" simplePos="0" relativeHeight="251661312" behindDoc="1" locked="0" layoutInCell="1" allowOverlap="1" wp14:anchorId="0B940D5B" wp14:editId="49D11142">
              <wp:simplePos x="0" y="0"/>
              <wp:positionH relativeFrom="column">
                <wp:posOffset>152400</wp:posOffset>
              </wp:positionH>
              <wp:positionV relativeFrom="paragraph">
                <wp:posOffset>82549</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6.5pt" to="48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" strokeweight=".53mm">
              <v:stroke joinstyle="miter"/>
            </v:line>
          </w:pict>
        </mc:Fallback>
      </mc:AlternateContent>
    </w:r>
  </w:p>
  <w:p w:rsidR="004E6492" w:rsidRDefault="004E64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Symbo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Symbol"/>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singleLevel"/>
    <w:tmpl w:val="00000002"/>
    <w:name w:val="WW8Num3"/>
    <w:lvl w:ilvl="0">
      <w:start w:val="1"/>
      <w:numFmt w:val="bullet"/>
      <w:lvlText w:val=""/>
      <w:lvlJc w:val="left"/>
      <w:pPr>
        <w:tabs>
          <w:tab w:val="num" w:pos="1440"/>
        </w:tabs>
        <w:ind w:left="1440" w:hanging="360"/>
      </w:pPr>
      <w:rPr>
        <w:rFonts w:ascii="Symbol" w:hAnsi="Symbol"/>
      </w:rPr>
    </w:lvl>
  </w:abstractNum>
  <w:abstractNum w:abstractNumId="2">
    <w:nsid w:val="00000003"/>
    <w:multiLevelType w:val="singleLevel"/>
    <w:tmpl w:val="00000003"/>
    <w:name w:val="WW8Num4"/>
    <w:lvl w:ilvl="0">
      <w:start w:val="1"/>
      <w:numFmt w:val="decimal"/>
      <w:lvlText w:val="%1."/>
      <w:lvlJc w:val="left"/>
      <w:pPr>
        <w:tabs>
          <w:tab w:val="num" w:pos="1080"/>
        </w:tabs>
        <w:ind w:left="0" w:firstLine="720"/>
      </w:pPr>
      <w:rPr>
        <w:rFonts w:ascii="Times New Roman" w:hAnsi="Times New Roman" w:cs="Times New Roman"/>
        <w:b w:val="0"/>
        <w:i w:val="0"/>
        <w:caps w:val="0"/>
        <w:smallCaps w:val="0"/>
        <w:strike w:val="0"/>
        <w:dstrike w:val="0"/>
        <w:vanish w:val="0"/>
        <w:color w:val="000000"/>
        <w:position w:val="0"/>
        <w:sz w:val="22"/>
        <w:szCs w:val="22"/>
        <w:u w:val="none"/>
        <w:vertAlign w:val="baseline"/>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Symbol" w:hAnsi="Symbol"/>
      </w:rPr>
    </w:lvl>
  </w:abstractNum>
  <w:abstractNum w:abstractNumId="4">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84B453C"/>
    <w:multiLevelType w:val="singleLevel"/>
    <w:tmpl w:val="40A8E97A"/>
    <w:lvl w:ilvl="0">
      <w:start w:val="1"/>
      <w:numFmt w:val="decimal"/>
      <w:lvlText w:val="%1."/>
      <w:lvlJc w:val="left"/>
      <w:pPr>
        <w:tabs>
          <w:tab w:val="num" w:pos="1080"/>
        </w:tabs>
        <w:ind w:left="0" w:firstLine="720"/>
      </w:pPr>
    </w:lvl>
  </w:abstractNum>
  <w:abstractNum w:abstractNumId="6">
    <w:nsid w:val="0FEF70C1"/>
    <w:multiLevelType w:val="hybridMultilevel"/>
    <w:tmpl w:val="E51C1A8E"/>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53667B"/>
    <w:multiLevelType w:val="hybridMultilevel"/>
    <w:tmpl w:val="CACA5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46CC6"/>
    <w:multiLevelType w:val="hybridMultilevel"/>
    <w:tmpl w:val="F29C0A92"/>
    <w:lvl w:ilvl="0" w:tplc="FFFFFFFF">
      <w:start w:val="1"/>
      <w:numFmt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Wingding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Wingding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0">
    <w:nsid w:val="248246F3"/>
    <w:multiLevelType w:val="singleLevel"/>
    <w:tmpl w:val="B1F45678"/>
    <w:lvl w:ilvl="0">
      <w:start w:val="1"/>
      <w:numFmt w:val="decimal"/>
      <w:lvlText w:val="%1."/>
      <w:lvlJc w:val="left"/>
      <w:pPr>
        <w:tabs>
          <w:tab w:val="num" w:pos="1080"/>
        </w:tabs>
        <w:ind w:left="0" w:firstLine="720"/>
      </w:pPr>
    </w:lvl>
  </w:abstractNum>
  <w:abstractNum w:abstractNumId="1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nsid w:val="2B2A2951"/>
    <w:multiLevelType w:val="hybridMultilevel"/>
    <w:tmpl w:val="2BEC4DB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50B14DF"/>
    <w:multiLevelType w:val="hybridMultilevel"/>
    <w:tmpl w:val="72AE01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7673578"/>
    <w:multiLevelType w:val="hybridMultilevel"/>
    <w:tmpl w:val="E0000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1F5367"/>
    <w:multiLevelType w:val="hybridMultilevel"/>
    <w:tmpl w:val="CACA5E6E"/>
    <w:lvl w:ilvl="0" w:tplc="0409000F">
      <w:start w:val="1"/>
      <w:numFmt w:val="decimal"/>
      <w:lvlText w:val="%1."/>
      <w:lvlJc w:val="left"/>
      <w:pPr>
        <w:ind w:left="72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3D0F1B3D"/>
    <w:multiLevelType w:val="singleLevel"/>
    <w:tmpl w:val="0902D07C"/>
    <w:lvl w:ilvl="0">
      <w:start w:val="1"/>
      <w:numFmt w:val="decimal"/>
      <w:lvlText w:val="%1."/>
      <w:lvlJc w:val="left"/>
      <w:pPr>
        <w:tabs>
          <w:tab w:val="num" w:pos="1530"/>
        </w:tabs>
        <w:ind w:left="45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6FE3126"/>
    <w:multiLevelType w:val="multilevel"/>
    <w:tmpl w:val="9748207E"/>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Symbo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Symbol"/>
      </w:rPr>
    </w:lvl>
    <w:lvl w:ilvl="8">
      <w:start w:val="1"/>
      <w:numFmt w:val="bullet"/>
      <w:lvlText w:val=""/>
      <w:lvlJc w:val="left"/>
      <w:pPr>
        <w:tabs>
          <w:tab w:val="num" w:pos="6480"/>
        </w:tabs>
        <w:ind w:left="6480" w:hanging="360"/>
      </w:pPr>
      <w:rPr>
        <w:rFonts w:ascii="Wingdings" w:hAnsi="Wingdings"/>
      </w:rPr>
    </w:lvl>
  </w:abstractNum>
  <w:abstractNum w:abstractNumId="19">
    <w:nsid w:val="4CA817E6"/>
    <w:multiLevelType w:val="hybridMultilevel"/>
    <w:tmpl w:val="059C779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Bold"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imes New Roman Bold"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imes New Roman Bold"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55916516"/>
    <w:multiLevelType w:val="hybridMultilevel"/>
    <w:tmpl w:val="4BB6F7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677B1D"/>
    <w:multiLevelType w:val="hybridMultilevel"/>
    <w:tmpl w:val="DB168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1182925"/>
    <w:multiLevelType w:val="singleLevel"/>
    <w:tmpl w:val="A68CF9C8"/>
    <w:lvl w:ilvl="0">
      <w:start w:val="1"/>
      <w:numFmt w:val="decimal"/>
      <w:lvlText w:val="%1."/>
      <w:lvlJc w:val="left"/>
      <w:pPr>
        <w:tabs>
          <w:tab w:val="num" w:pos="1080"/>
        </w:tabs>
        <w:ind w:left="0" w:firstLine="720"/>
      </w:pPr>
    </w:lvl>
  </w:abstractNum>
  <w:abstractNum w:abstractNumId="24">
    <w:nsid w:val="71BA2D83"/>
    <w:multiLevelType w:val="hybridMultilevel"/>
    <w:tmpl w:val="2DD490C8"/>
    <w:lvl w:ilvl="0" w:tplc="F1B2B9A2">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F0406EE"/>
    <w:multiLevelType w:val="hybridMultilevel"/>
    <w:tmpl w:val="749E4CE6"/>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1BF295AE">
      <w:numFmt w:val="bullet"/>
      <w:lvlText w:val="-"/>
      <w:lvlJc w:val="left"/>
      <w:pPr>
        <w:tabs>
          <w:tab w:val="num" w:pos="720"/>
        </w:tabs>
        <w:ind w:left="720" w:hanging="360"/>
      </w:pPr>
      <w:rPr>
        <w:rFonts w:ascii="Times New Roman" w:eastAsia="Times New Roman" w:hAnsi="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23"/>
  </w:num>
  <w:num w:numId="3">
    <w:abstractNumId w:val="11"/>
  </w:num>
  <w:num w:numId="4">
    <w:abstractNumId w:val="20"/>
  </w:num>
  <w:num w:numId="5">
    <w:abstractNumId w:val="10"/>
  </w:num>
  <w:num w:numId="6">
    <w:abstractNumId w:val="5"/>
  </w:num>
  <w:num w:numId="7">
    <w:abstractNumId w:val="0"/>
  </w:num>
  <w:num w:numId="8">
    <w:abstractNumId w:val="1"/>
  </w:num>
  <w:num w:numId="9">
    <w:abstractNumId w:val="2"/>
  </w:num>
  <w:num w:numId="10">
    <w:abstractNumId w:val="3"/>
  </w:num>
  <w:num w:numId="11">
    <w:abstractNumId w:val="18"/>
  </w:num>
  <w:num w:numId="12">
    <w:abstractNumId w:val="12"/>
  </w:num>
  <w:num w:numId="13">
    <w:abstractNumId w:val="23"/>
    <w:lvlOverride w:ilvl="0">
      <w:startOverride w:val="1"/>
    </w:lvlOverride>
  </w:num>
  <w:num w:numId="14">
    <w:abstractNumId w:val="13"/>
  </w:num>
  <w:num w:numId="15">
    <w:abstractNumId w:val="4"/>
  </w:num>
  <w:num w:numId="16">
    <w:abstractNumId w:val="25"/>
  </w:num>
  <w:num w:numId="17">
    <w:abstractNumId w:val="8"/>
  </w:num>
  <w:num w:numId="18">
    <w:abstractNumId w:val="21"/>
  </w:num>
  <w:num w:numId="19">
    <w:abstractNumId w:val="6"/>
  </w:num>
  <w:num w:numId="20">
    <w:abstractNumId w:val="19"/>
  </w:num>
  <w:num w:numId="21">
    <w:abstractNumId w:val="24"/>
  </w:num>
  <w:num w:numId="22">
    <w:abstractNumId w:val="14"/>
  </w:num>
  <w:num w:numId="23">
    <w:abstractNumId w:val="22"/>
  </w:num>
  <w:num w:numId="24">
    <w:abstractNumId w:val="17"/>
  </w:num>
  <w:num w:numId="25">
    <w:abstractNumId w:val="15"/>
  </w:num>
  <w:num w:numId="26">
    <w:abstractNumId w:val="1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383"/>
    <w:rsid w:val="00002211"/>
    <w:rsid w:val="00005755"/>
    <w:rsid w:val="00005B7A"/>
    <w:rsid w:val="00012386"/>
    <w:rsid w:val="00030166"/>
    <w:rsid w:val="00033628"/>
    <w:rsid w:val="000353FF"/>
    <w:rsid w:val="000450FA"/>
    <w:rsid w:val="000547AB"/>
    <w:rsid w:val="0006376E"/>
    <w:rsid w:val="000821AC"/>
    <w:rsid w:val="00091893"/>
    <w:rsid w:val="00091EEE"/>
    <w:rsid w:val="00094092"/>
    <w:rsid w:val="000A1CEB"/>
    <w:rsid w:val="000A5D96"/>
    <w:rsid w:val="000C3936"/>
    <w:rsid w:val="000C5445"/>
    <w:rsid w:val="000D0693"/>
    <w:rsid w:val="000D7F96"/>
    <w:rsid w:val="000E00DC"/>
    <w:rsid w:val="000E6419"/>
    <w:rsid w:val="000F6044"/>
    <w:rsid w:val="00107C3D"/>
    <w:rsid w:val="00114561"/>
    <w:rsid w:val="001242BB"/>
    <w:rsid w:val="001273C2"/>
    <w:rsid w:val="00131713"/>
    <w:rsid w:val="0013225B"/>
    <w:rsid w:val="00145791"/>
    <w:rsid w:val="0014704A"/>
    <w:rsid w:val="00170532"/>
    <w:rsid w:val="00175DDE"/>
    <w:rsid w:val="001827A7"/>
    <w:rsid w:val="001B1EBD"/>
    <w:rsid w:val="001B39D4"/>
    <w:rsid w:val="001C0747"/>
    <w:rsid w:val="001C1A00"/>
    <w:rsid w:val="001C2A67"/>
    <w:rsid w:val="001D1351"/>
    <w:rsid w:val="001E70C6"/>
    <w:rsid w:val="001E72E6"/>
    <w:rsid w:val="001E75B8"/>
    <w:rsid w:val="001F2C3E"/>
    <w:rsid w:val="001F4B81"/>
    <w:rsid w:val="00217C18"/>
    <w:rsid w:val="00220375"/>
    <w:rsid w:val="00222D19"/>
    <w:rsid w:val="00230C53"/>
    <w:rsid w:val="0024737F"/>
    <w:rsid w:val="0025611D"/>
    <w:rsid w:val="002634D1"/>
    <w:rsid w:val="00265E9A"/>
    <w:rsid w:val="002678C1"/>
    <w:rsid w:val="00286690"/>
    <w:rsid w:val="002906CB"/>
    <w:rsid w:val="00294E96"/>
    <w:rsid w:val="002A476C"/>
    <w:rsid w:val="002B2E8B"/>
    <w:rsid w:val="002B682C"/>
    <w:rsid w:val="002D4FCD"/>
    <w:rsid w:val="002D750D"/>
    <w:rsid w:val="002F79B2"/>
    <w:rsid w:val="00300936"/>
    <w:rsid w:val="0030747C"/>
    <w:rsid w:val="00312F4A"/>
    <w:rsid w:val="00316678"/>
    <w:rsid w:val="00331232"/>
    <w:rsid w:val="00331DDB"/>
    <w:rsid w:val="003371FD"/>
    <w:rsid w:val="003420FC"/>
    <w:rsid w:val="00344D25"/>
    <w:rsid w:val="00345259"/>
    <w:rsid w:val="0036001F"/>
    <w:rsid w:val="00365244"/>
    <w:rsid w:val="00365289"/>
    <w:rsid w:val="00370DDC"/>
    <w:rsid w:val="0037617A"/>
    <w:rsid w:val="00380F8A"/>
    <w:rsid w:val="00391360"/>
    <w:rsid w:val="003913A6"/>
    <w:rsid w:val="00391E9D"/>
    <w:rsid w:val="003960FE"/>
    <w:rsid w:val="003A2465"/>
    <w:rsid w:val="003A2633"/>
    <w:rsid w:val="003A5259"/>
    <w:rsid w:val="003B3474"/>
    <w:rsid w:val="003C0BE7"/>
    <w:rsid w:val="003C768A"/>
    <w:rsid w:val="003E6DAB"/>
    <w:rsid w:val="003F2F1C"/>
    <w:rsid w:val="00403528"/>
    <w:rsid w:val="004041C6"/>
    <w:rsid w:val="00406336"/>
    <w:rsid w:val="004106B9"/>
    <w:rsid w:val="00411208"/>
    <w:rsid w:val="004240E9"/>
    <w:rsid w:val="00433F1E"/>
    <w:rsid w:val="004367F0"/>
    <w:rsid w:val="00440146"/>
    <w:rsid w:val="0044287F"/>
    <w:rsid w:val="00445790"/>
    <w:rsid w:val="00445B1B"/>
    <w:rsid w:val="00446F0D"/>
    <w:rsid w:val="0045084A"/>
    <w:rsid w:val="00465304"/>
    <w:rsid w:val="00465F7F"/>
    <w:rsid w:val="00466140"/>
    <w:rsid w:val="00481FE4"/>
    <w:rsid w:val="00493D10"/>
    <w:rsid w:val="004950CB"/>
    <w:rsid w:val="004C2EFA"/>
    <w:rsid w:val="004C3884"/>
    <w:rsid w:val="004D3E91"/>
    <w:rsid w:val="004D5636"/>
    <w:rsid w:val="004E479D"/>
    <w:rsid w:val="004E6492"/>
    <w:rsid w:val="004E6C1A"/>
    <w:rsid w:val="004F67C0"/>
    <w:rsid w:val="00516C1A"/>
    <w:rsid w:val="00541AA3"/>
    <w:rsid w:val="00543D32"/>
    <w:rsid w:val="005531E3"/>
    <w:rsid w:val="005575C9"/>
    <w:rsid w:val="00565D53"/>
    <w:rsid w:val="00571B7E"/>
    <w:rsid w:val="00572154"/>
    <w:rsid w:val="0057229F"/>
    <w:rsid w:val="00581C5C"/>
    <w:rsid w:val="00591A08"/>
    <w:rsid w:val="00592041"/>
    <w:rsid w:val="00592A27"/>
    <w:rsid w:val="005A132E"/>
    <w:rsid w:val="005B30D0"/>
    <w:rsid w:val="005B4B4C"/>
    <w:rsid w:val="005C0093"/>
    <w:rsid w:val="005C73FA"/>
    <w:rsid w:val="005D463A"/>
    <w:rsid w:val="005D5F0A"/>
    <w:rsid w:val="005E682C"/>
    <w:rsid w:val="005F0A2C"/>
    <w:rsid w:val="005F217F"/>
    <w:rsid w:val="006018DE"/>
    <w:rsid w:val="006129D5"/>
    <w:rsid w:val="00643840"/>
    <w:rsid w:val="006446AB"/>
    <w:rsid w:val="00662ECF"/>
    <w:rsid w:val="00665D0E"/>
    <w:rsid w:val="00667C93"/>
    <w:rsid w:val="00677A95"/>
    <w:rsid w:val="00682C60"/>
    <w:rsid w:val="006929B3"/>
    <w:rsid w:val="006946DF"/>
    <w:rsid w:val="00696116"/>
    <w:rsid w:val="006B15A4"/>
    <w:rsid w:val="006C21DF"/>
    <w:rsid w:val="006C60BA"/>
    <w:rsid w:val="006D2BB9"/>
    <w:rsid w:val="006F4FFF"/>
    <w:rsid w:val="007025FC"/>
    <w:rsid w:val="00705D7A"/>
    <w:rsid w:val="00716B33"/>
    <w:rsid w:val="007202CF"/>
    <w:rsid w:val="00722DF4"/>
    <w:rsid w:val="00724300"/>
    <w:rsid w:val="00725B0B"/>
    <w:rsid w:val="007269C1"/>
    <w:rsid w:val="007351E0"/>
    <w:rsid w:val="00750E22"/>
    <w:rsid w:val="007603FB"/>
    <w:rsid w:val="00761807"/>
    <w:rsid w:val="007652ED"/>
    <w:rsid w:val="00770057"/>
    <w:rsid w:val="00771758"/>
    <w:rsid w:val="00780284"/>
    <w:rsid w:val="007823F4"/>
    <w:rsid w:val="007838B7"/>
    <w:rsid w:val="007854EB"/>
    <w:rsid w:val="00790E82"/>
    <w:rsid w:val="00796463"/>
    <w:rsid w:val="007A1C22"/>
    <w:rsid w:val="007A24DF"/>
    <w:rsid w:val="007A2ED5"/>
    <w:rsid w:val="007A7102"/>
    <w:rsid w:val="007B66E9"/>
    <w:rsid w:val="007B6800"/>
    <w:rsid w:val="007B7127"/>
    <w:rsid w:val="007C1E11"/>
    <w:rsid w:val="007C3A80"/>
    <w:rsid w:val="007C5D9C"/>
    <w:rsid w:val="007D018C"/>
    <w:rsid w:val="007E5250"/>
    <w:rsid w:val="007E765B"/>
    <w:rsid w:val="007F28D2"/>
    <w:rsid w:val="007F4C74"/>
    <w:rsid w:val="00807D08"/>
    <w:rsid w:val="0081202A"/>
    <w:rsid w:val="00814ED3"/>
    <w:rsid w:val="00825CC7"/>
    <w:rsid w:val="00827988"/>
    <w:rsid w:val="00834DFC"/>
    <w:rsid w:val="008367ED"/>
    <w:rsid w:val="008400D1"/>
    <w:rsid w:val="00855158"/>
    <w:rsid w:val="00862C37"/>
    <w:rsid w:val="008632AF"/>
    <w:rsid w:val="008645F4"/>
    <w:rsid w:val="0086519D"/>
    <w:rsid w:val="008803E8"/>
    <w:rsid w:val="00880444"/>
    <w:rsid w:val="008829F2"/>
    <w:rsid w:val="008847EA"/>
    <w:rsid w:val="00894538"/>
    <w:rsid w:val="00895FCC"/>
    <w:rsid w:val="008A264E"/>
    <w:rsid w:val="008A6CAC"/>
    <w:rsid w:val="008B0505"/>
    <w:rsid w:val="008B2472"/>
    <w:rsid w:val="008C2F55"/>
    <w:rsid w:val="008C4E62"/>
    <w:rsid w:val="008D1A91"/>
    <w:rsid w:val="008D6560"/>
    <w:rsid w:val="008E09E3"/>
    <w:rsid w:val="008E0C3C"/>
    <w:rsid w:val="008E5917"/>
    <w:rsid w:val="00901D32"/>
    <w:rsid w:val="00904A8C"/>
    <w:rsid w:val="009060C9"/>
    <w:rsid w:val="00920CCF"/>
    <w:rsid w:val="0092606F"/>
    <w:rsid w:val="00926A82"/>
    <w:rsid w:val="00930834"/>
    <w:rsid w:val="00945566"/>
    <w:rsid w:val="00953857"/>
    <w:rsid w:val="00956557"/>
    <w:rsid w:val="009726D7"/>
    <w:rsid w:val="009731B6"/>
    <w:rsid w:val="00975274"/>
    <w:rsid w:val="00984506"/>
    <w:rsid w:val="009951E6"/>
    <w:rsid w:val="009A0307"/>
    <w:rsid w:val="009A6EE0"/>
    <w:rsid w:val="009B6984"/>
    <w:rsid w:val="009C282D"/>
    <w:rsid w:val="009C6CD9"/>
    <w:rsid w:val="009D3461"/>
    <w:rsid w:val="009E2EB6"/>
    <w:rsid w:val="009F4873"/>
    <w:rsid w:val="00A106FC"/>
    <w:rsid w:val="00A1703F"/>
    <w:rsid w:val="00A17DD7"/>
    <w:rsid w:val="00A213F3"/>
    <w:rsid w:val="00A24F84"/>
    <w:rsid w:val="00A30C6A"/>
    <w:rsid w:val="00A427DE"/>
    <w:rsid w:val="00A46141"/>
    <w:rsid w:val="00A51FCA"/>
    <w:rsid w:val="00A81B4E"/>
    <w:rsid w:val="00A92E0B"/>
    <w:rsid w:val="00A95C61"/>
    <w:rsid w:val="00A9798A"/>
    <w:rsid w:val="00AA1B91"/>
    <w:rsid w:val="00AC26E9"/>
    <w:rsid w:val="00AD0B3B"/>
    <w:rsid w:val="00AE5C6A"/>
    <w:rsid w:val="00AF1148"/>
    <w:rsid w:val="00B00A2F"/>
    <w:rsid w:val="00B00BB2"/>
    <w:rsid w:val="00B02F48"/>
    <w:rsid w:val="00B03AB1"/>
    <w:rsid w:val="00B0621B"/>
    <w:rsid w:val="00B073E8"/>
    <w:rsid w:val="00B100B6"/>
    <w:rsid w:val="00B13DA7"/>
    <w:rsid w:val="00B16278"/>
    <w:rsid w:val="00B1654B"/>
    <w:rsid w:val="00B2168C"/>
    <w:rsid w:val="00B259D4"/>
    <w:rsid w:val="00B27B36"/>
    <w:rsid w:val="00B30B57"/>
    <w:rsid w:val="00B34E01"/>
    <w:rsid w:val="00B367E0"/>
    <w:rsid w:val="00B401C2"/>
    <w:rsid w:val="00B40CB7"/>
    <w:rsid w:val="00B7206F"/>
    <w:rsid w:val="00B814BC"/>
    <w:rsid w:val="00B838D7"/>
    <w:rsid w:val="00B86CEC"/>
    <w:rsid w:val="00B87544"/>
    <w:rsid w:val="00B8799A"/>
    <w:rsid w:val="00B92444"/>
    <w:rsid w:val="00B93C7E"/>
    <w:rsid w:val="00B94237"/>
    <w:rsid w:val="00B96EE3"/>
    <w:rsid w:val="00B96FBE"/>
    <w:rsid w:val="00BA0FD0"/>
    <w:rsid w:val="00BB5709"/>
    <w:rsid w:val="00BB5E4A"/>
    <w:rsid w:val="00BC5726"/>
    <w:rsid w:val="00BC6383"/>
    <w:rsid w:val="00BF04DB"/>
    <w:rsid w:val="00BF19FB"/>
    <w:rsid w:val="00BF22E6"/>
    <w:rsid w:val="00BF410A"/>
    <w:rsid w:val="00C024E7"/>
    <w:rsid w:val="00C1484A"/>
    <w:rsid w:val="00C14C41"/>
    <w:rsid w:val="00C152D5"/>
    <w:rsid w:val="00C213E6"/>
    <w:rsid w:val="00C25BAF"/>
    <w:rsid w:val="00C27008"/>
    <w:rsid w:val="00C314A1"/>
    <w:rsid w:val="00C321C0"/>
    <w:rsid w:val="00C431E3"/>
    <w:rsid w:val="00C43D0F"/>
    <w:rsid w:val="00C56FD2"/>
    <w:rsid w:val="00C6269D"/>
    <w:rsid w:val="00C66941"/>
    <w:rsid w:val="00C67B87"/>
    <w:rsid w:val="00C70B95"/>
    <w:rsid w:val="00C7521B"/>
    <w:rsid w:val="00C862EC"/>
    <w:rsid w:val="00C87163"/>
    <w:rsid w:val="00CA513D"/>
    <w:rsid w:val="00CC4215"/>
    <w:rsid w:val="00CD766F"/>
    <w:rsid w:val="00CE4C35"/>
    <w:rsid w:val="00CF2D32"/>
    <w:rsid w:val="00CF52E6"/>
    <w:rsid w:val="00CF5EA8"/>
    <w:rsid w:val="00CF64A3"/>
    <w:rsid w:val="00D11028"/>
    <w:rsid w:val="00D260F4"/>
    <w:rsid w:val="00D2741B"/>
    <w:rsid w:val="00D351C9"/>
    <w:rsid w:val="00D40DBB"/>
    <w:rsid w:val="00D41A61"/>
    <w:rsid w:val="00D45ED7"/>
    <w:rsid w:val="00D55383"/>
    <w:rsid w:val="00D77CDF"/>
    <w:rsid w:val="00D830E6"/>
    <w:rsid w:val="00D837A8"/>
    <w:rsid w:val="00D936A1"/>
    <w:rsid w:val="00D97510"/>
    <w:rsid w:val="00DA5783"/>
    <w:rsid w:val="00DA7914"/>
    <w:rsid w:val="00DC31BD"/>
    <w:rsid w:val="00DC7FFE"/>
    <w:rsid w:val="00DE4E11"/>
    <w:rsid w:val="00DF1415"/>
    <w:rsid w:val="00DF4BB2"/>
    <w:rsid w:val="00DF5E7E"/>
    <w:rsid w:val="00DF7D52"/>
    <w:rsid w:val="00E0213B"/>
    <w:rsid w:val="00E16693"/>
    <w:rsid w:val="00E17175"/>
    <w:rsid w:val="00E21291"/>
    <w:rsid w:val="00E31B5E"/>
    <w:rsid w:val="00E3708A"/>
    <w:rsid w:val="00E468CC"/>
    <w:rsid w:val="00E647F2"/>
    <w:rsid w:val="00E665A1"/>
    <w:rsid w:val="00E671D9"/>
    <w:rsid w:val="00E80DC4"/>
    <w:rsid w:val="00E84631"/>
    <w:rsid w:val="00E9168B"/>
    <w:rsid w:val="00EA7893"/>
    <w:rsid w:val="00EB1262"/>
    <w:rsid w:val="00EB17BD"/>
    <w:rsid w:val="00EB487A"/>
    <w:rsid w:val="00EC4B84"/>
    <w:rsid w:val="00ED0A07"/>
    <w:rsid w:val="00ED22F8"/>
    <w:rsid w:val="00ED4641"/>
    <w:rsid w:val="00EE6C25"/>
    <w:rsid w:val="00EF5D48"/>
    <w:rsid w:val="00EF6B6F"/>
    <w:rsid w:val="00F01E36"/>
    <w:rsid w:val="00F0656F"/>
    <w:rsid w:val="00F13357"/>
    <w:rsid w:val="00F17490"/>
    <w:rsid w:val="00F20F06"/>
    <w:rsid w:val="00F21615"/>
    <w:rsid w:val="00F27417"/>
    <w:rsid w:val="00F43B5C"/>
    <w:rsid w:val="00F43C1F"/>
    <w:rsid w:val="00F554D2"/>
    <w:rsid w:val="00F676CF"/>
    <w:rsid w:val="00F731B4"/>
    <w:rsid w:val="00F829B2"/>
    <w:rsid w:val="00F91099"/>
    <w:rsid w:val="00F95C1D"/>
    <w:rsid w:val="00FB0409"/>
    <w:rsid w:val="00FB0ADC"/>
    <w:rsid w:val="00FB73E9"/>
    <w:rsid w:val="00FC4187"/>
    <w:rsid w:val="00FE45CC"/>
    <w:rsid w:val="00FE7EB5"/>
    <w:rsid w:val="00FF1E2F"/>
    <w:rsid w:val="00FF211C"/>
    <w:rsid w:val="00FF648A"/>
    <w:rsid w:val="00FF7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2"/>
      <w:lang w:eastAsia="ar-SA"/>
    </w:rPr>
  </w:style>
  <w:style w:type="paragraph" w:styleId="Heading1">
    <w:name w:val="heading 1"/>
    <w:basedOn w:val="Normal"/>
    <w:next w:val="ParaNum"/>
    <w:qFormat/>
    <w:pPr>
      <w:keepNext/>
      <w:numPr>
        <w:numId w:val="3"/>
      </w:numPr>
      <w:tabs>
        <w:tab w:val="left" w:pos="720"/>
      </w:tab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 Char,Footnote Text Char1 Char Char Char,Footnote Text Char Char Char Char1 Char,Footnote Text Char2 Char Char Char Char Char,Footnote Text Char,Footnote Text Char1 Char2,Footnote Text Char1 Char"/>
    <w:link w:val="FootnoteTextChar1"/>
    <w:pPr>
      <w:spacing w:after="120"/>
    </w:pPr>
  </w:style>
  <w:style w:type="character" w:styleId="FootnoteReference">
    <w:name w:val="footnote reference"/>
    <w:aliases w:val="(NECG) Footnote Reference,o,fr,Style 3,Appel note de bas de p,Style 12,Style 124,Style 13,FR,Style 17,Style 6,Footnote Reference/"/>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ind w:left="360" w:right="720" w:hanging="360"/>
    </w:pPr>
    <w:rPr>
      <w:caps/>
      <w:noProof/>
    </w:rPr>
  </w:style>
  <w:style w:type="paragraph" w:styleId="TOC2">
    <w:name w:val="toc 2"/>
    <w:basedOn w:val="Normal"/>
    <w:next w:val="Normal"/>
    <w:semiHidden/>
    <w:pPr>
      <w:tabs>
        <w:tab w:val="left" w:pos="720"/>
        <w:tab w:val="right" w:leader="dot" w:pos="9360"/>
      </w:tabs>
      <w:ind w:left="720" w:right="720" w:hanging="360"/>
    </w:pPr>
    <w:rPr>
      <w:noProof/>
    </w:rPr>
  </w:style>
  <w:style w:type="paragraph" w:styleId="TOC3">
    <w:name w:val="toc 3"/>
    <w:basedOn w:val="Normal"/>
    <w:next w:val="Normal"/>
    <w:semiHidden/>
    <w:pPr>
      <w:tabs>
        <w:tab w:val="left" w:pos="1080"/>
        <w:tab w:val="right" w:leader="dot" w:pos="9360"/>
      </w:tabs>
      <w:ind w:left="1080" w:right="720" w:hanging="360"/>
    </w:pPr>
    <w:rPr>
      <w:noProof/>
    </w:rPr>
  </w:style>
  <w:style w:type="paragraph" w:styleId="TOC4">
    <w:name w:val="toc 4"/>
    <w:basedOn w:val="Normal"/>
    <w:next w:val="Normal"/>
    <w:autoRedefine/>
    <w:semiHidden/>
    <w:pPr>
      <w:tabs>
        <w:tab w:val="left" w:pos="1440"/>
        <w:tab w:val="right" w:leader="dot" w:pos="9360"/>
      </w:tabs>
      <w:ind w:left="1440" w:right="720" w:hanging="360"/>
    </w:pPr>
    <w:rPr>
      <w:noProof/>
    </w:rPr>
  </w:style>
  <w:style w:type="paragraph" w:styleId="TOC5">
    <w:name w:val="toc 5"/>
    <w:basedOn w:val="Normal"/>
    <w:next w:val="Normal"/>
    <w:autoRedefine/>
    <w:semiHidden/>
    <w:pPr>
      <w:tabs>
        <w:tab w:val="left" w:pos="1800"/>
        <w:tab w:val="right" w:leader="dot" w:pos="9360"/>
      </w:tabs>
      <w:ind w:left="1800" w:right="720" w:hanging="360"/>
    </w:pPr>
    <w:rPr>
      <w:noProof/>
    </w:rPr>
  </w:style>
  <w:style w:type="paragraph" w:styleId="TOC6">
    <w:name w:val="toc 6"/>
    <w:basedOn w:val="Normal"/>
    <w:next w:val="Normal"/>
    <w:autoRedefine/>
    <w:semiHidden/>
    <w:pPr>
      <w:tabs>
        <w:tab w:val="left" w:pos="2160"/>
        <w:tab w:val="right" w:leader="dot" w:pos="9360"/>
      </w:tabs>
      <w:ind w:left="2160" w:hanging="360"/>
    </w:pPr>
    <w:rPr>
      <w:noProof/>
    </w:rPr>
  </w:style>
  <w:style w:type="paragraph" w:styleId="TOC7">
    <w:name w:val="toc 7"/>
    <w:basedOn w:val="Normal"/>
    <w:next w:val="Normal"/>
    <w:autoRedefine/>
    <w:semiHidden/>
    <w:pPr>
      <w:tabs>
        <w:tab w:val="left" w:pos="2520"/>
        <w:tab w:val="right" w:leader="dot" w:pos="9360"/>
      </w:tabs>
      <w:ind w:left="2520" w:hanging="360"/>
    </w:pPr>
    <w:rPr>
      <w:noProof/>
    </w:rPr>
  </w:style>
  <w:style w:type="paragraph" w:styleId="TOC8">
    <w:name w:val="toc 8"/>
    <w:basedOn w:val="Normal"/>
    <w:next w:val="Normal"/>
    <w:autoRedefine/>
    <w:semiHidden/>
    <w:pPr>
      <w:tabs>
        <w:tab w:val="left" w:pos="2880"/>
        <w:tab w:val="right" w:leader="dot" w:pos="9360"/>
      </w:tabs>
      <w:ind w:left="2880" w:hanging="360"/>
    </w:pPr>
    <w:rPr>
      <w:noProof/>
    </w:rPr>
  </w:style>
  <w:style w:type="paragraph" w:styleId="TOC9">
    <w:name w:val="toc 9"/>
    <w:basedOn w:val="Normal"/>
    <w:next w:val="Normal"/>
    <w:autoRedefine/>
    <w:semiHidden/>
    <w:pPr>
      <w:tabs>
        <w:tab w:val="left" w:pos="3240"/>
        <w:tab w:val="right" w:leader="dot" w:pos="9360"/>
      </w:tabs>
      <w:ind w:left="3240" w:hanging="360"/>
    </w:pPr>
    <w:rPr>
      <w:noProof/>
    </w:rPr>
  </w:style>
  <w:style w:type="paragraph" w:styleId="TOAHeading">
    <w:name w:val="toa heading"/>
    <w:basedOn w:val="Normal"/>
    <w:next w:val="Normal"/>
    <w:semiHidden/>
    <w:pPr>
      <w:tabs>
        <w:tab w:val="right" w:pos="9360"/>
      </w:tab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odyTextIndent">
    <w:name w:val="Body Text Indent"/>
    <w:basedOn w:val="Normal"/>
    <w:pPr>
      <w:widowControl w:val="0"/>
      <w:ind w:firstLine="720"/>
    </w:pPr>
    <w:rPr>
      <w:kern w:val="1"/>
      <w:sz w:val="24"/>
    </w:rPr>
  </w:style>
  <w:style w:type="character" w:customStyle="1" w:styleId="FootnoteTextChar1">
    <w:name w:val="Footnote Text Char1"/>
    <w:aliases w:val="Footnote Text Char2 Char,Footnote Text Char Char Char Char,Footnote Text Char1 Char Char Char Char,Footnote Text Char Char Char Char1 Char Char,Footnote Text Char2 Char Char Char Char Char Char,Footnote Text Char Char"/>
    <w:link w:val="FootnoteText"/>
    <w:locked/>
    <w:rPr>
      <w:lang w:val="en-US" w:eastAsia="en-US" w:bidi="ar-SA"/>
    </w:rPr>
  </w:style>
  <w:style w:type="character" w:customStyle="1" w:styleId="ptext-1">
    <w:name w:val="ptext-1"/>
    <w:basedOn w:val="DefaultParagraphFont"/>
  </w:style>
  <w:style w:type="paragraph" w:styleId="PlainText">
    <w:name w:val="Plain Text"/>
    <w:basedOn w:val="Normal"/>
    <w:pPr>
      <w:suppressAutoHyphens w:val="0"/>
    </w:pPr>
    <w:rPr>
      <w:rFonts w:ascii="Courier New" w:hAnsi="Courier New" w:cs="Courier New"/>
      <w:sz w:val="20"/>
      <w:lang w:eastAsia="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5Char">
    <w:name w:val="Footnote Text Char5 Char"/>
    <w:aliases w:val="Footnote Text Char1 Char Char,Footnote Text Char3 Char Char1 Char,Footnote Text Char2 Char1 Char Char1 Char,Footnote Text Char1 Char Char Char Char Char,Footnote Text Char2 Char Char Char Char Char1 Char Char"/>
    <w:rPr>
      <w:sz w:val="22"/>
      <w:lang w:val="en-US" w:eastAsia="en-US" w:bidi="ar-SA"/>
    </w:rPr>
  </w:style>
  <w:style w:type="character" w:customStyle="1" w:styleId="informationalsmall4">
    <w:name w:val="informationalsmall4"/>
    <w:rPr>
      <w:rFonts w:ascii="Verdana" w:hAnsi="Verdana" w:hint="default"/>
      <w:sz w:val="14"/>
      <w:szCs w:val="14"/>
    </w:rPr>
  </w:style>
  <w:style w:type="character" w:customStyle="1" w:styleId="ParaNumChar">
    <w:name w:val="ParaNum Char"/>
    <w:link w:val="ParaNum"/>
    <w:rPr>
      <w:sz w:val="22"/>
      <w:lang w:val="en-US" w:eastAsia="ar-SA" w:bidi="ar-SA"/>
    </w:rPr>
  </w:style>
  <w:style w:type="character" w:styleId="FollowedHyperlink">
    <w:name w:val="FollowedHyperlink"/>
    <w:rPr>
      <w:color w:val="800080"/>
      <w:u w:val="single"/>
    </w:rPr>
  </w:style>
  <w:style w:type="paragraph" w:customStyle="1" w:styleId="Paranum0">
    <w:name w:val="Paranum"/>
    <w:basedOn w:val="Normal"/>
    <w:rsid w:val="00930834"/>
    <w:pPr>
      <w:widowControl w:val="0"/>
      <w:suppressAutoHyphens w:val="0"/>
      <w:spacing w:after="220"/>
      <w:jc w:val="both"/>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2"/>
      <w:lang w:eastAsia="ar-SA"/>
    </w:rPr>
  </w:style>
  <w:style w:type="paragraph" w:styleId="Heading1">
    <w:name w:val="heading 1"/>
    <w:basedOn w:val="Normal"/>
    <w:next w:val="ParaNum"/>
    <w:qFormat/>
    <w:pPr>
      <w:keepNext/>
      <w:numPr>
        <w:numId w:val="3"/>
      </w:numPr>
      <w:tabs>
        <w:tab w:val="left" w:pos="720"/>
      </w:tab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 Char,Footnote Text Char1 Char Char Char,Footnote Text Char Char Char Char1 Char,Footnote Text Char2 Char Char Char Char Char,Footnote Text Char,Footnote Text Char1 Char2,Footnote Text Char1 Char"/>
    <w:link w:val="FootnoteTextChar1"/>
    <w:pPr>
      <w:spacing w:after="120"/>
    </w:pPr>
  </w:style>
  <w:style w:type="character" w:styleId="FootnoteReference">
    <w:name w:val="footnote reference"/>
    <w:aliases w:val="(NECG) Footnote Reference,o,fr,Style 3,Appel note de bas de p,Style 12,Style 124,Style 13,FR,Style 17,Style 6,Footnote Reference/"/>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ind w:left="360" w:right="720" w:hanging="360"/>
    </w:pPr>
    <w:rPr>
      <w:caps/>
      <w:noProof/>
    </w:rPr>
  </w:style>
  <w:style w:type="paragraph" w:styleId="TOC2">
    <w:name w:val="toc 2"/>
    <w:basedOn w:val="Normal"/>
    <w:next w:val="Normal"/>
    <w:semiHidden/>
    <w:pPr>
      <w:tabs>
        <w:tab w:val="left" w:pos="720"/>
        <w:tab w:val="right" w:leader="dot" w:pos="9360"/>
      </w:tabs>
      <w:ind w:left="720" w:right="720" w:hanging="360"/>
    </w:pPr>
    <w:rPr>
      <w:noProof/>
    </w:rPr>
  </w:style>
  <w:style w:type="paragraph" w:styleId="TOC3">
    <w:name w:val="toc 3"/>
    <w:basedOn w:val="Normal"/>
    <w:next w:val="Normal"/>
    <w:semiHidden/>
    <w:pPr>
      <w:tabs>
        <w:tab w:val="left" w:pos="1080"/>
        <w:tab w:val="right" w:leader="dot" w:pos="9360"/>
      </w:tabs>
      <w:ind w:left="1080" w:right="720" w:hanging="360"/>
    </w:pPr>
    <w:rPr>
      <w:noProof/>
    </w:rPr>
  </w:style>
  <w:style w:type="paragraph" w:styleId="TOC4">
    <w:name w:val="toc 4"/>
    <w:basedOn w:val="Normal"/>
    <w:next w:val="Normal"/>
    <w:autoRedefine/>
    <w:semiHidden/>
    <w:pPr>
      <w:tabs>
        <w:tab w:val="left" w:pos="1440"/>
        <w:tab w:val="right" w:leader="dot" w:pos="9360"/>
      </w:tabs>
      <w:ind w:left="1440" w:right="720" w:hanging="360"/>
    </w:pPr>
    <w:rPr>
      <w:noProof/>
    </w:rPr>
  </w:style>
  <w:style w:type="paragraph" w:styleId="TOC5">
    <w:name w:val="toc 5"/>
    <w:basedOn w:val="Normal"/>
    <w:next w:val="Normal"/>
    <w:autoRedefine/>
    <w:semiHidden/>
    <w:pPr>
      <w:tabs>
        <w:tab w:val="left" w:pos="1800"/>
        <w:tab w:val="right" w:leader="dot" w:pos="9360"/>
      </w:tabs>
      <w:ind w:left="1800" w:right="720" w:hanging="360"/>
    </w:pPr>
    <w:rPr>
      <w:noProof/>
    </w:rPr>
  </w:style>
  <w:style w:type="paragraph" w:styleId="TOC6">
    <w:name w:val="toc 6"/>
    <w:basedOn w:val="Normal"/>
    <w:next w:val="Normal"/>
    <w:autoRedefine/>
    <w:semiHidden/>
    <w:pPr>
      <w:tabs>
        <w:tab w:val="left" w:pos="2160"/>
        <w:tab w:val="right" w:leader="dot" w:pos="9360"/>
      </w:tabs>
      <w:ind w:left="2160" w:hanging="360"/>
    </w:pPr>
    <w:rPr>
      <w:noProof/>
    </w:rPr>
  </w:style>
  <w:style w:type="paragraph" w:styleId="TOC7">
    <w:name w:val="toc 7"/>
    <w:basedOn w:val="Normal"/>
    <w:next w:val="Normal"/>
    <w:autoRedefine/>
    <w:semiHidden/>
    <w:pPr>
      <w:tabs>
        <w:tab w:val="left" w:pos="2520"/>
        <w:tab w:val="right" w:leader="dot" w:pos="9360"/>
      </w:tabs>
      <w:ind w:left="2520" w:hanging="360"/>
    </w:pPr>
    <w:rPr>
      <w:noProof/>
    </w:rPr>
  </w:style>
  <w:style w:type="paragraph" w:styleId="TOC8">
    <w:name w:val="toc 8"/>
    <w:basedOn w:val="Normal"/>
    <w:next w:val="Normal"/>
    <w:autoRedefine/>
    <w:semiHidden/>
    <w:pPr>
      <w:tabs>
        <w:tab w:val="left" w:pos="2880"/>
        <w:tab w:val="right" w:leader="dot" w:pos="9360"/>
      </w:tabs>
      <w:ind w:left="2880" w:hanging="360"/>
    </w:pPr>
    <w:rPr>
      <w:noProof/>
    </w:rPr>
  </w:style>
  <w:style w:type="paragraph" w:styleId="TOC9">
    <w:name w:val="toc 9"/>
    <w:basedOn w:val="Normal"/>
    <w:next w:val="Normal"/>
    <w:autoRedefine/>
    <w:semiHidden/>
    <w:pPr>
      <w:tabs>
        <w:tab w:val="left" w:pos="3240"/>
        <w:tab w:val="right" w:leader="dot" w:pos="9360"/>
      </w:tabs>
      <w:ind w:left="3240" w:hanging="360"/>
    </w:pPr>
    <w:rPr>
      <w:noProof/>
    </w:rPr>
  </w:style>
  <w:style w:type="paragraph" w:styleId="TOAHeading">
    <w:name w:val="toa heading"/>
    <w:basedOn w:val="Normal"/>
    <w:next w:val="Normal"/>
    <w:semiHidden/>
    <w:pPr>
      <w:tabs>
        <w:tab w:val="right" w:pos="9360"/>
      </w:tab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odyTextIndent">
    <w:name w:val="Body Text Indent"/>
    <w:basedOn w:val="Normal"/>
    <w:pPr>
      <w:widowControl w:val="0"/>
      <w:ind w:firstLine="720"/>
    </w:pPr>
    <w:rPr>
      <w:kern w:val="1"/>
      <w:sz w:val="24"/>
    </w:rPr>
  </w:style>
  <w:style w:type="character" w:customStyle="1" w:styleId="FootnoteTextChar1">
    <w:name w:val="Footnote Text Char1"/>
    <w:aliases w:val="Footnote Text Char2 Char,Footnote Text Char Char Char Char,Footnote Text Char1 Char Char Char Char,Footnote Text Char Char Char Char1 Char Char,Footnote Text Char2 Char Char Char Char Char Char,Footnote Text Char Char"/>
    <w:link w:val="FootnoteText"/>
    <w:locked/>
    <w:rPr>
      <w:lang w:val="en-US" w:eastAsia="en-US" w:bidi="ar-SA"/>
    </w:rPr>
  </w:style>
  <w:style w:type="character" w:customStyle="1" w:styleId="ptext-1">
    <w:name w:val="ptext-1"/>
    <w:basedOn w:val="DefaultParagraphFont"/>
  </w:style>
  <w:style w:type="paragraph" w:styleId="PlainText">
    <w:name w:val="Plain Text"/>
    <w:basedOn w:val="Normal"/>
    <w:pPr>
      <w:suppressAutoHyphens w:val="0"/>
    </w:pPr>
    <w:rPr>
      <w:rFonts w:ascii="Courier New" w:hAnsi="Courier New" w:cs="Courier New"/>
      <w:sz w:val="20"/>
      <w:lang w:eastAsia="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5Char">
    <w:name w:val="Footnote Text Char5 Char"/>
    <w:aliases w:val="Footnote Text Char1 Char Char,Footnote Text Char3 Char Char1 Char,Footnote Text Char2 Char1 Char Char1 Char,Footnote Text Char1 Char Char Char Char Char,Footnote Text Char2 Char Char Char Char Char1 Char Char"/>
    <w:rPr>
      <w:sz w:val="22"/>
      <w:lang w:val="en-US" w:eastAsia="en-US" w:bidi="ar-SA"/>
    </w:rPr>
  </w:style>
  <w:style w:type="character" w:customStyle="1" w:styleId="informationalsmall4">
    <w:name w:val="informationalsmall4"/>
    <w:rPr>
      <w:rFonts w:ascii="Verdana" w:hAnsi="Verdana" w:hint="default"/>
      <w:sz w:val="14"/>
      <w:szCs w:val="14"/>
    </w:rPr>
  </w:style>
  <w:style w:type="character" w:customStyle="1" w:styleId="ParaNumChar">
    <w:name w:val="ParaNum Char"/>
    <w:link w:val="ParaNum"/>
    <w:rPr>
      <w:sz w:val="22"/>
      <w:lang w:val="en-US" w:eastAsia="ar-SA" w:bidi="ar-SA"/>
    </w:rPr>
  </w:style>
  <w:style w:type="character" w:styleId="FollowedHyperlink">
    <w:name w:val="FollowedHyperlink"/>
    <w:rPr>
      <w:color w:val="800080"/>
      <w:u w:val="single"/>
    </w:rPr>
  </w:style>
  <w:style w:type="paragraph" w:customStyle="1" w:styleId="Paranum0">
    <w:name w:val="Paranum"/>
    <w:basedOn w:val="Normal"/>
    <w:rsid w:val="00930834"/>
    <w:pPr>
      <w:widowControl w:val="0"/>
      <w:suppressAutoHyphens w:val="0"/>
      <w:spacing w:after="220"/>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ons.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anice.Wise@fcc.gov" TargetMode="External"/><Relationship Id="rId4" Type="http://schemas.openxmlformats.org/officeDocument/2006/relationships/settings" Target="settings.xml"/><Relationship Id="rId9" Type="http://schemas.openxmlformats.org/officeDocument/2006/relationships/hyperlink" Target="mailto:Kim.Matthews@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399</Words>
  <Characters>2135</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2537</CharactersWithSpaces>
  <SharedDoc>false</SharedDoc>
  <HyperlinkBase> </HyperlinkBase>
  <HLinks>
    <vt:vector size="30" baseType="variant">
      <vt:variant>
        <vt:i4>3342401</vt:i4>
      </vt:variant>
      <vt:variant>
        <vt:i4>12</vt:i4>
      </vt:variant>
      <vt:variant>
        <vt:i4>0</vt:i4>
      </vt:variant>
      <vt:variant>
        <vt:i4>5</vt:i4>
      </vt:variant>
      <vt:variant>
        <vt:lpwstr>mailto:janice.wise@fcc.gov</vt:lpwstr>
      </vt:variant>
      <vt:variant>
        <vt:lpwstr/>
      </vt:variant>
      <vt:variant>
        <vt:i4>6422640</vt:i4>
      </vt:variant>
      <vt:variant>
        <vt:i4>9</vt:i4>
      </vt:variant>
      <vt:variant>
        <vt:i4>0</vt:i4>
      </vt:variant>
      <vt:variant>
        <vt:i4>5</vt:i4>
      </vt:variant>
      <vt:variant>
        <vt:lpwstr>mailto:</vt:lpwstr>
      </vt:variant>
      <vt:variant>
        <vt:lpwstr/>
      </vt:variant>
      <vt:variant>
        <vt:i4>7995392</vt:i4>
      </vt:variant>
      <vt:variant>
        <vt:i4>6</vt:i4>
      </vt:variant>
      <vt:variant>
        <vt:i4>0</vt:i4>
      </vt:variant>
      <vt:variant>
        <vt:i4>5</vt:i4>
      </vt:variant>
      <vt:variant>
        <vt:lpwstr>mailto:Maria.Mullarkey@fcc.gov</vt:lpwstr>
      </vt:variant>
      <vt:variant>
        <vt:lpwstr/>
      </vt:variant>
      <vt:variant>
        <vt:i4>3473482</vt:i4>
      </vt:variant>
      <vt:variant>
        <vt:i4>3</vt:i4>
      </vt:variant>
      <vt:variant>
        <vt:i4>0</vt:i4>
      </vt:variant>
      <vt:variant>
        <vt:i4>5</vt:i4>
      </vt:variant>
      <vt:variant>
        <vt:lpwstr>mailto:fcc504@fcc.gov</vt:lpwstr>
      </vt:variant>
      <vt:variant>
        <vt:lpwstr/>
      </vt:variant>
      <vt:variant>
        <vt:i4>7929897</vt:i4>
      </vt:variant>
      <vt:variant>
        <vt:i4>0</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2014-04-03T20:49:00Z</cp:lastPrinted>
  <dcterms:created xsi:type="dcterms:W3CDTF">2014-04-04T15:29:00Z</dcterms:created>
  <dcterms:modified xsi:type="dcterms:W3CDTF">2014-04-04T15:29:00Z</dcterms:modified>
  <cp:category> </cp:category>
  <cp:contentStatus> </cp:contentStatus>
</cp:coreProperties>
</file>