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FC" w:rsidRDefault="00DA01E5">
      <w:pPr>
        <w:spacing w:before="60"/>
        <w:jc w:val="right"/>
        <w:rPr>
          <w:b/>
          <w:sz w:val="24"/>
        </w:rPr>
      </w:pPr>
      <w:bookmarkStart w:id="0" w:name="_GoBack"/>
      <w:bookmarkEnd w:id="0"/>
      <w:r>
        <w:rPr>
          <w:b/>
          <w:sz w:val="24"/>
        </w:rPr>
        <w:t xml:space="preserve"> DA 1</w:t>
      </w:r>
      <w:r w:rsidR="00866B4C">
        <w:rPr>
          <w:b/>
          <w:sz w:val="24"/>
        </w:rPr>
        <w:t>4</w:t>
      </w:r>
      <w:r>
        <w:rPr>
          <w:b/>
          <w:sz w:val="24"/>
        </w:rPr>
        <w:t>-</w:t>
      </w:r>
      <w:r w:rsidR="008460D0">
        <w:rPr>
          <w:b/>
          <w:sz w:val="24"/>
        </w:rPr>
        <w:t>46</w:t>
      </w:r>
    </w:p>
    <w:p w:rsidR="00DD5CFC" w:rsidRDefault="00DA01E5">
      <w:pPr>
        <w:spacing w:before="60"/>
        <w:jc w:val="right"/>
        <w:rPr>
          <w:b/>
          <w:sz w:val="24"/>
        </w:rPr>
      </w:pPr>
      <w:r>
        <w:rPr>
          <w:b/>
          <w:sz w:val="24"/>
        </w:rPr>
        <w:t xml:space="preserve">Released: </w:t>
      </w:r>
      <w:r w:rsidR="00866B4C">
        <w:rPr>
          <w:b/>
          <w:sz w:val="24"/>
        </w:rPr>
        <w:t>January</w:t>
      </w:r>
      <w:r>
        <w:rPr>
          <w:b/>
          <w:sz w:val="24"/>
        </w:rPr>
        <w:t xml:space="preserve"> </w:t>
      </w:r>
      <w:r w:rsidR="00B16385">
        <w:rPr>
          <w:b/>
          <w:sz w:val="24"/>
        </w:rPr>
        <w:t>15</w:t>
      </w:r>
      <w:r>
        <w:rPr>
          <w:b/>
          <w:sz w:val="24"/>
        </w:rPr>
        <w:t>, 201</w:t>
      </w:r>
      <w:r w:rsidR="00866B4C">
        <w:rPr>
          <w:b/>
          <w:sz w:val="24"/>
        </w:rPr>
        <w:t>4</w:t>
      </w:r>
    </w:p>
    <w:p w:rsidR="00DD5CFC" w:rsidRDefault="00DD5CFC">
      <w:pPr>
        <w:pStyle w:val="Header"/>
        <w:tabs>
          <w:tab w:val="clear" w:pos="4320"/>
          <w:tab w:val="clear" w:pos="8640"/>
        </w:tabs>
        <w:rPr>
          <w:b/>
        </w:rPr>
        <w:sectPr w:rsidR="00DD5CF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720" w:footer="1440" w:gutter="0"/>
          <w:cols w:space="720"/>
          <w:titlePg/>
        </w:sectPr>
      </w:pPr>
    </w:p>
    <w:p w:rsidR="00DD5CFC" w:rsidRDefault="00DD5CFC">
      <w:pPr>
        <w:jc w:val="right"/>
        <w:rPr>
          <w:sz w:val="24"/>
        </w:rPr>
      </w:pPr>
    </w:p>
    <w:p w:rsidR="00DD5CFC" w:rsidRDefault="00DD5CFC">
      <w:pPr>
        <w:jc w:val="right"/>
        <w:rPr>
          <w:sz w:val="24"/>
        </w:rPr>
      </w:pPr>
    </w:p>
    <w:p w:rsidR="00DD5CFC" w:rsidRDefault="00DA01E5">
      <w:pPr>
        <w:spacing w:after="240"/>
        <w:jc w:val="center"/>
        <w:rPr>
          <w:b/>
          <w:szCs w:val="22"/>
        </w:rPr>
      </w:pPr>
      <w:r>
        <w:rPr>
          <w:b/>
          <w:szCs w:val="22"/>
        </w:rPr>
        <w:t>MEDIA BUREAU ACTION</w:t>
      </w:r>
    </w:p>
    <w:p w:rsidR="00DD5CFC" w:rsidRDefault="00DA01E5">
      <w:pPr>
        <w:jc w:val="center"/>
        <w:rPr>
          <w:b/>
          <w:szCs w:val="22"/>
        </w:rPr>
      </w:pPr>
      <w:r>
        <w:rPr>
          <w:b/>
          <w:szCs w:val="22"/>
        </w:rPr>
        <w:t xml:space="preserve">MEDIA BUREAU SEEKS COMMENT ON TIVO’S REQUEST FOR CLARIFICATION </w:t>
      </w:r>
      <w:r w:rsidR="005C3F66">
        <w:rPr>
          <w:b/>
          <w:szCs w:val="22"/>
        </w:rPr>
        <w:t>OR</w:t>
      </w:r>
      <w:r>
        <w:rPr>
          <w:b/>
          <w:szCs w:val="22"/>
        </w:rPr>
        <w:t xml:space="preserve"> WAIVER OF THE AUDIOVISUAL OUTPUT REQUIREMENT OF SECTION 76.640(b)(4)(iii)</w:t>
      </w:r>
    </w:p>
    <w:p w:rsidR="00DD5CFC" w:rsidRDefault="00DD5CFC">
      <w:pPr>
        <w:jc w:val="center"/>
        <w:rPr>
          <w:b/>
          <w:szCs w:val="22"/>
        </w:rPr>
      </w:pPr>
    </w:p>
    <w:p w:rsidR="00DD5CFC" w:rsidRDefault="005C3F66">
      <w:pPr>
        <w:jc w:val="center"/>
        <w:rPr>
          <w:b/>
          <w:szCs w:val="22"/>
        </w:rPr>
      </w:pPr>
      <w:r>
        <w:rPr>
          <w:b/>
          <w:szCs w:val="22"/>
        </w:rPr>
        <w:t>CS</w:t>
      </w:r>
      <w:r w:rsidR="00DA01E5">
        <w:rPr>
          <w:b/>
          <w:szCs w:val="22"/>
        </w:rPr>
        <w:t xml:space="preserve"> Docket No. </w:t>
      </w:r>
      <w:r w:rsidR="00866B4C">
        <w:rPr>
          <w:b/>
          <w:szCs w:val="22"/>
        </w:rPr>
        <w:t>97-80</w:t>
      </w:r>
    </w:p>
    <w:p w:rsidR="00DD5CFC" w:rsidRDefault="00DD5CFC">
      <w:pPr>
        <w:jc w:val="center"/>
        <w:rPr>
          <w:szCs w:val="22"/>
        </w:rPr>
      </w:pPr>
    </w:p>
    <w:p w:rsidR="00DD5CFC" w:rsidRDefault="00DA01E5">
      <w:pPr>
        <w:rPr>
          <w:b/>
          <w:szCs w:val="22"/>
        </w:rPr>
      </w:pPr>
      <w:r>
        <w:rPr>
          <w:b/>
          <w:szCs w:val="22"/>
        </w:rPr>
        <w:t xml:space="preserve">Comment Date:  </w:t>
      </w:r>
      <w:r w:rsidR="00B16385">
        <w:rPr>
          <w:b/>
          <w:szCs w:val="22"/>
        </w:rPr>
        <w:t>February 14, 2014</w:t>
      </w:r>
    </w:p>
    <w:p w:rsidR="00DD5CFC" w:rsidRDefault="00DA01E5">
      <w:pPr>
        <w:rPr>
          <w:b/>
          <w:szCs w:val="22"/>
        </w:rPr>
      </w:pPr>
      <w:r>
        <w:rPr>
          <w:b/>
          <w:szCs w:val="22"/>
        </w:rPr>
        <w:t xml:space="preserve">Reply Comment Date:  </w:t>
      </w:r>
      <w:r w:rsidR="00B16385">
        <w:rPr>
          <w:b/>
          <w:szCs w:val="22"/>
        </w:rPr>
        <w:t xml:space="preserve">February 28, 2014 </w:t>
      </w:r>
    </w:p>
    <w:p w:rsidR="00DD5CFC" w:rsidRDefault="00DD5CFC">
      <w:pPr>
        <w:jc w:val="both"/>
        <w:rPr>
          <w:szCs w:val="22"/>
        </w:rPr>
      </w:pPr>
    </w:p>
    <w:p w:rsidR="00DD5CFC" w:rsidRDefault="00DD5CFC">
      <w:pPr>
        <w:jc w:val="both"/>
        <w:rPr>
          <w:szCs w:val="22"/>
        </w:rPr>
      </w:pPr>
    </w:p>
    <w:p w:rsidR="00DD5CFC" w:rsidRPr="000D33EC" w:rsidRDefault="00DA01E5" w:rsidP="000D33EC">
      <w:pPr>
        <w:autoSpaceDE w:val="0"/>
        <w:autoSpaceDN w:val="0"/>
        <w:adjustRightInd w:val="0"/>
        <w:rPr>
          <w:szCs w:val="22"/>
        </w:rPr>
      </w:pPr>
      <w:r>
        <w:rPr>
          <w:szCs w:val="22"/>
        </w:rPr>
        <w:t xml:space="preserve">TiVo Inc. (“TiVo”) </w:t>
      </w:r>
      <w:r w:rsidR="005C3F66">
        <w:rPr>
          <w:szCs w:val="22"/>
        </w:rPr>
        <w:t xml:space="preserve">has </w:t>
      </w:r>
      <w:r w:rsidR="00131571">
        <w:rPr>
          <w:szCs w:val="22"/>
        </w:rPr>
        <w:t xml:space="preserve">filed a petition </w:t>
      </w:r>
      <w:r w:rsidR="00184928">
        <w:rPr>
          <w:szCs w:val="22"/>
        </w:rPr>
        <w:t xml:space="preserve">for </w:t>
      </w:r>
      <w:r w:rsidR="000D5E22">
        <w:rPr>
          <w:szCs w:val="22"/>
        </w:rPr>
        <w:t xml:space="preserve">clarification or </w:t>
      </w:r>
      <w:r w:rsidR="00184928">
        <w:rPr>
          <w:szCs w:val="22"/>
        </w:rPr>
        <w:t>waiver of</w:t>
      </w:r>
      <w:r w:rsidR="00131571">
        <w:rPr>
          <w:szCs w:val="22"/>
        </w:rPr>
        <w:t xml:space="preserve"> </w:t>
      </w:r>
      <w:r>
        <w:rPr>
          <w:szCs w:val="22"/>
        </w:rPr>
        <w:t>Section 76.640(b)(4)(iii) of the Commission’s rules</w:t>
      </w:r>
      <w:r w:rsidR="00365E9D">
        <w:rPr>
          <w:szCs w:val="22"/>
        </w:rPr>
        <w:t>.</w:t>
      </w:r>
      <w:r w:rsidR="000D33EC">
        <w:rPr>
          <w:rStyle w:val="FootnoteCharacters"/>
          <w:szCs w:val="22"/>
        </w:rPr>
        <w:footnoteReference w:id="1"/>
      </w:r>
      <w:r w:rsidR="00131571" w:rsidRPr="00131571">
        <w:rPr>
          <w:szCs w:val="22"/>
        </w:rPr>
        <w:t xml:space="preserve"> </w:t>
      </w:r>
      <w:r>
        <w:rPr>
          <w:szCs w:val="22"/>
        </w:rPr>
        <w:t>Section 76.640(b)(4)(iii) requires</w:t>
      </w:r>
      <w:r w:rsidR="00176F18">
        <w:rPr>
          <w:szCs w:val="22"/>
        </w:rPr>
        <w:t xml:space="preserve"> that set-top boxes provided by cable operators include a digital </w:t>
      </w:r>
      <w:r w:rsidR="001B1C2B">
        <w:rPr>
          <w:szCs w:val="22"/>
        </w:rPr>
        <w:t xml:space="preserve">interface </w:t>
      </w:r>
      <w:r w:rsidR="00176F18">
        <w:rPr>
          <w:szCs w:val="22"/>
        </w:rPr>
        <w:t xml:space="preserve">to enable </w:t>
      </w:r>
      <w:r w:rsidR="00176F18" w:rsidRPr="000D33EC">
        <w:rPr>
          <w:szCs w:val="22"/>
        </w:rPr>
        <w:t>consumers to connect consumer electronics devices that they own to set-top boxes that they lease from their cable operators for whole-home viewing and recording.</w:t>
      </w:r>
      <w:r w:rsidR="00176F18" w:rsidRPr="000D33EC">
        <w:rPr>
          <w:rStyle w:val="FootnoteReference"/>
          <w:szCs w:val="22"/>
        </w:rPr>
        <w:footnoteReference w:id="2"/>
      </w:r>
      <w:r w:rsidR="00176F18">
        <w:rPr>
          <w:szCs w:val="22"/>
        </w:rPr>
        <w:t xml:space="preserve">  Specifically, the rule requires </w:t>
      </w:r>
      <w:r>
        <w:rPr>
          <w:szCs w:val="22"/>
        </w:rPr>
        <w:t>cable operators to “ensure that the cable-operator-provided high definition set-top boxes, except unidirectional set-top boxes without recording functionality, shall comply with an open industry standard that provides for audiovisual communications including service discovery, video transport, and remote control command pass-through standards for home networking</w:t>
      </w:r>
      <w:r w:rsidRPr="000D33EC">
        <w:rPr>
          <w:szCs w:val="22"/>
        </w:rPr>
        <w:t>.</w:t>
      </w:r>
      <w:r w:rsidR="005C3F66">
        <w:rPr>
          <w:szCs w:val="22"/>
        </w:rPr>
        <w:t>”</w:t>
      </w:r>
      <w:r w:rsidR="00131571" w:rsidRPr="000D33EC">
        <w:rPr>
          <w:rStyle w:val="FootnoteReference"/>
          <w:szCs w:val="22"/>
        </w:rPr>
        <w:footnoteReference w:id="3"/>
      </w:r>
      <w:r w:rsidRPr="000D33EC">
        <w:rPr>
          <w:szCs w:val="22"/>
        </w:rPr>
        <w:t xml:space="preserve">  TiVo </w:t>
      </w:r>
      <w:r w:rsidR="001B1C2B">
        <w:rPr>
          <w:szCs w:val="22"/>
        </w:rPr>
        <w:t xml:space="preserve">asserts that the “touchstone” solution for home networking has not been published publicly, and therefore </w:t>
      </w:r>
      <w:r w:rsidR="00131571" w:rsidRPr="000D33EC">
        <w:rPr>
          <w:szCs w:val="22"/>
        </w:rPr>
        <w:t>requests that</w:t>
      </w:r>
      <w:r w:rsidRPr="000D33EC">
        <w:rPr>
          <w:szCs w:val="22"/>
        </w:rPr>
        <w:t xml:space="preserve"> the Commission </w:t>
      </w:r>
      <w:r w:rsidR="00251256" w:rsidRPr="000D33EC">
        <w:rPr>
          <w:szCs w:val="22"/>
        </w:rPr>
        <w:t>exten</w:t>
      </w:r>
      <w:r w:rsidR="00131571" w:rsidRPr="000D33EC">
        <w:rPr>
          <w:szCs w:val="22"/>
        </w:rPr>
        <w:t>d</w:t>
      </w:r>
      <w:r w:rsidR="00251256" w:rsidRPr="000D33EC">
        <w:rPr>
          <w:szCs w:val="22"/>
        </w:rPr>
        <w:t xml:space="preserve"> </w:t>
      </w:r>
      <w:r w:rsidR="000D33EC" w:rsidRPr="000D33EC">
        <w:rPr>
          <w:szCs w:val="22"/>
        </w:rPr>
        <w:t>waiver until “compliance is achievable on an industry-wide basis that includes TiVo</w:t>
      </w:r>
      <w:r w:rsidRPr="000D33EC">
        <w:rPr>
          <w:szCs w:val="22"/>
        </w:rPr>
        <w:t>.</w:t>
      </w:r>
      <w:r w:rsidR="000D33EC" w:rsidRPr="000D33EC">
        <w:rPr>
          <w:szCs w:val="22"/>
        </w:rPr>
        <w:t>”</w:t>
      </w:r>
      <w:r w:rsidRPr="000D33EC">
        <w:rPr>
          <w:rStyle w:val="FootnoteReference"/>
          <w:szCs w:val="22"/>
        </w:rPr>
        <w:footnoteReference w:id="4"/>
      </w:r>
      <w:r w:rsidRPr="000D33EC">
        <w:rPr>
          <w:szCs w:val="22"/>
        </w:rPr>
        <w:t xml:space="preserve">  </w:t>
      </w:r>
      <w:r w:rsidR="00184928">
        <w:rPr>
          <w:szCs w:val="22"/>
        </w:rPr>
        <w:t xml:space="preserve">Alternatively, TiVo </w:t>
      </w:r>
      <w:r w:rsidR="001B1C2B">
        <w:rPr>
          <w:szCs w:val="22"/>
        </w:rPr>
        <w:t xml:space="preserve">requests that we </w:t>
      </w:r>
      <w:r w:rsidR="00184928">
        <w:rPr>
          <w:szCs w:val="22"/>
        </w:rPr>
        <w:t>clarif</w:t>
      </w:r>
      <w:r w:rsidR="001B1C2B">
        <w:rPr>
          <w:szCs w:val="22"/>
        </w:rPr>
        <w:t>y</w:t>
      </w:r>
      <w:r w:rsidR="00184928">
        <w:rPr>
          <w:szCs w:val="22"/>
        </w:rPr>
        <w:t xml:space="preserve"> whether the rule is still in effect in the wake of the D.C. Circuit’s decision in </w:t>
      </w:r>
      <w:r w:rsidR="00184928" w:rsidRPr="00251256">
        <w:rPr>
          <w:i/>
          <w:szCs w:val="22"/>
        </w:rPr>
        <w:t xml:space="preserve">Echostar </w:t>
      </w:r>
      <w:r w:rsidR="00184928">
        <w:rPr>
          <w:i/>
          <w:szCs w:val="22"/>
        </w:rPr>
        <w:t xml:space="preserve">Satellite, LLC </w:t>
      </w:r>
      <w:r w:rsidR="00184928" w:rsidRPr="00251256">
        <w:rPr>
          <w:i/>
          <w:szCs w:val="22"/>
        </w:rPr>
        <w:t>v. FCC</w:t>
      </w:r>
      <w:r w:rsidR="00184928">
        <w:rPr>
          <w:szCs w:val="22"/>
        </w:rPr>
        <w:t>.</w:t>
      </w:r>
      <w:r w:rsidR="00184928">
        <w:rPr>
          <w:rStyle w:val="FootnoteReference"/>
          <w:szCs w:val="22"/>
        </w:rPr>
        <w:footnoteReference w:id="5"/>
      </w:r>
      <w:r w:rsidR="00184928">
        <w:rPr>
          <w:szCs w:val="22"/>
        </w:rPr>
        <w:t xml:space="preserve">  </w:t>
      </w:r>
      <w:r w:rsidRPr="000D33EC">
        <w:rPr>
          <w:szCs w:val="22"/>
        </w:rPr>
        <w:t>We seek comment on TiVo’s request.</w:t>
      </w:r>
      <w:r w:rsidR="00176F18">
        <w:rPr>
          <w:szCs w:val="22"/>
        </w:rPr>
        <w:t xml:space="preserve"> </w:t>
      </w:r>
    </w:p>
    <w:p w:rsidR="00DD5CFC" w:rsidRPr="000D33EC" w:rsidRDefault="00DD5CFC">
      <w:pPr>
        <w:jc w:val="both"/>
        <w:rPr>
          <w:szCs w:val="22"/>
        </w:rPr>
      </w:pPr>
    </w:p>
    <w:p w:rsidR="00DD5CFC" w:rsidRDefault="00DA01E5">
      <w:pPr>
        <w:spacing w:after="240"/>
        <w:rPr>
          <w:szCs w:val="22"/>
        </w:rPr>
      </w:pPr>
      <w:r w:rsidRPr="000D33EC">
        <w:rPr>
          <w:szCs w:val="22"/>
        </w:rPr>
        <w:t>This proceeding will be treated as “permit but disclose” for</w:t>
      </w:r>
      <w:r>
        <w:rPr>
          <w:szCs w:val="22"/>
        </w:rPr>
        <w:t xml:space="preserve"> purposes of the Commission’s </w:t>
      </w:r>
      <w:r>
        <w:rPr>
          <w:i/>
          <w:szCs w:val="22"/>
        </w:rPr>
        <w:t>ex parte</w:t>
      </w:r>
      <w:r>
        <w:rPr>
          <w:szCs w:val="22"/>
        </w:rPr>
        <w:t xml:space="preserve"> rules.</w:t>
      </w:r>
      <w:r>
        <w:rPr>
          <w:rStyle w:val="FootnoteCharacters"/>
          <w:szCs w:val="22"/>
        </w:rPr>
        <w:footnoteReference w:id="6"/>
      </w:r>
      <w:r>
        <w:rPr>
          <w:szCs w:val="22"/>
        </w:rPr>
        <w:t xml:space="preserve">  As a result of the permit-but-disclose status of this proceeding, </w:t>
      </w:r>
      <w:r>
        <w:rPr>
          <w:i/>
          <w:szCs w:val="22"/>
        </w:rPr>
        <w:t>ex parte</w:t>
      </w:r>
      <w:r>
        <w:rPr>
          <w:szCs w:val="22"/>
        </w:rPr>
        <w:t xml:space="preserve"> presentations will be governed by the procedures set forth in Section 1.1206 of the Commission’s rules applicable to non-restricted proceedings.</w:t>
      </w:r>
      <w:r>
        <w:rPr>
          <w:rStyle w:val="FootnoteCharacters"/>
          <w:szCs w:val="22"/>
        </w:rPr>
        <w:footnoteReference w:id="7"/>
      </w:r>
    </w:p>
    <w:p w:rsidR="00DD5CFC" w:rsidRDefault="00DA01E5">
      <w:pPr>
        <w:rPr>
          <w:szCs w:val="22"/>
        </w:rPr>
      </w:pPr>
      <w:r>
        <w:rPr>
          <w:szCs w:val="22"/>
        </w:rPr>
        <w:t xml:space="preserve">Comments and oppositions are due </w:t>
      </w:r>
      <w:r w:rsidR="00B16385" w:rsidRPr="00B16385">
        <w:rPr>
          <w:b/>
          <w:szCs w:val="22"/>
        </w:rPr>
        <w:t>February 14, 2014</w:t>
      </w:r>
      <w:r>
        <w:rPr>
          <w:szCs w:val="22"/>
        </w:rPr>
        <w:t xml:space="preserve">.  Petitioner’s reply is due </w:t>
      </w:r>
      <w:r w:rsidR="00B16385" w:rsidRPr="00B16385">
        <w:rPr>
          <w:b/>
          <w:szCs w:val="22"/>
        </w:rPr>
        <w:t xml:space="preserve">February </w:t>
      </w:r>
      <w:r w:rsidR="00B16385">
        <w:rPr>
          <w:b/>
          <w:szCs w:val="22"/>
        </w:rPr>
        <w:t>28</w:t>
      </w:r>
      <w:r w:rsidR="00B16385" w:rsidRPr="00B16385">
        <w:rPr>
          <w:b/>
          <w:szCs w:val="22"/>
        </w:rPr>
        <w:t>, 2014</w:t>
      </w:r>
      <w:r>
        <w:rPr>
          <w:szCs w:val="22"/>
        </w:rPr>
        <w:t xml:space="preserve">.  All filings must be submitted in </w:t>
      </w:r>
      <w:r w:rsidR="005C3F66">
        <w:rPr>
          <w:szCs w:val="22"/>
        </w:rPr>
        <w:t>CS</w:t>
      </w:r>
      <w:r>
        <w:rPr>
          <w:szCs w:val="22"/>
        </w:rPr>
        <w:t xml:space="preserve"> Docket No. </w:t>
      </w:r>
      <w:r w:rsidR="005C3F66">
        <w:rPr>
          <w:szCs w:val="22"/>
        </w:rPr>
        <w:t>97</w:t>
      </w:r>
      <w:r>
        <w:rPr>
          <w:szCs w:val="22"/>
        </w:rPr>
        <w:t>-</w:t>
      </w:r>
      <w:r w:rsidR="005C3F66">
        <w:rPr>
          <w:szCs w:val="22"/>
        </w:rPr>
        <w:t>80</w:t>
      </w:r>
      <w:r>
        <w:rPr>
          <w:szCs w:val="22"/>
        </w:rPr>
        <w:t>.  Pleadings sent via e-mail to the Commission will be considered informal and will not be part of the official record.  Interested parties will have access to comments online through the Commission’s Electronic Comment Filing System (ECFS), and therefore</w:t>
      </w:r>
      <w:r>
        <w:rPr>
          <w:rFonts w:ascii="Arial" w:hAnsi="Arial" w:cs="Arial"/>
          <w:sz w:val="20"/>
        </w:rPr>
        <w:t xml:space="preserve"> </w:t>
      </w:r>
      <w:r>
        <w:rPr>
          <w:szCs w:val="22"/>
        </w:rPr>
        <w:t>we waive the requirements of Sections 76.7(b)(1) and 76.7(c)(1) that comments and oppositions be served on interested parties.</w:t>
      </w:r>
      <w:r>
        <w:rPr>
          <w:rStyle w:val="FootnoteReference"/>
          <w:szCs w:val="22"/>
        </w:rPr>
        <w:footnoteReference w:id="8"/>
      </w:r>
      <w:r>
        <w:rPr>
          <w:szCs w:val="22"/>
        </w:rPr>
        <w:t xml:space="preserve"> </w:t>
      </w:r>
    </w:p>
    <w:p w:rsidR="00DD5CFC" w:rsidRDefault="00DD5CFC">
      <w:pPr>
        <w:ind w:left="720"/>
        <w:rPr>
          <w:szCs w:val="22"/>
        </w:rPr>
      </w:pPr>
    </w:p>
    <w:p w:rsidR="00DD5CFC" w:rsidRDefault="00DA01E5">
      <w:pPr>
        <w:pStyle w:val="ParaNum"/>
        <w:widowControl/>
        <w:tabs>
          <w:tab w:val="clear" w:pos="1080"/>
        </w:tabs>
        <w:ind w:firstLine="0"/>
        <w:jc w:val="left"/>
        <w:rPr>
          <w:szCs w:val="22"/>
        </w:rPr>
      </w:pPr>
      <w:r>
        <w:rPr>
          <w:szCs w:val="22"/>
        </w:rPr>
        <w:t>Comments may be filed using:  (1) (ECFS), (2) the Federal Government’s eRulemaking Portal, or (3) by filing paper copies.</w:t>
      </w:r>
      <w:r>
        <w:rPr>
          <w:rStyle w:val="FootnoteReference"/>
          <w:szCs w:val="22"/>
        </w:rPr>
        <w:footnoteReference w:id="9"/>
      </w:r>
      <w:r>
        <w:rPr>
          <w:szCs w:val="22"/>
        </w:rPr>
        <w:t xml:space="preserve">    </w:t>
      </w:r>
    </w:p>
    <w:p w:rsidR="00DD5CFC" w:rsidRDefault="00DA01E5">
      <w:pPr>
        <w:pStyle w:val="ParaNum"/>
        <w:tabs>
          <w:tab w:val="clear" w:pos="1080"/>
        </w:tabs>
        <w:ind w:firstLine="0"/>
        <w:jc w:val="left"/>
        <w:rPr>
          <w:szCs w:val="22"/>
        </w:rPr>
      </w:pPr>
      <w:r>
        <w:rPr>
          <w:szCs w:val="22"/>
        </w:rPr>
        <w:t xml:space="preserve">Electronic Filers:  Comments may be filed electronically using the Internet by accessing the ECFS: </w:t>
      </w:r>
      <w:hyperlink r:id="rId13" w:history="1">
        <w:r>
          <w:rPr>
            <w:rStyle w:val="Hyperlink"/>
          </w:rPr>
          <w:t>http://www.fcc.gov/cgb/ecfs/</w:t>
        </w:r>
      </w:hyperlink>
      <w:r>
        <w:rPr>
          <w:szCs w:val="22"/>
        </w:rPr>
        <w:t xml:space="preserve"> or the Federal eRulemaking Portal:  </w:t>
      </w:r>
      <w:hyperlink r:id="rId14" w:history="1">
        <w:r>
          <w:rPr>
            <w:rStyle w:val="Hyperlink"/>
          </w:rPr>
          <w:t>http://www.regulations.gov</w:t>
        </w:r>
      </w:hyperlink>
      <w:r>
        <w:rPr>
          <w:szCs w:val="22"/>
        </w:rPr>
        <w:t>.  Filers should follow the instructions provided on the website for submitting comments.</w:t>
      </w:r>
    </w:p>
    <w:p w:rsidR="00DD5CFC" w:rsidRDefault="00DA01E5">
      <w:pPr>
        <w:pStyle w:val="ParaNum"/>
        <w:tabs>
          <w:tab w:val="clear" w:pos="1080"/>
        </w:tabs>
        <w:ind w:firstLine="0"/>
        <w:jc w:val="left"/>
        <w:rPr>
          <w:szCs w:val="22"/>
        </w:rPr>
      </w:pPr>
      <w:r>
        <w:rPr>
          <w:szCs w:val="22"/>
        </w:rPr>
        <w:t xml:space="preserve">For ECFS filers, in completing the transmittal screen, filers should include their full name, U.S. Postal service mailing address, and the applicable docket number:  </w:t>
      </w:r>
      <w:r w:rsidR="005C3F66">
        <w:rPr>
          <w:szCs w:val="22"/>
        </w:rPr>
        <w:t>CS</w:t>
      </w:r>
      <w:r>
        <w:rPr>
          <w:szCs w:val="22"/>
        </w:rPr>
        <w:t xml:space="preserve"> Docket No. </w:t>
      </w:r>
      <w:r w:rsidR="005C3F66">
        <w:rPr>
          <w:szCs w:val="22"/>
        </w:rPr>
        <w:t>97-80</w:t>
      </w:r>
      <w:r>
        <w:rPr>
          <w:szCs w:val="22"/>
        </w:rPr>
        <w:t xml:space="preserve">.  Parties may also submit an electronic comment by Internet e-mail.  To get filing instructions, filers should send an e-mail to </w:t>
      </w:r>
      <w:hyperlink r:id="rId15" w:history="1">
        <w:r>
          <w:rPr>
            <w:rStyle w:val="Hyperlink"/>
          </w:rPr>
          <w:t>ecfs@fcc.gov</w:t>
        </w:r>
      </w:hyperlink>
      <w:r>
        <w:rPr>
          <w:szCs w:val="22"/>
        </w:rPr>
        <w:t xml:space="preserve">, and include the following words in the body of the message:  “get form”. A sample form and instructions will be sent in response.  </w:t>
      </w:r>
    </w:p>
    <w:p w:rsidR="00DD5CFC" w:rsidRDefault="00DA01E5">
      <w:pPr>
        <w:pStyle w:val="ParaNum"/>
        <w:tabs>
          <w:tab w:val="clear" w:pos="1080"/>
        </w:tabs>
        <w:ind w:firstLine="0"/>
        <w:jc w:val="left"/>
        <w:rPr>
          <w:szCs w:val="22"/>
        </w:rPr>
      </w:pPr>
      <w:r>
        <w:rPr>
          <w:szCs w:val="22"/>
        </w:rPr>
        <w:t>Paper Filers:  Parties who choose to file by paper must file an original and four copies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DD5CFC" w:rsidRDefault="00DA01E5">
      <w:pPr>
        <w:pStyle w:val="ParaNum"/>
        <w:tabs>
          <w:tab w:val="clear" w:pos="1080"/>
        </w:tabs>
        <w:ind w:firstLine="0"/>
        <w:jc w:val="left"/>
      </w:pPr>
      <w:r>
        <w:t xml:space="preserve">All hand-delivered or messenger-delivered paper filings for the </w:t>
      </w:r>
      <w:r>
        <w:rPr>
          <w:szCs w:val="22"/>
        </w:rPr>
        <w:t>Commission’s</w:t>
      </w:r>
      <w:r>
        <w:t xml:space="preserve"> Secretary must be delivered to FCC Headquarters at 445 12</w:t>
      </w:r>
      <w:r>
        <w:rPr>
          <w:vertAlign w:val="superscript"/>
        </w:rPr>
        <w:t>th</w:t>
      </w:r>
      <w:r>
        <w:t xml:space="preserve"> St., SW, Room TW-A325, Washington, DC 20554.  All hand deliveries must be held together with rubber bands or fasteners.  Any envelop</w:t>
      </w:r>
      <w:r>
        <w:rPr>
          <w:szCs w:val="22"/>
        </w:rPr>
        <w:t>e</w:t>
      </w:r>
      <w:r>
        <w:t xml:space="preserve">s must be disposed of </w:t>
      </w:r>
      <w:r>
        <w:rPr>
          <w:u w:val="single"/>
        </w:rPr>
        <w:t>before</w:t>
      </w:r>
      <w:r>
        <w:t xml:space="preserve"> entering the building.  The filing hours are 8:00 a.m. to 7:00 p.m.</w:t>
      </w:r>
    </w:p>
    <w:p w:rsidR="00DD5CFC" w:rsidRDefault="00DA01E5">
      <w:pPr>
        <w:pStyle w:val="ParaNum"/>
        <w:tabs>
          <w:tab w:val="clear" w:pos="1080"/>
        </w:tabs>
        <w:ind w:firstLine="0"/>
        <w:jc w:val="left"/>
      </w:pPr>
      <w:r>
        <w:t>Commercial overnight mail (other than U.S. Postal Service Express Mail and Priority Mail) must be sent to 9300 East Hampton Drive, Capitol Heights, MD  20743.</w:t>
      </w:r>
    </w:p>
    <w:p w:rsidR="00DD5CFC" w:rsidRDefault="00DA01E5">
      <w:pPr>
        <w:pStyle w:val="ParaNum"/>
        <w:tabs>
          <w:tab w:val="clear" w:pos="1080"/>
        </w:tabs>
        <w:ind w:firstLine="0"/>
        <w:jc w:val="left"/>
      </w:pPr>
      <w:r>
        <w:t>U.S. Postal Service first-class, Express, and Priority mail must be addressed to 445 12</w:t>
      </w:r>
      <w:r>
        <w:rPr>
          <w:vertAlign w:val="superscript"/>
        </w:rPr>
        <w:t>th</w:t>
      </w:r>
      <w:r>
        <w:t xml:space="preserve"> Street, SW, Washington DC  20554.</w:t>
      </w:r>
      <w:r>
        <w:rPr>
          <w:szCs w:val="22"/>
        </w:rPr>
        <w:t xml:space="preserve"> </w:t>
      </w:r>
    </w:p>
    <w:p w:rsidR="00DD5CFC" w:rsidRDefault="00DA01E5">
      <w:pPr>
        <w:spacing w:after="240"/>
        <w:rPr>
          <w:szCs w:val="22"/>
        </w:rPr>
      </w:pPr>
      <w:r>
        <w:rPr>
          <w:szCs w:val="22"/>
        </w:rPr>
        <w:t>One copy of each pleading must be sent to Brendan M</w:t>
      </w:r>
      <w:r w:rsidR="005C3F66">
        <w:rPr>
          <w:szCs w:val="22"/>
        </w:rPr>
        <w:t>urray, Media Bureau, Room 4-A726</w:t>
      </w:r>
      <w:r>
        <w:rPr>
          <w:szCs w:val="22"/>
        </w:rPr>
        <w:t>, 445 12</w:t>
      </w:r>
      <w:r>
        <w:rPr>
          <w:szCs w:val="22"/>
          <w:vertAlign w:val="superscript"/>
        </w:rPr>
        <w:t>th</w:t>
      </w:r>
      <w:r>
        <w:rPr>
          <w:szCs w:val="22"/>
        </w:rPr>
        <w:t xml:space="preserve"> Street, S.W., Washington, D.C. 20554 or </w:t>
      </w:r>
      <w:hyperlink r:id="rId16" w:history="1">
        <w:r>
          <w:rPr>
            <w:rStyle w:val="Hyperlink"/>
          </w:rPr>
          <w:t>Brendan.Murray@fcc.gov</w:t>
        </w:r>
      </w:hyperlink>
      <w:r>
        <w:rPr>
          <w:szCs w:val="22"/>
        </w:rPr>
        <w:t xml:space="preserve">.  </w:t>
      </w:r>
    </w:p>
    <w:p w:rsidR="00DD5CFC" w:rsidRDefault="00DA01E5">
      <w:pPr>
        <w:spacing w:after="240"/>
        <w:rPr>
          <w:szCs w:val="22"/>
        </w:rPr>
      </w:pPr>
      <w:r>
        <w:rPr>
          <w:szCs w:val="22"/>
        </w:rPr>
        <w:t>Copies of the Waiver Request and any subsequently filed documents in this matter are also available for inspection in the Commission’s Reference Information Center:</w:t>
      </w:r>
    </w:p>
    <w:p w:rsidR="00DD5CFC" w:rsidRDefault="00DA01E5">
      <w:pPr>
        <w:ind w:left="720"/>
        <w:rPr>
          <w:szCs w:val="22"/>
        </w:rPr>
      </w:pPr>
      <w:r>
        <w:rPr>
          <w:szCs w:val="22"/>
        </w:rPr>
        <w:t>445 12</w:t>
      </w:r>
      <w:r>
        <w:rPr>
          <w:szCs w:val="22"/>
          <w:vertAlign w:val="superscript"/>
        </w:rPr>
        <w:t>th</w:t>
      </w:r>
      <w:r>
        <w:rPr>
          <w:szCs w:val="22"/>
        </w:rPr>
        <w:t xml:space="preserve"> Street, S.W., Room CY-B402</w:t>
      </w:r>
    </w:p>
    <w:p w:rsidR="00DD5CFC" w:rsidRDefault="00DA01E5">
      <w:pPr>
        <w:ind w:left="720"/>
        <w:rPr>
          <w:szCs w:val="22"/>
        </w:rPr>
      </w:pPr>
      <w:r>
        <w:rPr>
          <w:szCs w:val="22"/>
        </w:rPr>
        <w:t>Washington, D.C. 20554</w:t>
      </w:r>
    </w:p>
    <w:p w:rsidR="00DD5CFC" w:rsidRDefault="00DA01E5">
      <w:pPr>
        <w:ind w:left="720"/>
        <w:rPr>
          <w:szCs w:val="22"/>
        </w:rPr>
      </w:pPr>
      <w:r>
        <w:rPr>
          <w:szCs w:val="22"/>
        </w:rPr>
        <w:t>(202) 418-0270</w:t>
      </w:r>
    </w:p>
    <w:p w:rsidR="00DD5CFC" w:rsidRDefault="00DD5CFC">
      <w:pPr>
        <w:rPr>
          <w:szCs w:val="22"/>
        </w:rPr>
      </w:pPr>
    </w:p>
    <w:p w:rsidR="00DD5CFC" w:rsidRDefault="00DA01E5">
      <w:pPr>
        <w:spacing w:after="240"/>
        <w:rPr>
          <w:szCs w:val="22"/>
        </w:rPr>
      </w:pPr>
      <w:r>
        <w:rPr>
          <w:szCs w:val="22"/>
        </w:rPr>
        <w:t>Alternate formats of this Public Notice (computer diskette, large print, audio recording, or Braille) are available to persons with disabilities by contacting the Consumer and Governmental Affairs Bureau at (202) 418-0530 or (202) 418-7365 (TTY).</w:t>
      </w:r>
    </w:p>
    <w:p w:rsidR="00DD5CFC" w:rsidRDefault="00DA01E5">
      <w:pPr>
        <w:keepNext/>
        <w:keepLines/>
        <w:spacing w:after="240"/>
        <w:rPr>
          <w:szCs w:val="22"/>
        </w:rPr>
      </w:pPr>
      <w:r>
        <w:rPr>
          <w:szCs w:val="22"/>
        </w:rPr>
        <w:t>For further information, contact Brendan Murray of the Media Bureau, (202) 418-2120.  Press inquiries should be directed to Janice Wise, (202) 418-8165 or Janice.Wise@fcc.gov.  TTY: (202) 418-7172 or (888) 835-5322.</w:t>
      </w:r>
    </w:p>
    <w:p w:rsidR="00DA01E5" w:rsidRDefault="00DA01E5">
      <w:pPr>
        <w:jc w:val="center"/>
      </w:pPr>
      <w:r>
        <w:rPr>
          <w:szCs w:val="22"/>
        </w:rPr>
        <w:t>-FCC-</w:t>
      </w:r>
    </w:p>
    <w:sectPr w:rsidR="00DA01E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31" w:rsidRDefault="00D56131">
      <w:r>
        <w:separator/>
      </w:r>
    </w:p>
  </w:endnote>
  <w:endnote w:type="continuationSeparator" w:id="0">
    <w:p w:rsidR="00D56131" w:rsidRDefault="00D5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C" w:rsidRDefault="00DA01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CFC" w:rsidRDefault="00DD5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C" w:rsidRDefault="00DA01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CEA">
      <w:rPr>
        <w:rStyle w:val="PageNumber"/>
        <w:noProof/>
      </w:rPr>
      <w:t>3</w:t>
    </w:r>
    <w:r>
      <w:rPr>
        <w:rStyle w:val="PageNumber"/>
      </w:rPr>
      <w:fldChar w:fldCharType="end"/>
    </w:r>
  </w:p>
  <w:p w:rsidR="00DD5CFC" w:rsidRDefault="00DD5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78" w:rsidRDefault="00285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31" w:rsidRDefault="00D56131">
      <w:r>
        <w:separator/>
      </w:r>
    </w:p>
  </w:footnote>
  <w:footnote w:type="continuationSeparator" w:id="0">
    <w:p w:rsidR="00D56131" w:rsidRDefault="00D56131">
      <w:r>
        <w:continuationSeparator/>
      </w:r>
    </w:p>
  </w:footnote>
  <w:footnote w:id="1">
    <w:p w:rsidR="000D33EC" w:rsidRPr="000D33EC" w:rsidRDefault="000D33EC" w:rsidP="000D33EC">
      <w:pPr>
        <w:pStyle w:val="FootnoteText"/>
        <w:rPr>
          <w:sz w:val="20"/>
        </w:rPr>
      </w:pPr>
      <w:r w:rsidRPr="000D33EC">
        <w:rPr>
          <w:rStyle w:val="FootnoteCharacters"/>
          <w:sz w:val="20"/>
        </w:rPr>
        <w:footnoteRef/>
      </w:r>
      <w:r w:rsidRPr="000D33EC">
        <w:rPr>
          <w:sz w:val="20"/>
        </w:rPr>
        <w:t xml:space="preserve"> 47 C.F.R. § 76.640(b)(4)(iii).</w:t>
      </w:r>
    </w:p>
  </w:footnote>
  <w:footnote w:id="2">
    <w:p w:rsidR="00176F18" w:rsidRPr="000D33EC" w:rsidRDefault="00176F18" w:rsidP="00176F18">
      <w:pPr>
        <w:pStyle w:val="FootnoteText"/>
        <w:rPr>
          <w:sz w:val="20"/>
        </w:rPr>
      </w:pPr>
      <w:r w:rsidRPr="000D33EC">
        <w:rPr>
          <w:rStyle w:val="FootnoteReference"/>
          <w:sz w:val="20"/>
        </w:rPr>
        <w:footnoteRef/>
      </w:r>
      <w:r w:rsidRPr="000D33EC">
        <w:rPr>
          <w:sz w:val="20"/>
        </w:rPr>
        <w:t xml:space="preserve"> </w:t>
      </w:r>
      <w:r w:rsidRPr="000D33EC">
        <w:rPr>
          <w:i/>
          <w:sz w:val="20"/>
        </w:rPr>
        <w:t>Implementation of Section 304 of the Telecommunications Act of 1996; Commercial Availability of Navigation Devices</w:t>
      </w:r>
      <w:r w:rsidRPr="000D33EC">
        <w:rPr>
          <w:sz w:val="20"/>
        </w:rPr>
        <w:t>, 25 FCC Rcd 14657, 14677-9, ¶¶ 39-44 (2010).</w:t>
      </w:r>
    </w:p>
  </w:footnote>
  <w:footnote w:id="3">
    <w:p w:rsidR="00131571" w:rsidRPr="000D33EC" w:rsidRDefault="00131571" w:rsidP="005C3F66">
      <w:pPr>
        <w:pStyle w:val="FootnoteText"/>
        <w:rPr>
          <w:sz w:val="20"/>
        </w:rPr>
      </w:pPr>
      <w:r w:rsidRPr="000D33EC">
        <w:rPr>
          <w:rStyle w:val="FootnoteReference"/>
          <w:sz w:val="20"/>
        </w:rPr>
        <w:footnoteRef/>
      </w:r>
      <w:r w:rsidRPr="000D33EC">
        <w:rPr>
          <w:sz w:val="20"/>
        </w:rPr>
        <w:t xml:space="preserve"> </w:t>
      </w:r>
      <w:r w:rsidR="00507F74">
        <w:rPr>
          <w:sz w:val="20"/>
        </w:rPr>
        <w:t>In response to a request for waiver from TiVo</w:t>
      </w:r>
      <w:r w:rsidR="005C3F66">
        <w:rPr>
          <w:sz w:val="20"/>
        </w:rPr>
        <w:t xml:space="preserve"> in 2012</w:t>
      </w:r>
      <w:r w:rsidR="00507F74">
        <w:rPr>
          <w:sz w:val="20"/>
        </w:rPr>
        <w:t>, the Media Bureau granted a waiver of this rule until June 2, 2014</w:t>
      </w:r>
      <w:r w:rsidR="005C3F66">
        <w:rPr>
          <w:sz w:val="20"/>
        </w:rPr>
        <w:t xml:space="preserve"> (and until September 2, 2014 for small cable operators)</w:t>
      </w:r>
      <w:r w:rsidRPr="000D33EC">
        <w:rPr>
          <w:sz w:val="20"/>
        </w:rPr>
        <w:t>.</w:t>
      </w:r>
      <w:r w:rsidR="005C3F66">
        <w:rPr>
          <w:sz w:val="20"/>
        </w:rPr>
        <w:t xml:space="preserve">  </w:t>
      </w:r>
      <w:r w:rsidR="005C3F66" w:rsidRPr="005C3F66">
        <w:rPr>
          <w:i/>
          <w:sz w:val="20"/>
        </w:rPr>
        <w:t>TiVo Inc.’s Request for Clarification and Waiver of the Audiovisual Output Requirement of Section 76.640(b)(4)(iii)</w:t>
      </w:r>
      <w:r w:rsidR="005C3F66">
        <w:rPr>
          <w:sz w:val="20"/>
        </w:rPr>
        <w:t xml:space="preserve">, </w:t>
      </w:r>
      <w:r w:rsidR="005C3F66" w:rsidRPr="005C3F66">
        <w:rPr>
          <w:sz w:val="20"/>
        </w:rPr>
        <w:t>27 FCC Rcd 14875</w:t>
      </w:r>
      <w:r w:rsidR="005C3F66">
        <w:rPr>
          <w:sz w:val="20"/>
        </w:rPr>
        <w:t xml:space="preserve"> (MB 2012).</w:t>
      </w:r>
    </w:p>
  </w:footnote>
  <w:footnote w:id="4">
    <w:p w:rsidR="00DD5CFC" w:rsidRPr="000D33EC" w:rsidRDefault="00DA01E5">
      <w:pPr>
        <w:pStyle w:val="FootnoteText"/>
        <w:rPr>
          <w:sz w:val="20"/>
        </w:rPr>
      </w:pPr>
      <w:r w:rsidRPr="000D33EC">
        <w:rPr>
          <w:rStyle w:val="FootnoteReference"/>
          <w:sz w:val="20"/>
        </w:rPr>
        <w:footnoteRef/>
      </w:r>
      <w:r w:rsidRPr="000D33EC">
        <w:rPr>
          <w:sz w:val="20"/>
        </w:rPr>
        <w:t xml:space="preserve"> </w:t>
      </w:r>
      <w:r w:rsidR="000D33EC" w:rsidRPr="000D33EC">
        <w:rPr>
          <w:sz w:val="20"/>
        </w:rPr>
        <w:t xml:space="preserve">TiVo Petition at </w:t>
      </w:r>
      <w:r w:rsidR="001B1C2B">
        <w:rPr>
          <w:sz w:val="20"/>
        </w:rPr>
        <w:t>3-</w:t>
      </w:r>
      <w:r w:rsidR="000D33EC" w:rsidRPr="000D33EC">
        <w:rPr>
          <w:sz w:val="20"/>
        </w:rPr>
        <w:t>4</w:t>
      </w:r>
      <w:r w:rsidRPr="000D33EC">
        <w:rPr>
          <w:sz w:val="20"/>
        </w:rPr>
        <w:t>.</w:t>
      </w:r>
    </w:p>
  </w:footnote>
  <w:footnote w:id="5">
    <w:p w:rsidR="00184928" w:rsidRPr="000D33EC" w:rsidRDefault="00184928" w:rsidP="00184928">
      <w:pPr>
        <w:pStyle w:val="FootnoteText"/>
        <w:rPr>
          <w:sz w:val="20"/>
        </w:rPr>
      </w:pPr>
      <w:r w:rsidRPr="000D33EC">
        <w:rPr>
          <w:rStyle w:val="FootnoteReference"/>
          <w:sz w:val="20"/>
        </w:rPr>
        <w:footnoteRef/>
      </w:r>
      <w:r w:rsidRPr="000D33EC">
        <w:rPr>
          <w:sz w:val="20"/>
        </w:rPr>
        <w:t xml:space="preserve"> TiVo Petition at 2, 4, nn.4 &amp; 5 (citing </w:t>
      </w:r>
      <w:r w:rsidRPr="000D33EC">
        <w:rPr>
          <w:i/>
          <w:sz w:val="20"/>
        </w:rPr>
        <w:t>Echostar Satellite, LLC v. FCC,</w:t>
      </w:r>
      <w:r w:rsidRPr="000D33EC">
        <w:rPr>
          <w:sz w:val="20"/>
        </w:rPr>
        <w:t xml:space="preserve"> 704 F.3d 992 (D.C. Cir. 2013</w:t>
      </w:r>
      <w:r w:rsidR="001B1C2B">
        <w:rPr>
          <w:sz w:val="20"/>
        </w:rPr>
        <w:t>)</w:t>
      </w:r>
      <w:r w:rsidRPr="000D33EC">
        <w:rPr>
          <w:sz w:val="20"/>
        </w:rPr>
        <w:t>).</w:t>
      </w:r>
      <w:r>
        <w:rPr>
          <w:sz w:val="20"/>
        </w:rPr>
        <w:t xml:space="preserve">  In </w:t>
      </w:r>
      <w:r w:rsidRPr="000D33EC">
        <w:rPr>
          <w:i/>
          <w:sz w:val="20"/>
        </w:rPr>
        <w:t>Echostar Satellite, LLC v. FCC</w:t>
      </w:r>
      <w:r>
        <w:rPr>
          <w:sz w:val="20"/>
        </w:rPr>
        <w:t xml:space="preserve">, </w:t>
      </w:r>
      <w:r w:rsidRPr="00DD3468">
        <w:rPr>
          <w:sz w:val="20"/>
        </w:rPr>
        <w:t>the D.C. Circuit vacated</w:t>
      </w:r>
      <w:r>
        <w:rPr>
          <w:sz w:val="20"/>
        </w:rPr>
        <w:t xml:space="preserve"> two Commission orders:  </w:t>
      </w:r>
      <w:r w:rsidRPr="00DD3468">
        <w:rPr>
          <w:sz w:val="20"/>
        </w:rPr>
        <w:t xml:space="preserve"> </w:t>
      </w:r>
      <w:r w:rsidRPr="00DD3468">
        <w:rPr>
          <w:i/>
          <w:sz w:val="20"/>
        </w:rPr>
        <w:t>Implementation of Section 304 of the Telecommunications Act of 1996:  Commercial Availability of Navigation Devices</w:t>
      </w:r>
      <w:r w:rsidRPr="00DD3468">
        <w:rPr>
          <w:sz w:val="20"/>
        </w:rPr>
        <w:t>, Second Report and Order and Second Further Notice of Proposed Rulemaking</w:t>
      </w:r>
      <w:r w:rsidRPr="00DD3468">
        <w:rPr>
          <w:i/>
          <w:sz w:val="20"/>
        </w:rPr>
        <w:t>,</w:t>
      </w:r>
      <w:r w:rsidRPr="00DD3468">
        <w:rPr>
          <w:sz w:val="20"/>
        </w:rPr>
        <w:t xml:space="preserve"> 18 FCC Rcd 20885 (2003)</w:t>
      </w:r>
      <w:r w:rsidRPr="00DD3468">
        <w:rPr>
          <w:i/>
          <w:sz w:val="20"/>
        </w:rPr>
        <w:t xml:space="preserve"> </w:t>
      </w:r>
      <w:r w:rsidRPr="00DD3468">
        <w:rPr>
          <w:sz w:val="20"/>
        </w:rPr>
        <w:t>(“</w:t>
      </w:r>
      <w:r w:rsidRPr="00DD3468">
        <w:rPr>
          <w:i/>
          <w:sz w:val="20"/>
        </w:rPr>
        <w:t>Second R&amp;O</w:t>
      </w:r>
      <w:r w:rsidRPr="00DD3468">
        <w:rPr>
          <w:sz w:val="20"/>
        </w:rPr>
        <w:t>”)</w:t>
      </w:r>
      <w:r>
        <w:rPr>
          <w:sz w:val="20"/>
        </w:rPr>
        <w:t>,</w:t>
      </w:r>
      <w:r w:rsidRPr="00DD3468">
        <w:rPr>
          <w:sz w:val="20"/>
        </w:rPr>
        <w:t xml:space="preserve"> and </w:t>
      </w:r>
      <w:r w:rsidRPr="00DD3468">
        <w:rPr>
          <w:i/>
          <w:sz w:val="20"/>
        </w:rPr>
        <w:t xml:space="preserve">Implementation of Section 304 of the Telecommunications Act of 1996: Commercial Availability of Navigation Devices, </w:t>
      </w:r>
      <w:r w:rsidRPr="00DD3468">
        <w:rPr>
          <w:sz w:val="20"/>
        </w:rPr>
        <w:t>Order on Reconsideration, 18 FCC Rcd 27059 (2003).</w:t>
      </w:r>
      <w:r w:rsidRPr="00DD3468" w:rsidDel="006C18BE">
        <w:rPr>
          <w:sz w:val="20"/>
        </w:rPr>
        <w:t xml:space="preserve"> </w:t>
      </w:r>
      <w:r w:rsidRPr="00DD3468">
        <w:rPr>
          <w:sz w:val="20"/>
        </w:rPr>
        <w:t xml:space="preserve"> The Commission adopted Section 76.640 in the </w:t>
      </w:r>
      <w:r w:rsidRPr="00DD3468">
        <w:rPr>
          <w:i/>
          <w:sz w:val="20"/>
        </w:rPr>
        <w:t>Second R&amp;O</w:t>
      </w:r>
      <w:r w:rsidRPr="00DD3468">
        <w:rPr>
          <w:sz w:val="20"/>
        </w:rPr>
        <w:t xml:space="preserve">, but subsequently modified it in 2010.  </w:t>
      </w:r>
      <w:r w:rsidRPr="00DD3468">
        <w:rPr>
          <w:i/>
          <w:sz w:val="20"/>
        </w:rPr>
        <w:t>Implementation of Section 304 of the Telecommunications Act of 1996:  Commercial Availability of Navigation Devices</w:t>
      </w:r>
      <w:r w:rsidRPr="00DD3468">
        <w:rPr>
          <w:sz w:val="20"/>
        </w:rPr>
        <w:t>, Third Report and Order and Order on Reconsideration, 25 FCC Rcd 14657, 14677-14679, ¶¶ 39-44 (2010).</w:t>
      </w:r>
      <w:r>
        <w:rPr>
          <w:sz w:val="20"/>
        </w:rPr>
        <w:t xml:space="preserve">  TiVo asks us to clarify whether the modified language in Section 76.640 is still in effect.</w:t>
      </w:r>
    </w:p>
  </w:footnote>
  <w:footnote w:id="6">
    <w:p w:rsidR="00DD5CFC" w:rsidRPr="000D33EC" w:rsidRDefault="00DA01E5">
      <w:pPr>
        <w:pStyle w:val="FootnoteText"/>
        <w:rPr>
          <w:sz w:val="20"/>
        </w:rPr>
      </w:pPr>
      <w:r w:rsidRPr="000D33EC">
        <w:rPr>
          <w:rStyle w:val="FootnoteCharacters"/>
          <w:sz w:val="20"/>
        </w:rPr>
        <w:footnoteRef/>
      </w:r>
      <w:r w:rsidRPr="000D33EC">
        <w:rPr>
          <w:sz w:val="20"/>
        </w:rPr>
        <w:t xml:space="preserve"> </w:t>
      </w:r>
      <w:r w:rsidRPr="000D33EC">
        <w:rPr>
          <w:i/>
          <w:sz w:val="20"/>
        </w:rPr>
        <w:t xml:space="preserve">See </w:t>
      </w:r>
      <w:r w:rsidRPr="000D33EC">
        <w:rPr>
          <w:sz w:val="20"/>
        </w:rPr>
        <w:t>47 C.F.R. §§ 1.1200-1.1216.</w:t>
      </w:r>
    </w:p>
  </w:footnote>
  <w:footnote w:id="7">
    <w:p w:rsidR="00DD5CFC" w:rsidRPr="000D33EC" w:rsidRDefault="00DA01E5">
      <w:pPr>
        <w:pStyle w:val="FootnoteText"/>
        <w:rPr>
          <w:sz w:val="20"/>
        </w:rPr>
      </w:pPr>
      <w:r w:rsidRPr="000D33EC">
        <w:rPr>
          <w:rStyle w:val="FootnoteCharacters"/>
          <w:sz w:val="20"/>
        </w:rPr>
        <w:footnoteRef/>
      </w:r>
      <w:r w:rsidRPr="000D33EC">
        <w:rPr>
          <w:sz w:val="20"/>
        </w:rPr>
        <w:t xml:space="preserve"> 47 C.F.R. § 1.1206.  </w:t>
      </w:r>
    </w:p>
  </w:footnote>
  <w:footnote w:id="8">
    <w:p w:rsidR="00DD5CFC" w:rsidRPr="000D33EC" w:rsidRDefault="00DA01E5">
      <w:pPr>
        <w:pStyle w:val="FootnoteText"/>
        <w:rPr>
          <w:sz w:val="20"/>
        </w:rPr>
      </w:pPr>
      <w:r w:rsidRPr="000D33EC">
        <w:rPr>
          <w:rStyle w:val="FootnoteReference"/>
          <w:sz w:val="20"/>
        </w:rPr>
        <w:footnoteRef/>
      </w:r>
      <w:r w:rsidRPr="000D33EC">
        <w:rPr>
          <w:sz w:val="20"/>
        </w:rPr>
        <w:t xml:space="preserve"> 47 C.F.R. §§ 76.7(b)(1), 76.7(c)(1).</w:t>
      </w:r>
    </w:p>
  </w:footnote>
  <w:footnote w:id="9">
    <w:p w:rsidR="00DD5CFC" w:rsidRPr="000D33EC" w:rsidRDefault="00DA01E5">
      <w:pPr>
        <w:pStyle w:val="FootnoteText"/>
        <w:rPr>
          <w:sz w:val="20"/>
        </w:rPr>
      </w:pPr>
      <w:r w:rsidRPr="000D33EC">
        <w:rPr>
          <w:rStyle w:val="FootnoteCharacters"/>
          <w:sz w:val="20"/>
        </w:rPr>
        <w:footnoteRef/>
      </w:r>
      <w:r w:rsidRPr="000D33EC">
        <w:rPr>
          <w:sz w:val="20"/>
        </w:rPr>
        <w:t xml:space="preserve"> </w:t>
      </w:r>
      <w:r w:rsidRPr="000D33EC">
        <w:rPr>
          <w:i/>
          <w:sz w:val="20"/>
        </w:rPr>
        <w:t>See Electronic Filing of Documents in Rulemaking Proceedings</w:t>
      </w:r>
      <w:r w:rsidRPr="000D33EC">
        <w:rPr>
          <w:sz w:val="20"/>
        </w:rPr>
        <w:t xml:space="preserve">, GC Docket No. 97-113, Report and Order, 13 FCC Rcd 11322, 11326, para. 8 (April 6, 1998).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78" w:rsidRDefault="00285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78" w:rsidRDefault="00285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C" w:rsidRDefault="00264E81">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3A381C27" wp14:editId="159CDC49">
          <wp:simplePos x="0" y="0"/>
          <wp:positionH relativeFrom="column">
            <wp:posOffset>30480</wp:posOffset>
          </wp:positionH>
          <wp:positionV relativeFrom="paragraph">
            <wp:posOffset>107950</wp:posOffset>
          </wp:positionV>
          <wp:extent cx="530225" cy="530225"/>
          <wp:effectExtent l="0" t="0" r="3175" b="3175"/>
          <wp:wrapTopAndBottom/>
          <wp:docPr id="8"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21BE4A86" wp14:editId="1C3DAA4F">
              <wp:simplePos x="0" y="0"/>
              <wp:positionH relativeFrom="column">
                <wp:posOffset>604520</wp:posOffset>
              </wp:positionH>
              <wp:positionV relativeFrom="paragraph">
                <wp:posOffset>731520</wp:posOffset>
              </wp:positionV>
              <wp:extent cx="3108960" cy="640080"/>
              <wp:effectExtent l="0" t="0" r="0" b="762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CFC" w:rsidRDefault="00DA01E5">
                          <w:pPr>
                            <w:rPr>
                              <w:rFonts w:ascii="Arial" w:hAnsi="Arial"/>
                              <w:b/>
                            </w:rPr>
                          </w:pPr>
                          <w:r>
                            <w:rPr>
                              <w:rFonts w:ascii="Arial" w:hAnsi="Arial"/>
                              <w:b/>
                            </w:rPr>
                            <w:t>Federal Communications Commission</w:t>
                          </w:r>
                        </w:p>
                        <w:p w:rsidR="00DD5CFC" w:rsidRDefault="00DA01E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D5CFC" w:rsidRDefault="00DA01E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iZR5&#10;wYMCAAAPBQAADgAAAAAAAAAAAAAAAAAuAgAAZHJzL2Uyb0RvYy54bWxQSwECLQAUAAYACAAAACEA&#10;YFnZv94AAAAKAQAADwAAAAAAAAAAAAAAAADdBAAAZHJzL2Rvd25yZXYueG1sUEsFBgAAAAAEAAQA&#10;8wAAAOgFAAAAAA==&#10;" o:allowincell="f" stroked="f">
              <v:textbox>
                <w:txbxContent>
                  <w:p w:rsidR="00DD5CFC" w:rsidRDefault="00DA01E5">
                    <w:pPr>
                      <w:rPr>
                        <w:rFonts w:ascii="Arial" w:hAnsi="Arial"/>
                        <w:b/>
                      </w:rPr>
                    </w:pPr>
                    <w:r>
                      <w:rPr>
                        <w:rFonts w:ascii="Arial" w:hAnsi="Arial"/>
                        <w:b/>
                      </w:rPr>
                      <w:t>Federal Communications Commission</w:t>
                    </w:r>
                  </w:p>
                  <w:p w:rsidR="00DD5CFC" w:rsidRDefault="00DA01E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D5CFC" w:rsidRDefault="00DA01E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DA01E5">
      <w:rPr>
        <w:rFonts w:ascii="News Gothic MT" w:hAnsi="News Gothic MT"/>
        <w:b/>
        <w:kern w:val="28"/>
        <w:sz w:val="96"/>
      </w:rPr>
      <w:t>PUBLIC NOTICE</w:t>
    </w:r>
  </w:p>
  <w:p w:rsidR="00DD5CFC" w:rsidRDefault="00264E8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473CE158" wp14:editId="059DBB33">
              <wp:simplePos x="0" y="0"/>
              <wp:positionH relativeFrom="column">
                <wp:posOffset>0</wp:posOffset>
              </wp:positionH>
              <wp:positionV relativeFrom="paragraph">
                <wp:posOffset>697865</wp:posOffset>
              </wp:positionV>
              <wp:extent cx="6858000" cy="2540"/>
              <wp:effectExtent l="0" t="0" r="19050" b="355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OUr1OE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8240" behindDoc="0" locked="0" layoutInCell="0" allowOverlap="1" wp14:anchorId="1D5D6E56" wp14:editId="245E8CB8">
              <wp:simplePos x="0" y="0"/>
              <wp:positionH relativeFrom="column">
                <wp:posOffset>4276090</wp:posOffset>
              </wp:positionH>
              <wp:positionV relativeFrom="paragraph">
                <wp:posOffset>130175</wp:posOffset>
              </wp:positionV>
              <wp:extent cx="2640965" cy="548640"/>
              <wp:effectExtent l="0" t="0" r="698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CFC" w:rsidRDefault="00DA01E5">
                          <w:pPr>
                            <w:spacing w:before="40"/>
                            <w:jc w:val="right"/>
                            <w:rPr>
                              <w:rFonts w:ascii="Arial" w:hAnsi="Arial"/>
                              <w:b/>
                              <w:sz w:val="16"/>
                            </w:rPr>
                          </w:pPr>
                          <w:r>
                            <w:rPr>
                              <w:rFonts w:ascii="Arial" w:hAnsi="Arial"/>
                              <w:b/>
                              <w:sz w:val="16"/>
                            </w:rPr>
                            <w:t>News Media Information 202 / 418-0500</w:t>
                          </w:r>
                        </w:p>
                        <w:p w:rsidR="00DD5CFC" w:rsidRDefault="00DA01E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D5CFC" w:rsidRDefault="00DA01E5">
                          <w:pPr>
                            <w:jc w:val="right"/>
                            <w:rPr>
                              <w:rFonts w:ascii="Arial" w:hAnsi="Arial"/>
                              <w:b/>
                              <w:sz w:val="16"/>
                            </w:rPr>
                          </w:pPr>
                          <w:r>
                            <w:rPr>
                              <w:rFonts w:ascii="Arial" w:hAnsi="Arial"/>
                              <w:b/>
                              <w:sz w:val="16"/>
                            </w:rPr>
                            <w:t>TTY: 1-888-835-5322</w:t>
                          </w:r>
                        </w:p>
                        <w:p w:rsidR="00DD5CFC" w:rsidRDefault="00DD5C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AHm13w&#10;gAIAAA4FAAAOAAAAAAAAAAAAAAAAAC4CAABkcnMvZTJvRG9jLnhtbFBLAQItABQABgAIAAAAIQDT&#10;zOG04AAAAAsBAAAPAAAAAAAAAAAAAAAAANoEAABkcnMvZG93bnJldi54bWxQSwUGAAAAAAQABADz&#10;AAAA5wUAAAAA&#10;" o:allowincell="f" stroked="f">
              <v:textbox inset=",0,,0">
                <w:txbxContent>
                  <w:p w:rsidR="00DD5CFC" w:rsidRDefault="00DA01E5">
                    <w:pPr>
                      <w:spacing w:before="40"/>
                      <w:jc w:val="right"/>
                      <w:rPr>
                        <w:rFonts w:ascii="Arial" w:hAnsi="Arial"/>
                        <w:b/>
                        <w:sz w:val="16"/>
                      </w:rPr>
                    </w:pPr>
                    <w:r>
                      <w:rPr>
                        <w:rFonts w:ascii="Arial" w:hAnsi="Arial"/>
                        <w:b/>
                        <w:sz w:val="16"/>
                      </w:rPr>
                      <w:t>News Media Information 202 / 418-0500</w:t>
                    </w:r>
                  </w:p>
                  <w:p w:rsidR="00DD5CFC" w:rsidRDefault="00DA01E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D5CFC" w:rsidRDefault="00DA01E5">
                    <w:pPr>
                      <w:jc w:val="right"/>
                      <w:rPr>
                        <w:rFonts w:ascii="Arial" w:hAnsi="Arial"/>
                        <w:b/>
                        <w:sz w:val="16"/>
                      </w:rPr>
                    </w:pPr>
                    <w:r>
                      <w:rPr>
                        <w:rFonts w:ascii="Arial" w:hAnsi="Arial"/>
                        <w:b/>
                        <w:sz w:val="16"/>
                      </w:rPr>
                      <w:t>TTY: 1-888-835-5322</w:t>
                    </w:r>
                  </w:p>
                  <w:p w:rsidR="00DD5CFC" w:rsidRDefault="00DD5CFC">
                    <w:pPr>
                      <w:jc w:val="right"/>
                    </w:pPr>
                  </w:p>
                </w:txbxContent>
              </v:textbox>
            </v:shape>
          </w:pict>
        </mc:Fallback>
      </mc:AlternateContent>
    </w:r>
  </w:p>
  <w:p w:rsidR="00DD5CFC" w:rsidRDefault="00DD5CFC">
    <w:pPr>
      <w:pStyle w:val="Header"/>
      <w:tabs>
        <w:tab w:val="clear" w:pos="4320"/>
        <w:tab w:val="clear" w:pos="8640"/>
        <w:tab w:val="left" w:pos="1080"/>
      </w:tabs>
      <w:ind w:left="720"/>
      <w:rPr>
        <w:rFonts w:ascii="Arial" w:hAnsi="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4C"/>
    <w:rsid w:val="000D33EC"/>
    <w:rsid w:val="000D5E22"/>
    <w:rsid w:val="00131571"/>
    <w:rsid w:val="00176F18"/>
    <w:rsid w:val="00184928"/>
    <w:rsid w:val="001B1C2B"/>
    <w:rsid w:val="00232380"/>
    <w:rsid w:val="00251256"/>
    <w:rsid w:val="00264E81"/>
    <w:rsid w:val="00284D6B"/>
    <w:rsid w:val="00285B78"/>
    <w:rsid w:val="002C0A58"/>
    <w:rsid w:val="00365E9D"/>
    <w:rsid w:val="00377BF8"/>
    <w:rsid w:val="00507F74"/>
    <w:rsid w:val="005307C3"/>
    <w:rsid w:val="005C3F66"/>
    <w:rsid w:val="006D5CEA"/>
    <w:rsid w:val="007A2C37"/>
    <w:rsid w:val="007F55C0"/>
    <w:rsid w:val="008460D0"/>
    <w:rsid w:val="00861FDE"/>
    <w:rsid w:val="00866B4C"/>
    <w:rsid w:val="00885EDF"/>
    <w:rsid w:val="00B16385"/>
    <w:rsid w:val="00C0181D"/>
    <w:rsid w:val="00CE0BFD"/>
    <w:rsid w:val="00CE4067"/>
    <w:rsid w:val="00D56131"/>
    <w:rsid w:val="00DA01E5"/>
    <w:rsid w:val="00DD5CFC"/>
    <w:rsid w:val="00F7311D"/>
    <w:rsid w:val="00FC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character" w:customStyle="1" w:styleId="FootnoteCharacters">
    <w:name w:val="Footnote Characters"/>
    <w:rPr>
      <w:vertAlign w:val="superscript"/>
    </w:rPr>
  </w:style>
  <w:style w:type="paragraph" w:customStyle="1" w:styleId="ParaNum">
    <w:name w:val="ParaNum"/>
    <w:basedOn w:val="Normal"/>
    <w:pPr>
      <w:widowControl w:val="0"/>
      <w:tabs>
        <w:tab w:val="left" w:pos="1080"/>
        <w:tab w:val="left" w:pos="1440"/>
      </w:tabs>
      <w:suppressAutoHyphens/>
      <w:spacing w:after="220"/>
      <w:ind w:firstLine="720"/>
      <w:jc w:val="both"/>
    </w:pPr>
    <w:rPr>
      <w:lang w:eastAsia="ar-S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character" w:customStyle="1" w:styleId="FootnoteCharacters">
    <w:name w:val="Footnote Characters"/>
    <w:rPr>
      <w:vertAlign w:val="superscript"/>
    </w:rPr>
  </w:style>
  <w:style w:type="paragraph" w:customStyle="1" w:styleId="ParaNum">
    <w:name w:val="ParaNum"/>
    <w:basedOn w:val="Normal"/>
    <w:pPr>
      <w:widowControl w:val="0"/>
      <w:tabs>
        <w:tab w:val="left" w:pos="1080"/>
        <w:tab w:val="left" w:pos="1440"/>
      </w:tabs>
      <w:suppressAutoHyphens/>
      <w:spacing w:after="220"/>
      <w:ind w:firstLine="720"/>
      <w:jc w:val="both"/>
    </w:pPr>
    <w:rPr>
      <w:lang w:eastAsia="ar-S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cc.gov/e-file/ecf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Brendan.Murray@fcc.go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cfs@fcc.go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egulation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4359</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5127</CharactersWithSpaces>
  <SharedDoc>false</SharedDoc>
  <HyperlinkBase> </HyperlinkBase>
  <HLinks>
    <vt:vector size="24" baseType="variant">
      <vt:variant>
        <vt:i4>7536645</vt:i4>
      </vt:variant>
      <vt:variant>
        <vt:i4>9</vt:i4>
      </vt:variant>
      <vt:variant>
        <vt:i4>0</vt:i4>
      </vt:variant>
      <vt:variant>
        <vt:i4>5</vt:i4>
      </vt:variant>
      <vt:variant>
        <vt:lpwstr>mailto:Brendan.Murray@fcc.gov</vt:lpwstr>
      </vt:variant>
      <vt:variant>
        <vt:lpwstr/>
      </vt:variant>
      <vt:variant>
        <vt:i4>196664</vt:i4>
      </vt:variant>
      <vt:variant>
        <vt:i4>6</vt:i4>
      </vt:variant>
      <vt:variant>
        <vt:i4>0</vt:i4>
      </vt:variant>
      <vt:variant>
        <vt:i4>5</vt:i4>
      </vt:variant>
      <vt:variant>
        <vt:lpwstr>mailto:ecfs@fcc.gov</vt:lpwstr>
      </vt:variant>
      <vt:variant>
        <vt:lpwstr/>
      </vt:variant>
      <vt:variant>
        <vt:i4>2818151</vt:i4>
      </vt:variant>
      <vt:variant>
        <vt:i4>3</vt:i4>
      </vt:variant>
      <vt:variant>
        <vt:i4>0</vt:i4>
      </vt:variant>
      <vt:variant>
        <vt:i4>5</vt:i4>
      </vt:variant>
      <vt:variant>
        <vt:lpwstr>http://www.regulations.gov/</vt:lpwstr>
      </vt:variant>
      <vt:variant>
        <vt:lpwstr/>
      </vt:variant>
      <vt:variant>
        <vt:i4>6946853</vt:i4>
      </vt:variant>
      <vt:variant>
        <vt:i4>0</vt:i4>
      </vt:variant>
      <vt:variant>
        <vt:i4>0</vt:i4>
      </vt:variant>
      <vt:variant>
        <vt:i4>5</vt:i4>
      </vt:variant>
      <vt:variant>
        <vt:lpwstr>http://www.fcc.gov/e-file/ecfs.html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2014-01-15T21:15:00Z</dcterms:created>
  <dcterms:modified xsi:type="dcterms:W3CDTF">2014-01-15T21:15:00Z</dcterms:modified>
  <cp:category> </cp:category>
  <cp:contentStatus> </cp:contentStatus>
</cp:coreProperties>
</file>