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BA" w:rsidRDefault="00EB37BA">
      <w:pPr>
        <w:pStyle w:val="Header"/>
        <w:tabs>
          <w:tab w:val="clear" w:pos="4320"/>
          <w:tab w:val="clear" w:pos="8640"/>
        </w:tabs>
        <w:rPr>
          <w:szCs w:val="22"/>
        </w:rPr>
        <w:sectPr w:rsidR="00EB37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1440" w:gutter="0"/>
          <w:cols w:space="720"/>
          <w:titlePg/>
        </w:sectPr>
      </w:pPr>
      <w:bookmarkStart w:id="2" w:name="_GoBack"/>
      <w:bookmarkEnd w:id="2"/>
    </w:p>
    <w:p w:rsidR="00EB37BA" w:rsidRDefault="00EB37BA" w:rsidP="00AA2A8F">
      <w:pPr>
        <w:spacing w:after="120"/>
        <w:jc w:val="right"/>
        <w:rPr>
          <w:b/>
          <w:szCs w:val="22"/>
        </w:rPr>
      </w:pPr>
      <w:r>
        <w:rPr>
          <w:b/>
          <w:szCs w:val="22"/>
        </w:rPr>
        <w:lastRenderedPageBreak/>
        <w:t>DA 1</w:t>
      </w:r>
      <w:r w:rsidR="00905E74">
        <w:rPr>
          <w:b/>
          <w:szCs w:val="22"/>
        </w:rPr>
        <w:t>4</w:t>
      </w:r>
      <w:r>
        <w:rPr>
          <w:b/>
          <w:szCs w:val="22"/>
        </w:rPr>
        <w:t>-</w:t>
      </w:r>
      <w:r w:rsidR="00EB749D">
        <w:rPr>
          <w:b/>
          <w:szCs w:val="22"/>
        </w:rPr>
        <w:t>488</w:t>
      </w:r>
    </w:p>
    <w:p w:rsidR="00EB37BA" w:rsidRDefault="00EB37BA">
      <w:pPr>
        <w:jc w:val="right"/>
        <w:rPr>
          <w:b/>
          <w:szCs w:val="22"/>
        </w:rPr>
      </w:pPr>
      <w:r>
        <w:rPr>
          <w:b/>
          <w:szCs w:val="22"/>
        </w:rPr>
        <w:t>Release</w:t>
      </w:r>
      <w:r w:rsidR="00F42B8E">
        <w:rPr>
          <w:b/>
          <w:szCs w:val="22"/>
        </w:rPr>
        <w:t>d</w:t>
      </w:r>
      <w:r>
        <w:rPr>
          <w:b/>
          <w:szCs w:val="22"/>
        </w:rPr>
        <w:t xml:space="preserve">:  </w:t>
      </w:r>
      <w:r w:rsidR="00905E74">
        <w:rPr>
          <w:b/>
          <w:szCs w:val="22"/>
        </w:rPr>
        <w:t>April</w:t>
      </w:r>
      <w:r>
        <w:rPr>
          <w:b/>
          <w:szCs w:val="22"/>
        </w:rPr>
        <w:t xml:space="preserve"> </w:t>
      </w:r>
      <w:r w:rsidR="00F42B8E">
        <w:rPr>
          <w:b/>
          <w:szCs w:val="22"/>
        </w:rPr>
        <w:t>10</w:t>
      </w:r>
      <w:r>
        <w:rPr>
          <w:b/>
          <w:szCs w:val="22"/>
        </w:rPr>
        <w:t>, 201</w:t>
      </w:r>
      <w:r w:rsidR="00905E74">
        <w:rPr>
          <w:b/>
          <w:szCs w:val="22"/>
        </w:rPr>
        <w:t>4</w:t>
      </w:r>
    </w:p>
    <w:p w:rsidR="00EB37BA" w:rsidRDefault="00EB37BA">
      <w:pPr>
        <w:jc w:val="right"/>
        <w:rPr>
          <w:b/>
          <w:szCs w:val="22"/>
        </w:rPr>
      </w:pPr>
    </w:p>
    <w:p w:rsidR="00EB37BA" w:rsidRPr="009C4D01" w:rsidRDefault="00EB37BA" w:rsidP="009C4D01">
      <w:pPr>
        <w:pStyle w:val="Header"/>
        <w:jc w:val="center"/>
        <w:rPr>
          <w:b/>
        </w:rPr>
      </w:pPr>
      <w:r w:rsidRPr="009C4D01">
        <w:rPr>
          <w:b/>
        </w:rPr>
        <w:t xml:space="preserve">COMMENT CYCLE ESTABLISHED FOR </w:t>
      </w:r>
      <w:r w:rsidR="00112772" w:rsidRPr="009C4D01">
        <w:rPr>
          <w:b/>
        </w:rPr>
        <w:t xml:space="preserve">FURTHER </w:t>
      </w:r>
      <w:r w:rsidRPr="009C4D01">
        <w:rPr>
          <w:b/>
        </w:rPr>
        <w:t>NOTICE OF PROPOSED RULEMAKING REGARDING SEPARATIONS FREEZE EXTENSION</w:t>
      </w:r>
    </w:p>
    <w:p w:rsidR="00EB37BA" w:rsidRDefault="00EB37BA">
      <w:pPr>
        <w:jc w:val="center"/>
        <w:rPr>
          <w:b/>
          <w:szCs w:val="22"/>
        </w:rPr>
      </w:pPr>
    </w:p>
    <w:p w:rsidR="00EB37BA" w:rsidRDefault="00EB37BA">
      <w:pPr>
        <w:jc w:val="center"/>
        <w:rPr>
          <w:b/>
          <w:szCs w:val="22"/>
        </w:rPr>
      </w:pPr>
      <w:r>
        <w:rPr>
          <w:b/>
          <w:szCs w:val="22"/>
        </w:rPr>
        <w:t>CC Docket No. 80-286</w:t>
      </w:r>
    </w:p>
    <w:p w:rsidR="00EB37BA" w:rsidRDefault="00EB37BA">
      <w:pPr>
        <w:jc w:val="center"/>
        <w:rPr>
          <w:b/>
          <w:szCs w:val="22"/>
        </w:rPr>
      </w:pPr>
    </w:p>
    <w:p w:rsidR="00EB37BA" w:rsidRDefault="00EB37BA">
      <w:pPr>
        <w:rPr>
          <w:b/>
          <w:szCs w:val="22"/>
        </w:rPr>
      </w:pPr>
      <w:r>
        <w:rPr>
          <w:b/>
          <w:szCs w:val="22"/>
        </w:rPr>
        <w:t xml:space="preserve">Comment Date:  April </w:t>
      </w:r>
      <w:r w:rsidR="00905E74">
        <w:rPr>
          <w:b/>
          <w:szCs w:val="22"/>
        </w:rPr>
        <w:t>16</w:t>
      </w:r>
      <w:r>
        <w:rPr>
          <w:b/>
          <w:szCs w:val="22"/>
        </w:rPr>
        <w:t>, 201</w:t>
      </w:r>
      <w:r w:rsidR="00D10097">
        <w:rPr>
          <w:b/>
          <w:szCs w:val="22"/>
        </w:rPr>
        <w:t>4</w:t>
      </w:r>
    </w:p>
    <w:p w:rsidR="00EB37BA" w:rsidRDefault="00EB37BA">
      <w:pPr>
        <w:rPr>
          <w:b/>
          <w:szCs w:val="22"/>
        </w:rPr>
      </w:pPr>
      <w:r>
        <w:rPr>
          <w:b/>
          <w:szCs w:val="22"/>
        </w:rPr>
        <w:t>Reply Comment Date:  April 2</w:t>
      </w:r>
      <w:r w:rsidR="00905E74">
        <w:rPr>
          <w:b/>
          <w:szCs w:val="22"/>
        </w:rPr>
        <w:t>3</w:t>
      </w:r>
      <w:r>
        <w:rPr>
          <w:b/>
          <w:szCs w:val="22"/>
        </w:rPr>
        <w:t>, 201</w:t>
      </w:r>
      <w:r w:rsidR="00D10097">
        <w:rPr>
          <w:b/>
          <w:szCs w:val="22"/>
        </w:rPr>
        <w:t>4</w:t>
      </w:r>
    </w:p>
    <w:p w:rsidR="00EB37BA" w:rsidRDefault="00EB37BA">
      <w:pPr>
        <w:rPr>
          <w:szCs w:val="22"/>
        </w:rPr>
      </w:pPr>
    </w:p>
    <w:p w:rsidR="00E717CE" w:rsidRDefault="00EB37BA">
      <w:pPr>
        <w:spacing w:after="120"/>
        <w:ind w:firstLine="720"/>
      </w:pPr>
      <w:r>
        <w:rPr>
          <w:szCs w:val="22"/>
        </w:rPr>
        <w:t xml:space="preserve">On March </w:t>
      </w:r>
      <w:r w:rsidR="00905E74">
        <w:rPr>
          <w:szCs w:val="22"/>
        </w:rPr>
        <w:t>27</w:t>
      </w:r>
      <w:r>
        <w:rPr>
          <w:szCs w:val="22"/>
        </w:rPr>
        <w:t>, 201</w:t>
      </w:r>
      <w:r w:rsidR="00905E74">
        <w:rPr>
          <w:szCs w:val="22"/>
        </w:rPr>
        <w:t>4</w:t>
      </w:r>
      <w:r>
        <w:rPr>
          <w:szCs w:val="22"/>
        </w:rPr>
        <w:t xml:space="preserve">, the Commission released a </w:t>
      </w:r>
      <w:r w:rsidR="006A29CA">
        <w:rPr>
          <w:szCs w:val="22"/>
        </w:rPr>
        <w:t>F</w:t>
      </w:r>
      <w:r w:rsidR="00112772">
        <w:rPr>
          <w:szCs w:val="22"/>
        </w:rPr>
        <w:t xml:space="preserve">urther </w:t>
      </w:r>
      <w:r w:rsidR="006A29CA">
        <w:rPr>
          <w:szCs w:val="22"/>
        </w:rPr>
        <w:t>N</w:t>
      </w:r>
      <w:r>
        <w:rPr>
          <w:szCs w:val="22"/>
        </w:rPr>
        <w:t xml:space="preserve">otice of </w:t>
      </w:r>
      <w:r w:rsidR="006A29CA">
        <w:rPr>
          <w:szCs w:val="22"/>
        </w:rPr>
        <w:t>P</w:t>
      </w:r>
      <w:r>
        <w:rPr>
          <w:szCs w:val="22"/>
        </w:rPr>
        <w:t xml:space="preserve">roposed </w:t>
      </w:r>
      <w:r w:rsidR="006A29CA">
        <w:rPr>
          <w:szCs w:val="22"/>
        </w:rPr>
        <w:t>R</w:t>
      </w:r>
      <w:r>
        <w:rPr>
          <w:szCs w:val="22"/>
        </w:rPr>
        <w:t>ulemaking seeking</w:t>
      </w:r>
      <w:r w:rsidR="006A29CA">
        <w:rPr>
          <w:szCs w:val="22"/>
        </w:rPr>
        <w:t xml:space="preserve"> </w:t>
      </w:r>
      <w:r>
        <w:rPr>
          <w:szCs w:val="22"/>
        </w:rPr>
        <w:t>comment on extending, until June 30, 201</w:t>
      </w:r>
      <w:r w:rsidR="00905E74">
        <w:rPr>
          <w:szCs w:val="22"/>
        </w:rPr>
        <w:t>7</w:t>
      </w:r>
      <w:r>
        <w:rPr>
          <w:szCs w:val="22"/>
        </w:rPr>
        <w:t xml:space="preserve">, the current </w:t>
      </w:r>
      <w:r w:rsidR="006A29CA">
        <w:rPr>
          <w:szCs w:val="22"/>
        </w:rPr>
        <w:t>f</w:t>
      </w:r>
      <w:r>
        <w:rPr>
          <w:szCs w:val="22"/>
        </w:rPr>
        <w:t xml:space="preserve">reeze of </w:t>
      </w:r>
      <w:r w:rsidR="006A29CA">
        <w:rPr>
          <w:szCs w:val="22"/>
        </w:rPr>
        <w:t>j</w:t>
      </w:r>
      <w:r w:rsidR="00E717CE">
        <w:rPr>
          <w:szCs w:val="22"/>
        </w:rPr>
        <w:t xml:space="preserve">urisdictional separations </w:t>
      </w:r>
      <w:r>
        <w:rPr>
          <w:szCs w:val="22"/>
        </w:rPr>
        <w:t>category relationships and cost allocation factors</w:t>
      </w:r>
      <w:r w:rsidR="00E717CE">
        <w:rPr>
          <w:szCs w:val="22"/>
        </w:rPr>
        <w:t xml:space="preserve"> in Part 36 of the Commission’s rules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 </w:t>
      </w:r>
      <w:r w:rsidR="00077016">
        <w:rPr>
          <w:szCs w:val="22"/>
        </w:rPr>
        <w:t xml:space="preserve">The </w:t>
      </w:r>
      <w:r w:rsidR="00077016" w:rsidRPr="00077016">
        <w:rPr>
          <w:i/>
          <w:szCs w:val="22"/>
        </w:rPr>
        <w:t>Further Notice</w:t>
      </w:r>
      <w:r w:rsidR="00077016">
        <w:rPr>
          <w:szCs w:val="22"/>
        </w:rPr>
        <w:t xml:space="preserve"> also </w:t>
      </w:r>
      <w:r w:rsidR="00077016" w:rsidRPr="00077016">
        <w:rPr>
          <w:szCs w:val="22"/>
        </w:rPr>
        <w:t>seek</w:t>
      </w:r>
      <w:r w:rsidR="00F42B8E">
        <w:rPr>
          <w:szCs w:val="22"/>
        </w:rPr>
        <w:t>s</w:t>
      </w:r>
      <w:r w:rsidR="00077016" w:rsidRPr="00077016">
        <w:rPr>
          <w:szCs w:val="22"/>
        </w:rPr>
        <w:t xml:space="preserve"> comment on a proposal </w:t>
      </w:r>
      <w:r w:rsidR="00F42B8E">
        <w:rPr>
          <w:szCs w:val="22"/>
        </w:rPr>
        <w:t xml:space="preserve">to </w:t>
      </w:r>
      <w:r w:rsidR="00077016" w:rsidRPr="00077016">
        <w:rPr>
          <w:szCs w:val="22"/>
        </w:rPr>
        <w:t>direct the Wireline Competition Bureau</w:t>
      </w:r>
      <w:r w:rsidR="00D10097" w:rsidRPr="00D10097">
        <w:t xml:space="preserve"> </w:t>
      </w:r>
      <w:r w:rsidR="00D10097" w:rsidRPr="0012014C">
        <w:t xml:space="preserve">to open a filing ‘‘window’’ to encourage (but not require) rate-of-return incumbent </w:t>
      </w:r>
      <w:r w:rsidR="00F42B8E">
        <w:t>local exchange carrier</w:t>
      </w:r>
      <w:r w:rsidR="00D10097" w:rsidRPr="0012014C">
        <w:t>s that desire waivers of the category relationships freeze to file petitions for waiver during the window.</w:t>
      </w:r>
      <w:r w:rsidR="00077016">
        <w:rPr>
          <w:rStyle w:val="FootnoteReference"/>
          <w:szCs w:val="22"/>
        </w:rPr>
        <w:footnoteReference w:id="2"/>
      </w:r>
    </w:p>
    <w:p w:rsidR="00EB37BA" w:rsidRDefault="00EB37BA">
      <w:pPr>
        <w:spacing w:after="120"/>
        <w:ind w:firstLine="720"/>
        <w:rPr>
          <w:szCs w:val="22"/>
        </w:rPr>
      </w:pPr>
      <w:r>
        <w:rPr>
          <w:szCs w:val="22"/>
        </w:rPr>
        <w:t xml:space="preserve">The Commission set the comment and reply comment deadlines for the </w:t>
      </w:r>
      <w:r w:rsidR="00112772" w:rsidRPr="00112772">
        <w:rPr>
          <w:i/>
          <w:szCs w:val="22"/>
        </w:rPr>
        <w:t>Further</w:t>
      </w:r>
      <w:r w:rsidR="00112772">
        <w:rPr>
          <w:szCs w:val="22"/>
        </w:rPr>
        <w:t xml:space="preserve"> </w:t>
      </w:r>
      <w:r>
        <w:rPr>
          <w:i/>
          <w:szCs w:val="22"/>
        </w:rPr>
        <w:t>Notice</w:t>
      </w:r>
      <w:r>
        <w:rPr>
          <w:szCs w:val="22"/>
        </w:rPr>
        <w:t xml:space="preserve"> as 14 and 21 days, respectively, after the publication of a summary of the </w:t>
      </w:r>
      <w:r w:rsidR="00112772" w:rsidRPr="00112772">
        <w:rPr>
          <w:i/>
          <w:szCs w:val="22"/>
        </w:rPr>
        <w:t>Further</w:t>
      </w:r>
      <w:r w:rsidR="00112772">
        <w:rPr>
          <w:szCs w:val="22"/>
        </w:rPr>
        <w:t xml:space="preserve"> </w:t>
      </w:r>
      <w:r>
        <w:rPr>
          <w:i/>
          <w:szCs w:val="22"/>
        </w:rPr>
        <w:t>Notice</w:t>
      </w:r>
      <w:r>
        <w:rPr>
          <w:szCs w:val="22"/>
        </w:rPr>
        <w:t xml:space="preserve"> in the Federal Register.  On </w:t>
      </w:r>
      <w:r w:rsidR="00905E74">
        <w:rPr>
          <w:szCs w:val="22"/>
        </w:rPr>
        <w:t xml:space="preserve">April </w:t>
      </w:r>
      <w:r w:rsidR="00112772">
        <w:rPr>
          <w:szCs w:val="22"/>
        </w:rPr>
        <w:t>2</w:t>
      </w:r>
      <w:r>
        <w:rPr>
          <w:szCs w:val="22"/>
        </w:rPr>
        <w:t>, 201</w:t>
      </w:r>
      <w:r w:rsidR="00905E74">
        <w:rPr>
          <w:szCs w:val="22"/>
        </w:rPr>
        <w:t>4</w:t>
      </w:r>
      <w:r>
        <w:rPr>
          <w:szCs w:val="22"/>
        </w:rPr>
        <w:t xml:space="preserve">, a summary of the </w:t>
      </w:r>
      <w:r w:rsidR="00112772" w:rsidRPr="00112772">
        <w:rPr>
          <w:i/>
          <w:szCs w:val="22"/>
        </w:rPr>
        <w:t>Further</w:t>
      </w:r>
      <w:r w:rsidR="00112772">
        <w:rPr>
          <w:szCs w:val="22"/>
        </w:rPr>
        <w:t xml:space="preserve"> </w:t>
      </w:r>
      <w:r>
        <w:rPr>
          <w:i/>
          <w:szCs w:val="22"/>
        </w:rPr>
        <w:t>Notice</w:t>
      </w:r>
      <w:r>
        <w:rPr>
          <w:szCs w:val="22"/>
        </w:rPr>
        <w:t xml:space="preserve"> appeared in the Federal Register.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Accordingly, </w:t>
      </w:r>
      <w:r>
        <w:rPr>
          <w:b/>
          <w:szCs w:val="22"/>
        </w:rPr>
        <w:t xml:space="preserve">comments are due on or before </w:t>
      </w:r>
      <w:r w:rsidR="00112772">
        <w:rPr>
          <w:b/>
          <w:szCs w:val="22"/>
        </w:rPr>
        <w:t xml:space="preserve">April </w:t>
      </w:r>
      <w:r w:rsidR="00905E74">
        <w:rPr>
          <w:b/>
          <w:szCs w:val="22"/>
        </w:rPr>
        <w:t>16</w:t>
      </w:r>
      <w:r w:rsidR="00112772">
        <w:rPr>
          <w:b/>
          <w:szCs w:val="22"/>
        </w:rPr>
        <w:t>, 201</w:t>
      </w:r>
      <w:r w:rsidR="00905E74">
        <w:rPr>
          <w:b/>
          <w:szCs w:val="22"/>
        </w:rPr>
        <w:t>4</w:t>
      </w:r>
      <w:r>
        <w:rPr>
          <w:b/>
          <w:szCs w:val="22"/>
        </w:rPr>
        <w:t xml:space="preserve">, and reply comments are due on or before April </w:t>
      </w:r>
      <w:r w:rsidR="00112772">
        <w:rPr>
          <w:b/>
          <w:szCs w:val="22"/>
        </w:rPr>
        <w:t>2</w:t>
      </w:r>
      <w:r w:rsidR="00905E74">
        <w:rPr>
          <w:b/>
          <w:szCs w:val="22"/>
        </w:rPr>
        <w:t>3</w:t>
      </w:r>
      <w:r>
        <w:rPr>
          <w:b/>
          <w:szCs w:val="22"/>
        </w:rPr>
        <w:t>, 201</w:t>
      </w:r>
      <w:r w:rsidR="00905E74">
        <w:rPr>
          <w:b/>
          <w:szCs w:val="22"/>
        </w:rPr>
        <w:t>4</w:t>
      </w:r>
      <w:r>
        <w:rPr>
          <w:szCs w:val="22"/>
        </w:rPr>
        <w:t>.</w:t>
      </w:r>
    </w:p>
    <w:p w:rsidR="00EB37BA" w:rsidRPr="007773B1" w:rsidRDefault="00EB37BA" w:rsidP="007773B1">
      <w:pPr>
        <w:ind w:firstLine="720"/>
        <w:rPr>
          <w:szCs w:val="22"/>
        </w:rPr>
      </w:pPr>
      <w:r>
        <w:rPr>
          <w:szCs w:val="22"/>
        </w:rPr>
        <w:t xml:space="preserve">For comment filing requirements, please consult the </w:t>
      </w:r>
      <w:r w:rsidR="00112772" w:rsidRPr="00112772">
        <w:rPr>
          <w:i/>
          <w:szCs w:val="22"/>
        </w:rPr>
        <w:t>Further</w:t>
      </w:r>
      <w:r w:rsidR="00112772">
        <w:rPr>
          <w:szCs w:val="22"/>
        </w:rPr>
        <w:t xml:space="preserve"> </w:t>
      </w:r>
      <w:r>
        <w:rPr>
          <w:i/>
          <w:szCs w:val="22"/>
        </w:rPr>
        <w:t>Notice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For further information regarding this proceeding, contact </w:t>
      </w:r>
      <w:r w:rsidR="00905E74">
        <w:rPr>
          <w:szCs w:val="22"/>
        </w:rPr>
        <w:t>Greg Haledjian</w:t>
      </w:r>
      <w:r>
        <w:rPr>
          <w:szCs w:val="22"/>
        </w:rPr>
        <w:t xml:space="preserve">, </w:t>
      </w:r>
      <w:r w:rsidR="00DD6687">
        <w:rPr>
          <w:szCs w:val="22"/>
        </w:rPr>
        <w:t xml:space="preserve">Pricing Policy Division, </w:t>
      </w:r>
      <w:r>
        <w:rPr>
          <w:szCs w:val="22"/>
        </w:rPr>
        <w:t xml:space="preserve">Wireline Competition Bureau, at </w:t>
      </w:r>
      <w:r w:rsidR="00DD6687">
        <w:rPr>
          <w:szCs w:val="22"/>
        </w:rPr>
        <w:t>(</w:t>
      </w:r>
      <w:r>
        <w:rPr>
          <w:szCs w:val="22"/>
        </w:rPr>
        <w:t>202</w:t>
      </w:r>
      <w:r w:rsidR="00DD6687">
        <w:rPr>
          <w:szCs w:val="22"/>
        </w:rPr>
        <w:t xml:space="preserve">) </w:t>
      </w:r>
      <w:r>
        <w:rPr>
          <w:szCs w:val="22"/>
        </w:rPr>
        <w:t>418-15</w:t>
      </w:r>
      <w:r w:rsidR="00905E74">
        <w:rPr>
          <w:szCs w:val="22"/>
        </w:rPr>
        <w:t>20</w:t>
      </w:r>
      <w:r w:rsidR="00DD6687">
        <w:rPr>
          <w:szCs w:val="22"/>
        </w:rPr>
        <w:t>,</w:t>
      </w:r>
      <w:r w:rsidR="00905E74">
        <w:rPr>
          <w:szCs w:val="22"/>
        </w:rPr>
        <w:t xml:space="preserve"> or gregory.haledjian@fcc.gov</w:t>
      </w:r>
      <w:r>
        <w:rPr>
          <w:szCs w:val="22"/>
        </w:rPr>
        <w:t>.</w:t>
      </w:r>
    </w:p>
    <w:p w:rsidR="00EB37BA" w:rsidRDefault="00EB37BA">
      <w:pPr>
        <w:ind w:firstLine="720"/>
        <w:rPr>
          <w:szCs w:val="22"/>
        </w:rPr>
      </w:pPr>
    </w:p>
    <w:p w:rsidR="00EB37BA" w:rsidRDefault="00EB37BA">
      <w:pPr>
        <w:ind w:firstLine="720"/>
        <w:rPr>
          <w:szCs w:val="22"/>
        </w:rPr>
      </w:pPr>
    </w:p>
    <w:p w:rsidR="00EB37BA" w:rsidRPr="007773B1" w:rsidRDefault="00EB37BA">
      <w:pPr>
        <w:jc w:val="center"/>
        <w:rPr>
          <w:szCs w:val="22"/>
        </w:rPr>
      </w:pPr>
      <w:r>
        <w:rPr>
          <w:b/>
        </w:rPr>
        <w:t>- FCC -</w:t>
      </w:r>
    </w:p>
    <w:sectPr w:rsidR="00EB37BA" w:rsidRPr="007773B1"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DB" w:rsidRDefault="00ED6ADB">
      <w:r>
        <w:separator/>
      </w:r>
    </w:p>
  </w:endnote>
  <w:endnote w:type="continuationSeparator" w:id="0">
    <w:p w:rsidR="00ED6ADB" w:rsidRDefault="00ED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Default="006C6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6CF9" w:rsidRDefault="006C6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Default="006C6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6CF9" w:rsidRDefault="006C6C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Default="006C6CF9">
    <w:pPr>
      <w:pStyle w:val="Footer"/>
      <w:tabs>
        <w:tab w:val="clear" w:pos="8640"/>
        <w:tab w:val="right" w:pos="9360"/>
      </w:tabs>
      <w:rPr>
        <w:b/>
        <w:i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Default="006C6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6CF9" w:rsidRDefault="006C6CF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Default="006C6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6CF9" w:rsidRDefault="006C6CF9">
    <w:pPr>
      <w:pStyle w:val="Footer"/>
      <w:tabs>
        <w:tab w:val="clear" w:pos="8640"/>
        <w:tab w:val="right" w:pos="9360"/>
      </w:tabs>
      <w:rPr>
        <w:b/>
        <w:i/>
        <w:sz w:val="20"/>
      </w:rPr>
    </w:pPr>
    <w:r>
      <w:rPr>
        <w:sz w:val="20"/>
      </w:rPr>
      <w:t xml:space="preserve">DRAFT </w:t>
    </w:r>
    <w:r>
      <w:rPr>
        <w:b/>
        <w:sz w:val="20"/>
        <w:highlight w:val="yellow"/>
      </w:rPr>
      <w:t>[DATE]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i/>
        <w:sz w:val="20"/>
      </w:rPr>
      <w:t>Non-Public Information</w:t>
    </w:r>
  </w:p>
  <w:p w:rsidR="006C6CF9" w:rsidRDefault="006C6CF9">
    <w:pPr>
      <w:pStyle w:val="Footer"/>
      <w:tabs>
        <w:tab w:val="clear" w:pos="8640"/>
        <w:tab w:val="right" w:pos="9360"/>
      </w:tabs>
    </w:pPr>
    <w:r>
      <w:rPr>
        <w:b/>
        <w:i/>
        <w:sz w:val="20"/>
      </w:rPr>
      <w:tab/>
    </w:r>
    <w:r>
      <w:rPr>
        <w:b/>
        <w:i/>
        <w:sz w:val="20"/>
      </w:rPr>
      <w:tab/>
      <w:t>For Internal FCC Use Only</w:t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DB" w:rsidRDefault="00ED6ADB">
      <w:r>
        <w:separator/>
      </w:r>
    </w:p>
  </w:footnote>
  <w:footnote w:type="continuationSeparator" w:id="0">
    <w:p w:rsidR="00ED6ADB" w:rsidRDefault="00ED6ADB">
      <w:r>
        <w:continuationSeparator/>
      </w:r>
    </w:p>
  </w:footnote>
  <w:footnote w:id="1">
    <w:p w:rsidR="006C6CF9" w:rsidRPr="00E717CE" w:rsidRDefault="006C6CF9" w:rsidP="00E717CE">
      <w:pPr>
        <w:pStyle w:val="FootnoteText"/>
        <w:spacing w:before="120" w:after="120"/>
        <w:rPr>
          <w:sz w:val="20"/>
        </w:rPr>
      </w:pPr>
      <w:r w:rsidRPr="00E717CE">
        <w:rPr>
          <w:rStyle w:val="FootnoteReference"/>
          <w:sz w:val="20"/>
        </w:rPr>
        <w:footnoteRef/>
      </w:r>
      <w:r w:rsidRPr="00E717CE">
        <w:rPr>
          <w:sz w:val="20"/>
        </w:rPr>
        <w:t xml:space="preserve"> </w:t>
      </w:r>
      <w:r w:rsidRPr="00E717CE">
        <w:rPr>
          <w:i/>
          <w:sz w:val="20"/>
        </w:rPr>
        <w:t>Federal-State Joint Board on Jurisdictional Separations</w:t>
      </w:r>
      <w:r w:rsidRPr="00E717CE">
        <w:rPr>
          <w:sz w:val="20"/>
        </w:rPr>
        <w:t>, CC Docket No. 80-286, Further Notice of Proposed Rulemaking, FCC 1</w:t>
      </w:r>
      <w:r w:rsidR="00905E74" w:rsidRPr="00E717CE">
        <w:rPr>
          <w:sz w:val="20"/>
        </w:rPr>
        <w:t>4</w:t>
      </w:r>
      <w:r w:rsidRPr="00E717CE">
        <w:rPr>
          <w:sz w:val="20"/>
        </w:rPr>
        <w:t xml:space="preserve">-27 (rel. Mar. </w:t>
      </w:r>
      <w:r w:rsidR="00905E74" w:rsidRPr="00E717CE">
        <w:rPr>
          <w:sz w:val="20"/>
        </w:rPr>
        <w:t>27</w:t>
      </w:r>
      <w:r w:rsidRPr="00E717CE">
        <w:rPr>
          <w:sz w:val="20"/>
        </w:rPr>
        <w:t>, 201</w:t>
      </w:r>
      <w:r w:rsidR="00905E74" w:rsidRPr="00E717CE">
        <w:rPr>
          <w:sz w:val="20"/>
        </w:rPr>
        <w:t>4</w:t>
      </w:r>
      <w:r w:rsidRPr="00E717CE">
        <w:rPr>
          <w:sz w:val="20"/>
        </w:rPr>
        <w:t>) (</w:t>
      </w:r>
      <w:r w:rsidRPr="00E717CE">
        <w:rPr>
          <w:i/>
          <w:sz w:val="20"/>
        </w:rPr>
        <w:t>Further</w:t>
      </w:r>
      <w:r w:rsidRPr="00E717CE">
        <w:rPr>
          <w:sz w:val="20"/>
        </w:rPr>
        <w:t xml:space="preserve"> </w:t>
      </w:r>
      <w:r w:rsidRPr="00E717CE">
        <w:rPr>
          <w:i/>
          <w:sz w:val="20"/>
        </w:rPr>
        <w:t>Notice</w:t>
      </w:r>
      <w:r w:rsidRPr="00E717CE">
        <w:rPr>
          <w:sz w:val="20"/>
        </w:rPr>
        <w:t>).</w:t>
      </w:r>
    </w:p>
  </w:footnote>
  <w:footnote w:id="2">
    <w:p w:rsidR="00077016" w:rsidRPr="00E717CE" w:rsidRDefault="00077016" w:rsidP="00E717CE">
      <w:pPr>
        <w:pStyle w:val="FootnoteText"/>
        <w:spacing w:before="120" w:after="120"/>
        <w:rPr>
          <w:sz w:val="20"/>
        </w:rPr>
      </w:pPr>
      <w:r w:rsidRPr="00E717CE">
        <w:rPr>
          <w:rStyle w:val="FootnoteReference"/>
          <w:sz w:val="20"/>
        </w:rPr>
        <w:footnoteRef/>
      </w:r>
      <w:r w:rsidRPr="00E717CE">
        <w:rPr>
          <w:sz w:val="20"/>
        </w:rPr>
        <w:t xml:space="preserve"> </w:t>
      </w:r>
      <w:r w:rsidRPr="00E717CE">
        <w:rPr>
          <w:i/>
          <w:sz w:val="20"/>
        </w:rPr>
        <w:t>Id</w:t>
      </w:r>
      <w:r w:rsidRPr="00E717CE">
        <w:rPr>
          <w:sz w:val="20"/>
        </w:rPr>
        <w:t>.</w:t>
      </w:r>
    </w:p>
  </w:footnote>
  <w:footnote w:id="3">
    <w:p w:rsidR="006C6CF9" w:rsidRPr="00E717CE" w:rsidRDefault="006C6CF9" w:rsidP="00E717CE">
      <w:pPr>
        <w:pStyle w:val="FootnoteText"/>
        <w:spacing w:before="120" w:after="120"/>
        <w:rPr>
          <w:sz w:val="20"/>
        </w:rPr>
      </w:pPr>
      <w:r w:rsidRPr="00E717CE">
        <w:rPr>
          <w:rStyle w:val="FootnoteReference"/>
          <w:sz w:val="20"/>
        </w:rPr>
        <w:footnoteRef/>
      </w:r>
      <w:r w:rsidRPr="00E717CE">
        <w:rPr>
          <w:sz w:val="20"/>
        </w:rPr>
        <w:t xml:space="preserve"> </w:t>
      </w:r>
      <w:r w:rsidRPr="00E717CE">
        <w:rPr>
          <w:i/>
          <w:sz w:val="20"/>
        </w:rPr>
        <w:t xml:space="preserve">See Jurisdictional Separations and Referral to the Joint Board </w:t>
      </w:r>
      <w:r w:rsidR="009969FD" w:rsidRPr="00E717CE">
        <w:rPr>
          <w:i/>
          <w:sz w:val="20"/>
        </w:rPr>
        <w:t>F</w:t>
      </w:r>
      <w:r w:rsidRPr="00E717CE">
        <w:rPr>
          <w:i/>
          <w:sz w:val="20"/>
        </w:rPr>
        <w:t>NPRM</w:t>
      </w:r>
      <w:r w:rsidRPr="00E717CE">
        <w:rPr>
          <w:sz w:val="20"/>
        </w:rPr>
        <w:t xml:space="preserve">, </w:t>
      </w:r>
      <w:r w:rsidR="00711B40" w:rsidRPr="00E717CE">
        <w:rPr>
          <w:sz w:val="20"/>
        </w:rPr>
        <w:t>79</w:t>
      </w:r>
      <w:r w:rsidR="00AB5C36" w:rsidRPr="00E717CE">
        <w:rPr>
          <w:sz w:val="20"/>
        </w:rPr>
        <w:t xml:space="preserve"> </w:t>
      </w:r>
      <w:r w:rsidRPr="00E717CE">
        <w:rPr>
          <w:sz w:val="20"/>
        </w:rPr>
        <w:t xml:space="preserve">Fed. Reg. </w:t>
      </w:r>
      <w:r w:rsidR="00711B40" w:rsidRPr="00E717CE">
        <w:rPr>
          <w:sz w:val="20"/>
        </w:rPr>
        <w:t>18498</w:t>
      </w:r>
      <w:r w:rsidR="00AB5C36" w:rsidRPr="00E717CE">
        <w:rPr>
          <w:sz w:val="20"/>
        </w:rPr>
        <w:t xml:space="preserve"> </w:t>
      </w:r>
      <w:r w:rsidRPr="00E717CE">
        <w:rPr>
          <w:sz w:val="20"/>
        </w:rPr>
        <w:t>(</w:t>
      </w:r>
      <w:r w:rsidR="00905E74" w:rsidRPr="00E717CE">
        <w:rPr>
          <w:sz w:val="20"/>
        </w:rPr>
        <w:t>Apr</w:t>
      </w:r>
      <w:r w:rsidR="00F42B8E">
        <w:rPr>
          <w:sz w:val="20"/>
        </w:rPr>
        <w:t>.</w:t>
      </w:r>
      <w:r w:rsidR="00905E74" w:rsidRPr="00E717CE">
        <w:rPr>
          <w:sz w:val="20"/>
        </w:rPr>
        <w:t xml:space="preserve"> 2</w:t>
      </w:r>
      <w:r w:rsidRPr="00E717CE">
        <w:rPr>
          <w:sz w:val="20"/>
        </w:rPr>
        <w:t>, 201</w:t>
      </w:r>
      <w:r w:rsidR="00905E74" w:rsidRPr="00E717CE">
        <w:rPr>
          <w:sz w:val="20"/>
        </w:rPr>
        <w:t>4</w:t>
      </w:r>
      <w:r w:rsidRPr="00E717CE">
        <w:rPr>
          <w:sz w:val="20"/>
        </w:rPr>
        <w:t>).</w:t>
      </w:r>
    </w:p>
  </w:footnote>
  <w:footnote w:id="4">
    <w:p w:rsidR="006C6CF9" w:rsidRPr="00E717CE" w:rsidRDefault="006C6CF9" w:rsidP="00E717CE">
      <w:pPr>
        <w:pStyle w:val="FootnoteText"/>
        <w:tabs>
          <w:tab w:val="left" w:pos="3810"/>
        </w:tabs>
        <w:spacing w:before="120" w:after="120"/>
        <w:rPr>
          <w:sz w:val="20"/>
        </w:rPr>
      </w:pPr>
      <w:r w:rsidRPr="00E717CE">
        <w:rPr>
          <w:rStyle w:val="FootnoteReference"/>
          <w:sz w:val="20"/>
        </w:rPr>
        <w:footnoteRef/>
      </w:r>
      <w:r w:rsidRPr="00E717CE">
        <w:rPr>
          <w:sz w:val="20"/>
        </w:rPr>
        <w:t xml:space="preserve"> </w:t>
      </w:r>
      <w:r w:rsidRPr="00E717CE">
        <w:rPr>
          <w:i/>
          <w:sz w:val="20"/>
        </w:rPr>
        <w:t>See Further</w:t>
      </w:r>
      <w:r w:rsidR="000F04AF" w:rsidRPr="00E717CE">
        <w:rPr>
          <w:i/>
          <w:sz w:val="20"/>
        </w:rPr>
        <w:t xml:space="preserve"> </w:t>
      </w:r>
      <w:r w:rsidRPr="00E717CE">
        <w:rPr>
          <w:i/>
          <w:sz w:val="20"/>
        </w:rPr>
        <w:t>Notice</w:t>
      </w:r>
      <w:r w:rsidRPr="00E717CE">
        <w:rPr>
          <w:sz w:val="20"/>
        </w:rPr>
        <w:t>, FCC 1</w:t>
      </w:r>
      <w:r w:rsidR="00711B40" w:rsidRPr="00E717CE">
        <w:rPr>
          <w:sz w:val="20"/>
        </w:rPr>
        <w:t>4</w:t>
      </w:r>
      <w:r w:rsidRPr="00E717CE">
        <w:rPr>
          <w:sz w:val="20"/>
        </w:rPr>
        <w:t>-27 at para. 1</w:t>
      </w:r>
      <w:r w:rsidR="00711B40" w:rsidRPr="00E717CE">
        <w:rPr>
          <w:sz w:val="20"/>
        </w:rPr>
        <w:t>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E0" w:rsidRDefault="009A5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E0" w:rsidRDefault="009A5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Default="009E737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7216" behindDoc="0" locked="0" layoutInCell="0" allowOverlap="1" wp14:anchorId="00FA1A23" wp14:editId="15C9677E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7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A93F7C8" wp14:editId="4995A309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F9" w:rsidRDefault="006C6CF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C6CF9" w:rsidRDefault="006C6CF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C6CF9" w:rsidRDefault="006C6CF9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" o:allowincell="f" stroked="f">
              <v:textbox>
                <w:txbxContent>
                  <w:p w:rsidR="006C6CF9" w:rsidRDefault="006C6CF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C6CF9" w:rsidRDefault="006C6CF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C6CF9" w:rsidRDefault="006C6CF9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6C6CF9">
      <w:rPr>
        <w:rFonts w:ascii="News Gothic MT" w:hAnsi="News Gothic MT"/>
        <w:b/>
        <w:kern w:val="28"/>
        <w:sz w:val="96"/>
      </w:rPr>
      <w:t>PUBLIC NOTICE</w:t>
    </w:r>
  </w:p>
  <w:p w:rsidR="006C6CF9" w:rsidRDefault="009E737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9C7DAB" wp14:editId="6A8DC416">
              <wp:simplePos x="0" y="0"/>
              <wp:positionH relativeFrom="column">
                <wp:posOffset>3366135</wp:posOffset>
              </wp:positionH>
              <wp:positionV relativeFrom="paragraph">
                <wp:posOffset>76200</wp:posOffset>
              </wp:positionV>
              <wp:extent cx="2640965" cy="548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F9" w:rsidRDefault="006C6CF9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C6CF9" w:rsidRDefault="006C6CF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C6CF9" w:rsidRDefault="006C6CF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C6CF9" w:rsidRDefault="006C6CF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65.05pt;margin-top:6pt;width:207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3wgAIAAA4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" stroked="f">
              <v:textbox inset=",0,,0">
                <w:txbxContent>
                  <w:p w:rsidR="006C6CF9" w:rsidRDefault="006C6CF9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C6CF9" w:rsidRDefault="006C6CF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C6CF9" w:rsidRDefault="006C6CF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C6CF9" w:rsidRDefault="006C6CF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BA87E52" wp14:editId="6A02F31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5943600" cy="254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6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jy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" o:allowincell="f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Default="009E737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F9" w:rsidRDefault="006C6CF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C6CF9" w:rsidRDefault="006C6CF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C6CF9" w:rsidRDefault="006C6CF9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7.6pt;margin-top:57.6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wF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" o:allowincell="f" stroked="f">
              <v:textbox>
                <w:txbxContent>
                  <w:p w:rsidR="006C6CF9" w:rsidRDefault="006C6CF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C6CF9" w:rsidRDefault="006C6CF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C6CF9" w:rsidRDefault="006C6CF9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6C6CF9">
      <w:rPr>
        <w:rFonts w:ascii="News Gothic MT" w:hAnsi="News Gothic MT"/>
        <w:b/>
        <w:kern w:val="28"/>
        <w:sz w:val="96"/>
      </w:rPr>
      <w:t>PUBLIC NOTICE</w:t>
    </w:r>
  </w:p>
  <w:p w:rsidR="006C6CF9" w:rsidRDefault="009E737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wl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XA6m8zSFESj4MsnRRQrIeUt11jnP3Pdo2BUWALtiE2OG+cDF1LeQsJV&#10;Sq+FlFFvqdBQ4fkkn8QEp6VgwRnCnN3vamnRkYSJiV8sDDyPYVYfFItgHSdsdbU9EfJiw+VSBTyo&#10;BuhcrctI/Jin89VsNStGRT5djYq0aUaf1nUxmq6zj5PmQ1PXTfYzUMuKshOMcRXY3cYzK/5O/utD&#10;uQzWfUDvbUjeosd+AdnbP5KOcgYFL7Ow0+y8tTeZYSJj8PX1hJF/3IP9+MaXv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P+a3C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F9" w:rsidRDefault="006C6CF9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C6CF9" w:rsidRDefault="006C6CF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6C6CF9" w:rsidRDefault="006C6CF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C6CF9" w:rsidRDefault="006C6CF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336.7pt;margin-top:10.25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" o:allowincell="f" stroked="f">
              <v:textbox inset=",0,,0">
                <w:txbxContent>
                  <w:p w:rsidR="006C6CF9" w:rsidRDefault="006C6CF9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C6CF9" w:rsidRDefault="006C6CF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6C6CF9" w:rsidRDefault="006C6CF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C6CF9" w:rsidRDefault="006C6CF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C6CF9" w:rsidRDefault="006C6CF9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E31E8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8E2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5CF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6F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B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07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A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E2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A60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">
    <w:nsid w:val="3ECA7DF0"/>
    <w:multiLevelType w:val="singleLevel"/>
    <w:tmpl w:val="47CCC0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E225D9"/>
    <w:multiLevelType w:val="hybridMultilevel"/>
    <w:tmpl w:val="6F56B5B2"/>
    <w:lvl w:ilvl="0" w:tplc="D1F2D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0D9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ABEB1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5403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FD201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9824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FD60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AF804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2004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6896454"/>
    <w:multiLevelType w:val="multilevel"/>
    <w:tmpl w:val="53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91286"/>
    <w:multiLevelType w:val="hybridMultilevel"/>
    <w:tmpl w:val="A072DFF6"/>
    <w:lvl w:ilvl="0" w:tplc="D4CE7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1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8D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27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A2A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85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8D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C8F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406EE"/>
    <w:multiLevelType w:val="hybridMultilevel"/>
    <w:tmpl w:val="749E4CE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BA"/>
    <w:rsid w:val="00077016"/>
    <w:rsid w:val="000F04AF"/>
    <w:rsid w:val="00112772"/>
    <w:rsid w:val="001C592B"/>
    <w:rsid w:val="002737F8"/>
    <w:rsid w:val="00341236"/>
    <w:rsid w:val="004A0CC6"/>
    <w:rsid w:val="004B63A7"/>
    <w:rsid w:val="00520775"/>
    <w:rsid w:val="00520EE0"/>
    <w:rsid w:val="0054566C"/>
    <w:rsid w:val="005F68E1"/>
    <w:rsid w:val="00667A70"/>
    <w:rsid w:val="006A29CA"/>
    <w:rsid w:val="006C6CF9"/>
    <w:rsid w:val="006F4654"/>
    <w:rsid w:val="00711B40"/>
    <w:rsid w:val="00737E9E"/>
    <w:rsid w:val="007773B1"/>
    <w:rsid w:val="00840572"/>
    <w:rsid w:val="00894E34"/>
    <w:rsid w:val="008C0544"/>
    <w:rsid w:val="008E76C6"/>
    <w:rsid w:val="00905E74"/>
    <w:rsid w:val="009969FD"/>
    <w:rsid w:val="009A51E0"/>
    <w:rsid w:val="009C4D01"/>
    <w:rsid w:val="009C56ED"/>
    <w:rsid w:val="009E7376"/>
    <w:rsid w:val="00A268CD"/>
    <w:rsid w:val="00A77C38"/>
    <w:rsid w:val="00AA2A8F"/>
    <w:rsid w:val="00AB5C36"/>
    <w:rsid w:val="00B137DC"/>
    <w:rsid w:val="00CF2114"/>
    <w:rsid w:val="00CF3331"/>
    <w:rsid w:val="00D10097"/>
    <w:rsid w:val="00DD6687"/>
    <w:rsid w:val="00DF70C9"/>
    <w:rsid w:val="00E717CE"/>
    <w:rsid w:val="00E973F2"/>
    <w:rsid w:val="00EA2096"/>
    <w:rsid w:val="00EB37BA"/>
    <w:rsid w:val="00EB749D"/>
    <w:rsid w:val="00ED6ADB"/>
    <w:rsid w:val="00F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EE0"/>
    <w:rPr>
      <w:sz w:val="22"/>
    </w:rPr>
  </w:style>
  <w:style w:type="paragraph" w:styleId="Heading1">
    <w:name w:val="heading 1"/>
    <w:basedOn w:val="Normal"/>
    <w:next w:val="Normal"/>
    <w:qFormat/>
    <w:rsid w:val="00520EE0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520EE0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20EE0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20EE0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20EE0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20EE0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20EE0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20EE0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20EE0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520E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0EE0"/>
  </w:style>
  <w:style w:type="paragraph" w:styleId="Header">
    <w:name w:val="header"/>
    <w:basedOn w:val="Normal"/>
    <w:rsid w:val="00520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EE0"/>
    <w:pPr>
      <w:tabs>
        <w:tab w:val="center" w:pos="4320"/>
        <w:tab w:val="right" w:pos="8640"/>
      </w:tabs>
    </w:pPr>
  </w:style>
  <w:style w:type="character" w:styleId="Hyperlink">
    <w:name w:val="Hyperlink"/>
    <w:rsid w:val="00520EE0"/>
    <w:rPr>
      <w:color w:val="0000FF"/>
      <w:u w:val="single"/>
    </w:rPr>
  </w:style>
  <w:style w:type="paragraph" w:styleId="BlockText">
    <w:name w:val="Block Text"/>
    <w:basedOn w:val="Normal"/>
    <w:rsid w:val="00520EE0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520EE0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520EE0"/>
    <w:pPr>
      <w:spacing w:before="120" w:after="120"/>
    </w:pPr>
    <w:rPr>
      <w:b/>
    </w:rPr>
  </w:style>
  <w:style w:type="character" w:styleId="FootnoteReference">
    <w:name w:val="footnote reference"/>
    <w:semiHidden/>
    <w:rsid w:val="00520EE0"/>
    <w:rPr>
      <w:vertAlign w:val="superscript"/>
    </w:rPr>
  </w:style>
  <w:style w:type="paragraph" w:styleId="FootnoteText">
    <w:name w:val="footnote text"/>
    <w:aliases w:val="ALTS FOOTNOTE"/>
    <w:basedOn w:val="Normal"/>
    <w:link w:val="FootnoteTextChar"/>
    <w:semiHidden/>
    <w:rsid w:val="00520EE0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520EE0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520EE0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520EE0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520EE0"/>
    <w:rPr>
      <w:caps/>
    </w:rPr>
  </w:style>
  <w:style w:type="character" w:styleId="FollowedHyperlink">
    <w:name w:val="FollowedHyperlink"/>
    <w:rsid w:val="00520EE0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num" w:pos="360"/>
        <w:tab w:val="center" w:pos="4680"/>
      </w:tabs>
      <w:suppressAutoHyphens/>
      <w:jc w:val="center"/>
    </w:pPr>
    <w:rPr>
      <w:b/>
      <w:snapToGrid w:val="0"/>
      <w:sz w:val="24"/>
    </w:rPr>
  </w:style>
  <w:style w:type="paragraph" w:customStyle="1" w:styleId="ParaNum0">
    <w:name w:val="ParaNum"/>
    <w:basedOn w:val="Normal"/>
    <w:pPr>
      <w:widowControl w:val="0"/>
      <w:spacing w:after="220"/>
      <w:jc w:val="both"/>
    </w:pPr>
    <w:rPr>
      <w:snapToGrid w:val="0"/>
      <w:kern w:val="28"/>
    </w:rPr>
  </w:style>
  <w:style w:type="character" w:customStyle="1" w:styleId="FootnoteTextChar">
    <w:name w:val="Footnote Text Char"/>
    <w:aliases w:val="ALTS FOOTNOTE Char"/>
    <w:link w:val="FootnoteText"/>
    <w:semiHidden/>
    <w:locked/>
    <w:rPr>
      <w:sz w:val="22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EE0"/>
    <w:rPr>
      <w:sz w:val="22"/>
    </w:rPr>
  </w:style>
  <w:style w:type="paragraph" w:styleId="Heading1">
    <w:name w:val="heading 1"/>
    <w:basedOn w:val="Normal"/>
    <w:next w:val="Normal"/>
    <w:qFormat/>
    <w:rsid w:val="00520EE0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520EE0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20EE0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20EE0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20EE0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20EE0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20EE0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20EE0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20EE0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520E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0EE0"/>
  </w:style>
  <w:style w:type="paragraph" w:styleId="Header">
    <w:name w:val="header"/>
    <w:basedOn w:val="Normal"/>
    <w:rsid w:val="00520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EE0"/>
    <w:pPr>
      <w:tabs>
        <w:tab w:val="center" w:pos="4320"/>
        <w:tab w:val="right" w:pos="8640"/>
      </w:tabs>
    </w:pPr>
  </w:style>
  <w:style w:type="character" w:styleId="Hyperlink">
    <w:name w:val="Hyperlink"/>
    <w:rsid w:val="00520EE0"/>
    <w:rPr>
      <w:color w:val="0000FF"/>
      <w:u w:val="single"/>
    </w:rPr>
  </w:style>
  <w:style w:type="paragraph" w:styleId="BlockText">
    <w:name w:val="Block Text"/>
    <w:basedOn w:val="Normal"/>
    <w:rsid w:val="00520EE0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520EE0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520EE0"/>
    <w:pPr>
      <w:spacing w:before="120" w:after="120"/>
    </w:pPr>
    <w:rPr>
      <w:b/>
    </w:rPr>
  </w:style>
  <w:style w:type="character" w:styleId="FootnoteReference">
    <w:name w:val="footnote reference"/>
    <w:semiHidden/>
    <w:rsid w:val="00520EE0"/>
    <w:rPr>
      <w:vertAlign w:val="superscript"/>
    </w:rPr>
  </w:style>
  <w:style w:type="paragraph" w:styleId="FootnoteText">
    <w:name w:val="footnote text"/>
    <w:aliases w:val="ALTS FOOTNOTE"/>
    <w:basedOn w:val="Normal"/>
    <w:link w:val="FootnoteTextChar"/>
    <w:semiHidden/>
    <w:rsid w:val="00520EE0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520EE0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520EE0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520EE0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520EE0"/>
    <w:rPr>
      <w:caps/>
    </w:rPr>
  </w:style>
  <w:style w:type="character" w:styleId="FollowedHyperlink">
    <w:name w:val="FollowedHyperlink"/>
    <w:rsid w:val="00520EE0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num" w:pos="360"/>
        <w:tab w:val="center" w:pos="4680"/>
      </w:tabs>
      <w:suppressAutoHyphens/>
      <w:jc w:val="center"/>
    </w:pPr>
    <w:rPr>
      <w:b/>
      <w:snapToGrid w:val="0"/>
      <w:sz w:val="24"/>
    </w:rPr>
  </w:style>
  <w:style w:type="paragraph" w:customStyle="1" w:styleId="ParaNum0">
    <w:name w:val="ParaNum"/>
    <w:basedOn w:val="Normal"/>
    <w:pPr>
      <w:widowControl w:val="0"/>
      <w:spacing w:after="220"/>
      <w:jc w:val="both"/>
    </w:pPr>
    <w:rPr>
      <w:snapToGrid w:val="0"/>
      <w:kern w:val="28"/>
    </w:rPr>
  </w:style>
  <w:style w:type="character" w:customStyle="1" w:styleId="FootnoteTextChar">
    <w:name w:val="Footnote Text Char"/>
    <w:aliases w:val="ALTS FOOTNOTE Char"/>
    <w:link w:val="FootnoteText"/>
    <w:semiHidden/>
    <w:locked/>
    <w:rPr>
      <w:sz w:val="22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221</Words>
  <Characters>1239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2010-04-08T17:04:00Z</cp:lastPrinted>
  <dcterms:created xsi:type="dcterms:W3CDTF">2014-04-10T20:19:00Z</dcterms:created>
  <dcterms:modified xsi:type="dcterms:W3CDTF">2014-04-10T20:19:00Z</dcterms:modified>
  <cp:category> </cp:category>
  <cp:contentStatus> </cp:contentStatus>
</cp:coreProperties>
</file>