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99F53" w14:textId="06265BBA" w:rsidR="00DB36BF" w:rsidRPr="008D0427" w:rsidRDefault="00DA5514" w:rsidP="00927296">
      <w:pPr>
        <w:tabs>
          <w:tab w:val="left" w:pos="1530"/>
        </w:tabs>
        <w:jc w:val="center"/>
        <w:rPr>
          <w:b/>
        </w:rPr>
      </w:pPr>
      <w:bookmarkStart w:id="0" w:name="_GoBack"/>
      <w:bookmarkEnd w:id="0"/>
      <w:r w:rsidRPr="008D0427">
        <w:rPr>
          <w:b/>
        </w:rPr>
        <w:t>Before the</w:t>
      </w:r>
    </w:p>
    <w:p w14:paraId="160227E5" w14:textId="77777777" w:rsidR="00DB36BF" w:rsidRPr="008D0427" w:rsidRDefault="00DA5514" w:rsidP="00DB36BF">
      <w:pPr>
        <w:pStyle w:val="StyleBoldCentered"/>
        <w:rPr>
          <w:rFonts w:ascii="Times New Roman" w:hAnsi="Times New Roman"/>
        </w:rPr>
      </w:pPr>
      <w:r w:rsidRPr="008D0427">
        <w:rPr>
          <w:rFonts w:ascii="Times New Roman" w:hAnsi="Times New Roman"/>
        </w:rPr>
        <w:t>F</w:t>
      </w:r>
      <w:r w:rsidRPr="008D0427">
        <w:rPr>
          <w:rFonts w:ascii="Times New Roman" w:hAnsi="Times New Roman"/>
          <w:caps w:val="0"/>
        </w:rPr>
        <w:t>ederal Communications Commission</w:t>
      </w:r>
    </w:p>
    <w:p w14:paraId="6BC12FAA" w14:textId="77777777" w:rsidR="00DB36BF" w:rsidRPr="008D0427" w:rsidRDefault="005F6570" w:rsidP="00DB36BF">
      <w:pPr>
        <w:pStyle w:val="StyleBoldCentered"/>
        <w:rPr>
          <w:rFonts w:ascii="Times New Roman" w:hAnsi="Times New Roman"/>
        </w:rPr>
      </w:pPr>
      <w:r w:rsidRPr="008D0427">
        <w:rPr>
          <w:rFonts w:ascii="Times New Roman" w:hAnsi="Times New Roman"/>
          <w:caps w:val="0"/>
        </w:rPr>
        <w:t>Washington</w:t>
      </w:r>
      <w:r w:rsidR="00DA5514" w:rsidRPr="008D0427">
        <w:rPr>
          <w:rFonts w:ascii="Times New Roman" w:hAnsi="Times New Roman"/>
        </w:rPr>
        <w:t>, D.C. 20554</w:t>
      </w:r>
    </w:p>
    <w:p w14:paraId="6D4E84CA" w14:textId="77777777" w:rsidR="00DB36BF" w:rsidRPr="008D0427" w:rsidRDefault="00DB36BF" w:rsidP="00DB36BF"/>
    <w:p w14:paraId="78493948" w14:textId="77777777" w:rsidR="00DB36BF" w:rsidRPr="008D0427" w:rsidRDefault="00DB36BF" w:rsidP="00DB36BF"/>
    <w:tbl>
      <w:tblPr>
        <w:tblW w:w="0" w:type="auto"/>
        <w:tblLayout w:type="fixed"/>
        <w:tblLook w:val="0000" w:firstRow="0" w:lastRow="0" w:firstColumn="0" w:lastColumn="0" w:noHBand="0" w:noVBand="0"/>
      </w:tblPr>
      <w:tblGrid>
        <w:gridCol w:w="4698"/>
        <w:gridCol w:w="630"/>
        <w:gridCol w:w="4248"/>
      </w:tblGrid>
      <w:tr w:rsidR="00DB36BF" w:rsidRPr="008D0427" w14:paraId="626E071B" w14:textId="77777777">
        <w:tc>
          <w:tcPr>
            <w:tcW w:w="4698" w:type="dxa"/>
          </w:tcPr>
          <w:p w14:paraId="2C2781C2" w14:textId="77777777" w:rsidR="00DB36BF" w:rsidRPr="008D0427" w:rsidRDefault="00DA5514">
            <w:pPr>
              <w:tabs>
                <w:tab w:val="center" w:pos="4680"/>
              </w:tabs>
              <w:suppressAutoHyphens/>
              <w:rPr>
                <w:spacing w:val="-2"/>
              </w:rPr>
            </w:pPr>
            <w:r w:rsidRPr="008D0427">
              <w:rPr>
                <w:spacing w:val="-2"/>
              </w:rPr>
              <w:t>In the Matter of</w:t>
            </w:r>
          </w:p>
          <w:p w14:paraId="02A9BA09" w14:textId="77777777" w:rsidR="00DB36BF" w:rsidRPr="008D0427" w:rsidRDefault="00DB36BF">
            <w:pPr>
              <w:tabs>
                <w:tab w:val="center" w:pos="4680"/>
              </w:tabs>
              <w:suppressAutoHyphens/>
              <w:rPr>
                <w:spacing w:val="-2"/>
              </w:rPr>
            </w:pPr>
          </w:p>
          <w:p w14:paraId="75421C3C" w14:textId="77777777" w:rsidR="00DB36BF" w:rsidRPr="008D0427" w:rsidRDefault="008C1E66" w:rsidP="00DB36BF">
            <w:pPr>
              <w:tabs>
                <w:tab w:val="center" w:pos="4680"/>
              </w:tabs>
              <w:suppressAutoHyphens/>
              <w:rPr>
                <w:spacing w:val="-2"/>
              </w:rPr>
            </w:pPr>
            <w:r w:rsidRPr="008D0427">
              <w:rPr>
                <w:spacing w:val="-2"/>
              </w:rPr>
              <w:t>Amendment of Parts 1, 2, 22, 24, 27, 90 and 95 of the Commission’s Rules to Improve Wireless Coverage Through the Use of Signal Boosters</w:t>
            </w:r>
          </w:p>
          <w:p w14:paraId="04422881" w14:textId="77777777" w:rsidR="007E1809" w:rsidRPr="008D0427" w:rsidRDefault="007E1809" w:rsidP="00DB36BF">
            <w:pPr>
              <w:tabs>
                <w:tab w:val="center" w:pos="4680"/>
              </w:tabs>
              <w:suppressAutoHyphens/>
              <w:rPr>
                <w:spacing w:val="-2"/>
              </w:rPr>
            </w:pPr>
          </w:p>
          <w:p w14:paraId="4452947B" w14:textId="66983395" w:rsidR="007E1809" w:rsidRPr="008D0427" w:rsidRDefault="007E1809" w:rsidP="00DB36BF">
            <w:pPr>
              <w:tabs>
                <w:tab w:val="center" w:pos="4680"/>
              </w:tabs>
              <w:suppressAutoHyphens/>
              <w:rPr>
                <w:spacing w:val="-2"/>
              </w:rPr>
            </w:pPr>
            <w:r w:rsidRPr="008D0427">
              <w:rPr>
                <w:spacing w:val="-2"/>
              </w:rPr>
              <w:t>Wireless Telecommunications Bureau Seeks Comment on ClearRF Request for Determination of Equivalent Protection</w:t>
            </w:r>
          </w:p>
        </w:tc>
        <w:tc>
          <w:tcPr>
            <w:tcW w:w="630" w:type="dxa"/>
          </w:tcPr>
          <w:p w14:paraId="2F1708C8" w14:textId="77777777" w:rsidR="00DB36BF" w:rsidRPr="008D0427" w:rsidRDefault="00DA5514">
            <w:pPr>
              <w:tabs>
                <w:tab w:val="center" w:pos="4680"/>
              </w:tabs>
              <w:suppressAutoHyphens/>
              <w:rPr>
                <w:b/>
                <w:spacing w:val="-2"/>
              </w:rPr>
            </w:pPr>
            <w:r w:rsidRPr="008D0427">
              <w:rPr>
                <w:b/>
                <w:spacing w:val="-2"/>
              </w:rPr>
              <w:t>)</w:t>
            </w:r>
          </w:p>
          <w:p w14:paraId="21B89FD3" w14:textId="77777777" w:rsidR="00DB36BF" w:rsidRPr="008D0427" w:rsidRDefault="00DA5514">
            <w:pPr>
              <w:tabs>
                <w:tab w:val="center" w:pos="4680"/>
              </w:tabs>
              <w:suppressAutoHyphens/>
              <w:rPr>
                <w:b/>
                <w:spacing w:val="-2"/>
              </w:rPr>
            </w:pPr>
            <w:r w:rsidRPr="008D0427">
              <w:rPr>
                <w:b/>
                <w:spacing w:val="-2"/>
              </w:rPr>
              <w:t>)</w:t>
            </w:r>
          </w:p>
          <w:p w14:paraId="42D819D9" w14:textId="77777777" w:rsidR="00DB36BF" w:rsidRPr="008D0427" w:rsidRDefault="00DA5514">
            <w:pPr>
              <w:tabs>
                <w:tab w:val="center" w:pos="4680"/>
              </w:tabs>
              <w:suppressAutoHyphens/>
              <w:rPr>
                <w:b/>
                <w:spacing w:val="-2"/>
              </w:rPr>
            </w:pPr>
            <w:r w:rsidRPr="008D0427">
              <w:rPr>
                <w:b/>
                <w:spacing w:val="-2"/>
              </w:rPr>
              <w:t>)</w:t>
            </w:r>
          </w:p>
          <w:p w14:paraId="77647C82" w14:textId="77777777" w:rsidR="00DB36BF" w:rsidRPr="008D0427" w:rsidRDefault="00DA5514">
            <w:pPr>
              <w:tabs>
                <w:tab w:val="center" w:pos="4680"/>
              </w:tabs>
              <w:suppressAutoHyphens/>
              <w:rPr>
                <w:b/>
                <w:spacing w:val="-2"/>
              </w:rPr>
            </w:pPr>
            <w:r w:rsidRPr="008D0427">
              <w:rPr>
                <w:b/>
                <w:spacing w:val="-2"/>
              </w:rPr>
              <w:t>)</w:t>
            </w:r>
          </w:p>
          <w:p w14:paraId="65098FE5" w14:textId="77777777" w:rsidR="00DB36BF" w:rsidRPr="008D0427" w:rsidRDefault="00DA5514">
            <w:pPr>
              <w:tabs>
                <w:tab w:val="center" w:pos="4680"/>
              </w:tabs>
              <w:suppressAutoHyphens/>
              <w:rPr>
                <w:b/>
                <w:spacing w:val="-2"/>
              </w:rPr>
            </w:pPr>
            <w:r w:rsidRPr="008D0427">
              <w:rPr>
                <w:b/>
                <w:spacing w:val="-2"/>
              </w:rPr>
              <w:t>)</w:t>
            </w:r>
          </w:p>
          <w:p w14:paraId="241AEE3D" w14:textId="38326C48" w:rsidR="007E1809" w:rsidRPr="008D0427" w:rsidRDefault="007E1809">
            <w:pPr>
              <w:tabs>
                <w:tab w:val="center" w:pos="4680"/>
              </w:tabs>
              <w:suppressAutoHyphens/>
              <w:rPr>
                <w:b/>
                <w:spacing w:val="-2"/>
              </w:rPr>
            </w:pPr>
            <w:r w:rsidRPr="008D0427">
              <w:rPr>
                <w:b/>
                <w:spacing w:val="-2"/>
              </w:rPr>
              <w:t>)</w:t>
            </w:r>
          </w:p>
          <w:p w14:paraId="3AE22A05" w14:textId="29D439DB" w:rsidR="00DB36BF" w:rsidRPr="008D0427" w:rsidRDefault="007E1809">
            <w:pPr>
              <w:tabs>
                <w:tab w:val="center" w:pos="4680"/>
              </w:tabs>
              <w:suppressAutoHyphens/>
              <w:rPr>
                <w:b/>
                <w:spacing w:val="-2"/>
              </w:rPr>
            </w:pPr>
            <w:r w:rsidRPr="008D0427">
              <w:rPr>
                <w:b/>
                <w:spacing w:val="-2"/>
              </w:rPr>
              <w:t xml:space="preserve">)   </w:t>
            </w:r>
          </w:p>
          <w:p w14:paraId="45DD2BA2" w14:textId="03B07CFA" w:rsidR="007E1809" w:rsidRPr="008D0427" w:rsidRDefault="007E1809">
            <w:pPr>
              <w:tabs>
                <w:tab w:val="center" w:pos="4680"/>
              </w:tabs>
              <w:suppressAutoHyphens/>
              <w:rPr>
                <w:b/>
                <w:spacing w:val="-2"/>
              </w:rPr>
            </w:pPr>
            <w:r w:rsidRPr="008D0427">
              <w:rPr>
                <w:b/>
                <w:spacing w:val="-2"/>
              </w:rPr>
              <w:t xml:space="preserve">)          </w:t>
            </w:r>
          </w:p>
          <w:p w14:paraId="30457BEE" w14:textId="77777777" w:rsidR="007E1809" w:rsidRPr="008D0427" w:rsidRDefault="007E1809">
            <w:pPr>
              <w:tabs>
                <w:tab w:val="center" w:pos="4680"/>
              </w:tabs>
              <w:suppressAutoHyphens/>
              <w:rPr>
                <w:b/>
                <w:spacing w:val="-2"/>
              </w:rPr>
            </w:pPr>
            <w:r w:rsidRPr="008D0427">
              <w:rPr>
                <w:b/>
                <w:spacing w:val="-2"/>
              </w:rPr>
              <w:t>)</w:t>
            </w:r>
          </w:p>
          <w:p w14:paraId="1172D5E4" w14:textId="77777777" w:rsidR="00DB36BF" w:rsidRPr="008D0427" w:rsidRDefault="00DB36BF" w:rsidP="00D220E7">
            <w:pPr>
              <w:tabs>
                <w:tab w:val="center" w:pos="4680"/>
              </w:tabs>
              <w:suppressAutoHyphens/>
              <w:rPr>
                <w:spacing w:val="-2"/>
              </w:rPr>
            </w:pPr>
          </w:p>
        </w:tc>
        <w:tc>
          <w:tcPr>
            <w:tcW w:w="4248" w:type="dxa"/>
          </w:tcPr>
          <w:p w14:paraId="7D8437A8" w14:textId="77777777" w:rsidR="00DB36BF" w:rsidRPr="008D0427" w:rsidRDefault="00DB36BF">
            <w:pPr>
              <w:tabs>
                <w:tab w:val="center" w:pos="4680"/>
              </w:tabs>
              <w:suppressAutoHyphens/>
              <w:rPr>
                <w:spacing w:val="-2"/>
              </w:rPr>
            </w:pPr>
          </w:p>
          <w:p w14:paraId="54583233" w14:textId="77777777" w:rsidR="00DB36BF" w:rsidRPr="008D0427" w:rsidRDefault="00DB36BF">
            <w:pPr>
              <w:pStyle w:val="TOAHeading"/>
              <w:tabs>
                <w:tab w:val="clear" w:pos="9360"/>
                <w:tab w:val="center" w:pos="4680"/>
              </w:tabs>
              <w:rPr>
                <w:spacing w:val="-2"/>
              </w:rPr>
            </w:pPr>
          </w:p>
          <w:p w14:paraId="568AA644" w14:textId="77777777" w:rsidR="00DB36BF" w:rsidRPr="008D0427" w:rsidRDefault="008C1E66">
            <w:pPr>
              <w:tabs>
                <w:tab w:val="center" w:pos="4680"/>
              </w:tabs>
              <w:suppressAutoHyphens/>
              <w:rPr>
                <w:spacing w:val="-2"/>
              </w:rPr>
            </w:pPr>
            <w:r w:rsidRPr="008D0427">
              <w:rPr>
                <w:spacing w:val="-2"/>
              </w:rPr>
              <w:t>WT Docket No. 10-4</w:t>
            </w:r>
          </w:p>
          <w:p w14:paraId="5D5A78E8" w14:textId="77777777" w:rsidR="007E1809" w:rsidRPr="008D0427" w:rsidRDefault="007E1809">
            <w:pPr>
              <w:tabs>
                <w:tab w:val="center" w:pos="4680"/>
              </w:tabs>
              <w:suppressAutoHyphens/>
              <w:rPr>
                <w:spacing w:val="-2"/>
              </w:rPr>
            </w:pPr>
          </w:p>
          <w:p w14:paraId="72DD3C1D" w14:textId="77777777" w:rsidR="007E1809" w:rsidRPr="008D0427" w:rsidRDefault="007E1809">
            <w:pPr>
              <w:tabs>
                <w:tab w:val="center" w:pos="4680"/>
              </w:tabs>
              <w:suppressAutoHyphens/>
              <w:rPr>
                <w:spacing w:val="-2"/>
              </w:rPr>
            </w:pPr>
          </w:p>
          <w:p w14:paraId="2C580A97" w14:textId="77777777" w:rsidR="007E1809" w:rsidRPr="008D0427" w:rsidRDefault="007E1809">
            <w:pPr>
              <w:tabs>
                <w:tab w:val="center" w:pos="4680"/>
              </w:tabs>
              <w:suppressAutoHyphens/>
              <w:rPr>
                <w:spacing w:val="-2"/>
              </w:rPr>
            </w:pPr>
          </w:p>
          <w:p w14:paraId="2B8D2FC3" w14:textId="0873E1EC" w:rsidR="00DB36BF" w:rsidRPr="008D0427" w:rsidRDefault="007E1809">
            <w:pPr>
              <w:tabs>
                <w:tab w:val="center" w:pos="4680"/>
              </w:tabs>
              <w:suppressAutoHyphens/>
              <w:rPr>
                <w:spacing w:val="-2"/>
              </w:rPr>
            </w:pPr>
            <w:r w:rsidRPr="008D0427">
              <w:rPr>
                <w:spacing w:val="-2"/>
              </w:rPr>
              <w:t>DA 14-</w:t>
            </w:r>
            <w:r w:rsidR="003E293D" w:rsidRPr="008D0427">
              <w:rPr>
                <w:spacing w:val="-2"/>
              </w:rPr>
              <w:t>304</w:t>
            </w:r>
          </w:p>
        </w:tc>
      </w:tr>
    </w:tbl>
    <w:p w14:paraId="32BAD51A" w14:textId="6A72DADA" w:rsidR="00DB36BF" w:rsidRPr="008D0427" w:rsidRDefault="00DA5514" w:rsidP="007B7453">
      <w:pPr>
        <w:pStyle w:val="StyleBoldCentered"/>
        <w:rPr>
          <w:rFonts w:ascii="Times New Roman" w:hAnsi="Times New Roman"/>
        </w:rPr>
      </w:pPr>
      <w:r w:rsidRPr="008D0427">
        <w:rPr>
          <w:rFonts w:ascii="Times New Roman" w:hAnsi="Times New Roman"/>
        </w:rPr>
        <w:t>ORDER</w:t>
      </w:r>
    </w:p>
    <w:p w14:paraId="448E1545" w14:textId="77777777" w:rsidR="00DB36BF" w:rsidRPr="008D0427" w:rsidRDefault="00DB36BF">
      <w:pPr>
        <w:tabs>
          <w:tab w:val="left" w:pos="-720"/>
        </w:tabs>
        <w:suppressAutoHyphens/>
        <w:spacing w:line="227" w:lineRule="auto"/>
        <w:rPr>
          <w:spacing w:val="-2"/>
        </w:rPr>
      </w:pPr>
    </w:p>
    <w:p w14:paraId="19D2D534" w14:textId="72F57F6D" w:rsidR="00DB36BF" w:rsidRPr="009C1C7D" w:rsidRDefault="00223849" w:rsidP="009C1C7D">
      <w:pPr>
        <w:tabs>
          <w:tab w:val="right" w:pos="9360"/>
        </w:tabs>
        <w:suppressAutoHyphens/>
        <w:spacing w:line="227" w:lineRule="auto"/>
        <w:rPr>
          <w:b/>
          <w:spacing w:val="-2"/>
        </w:rPr>
      </w:pPr>
      <w:r w:rsidRPr="00491F11">
        <w:rPr>
          <w:b/>
          <w:spacing w:val="-2"/>
        </w:rPr>
        <w:t xml:space="preserve">Adopted:  </w:t>
      </w:r>
      <w:r w:rsidRPr="009C1C7D">
        <w:rPr>
          <w:b/>
          <w:spacing w:val="-2"/>
        </w:rPr>
        <w:t>April 16, 2014</w:t>
      </w:r>
      <w:r w:rsidR="00491F11">
        <w:rPr>
          <w:b/>
          <w:spacing w:val="-2"/>
        </w:rPr>
        <w:tab/>
      </w:r>
      <w:r w:rsidR="00DA5514" w:rsidRPr="00491F11">
        <w:rPr>
          <w:b/>
          <w:spacing w:val="-2"/>
        </w:rPr>
        <w:t xml:space="preserve">Released:  </w:t>
      </w:r>
      <w:r w:rsidRPr="009C1C7D">
        <w:rPr>
          <w:b/>
          <w:spacing w:val="-2"/>
        </w:rPr>
        <w:t>April 16, 2014</w:t>
      </w:r>
    </w:p>
    <w:p w14:paraId="4849FD43" w14:textId="77777777" w:rsidR="00DB36BF" w:rsidRPr="008D0427" w:rsidRDefault="00DB36BF"/>
    <w:p w14:paraId="5985D738" w14:textId="4C387DEE" w:rsidR="00DB36BF" w:rsidRPr="008D0427" w:rsidRDefault="00DA5514">
      <w:pPr>
        <w:rPr>
          <w:spacing w:val="-2"/>
        </w:rPr>
      </w:pPr>
      <w:r w:rsidRPr="008D0427">
        <w:t xml:space="preserve">By the </w:t>
      </w:r>
      <w:r w:rsidR="00D220E7">
        <w:t xml:space="preserve">Chief, </w:t>
      </w:r>
      <w:r w:rsidR="00D220E7" w:rsidRPr="008D0427">
        <w:rPr>
          <w:spacing w:val="-2"/>
        </w:rPr>
        <w:t>Mobility Division</w:t>
      </w:r>
      <w:r w:rsidR="00D220E7">
        <w:rPr>
          <w:spacing w:val="-2"/>
        </w:rPr>
        <w:t>,</w:t>
      </w:r>
      <w:r w:rsidR="00D220E7" w:rsidRPr="008D0427">
        <w:rPr>
          <w:spacing w:val="-2"/>
        </w:rPr>
        <w:t xml:space="preserve"> </w:t>
      </w:r>
      <w:r w:rsidR="007E1809" w:rsidRPr="008D0427">
        <w:rPr>
          <w:spacing w:val="-2"/>
        </w:rPr>
        <w:t>Wireless Telecommunications Bureau</w:t>
      </w:r>
      <w:r w:rsidRPr="008D0427">
        <w:rPr>
          <w:spacing w:val="-2"/>
        </w:rPr>
        <w:t>:</w:t>
      </w:r>
    </w:p>
    <w:p w14:paraId="7E9E5E0D" w14:textId="77777777" w:rsidR="00DB36BF" w:rsidRPr="008D0427" w:rsidRDefault="00DB36BF" w:rsidP="00DB36BF"/>
    <w:p w14:paraId="1C8B0958" w14:textId="32E9FA9D" w:rsidR="00DB36BF" w:rsidRPr="008D0427" w:rsidRDefault="00DB106B" w:rsidP="00DB36BF">
      <w:pPr>
        <w:pStyle w:val="ParaNum"/>
      </w:pPr>
      <w:r w:rsidRPr="008D0427">
        <w:t>In this</w:t>
      </w:r>
      <w:r w:rsidR="008C1E66" w:rsidRPr="008D0427">
        <w:t xml:space="preserve"> </w:t>
      </w:r>
      <w:r w:rsidR="008C1E66" w:rsidRPr="008D0427">
        <w:rPr>
          <w:i/>
        </w:rPr>
        <w:t>Order,</w:t>
      </w:r>
      <w:r w:rsidR="008C1E66" w:rsidRPr="008D0427">
        <w:t xml:space="preserve"> we address </w:t>
      </w:r>
      <w:r w:rsidR="003D238A" w:rsidRPr="008D0427">
        <w:t xml:space="preserve">a request for determination of “equivalent protection” from ClearRF, pursuant to Section 20.21(e)(10) of the Commission’s signal booster rules.  As discussed below, we deny the request </w:t>
      </w:r>
      <w:r w:rsidR="00494BA6" w:rsidRPr="008D0427">
        <w:t>because it fails</w:t>
      </w:r>
      <w:r w:rsidR="003D238A" w:rsidRPr="008D0427">
        <w:t xml:space="preserve"> to sufficiently demonstrate that ClearRF’s </w:t>
      </w:r>
      <w:r w:rsidR="00044B05" w:rsidRPr="008D0427">
        <w:t xml:space="preserve">signal booster </w:t>
      </w:r>
      <w:r w:rsidR="00494BA6" w:rsidRPr="008D0427">
        <w:t xml:space="preserve">(Model Number WRE2710) </w:t>
      </w:r>
      <w:r w:rsidR="00044B05" w:rsidRPr="008D0427">
        <w:t xml:space="preserve">provides equivalent protection </w:t>
      </w:r>
      <w:r w:rsidR="00494BA6" w:rsidRPr="008D0427">
        <w:t>to</w:t>
      </w:r>
      <w:r w:rsidR="00044B05" w:rsidRPr="008D0427">
        <w:t xml:space="preserve"> the </w:t>
      </w:r>
      <w:r w:rsidR="00F26E4F" w:rsidRPr="008D0427">
        <w:t>Network Protection Standard (NPS) found in our rules</w:t>
      </w:r>
      <w:r w:rsidR="008B5BD5" w:rsidRPr="008D0427">
        <w:t>.</w:t>
      </w:r>
    </w:p>
    <w:p w14:paraId="1CF228BF" w14:textId="77777777" w:rsidR="00DB36BF" w:rsidRPr="008D0427" w:rsidRDefault="00DA5514" w:rsidP="00491F11">
      <w:pPr>
        <w:pStyle w:val="Heading1"/>
      </w:pPr>
      <w:r w:rsidRPr="008D0427">
        <w:t>background</w:t>
      </w:r>
    </w:p>
    <w:p w14:paraId="432FD42B" w14:textId="0E14696C" w:rsidR="000C21C8" w:rsidRPr="008D0427" w:rsidRDefault="000C21C8" w:rsidP="00C84972">
      <w:pPr>
        <w:pStyle w:val="ParaNum"/>
      </w:pPr>
      <w:r w:rsidRPr="008D0427">
        <w:t>The Commission’s signal booster rules created a new regulatory framework to allow consumers to realize the benefits of using signal boosters while preventing, controlling, and, if necessary, resolving interference to wireless networks.</w:t>
      </w:r>
      <w:r w:rsidRPr="008D0427">
        <w:rPr>
          <w:vertAlign w:val="superscript"/>
        </w:rPr>
        <w:footnoteReference w:id="2"/>
      </w:r>
      <w:r w:rsidRPr="008D0427">
        <w:t xml:space="preserve">  An integral part of this new framework was the adoption of </w:t>
      </w:r>
      <w:r w:rsidR="00B7221C">
        <w:t>the</w:t>
      </w:r>
      <w:r w:rsidRPr="008D0427">
        <w:t xml:space="preserve"> NPS</w:t>
      </w:r>
      <w:r w:rsidR="001A5B6B" w:rsidRPr="008D0427">
        <w:rPr>
          <w:vertAlign w:val="superscript"/>
        </w:rPr>
        <w:footnoteReference w:id="3"/>
      </w:r>
      <w:r w:rsidRPr="008D0427">
        <w:t xml:space="preserve"> </w:t>
      </w:r>
      <w:r w:rsidR="001A5B6B" w:rsidRPr="008D0427">
        <w:t xml:space="preserve">for Consumer Signal Boosters </w:t>
      </w:r>
      <w:r w:rsidRPr="008D0427">
        <w:t>and</w:t>
      </w:r>
      <w:r w:rsidR="0009725F" w:rsidRPr="008D0427">
        <w:t xml:space="preserve"> two</w:t>
      </w:r>
      <w:r w:rsidRPr="008D0427">
        <w:t xml:space="preserve"> detailed technical specifications</w:t>
      </w:r>
      <w:r w:rsidR="001A5B6B" w:rsidRPr="008D0427">
        <w:t xml:space="preserve"> designed to meet the NPS and protect wireless network</w:t>
      </w:r>
      <w:r w:rsidR="00C36BE5" w:rsidRPr="008D0427">
        <w:t>s</w:t>
      </w:r>
      <w:r w:rsidR="001A5B6B" w:rsidRPr="008D0427">
        <w:t xml:space="preserve"> from harmful interference</w:t>
      </w:r>
      <w:r w:rsidRPr="008D0427">
        <w:t>.</w:t>
      </w:r>
      <w:r w:rsidR="001A5B6B" w:rsidRPr="008B5BD5">
        <w:rPr>
          <w:rStyle w:val="FootnoteReference"/>
        </w:rPr>
        <w:footnoteReference w:id="4"/>
      </w:r>
      <w:r w:rsidR="001A5B6B" w:rsidRPr="008D0427">
        <w:t xml:space="preserve">  In order to promote future innovation in signal booster design, however, the Commission stated that any Consumer Signal Booster manufacturer which could not meet the technical parameters in Sections 20.21(e)(1)-</w:t>
      </w:r>
      <w:r w:rsidR="00C36BE5" w:rsidRPr="008D0427">
        <w:t>(e)</w:t>
      </w:r>
      <w:r w:rsidR="001A5B6B" w:rsidRPr="008D0427">
        <w:t xml:space="preserve">(9) of its rules could still satisfy the </w:t>
      </w:r>
      <w:r w:rsidR="000F6139" w:rsidRPr="008D0427">
        <w:t>NPS</w:t>
      </w:r>
      <w:r w:rsidR="001A5B6B" w:rsidRPr="008D0427">
        <w:t xml:space="preserve"> if the manufacturer could demonstrate that the booster provided equivalent protections.</w:t>
      </w:r>
      <w:r w:rsidR="001A5B6B" w:rsidRPr="008D0427">
        <w:rPr>
          <w:vertAlign w:val="superscript"/>
        </w:rPr>
        <w:footnoteReference w:id="5"/>
      </w:r>
      <w:r w:rsidR="001A5B6B" w:rsidRPr="008D0427">
        <w:t xml:space="preserve"> </w:t>
      </w:r>
    </w:p>
    <w:p w14:paraId="3C75DE6E" w14:textId="60674A90" w:rsidR="00C84972" w:rsidRPr="008D0427" w:rsidRDefault="00C84972" w:rsidP="00C84972">
      <w:pPr>
        <w:pStyle w:val="ParaNum"/>
      </w:pPr>
      <w:r w:rsidRPr="008D0427">
        <w:t xml:space="preserve">On February 26, 2014, ClearRF filed a request </w:t>
      </w:r>
      <w:r w:rsidR="00F26E4F" w:rsidRPr="008D0427">
        <w:t xml:space="preserve">for determination of “equivalent protection” </w:t>
      </w:r>
      <w:r w:rsidRPr="008D0427">
        <w:t>with the Wireless Teleco</w:t>
      </w:r>
      <w:r w:rsidR="00C36BE5" w:rsidRPr="008D0427">
        <w:t xml:space="preserve">mmunications Bureau </w:t>
      </w:r>
      <w:r w:rsidRPr="008D0427">
        <w:t>pursuant to Section 20.21(e)(10) of the Commission’s rules</w:t>
      </w:r>
      <w:r w:rsidR="00D7504D" w:rsidRPr="008D0427">
        <w:t xml:space="preserve"> (ClearRF Request</w:t>
      </w:r>
      <w:r w:rsidR="00F16906" w:rsidRPr="008D0427">
        <w:t xml:space="preserve"> or Request</w:t>
      </w:r>
      <w:r w:rsidR="00D7504D" w:rsidRPr="008D0427">
        <w:t>)</w:t>
      </w:r>
      <w:r w:rsidRPr="008D0427">
        <w:t>.</w:t>
      </w:r>
      <w:r w:rsidRPr="008B5BD5">
        <w:rPr>
          <w:rStyle w:val="FootnoteReference"/>
        </w:rPr>
        <w:footnoteReference w:id="6"/>
      </w:r>
      <w:r w:rsidRPr="008D0427">
        <w:t xml:space="preserve">  ClearRF s</w:t>
      </w:r>
      <w:r w:rsidR="00C36BE5" w:rsidRPr="008D0427">
        <w:t xml:space="preserve">tates that its wideband, direct-connect </w:t>
      </w:r>
      <w:r w:rsidR="00C36BE5" w:rsidRPr="008D0427">
        <w:lastRenderedPageBreak/>
        <w:t>Consumer Signal B</w:t>
      </w:r>
      <w:r w:rsidRPr="008D0427">
        <w:t xml:space="preserve">ooster, ClearRF Model Number WRE2710, does not meet Sections 20.21(e)(8)(i)(B) </w:t>
      </w:r>
      <w:r w:rsidR="005A202E" w:rsidRPr="008D0427">
        <w:t>(Bidirectional Capability</w:t>
      </w:r>
      <w:r w:rsidR="00C36BE5" w:rsidRPr="008D0427">
        <w:t xml:space="preserve"> requirement</w:t>
      </w:r>
      <w:r w:rsidR="005A202E" w:rsidRPr="008D0427">
        <w:t xml:space="preserve">) </w:t>
      </w:r>
      <w:r w:rsidRPr="008D0427">
        <w:t xml:space="preserve">and 20.21(e)(8)(i)(C)(2)(iii) </w:t>
      </w:r>
      <w:r w:rsidR="005A202E" w:rsidRPr="008D0427">
        <w:t>(Booster Gain Limits</w:t>
      </w:r>
      <w:r w:rsidR="00C36BE5" w:rsidRPr="008D0427">
        <w:t xml:space="preserve"> requirement</w:t>
      </w:r>
      <w:r w:rsidR="005A202E" w:rsidRPr="008D0427">
        <w:t xml:space="preserve">) </w:t>
      </w:r>
      <w:r w:rsidRPr="008D0427">
        <w:t xml:space="preserve">of the Commission’s rules, but nonetheless provides </w:t>
      </w:r>
      <w:r w:rsidR="004C5922" w:rsidRPr="008D0427">
        <w:t xml:space="preserve">protection </w:t>
      </w:r>
      <w:r w:rsidRPr="008D0427">
        <w:t>equivalent to the Network Protection Standard.</w:t>
      </w:r>
      <w:r w:rsidR="000F6139" w:rsidRPr="008B5BD5">
        <w:rPr>
          <w:rStyle w:val="FootnoteReference"/>
        </w:rPr>
        <w:footnoteReference w:id="7"/>
      </w:r>
      <w:r w:rsidRPr="008D0427">
        <w:t xml:space="preserve">  </w:t>
      </w:r>
    </w:p>
    <w:p w14:paraId="4059D8BC" w14:textId="2C9AA297" w:rsidR="00BB1D85" w:rsidRPr="008D0427" w:rsidRDefault="003E293D" w:rsidP="00BB1D85">
      <w:pPr>
        <w:pStyle w:val="ParaNum"/>
      </w:pPr>
      <w:r w:rsidRPr="008D0427">
        <w:t>On March 5, 2014, the Wireless Telecommunications Bureau released a Public Notice seeking comment on the ClearRF Request.</w:t>
      </w:r>
      <w:r w:rsidRPr="008B5BD5">
        <w:rPr>
          <w:rStyle w:val="FootnoteReference"/>
        </w:rPr>
        <w:footnoteReference w:id="8"/>
      </w:r>
      <w:r w:rsidRPr="008D0427">
        <w:t xml:space="preserve">  Subsequently, in response to a request from CTIA – The Wireless Association (CTIA), the Commission extended the period </w:t>
      </w:r>
      <w:r w:rsidR="00C36BE5" w:rsidRPr="008D0427">
        <w:t>for</w:t>
      </w:r>
      <w:r w:rsidRPr="008D0427">
        <w:t xml:space="preserve"> comments and replies on the </w:t>
      </w:r>
      <w:r w:rsidR="00F83CA7" w:rsidRPr="008D0427">
        <w:t>ClearRF R</w:t>
      </w:r>
      <w:r w:rsidRPr="008D0427">
        <w:t>equest to March 27, 2014, and April 3, 2014, respectively.</w:t>
      </w:r>
      <w:r w:rsidRPr="008B5BD5">
        <w:rPr>
          <w:rStyle w:val="FootnoteReference"/>
        </w:rPr>
        <w:footnoteReference w:id="9"/>
      </w:r>
      <w:r w:rsidRPr="008D0427">
        <w:t xml:space="preserve"> </w:t>
      </w:r>
      <w:r w:rsidR="00327E00" w:rsidRPr="008D0427">
        <w:t xml:space="preserve"> </w:t>
      </w:r>
      <w:r w:rsidR="00D7504D" w:rsidRPr="008D0427">
        <w:t xml:space="preserve">Verizon Wireless </w:t>
      </w:r>
      <w:r w:rsidR="00327E00" w:rsidRPr="008D0427">
        <w:t xml:space="preserve">(Verizon) </w:t>
      </w:r>
      <w:r w:rsidR="00D7504D" w:rsidRPr="008D0427">
        <w:t xml:space="preserve">and CTIA </w:t>
      </w:r>
      <w:r w:rsidR="00F83CA7" w:rsidRPr="008D0427">
        <w:t xml:space="preserve">filed comments </w:t>
      </w:r>
      <w:r w:rsidR="00D7504D" w:rsidRPr="008D0427">
        <w:t>oppos</w:t>
      </w:r>
      <w:r w:rsidR="00F83CA7" w:rsidRPr="008D0427">
        <w:t>ing the ClearRF Request.  ClearRF did not file a reply.</w:t>
      </w:r>
    </w:p>
    <w:p w14:paraId="36D77B9F" w14:textId="3E0772AA" w:rsidR="00DB36BF" w:rsidRPr="008D0427" w:rsidRDefault="00DA5514" w:rsidP="00491F11">
      <w:pPr>
        <w:pStyle w:val="Heading1"/>
      </w:pPr>
      <w:r w:rsidRPr="008D0427">
        <w:t>discussion</w:t>
      </w:r>
      <w:r w:rsidR="0074414B" w:rsidRPr="008D0427">
        <w:t xml:space="preserve"> </w:t>
      </w:r>
    </w:p>
    <w:p w14:paraId="1AC09EFA" w14:textId="1A4E4C5D" w:rsidR="00BD662A" w:rsidRPr="008D0427" w:rsidRDefault="00BD662A" w:rsidP="00DB36BF">
      <w:pPr>
        <w:pStyle w:val="ParaNum"/>
      </w:pPr>
      <w:r w:rsidRPr="008D0427">
        <w:t xml:space="preserve">We find that ClearRF fails to demonstrate that its </w:t>
      </w:r>
      <w:r w:rsidR="00327E00" w:rsidRPr="008D0427">
        <w:t>wideband, direct-connect C</w:t>
      </w:r>
      <w:r w:rsidRPr="008D0427">
        <w:t xml:space="preserve">onsumer </w:t>
      </w:r>
      <w:r w:rsidR="00327E00" w:rsidRPr="008D0427">
        <w:t>S</w:t>
      </w:r>
      <w:r w:rsidRPr="008D0427">
        <w:t xml:space="preserve">ignal </w:t>
      </w:r>
      <w:r w:rsidR="00327E00" w:rsidRPr="008D0427">
        <w:t>B</w:t>
      </w:r>
      <w:r w:rsidRPr="008D0427">
        <w:t xml:space="preserve">ooster, ClearRF Model Number WRE2710, provides </w:t>
      </w:r>
      <w:r w:rsidR="005D2008" w:rsidRPr="008D0427">
        <w:t xml:space="preserve">protection </w:t>
      </w:r>
      <w:r w:rsidRPr="008D0427">
        <w:t xml:space="preserve">equivalent to </w:t>
      </w:r>
      <w:r w:rsidR="005D2008" w:rsidRPr="008D0427">
        <w:t xml:space="preserve">that specified in </w:t>
      </w:r>
      <w:r w:rsidRPr="008D0427">
        <w:t xml:space="preserve">Sections 20.21(e)(8)(i)(B) and 20.21(e)(8)(i)(C)(2)(iii) of the Commission’s rules.  </w:t>
      </w:r>
      <w:r w:rsidR="00A4754B" w:rsidRPr="008D0427">
        <w:t>We note at the outset that the ClearRF Request lacks technical specificity regarding the proposed product.</w:t>
      </w:r>
      <w:r w:rsidR="0044668D" w:rsidRPr="008B5BD5">
        <w:rPr>
          <w:rStyle w:val="FootnoteReference"/>
        </w:rPr>
        <w:footnoteReference w:id="10"/>
      </w:r>
      <w:r w:rsidR="00A4754B" w:rsidRPr="008D0427">
        <w:t xml:space="preserve">  For example, there is no indication of the bands of operation, air interface(s) supported, or types of Machine-to-Machine (M2M) </w:t>
      </w:r>
      <w:r w:rsidR="00327E00" w:rsidRPr="008D0427">
        <w:t>devices</w:t>
      </w:r>
      <w:r w:rsidR="0044668D" w:rsidRPr="008D0427">
        <w:t xml:space="preserve"> which</w:t>
      </w:r>
      <w:r w:rsidR="00A4754B" w:rsidRPr="008D0427">
        <w:t xml:space="preserve"> can be connected to the ClearRF booster.</w:t>
      </w:r>
      <w:r w:rsidR="0044668D" w:rsidRPr="008B5BD5">
        <w:rPr>
          <w:rStyle w:val="FootnoteReference"/>
        </w:rPr>
        <w:footnoteReference w:id="11"/>
      </w:r>
      <w:r w:rsidR="00A4754B" w:rsidRPr="008D0427">
        <w:t xml:space="preserve"> </w:t>
      </w:r>
      <w:r w:rsidR="00F16906" w:rsidRPr="008D0427">
        <w:t xml:space="preserve"> Likewise, ClearRF provides no technical analysis or test data to support its Request.</w:t>
      </w:r>
      <w:r w:rsidR="0044668D" w:rsidRPr="008B5BD5">
        <w:rPr>
          <w:rStyle w:val="FootnoteReference"/>
        </w:rPr>
        <w:footnoteReference w:id="12"/>
      </w:r>
      <w:r w:rsidR="00F16906" w:rsidRPr="008D0427">
        <w:t xml:space="preserve"> </w:t>
      </w:r>
      <w:r w:rsidR="00A4754B" w:rsidRPr="008D0427">
        <w:t xml:space="preserve"> </w:t>
      </w:r>
      <w:r w:rsidR="00327E00" w:rsidRPr="008D0427">
        <w:t>In addition</w:t>
      </w:r>
      <w:r w:rsidR="00A4754B" w:rsidRPr="008D0427">
        <w:t xml:space="preserve">, </w:t>
      </w:r>
      <w:r w:rsidR="000F6139" w:rsidRPr="008D0427">
        <w:t xml:space="preserve">as discussed further below, </w:t>
      </w:r>
      <w:r w:rsidR="00A4754B" w:rsidRPr="008D0427">
        <w:t>t</w:t>
      </w:r>
      <w:r w:rsidRPr="008D0427">
        <w:t xml:space="preserve">he Bidirectional Capability </w:t>
      </w:r>
      <w:r w:rsidR="008B5BD5" w:rsidRPr="008D0427">
        <w:t xml:space="preserve">requirements </w:t>
      </w:r>
      <w:r w:rsidRPr="008D0427">
        <w:t>and Booster Gain Limits in the NPS were included in the signal booster rules to mitigate certain types of in</w:t>
      </w:r>
      <w:r w:rsidR="00A4754B" w:rsidRPr="008D0427">
        <w:t>terference to wireless networks and</w:t>
      </w:r>
      <w:r w:rsidRPr="008D0427">
        <w:t xml:space="preserve"> ClearRF fails to explain how its device protects against such interference</w:t>
      </w:r>
      <w:r w:rsidR="00A4754B" w:rsidRPr="008D0427">
        <w:t>.  W</w:t>
      </w:r>
      <w:r w:rsidRPr="008D0427">
        <w:t xml:space="preserve">e </w:t>
      </w:r>
      <w:r w:rsidR="00A4754B" w:rsidRPr="008D0427">
        <w:t xml:space="preserve">thus </w:t>
      </w:r>
      <w:r w:rsidRPr="008D0427">
        <w:t>deny ClearRF’s equivalent protection request.</w:t>
      </w:r>
    </w:p>
    <w:p w14:paraId="39FB93F5" w14:textId="48D446C1" w:rsidR="00641F7A" w:rsidRPr="008D0427" w:rsidRDefault="00287B41" w:rsidP="00DB36BF">
      <w:pPr>
        <w:pStyle w:val="ParaNum"/>
      </w:pPr>
      <w:r w:rsidRPr="008D0427">
        <w:t xml:space="preserve">ClearRF fails to demonstrate equivalent protection with respect to </w:t>
      </w:r>
      <w:r w:rsidR="00327E00" w:rsidRPr="008D0427">
        <w:t>the Commission’s</w:t>
      </w:r>
      <w:r w:rsidRPr="008D0427">
        <w:t xml:space="preserve"> Bidirectional Capability requirement.  </w:t>
      </w:r>
      <w:r w:rsidR="00B503A3" w:rsidRPr="008D0427">
        <w:t>Section 20.21(e)(8)(i)(B) of the Commission’s rules requires all Wideband Consumer Signal Boosters to provide equivalent uplink and downlink gain.</w:t>
      </w:r>
      <w:r w:rsidR="00F2471D" w:rsidRPr="008B5BD5">
        <w:rPr>
          <w:rStyle w:val="FootnoteReference"/>
        </w:rPr>
        <w:footnoteReference w:id="13"/>
      </w:r>
      <w:r w:rsidR="00F2471D" w:rsidRPr="008D0427">
        <w:t xml:space="preserve">  </w:t>
      </w:r>
      <w:r w:rsidR="00435628" w:rsidRPr="008D0427">
        <w:t>The Office of Engineering and Technology (OET) determined that a Wideband Consumer Signal Booster will be deemed to meet this requirement if the booster’s uplink and downlink gain</w:t>
      </w:r>
      <w:r w:rsidR="008B5BD5" w:rsidRPr="008D0427">
        <w:t>s</w:t>
      </w:r>
      <w:r w:rsidR="00435628" w:rsidRPr="008D0427">
        <w:t xml:space="preserve"> </w:t>
      </w:r>
      <w:r w:rsidR="008B5BD5" w:rsidRPr="008D0427">
        <w:t xml:space="preserve">are </w:t>
      </w:r>
      <w:r w:rsidR="00435628" w:rsidRPr="008D0427">
        <w:t>within 9 dB.</w:t>
      </w:r>
      <w:r w:rsidR="00435628" w:rsidRPr="008B5BD5">
        <w:rPr>
          <w:rStyle w:val="FootnoteReference"/>
        </w:rPr>
        <w:footnoteReference w:id="14"/>
      </w:r>
      <w:r w:rsidR="00435628" w:rsidRPr="008D0427">
        <w:t xml:space="preserve">  </w:t>
      </w:r>
      <w:r w:rsidR="00742DB7" w:rsidRPr="008D0427">
        <w:t>ClearRF’s booster is designed to provide up to 25 dB of gain on the downlink and up to 10 dB on the uplink</w:t>
      </w:r>
      <w:r w:rsidR="00742DB7" w:rsidRPr="008B5BD5">
        <w:rPr>
          <w:rStyle w:val="FootnoteReference"/>
        </w:rPr>
        <w:footnoteReference w:id="15"/>
      </w:r>
      <w:r w:rsidR="00742DB7" w:rsidRPr="008D0427">
        <w:t xml:space="preserve"> </w:t>
      </w:r>
      <w:r w:rsidR="005D2008" w:rsidRPr="008D0427">
        <w:t xml:space="preserve">(a difference of 15 dB) </w:t>
      </w:r>
      <w:r w:rsidR="00742DB7" w:rsidRPr="008D0427">
        <w:t xml:space="preserve">and thus does not comply with the Bidirectional Capability requirement.  </w:t>
      </w:r>
      <w:r w:rsidR="00F2471D" w:rsidRPr="008D0427">
        <w:t xml:space="preserve">Verizon </w:t>
      </w:r>
      <w:r w:rsidR="00F85750" w:rsidRPr="008D0427">
        <w:t>states</w:t>
      </w:r>
      <w:r w:rsidR="00F2471D" w:rsidRPr="008D0427">
        <w:t xml:space="preserve"> that </w:t>
      </w:r>
      <w:r w:rsidR="008F28C9" w:rsidRPr="008D0427">
        <w:t>the Bidirectional Capability requirement</w:t>
      </w:r>
      <w:r w:rsidR="00F2471D" w:rsidRPr="008D0427">
        <w:t xml:space="preserve"> was designed to prevent</w:t>
      </w:r>
      <w:r w:rsidR="00F85750" w:rsidRPr="008D0427">
        <w:t xml:space="preserve"> interference on the uplink and downlink in the form of</w:t>
      </w:r>
      <w:r w:rsidR="00F2471D" w:rsidRPr="008D0427">
        <w:t xml:space="preserve"> (1) increased noise on the system uplink; (2) diminished system resources (</w:t>
      </w:r>
      <w:r w:rsidR="00F2471D" w:rsidRPr="008D0427">
        <w:rPr>
          <w:i/>
        </w:rPr>
        <w:t>e.g</w:t>
      </w:r>
      <w:r w:rsidR="00F2471D" w:rsidRPr="008D0427">
        <w:t>., power limitations) that would lead to failed access attempts for both the booster user and other system users; (3) delays in data transmission; and (</w:t>
      </w:r>
      <w:r w:rsidR="00F85750" w:rsidRPr="008D0427">
        <w:t>4</w:t>
      </w:r>
      <w:r w:rsidR="00F2471D" w:rsidRPr="008D0427">
        <w:t>) waste of system resources.</w:t>
      </w:r>
      <w:r w:rsidR="00F85750" w:rsidRPr="008B5BD5">
        <w:rPr>
          <w:rStyle w:val="FootnoteReference"/>
        </w:rPr>
        <w:footnoteReference w:id="16"/>
      </w:r>
      <w:r w:rsidR="00C73A7B" w:rsidRPr="008D0427">
        <w:t xml:space="preserve">  ClearRF</w:t>
      </w:r>
      <w:r w:rsidR="00641F7A" w:rsidRPr="008D0427">
        <w:t xml:space="preserve"> states that </w:t>
      </w:r>
      <w:r w:rsidR="00C73A7B" w:rsidRPr="008D0427">
        <w:t xml:space="preserve">its booster </w:t>
      </w:r>
      <w:r w:rsidR="00C73A7B" w:rsidRPr="008D0427">
        <w:lastRenderedPageBreak/>
        <w:t xml:space="preserve">provides “more protection to the network when only a </w:t>
      </w:r>
      <w:r w:rsidR="00641F7A" w:rsidRPr="008D0427">
        <w:t xml:space="preserve">minimal </w:t>
      </w:r>
      <w:r w:rsidR="00C73A7B" w:rsidRPr="008D0427">
        <w:t xml:space="preserve">amount of </w:t>
      </w:r>
      <w:r w:rsidR="00641F7A" w:rsidRPr="008D0427">
        <w:t xml:space="preserve">gain </w:t>
      </w:r>
      <w:r w:rsidR="00C73A7B" w:rsidRPr="008D0427">
        <w:t>is applied to the uplink,”</w:t>
      </w:r>
      <w:r w:rsidR="00C73A7B" w:rsidRPr="008B5BD5">
        <w:rPr>
          <w:rStyle w:val="FootnoteReference"/>
        </w:rPr>
        <w:footnoteReference w:id="17"/>
      </w:r>
      <w:r w:rsidR="00C73A7B" w:rsidRPr="008D0427">
        <w:t xml:space="preserve"> </w:t>
      </w:r>
      <w:r w:rsidR="00641F7A" w:rsidRPr="008D0427">
        <w:t xml:space="preserve">but does not otherwise explain how the potential for </w:t>
      </w:r>
      <w:r w:rsidR="008F28C9" w:rsidRPr="008D0427">
        <w:t>the types of interference</w:t>
      </w:r>
      <w:r w:rsidR="00641F7A" w:rsidRPr="008D0427">
        <w:t xml:space="preserve"> described by </w:t>
      </w:r>
      <w:r w:rsidR="008F28C9" w:rsidRPr="008D0427">
        <w:t xml:space="preserve">Verizon </w:t>
      </w:r>
      <w:r w:rsidR="00641F7A" w:rsidRPr="008D0427">
        <w:t xml:space="preserve">will be </w:t>
      </w:r>
      <w:r w:rsidR="008F28C9" w:rsidRPr="008D0427">
        <w:t>mitigated</w:t>
      </w:r>
      <w:r w:rsidR="00641F7A" w:rsidRPr="008D0427">
        <w:t xml:space="preserve"> by their device.</w:t>
      </w:r>
      <w:r w:rsidRPr="008D0427">
        <w:t xml:space="preserve">  Although ClearRF explains why it designed its booster with asymmetric gain on the uplink and downlink, it does not point to other features in the device which protect against </w:t>
      </w:r>
      <w:r w:rsidR="005D2008" w:rsidRPr="008D0427">
        <w:t xml:space="preserve">potential </w:t>
      </w:r>
      <w:r w:rsidRPr="008D0427">
        <w:t xml:space="preserve">interference </w:t>
      </w:r>
      <w:r w:rsidR="005D2008" w:rsidRPr="008D0427">
        <w:t>due to</w:t>
      </w:r>
      <w:r w:rsidRPr="008D0427">
        <w:t xml:space="preserve"> unbalanced gain.  </w:t>
      </w:r>
      <w:r w:rsidR="00435628" w:rsidRPr="008D0427">
        <w:t xml:space="preserve">ClearRF thus fails to demonstrate equivalent protection for the Bidirectional Capability requirement.  </w:t>
      </w:r>
    </w:p>
    <w:p w14:paraId="632695BF" w14:textId="12AB3215" w:rsidR="00641F7A" w:rsidRPr="008D0427" w:rsidRDefault="00641F7A" w:rsidP="00DB36BF">
      <w:pPr>
        <w:pStyle w:val="ParaNum"/>
      </w:pPr>
      <w:r w:rsidRPr="008D0427">
        <w:t xml:space="preserve">Similarly, </w:t>
      </w:r>
      <w:r w:rsidR="00435628" w:rsidRPr="008D0427">
        <w:t xml:space="preserve">ClearRF </w:t>
      </w:r>
      <w:r w:rsidR="00287B41" w:rsidRPr="008D0427">
        <w:t xml:space="preserve">fails to demonstrate equivalent protection with respect to </w:t>
      </w:r>
      <w:r w:rsidR="000045F3" w:rsidRPr="008D0427">
        <w:t>the Commission’s</w:t>
      </w:r>
      <w:r w:rsidR="00287B41" w:rsidRPr="008D0427">
        <w:t xml:space="preserve"> Booster Gain Limits requirement.</w:t>
      </w:r>
      <w:r w:rsidR="0042540D" w:rsidRPr="008B5BD5">
        <w:rPr>
          <w:rStyle w:val="FootnoteReference"/>
        </w:rPr>
        <w:footnoteReference w:id="18"/>
      </w:r>
      <w:r w:rsidR="00287B41" w:rsidRPr="008D0427">
        <w:t xml:space="preserve">  Section 20.21(e)(8)(i)(C)(2)(iii) of the Commission’s signal booster rules limit </w:t>
      </w:r>
      <w:r w:rsidR="00FF33F8" w:rsidRPr="008D0427">
        <w:t>mobile booster maximum gain to 15 dB when directly connected (</w:t>
      </w:r>
      <w:r w:rsidR="00FF33F8" w:rsidRPr="008D0427">
        <w:rPr>
          <w:i/>
        </w:rPr>
        <w:t xml:space="preserve">e.g., </w:t>
      </w:r>
      <w:r w:rsidR="00FF33F8" w:rsidRPr="008D0427">
        <w:t>boosters with a physical connection to the phone).</w:t>
      </w:r>
      <w:r w:rsidR="00FF33F8" w:rsidRPr="008B5BD5">
        <w:rPr>
          <w:rStyle w:val="FootnoteReference"/>
        </w:rPr>
        <w:footnoteReference w:id="19"/>
      </w:r>
      <w:r w:rsidR="00FF33F8" w:rsidRPr="008D0427">
        <w:t xml:space="preserve">  </w:t>
      </w:r>
      <w:r w:rsidR="008B5BD5" w:rsidRPr="008D0427">
        <w:t xml:space="preserve">The </w:t>
      </w:r>
      <w:r w:rsidR="00582422" w:rsidRPr="008D0427">
        <w:t xml:space="preserve">ClearRF booster is designed to provide up to 25 dB of gain on the downlink </w:t>
      </w:r>
      <w:r w:rsidR="00C92AF6" w:rsidRPr="008D0427">
        <w:t xml:space="preserve">(exceeding the limit by 10 dB) </w:t>
      </w:r>
      <w:r w:rsidR="00582422" w:rsidRPr="008D0427">
        <w:t xml:space="preserve">and thus does not comply with </w:t>
      </w:r>
      <w:r w:rsidR="000045F3" w:rsidRPr="008D0427">
        <w:t>the</w:t>
      </w:r>
      <w:r w:rsidR="00582422" w:rsidRPr="008D0427">
        <w:t xml:space="preserve"> Booster Gain Limits requirement.  </w:t>
      </w:r>
      <w:r w:rsidR="00FF33F8" w:rsidRPr="008D0427">
        <w:t xml:space="preserve">Verizon </w:t>
      </w:r>
      <w:r w:rsidR="00582422" w:rsidRPr="008D0427">
        <w:t>states</w:t>
      </w:r>
      <w:r w:rsidR="00FF33F8" w:rsidRPr="008D0427">
        <w:t xml:space="preserve"> that increasing the downlink signal strength </w:t>
      </w:r>
      <w:r w:rsidR="00BA1CB9" w:rsidRPr="008D0427">
        <w:t>beyond the 15 dB limit</w:t>
      </w:r>
      <w:r w:rsidR="00582422" w:rsidRPr="008D0427">
        <w:t xml:space="preserve"> established in </w:t>
      </w:r>
      <w:r w:rsidR="00BA1CB9" w:rsidRPr="008D0427">
        <w:t>the</w:t>
      </w:r>
      <w:r w:rsidR="00582422" w:rsidRPr="008D0427">
        <w:t xml:space="preserve"> rules would create harmful interference to wireless networks.</w:t>
      </w:r>
      <w:r w:rsidR="000F6139" w:rsidRPr="008B5BD5">
        <w:rPr>
          <w:rStyle w:val="FootnoteReference"/>
        </w:rPr>
        <w:footnoteReference w:id="20"/>
      </w:r>
      <w:r w:rsidR="00582422" w:rsidRPr="008D0427">
        <w:t xml:space="preserve">  </w:t>
      </w:r>
      <w:r w:rsidR="00C92AF6" w:rsidRPr="008D0427">
        <w:t>According to Veri</w:t>
      </w:r>
      <w:r w:rsidR="00F26E4F" w:rsidRPr="008D0427">
        <w:t>z</w:t>
      </w:r>
      <w:r w:rsidR="00C92AF6" w:rsidRPr="008D0427">
        <w:t>on</w:t>
      </w:r>
      <w:r w:rsidR="00582422" w:rsidRPr="008D0427">
        <w:t xml:space="preserve">, </w:t>
      </w:r>
      <w:r w:rsidR="00BA1CB9" w:rsidRPr="008D0427">
        <w:t>when</w:t>
      </w:r>
      <w:r w:rsidR="00FF33F8" w:rsidRPr="008D0427">
        <w:t xml:space="preserve"> the booster and M2M device are in close proximity to network base stations</w:t>
      </w:r>
      <w:r w:rsidR="00BA1CB9" w:rsidRPr="008D0427">
        <w:t>,</w:t>
      </w:r>
      <w:r w:rsidR="00FF33F8" w:rsidRPr="008D0427">
        <w:t xml:space="preserve"> </w:t>
      </w:r>
      <w:r w:rsidR="00BA1CB9" w:rsidRPr="008D0427">
        <w:t xml:space="preserve">they </w:t>
      </w:r>
      <w:r w:rsidR="00FF33F8" w:rsidRPr="008D0427">
        <w:t xml:space="preserve">would </w:t>
      </w:r>
      <w:r w:rsidR="00BA1CB9" w:rsidRPr="008D0427">
        <w:t>create</w:t>
      </w:r>
      <w:r w:rsidR="00FF33F8" w:rsidRPr="008D0427">
        <w:t xml:space="preserve"> excessive gain which would cause harmful interference by “making devices more sensitive to overload interference, increasing the noise floor of the devices, and reducing the dynamic range of devices connected to the booster.”</w:t>
      </w:r>
      <w:r w:rsidR="00FF33F8" w:rsidRPr="008B5BD5">
        <w:rPr>
          <w:rStyle w:val="FootnoteReference"/>
        </w:rPr>
        <w:footnoteReference w:id="21"/>
      </w:r>
      <w:r w:rsidR="00582422" w:rsidRPr="008D0427">
        <w:t xml:space="preserve">  ClearRF explains that its booster requires 25 dB </w:t>
      </w:r>
      <w:r w:rsidR="00BA1CB9" w:rsidRPr="008D0427">
        <w:t xml:space="preserve">of </w:t>
      </w:r>
      <w:r w:rsidR="00582422" w:rsidRPr="008D0427">
        <w:t>gain in the downlink to “maximize the data rate and keep a solid lock on the base station signal.”</w:t>
      </w:r>
      <w:r w:rsidR="00582422" w:rsidRPr="008B5BD5">
        <w:rPr>
          <w:rStyle w:val="FootnoteReference"/>
        </w:rPr>
        <w:footnoteReference w:id="22"/>
      </w:r>
      <w:r w:rsidR="004A4873" w:rsidRPr="008D0427">
        <w:t xml:space="preserve">  ClearRF </w:t>
      </w:r>
      <w:r w:rsidR="00582422" w:rsidRPr="008D0427">
        <w:t>states that “[t]he 25 dB of gain does not in any way affect the network or cause interference.”</w:t>
      </w:r>
      <w:r w:rsidR="00582422" w:rsidRPr="008B5BD5">
        <w:rPr>
          <w:rStyle w:val="FootnoteReference"/>
        </w:rPr>
        <w:footnoteReference w:id="23"/>
      </w:r>
      <w:r w:rsidR="00AF08F3" w:rsidRPr="008D0427">
        <w:t xml:space="preserve">  Such explanations and assertions, however, </w:t>
      </w:r>
      <w:r w:rsidR="00C92AF6" w:rsidRPr="008D0427">
        <w:t xml:space="preserve">fail to address the issues raised by Verizon and </w:t>
      </w:r>
      <w:r w:rsidR="00AF08F3" w:rsidRPr="008D0427">
        <w:t xml:space="preserve">are insufficient to demonstrate how ClearRF’s device protects against interference created by gain levels above those specified in </w:t>
      </w:r>
      <w:r w:rsidR="000F6139" w:rsidRPr="008D0427">
        <w:t>the Commission’s</w:t>
      </w:r>
      <w:r w:rsidR="00AF08F3" w:rsidRPr="008D0427">
        <w:t xml:space="preserve"> rules.  ClearRF thus fails to demonstrate that its signal booster provides e</w:t>
      </w:r>
      <w:r w:rsidR="00BA1CB9" w:rsidRPr="008D0427">
        <w:t>quivalent protection to the NPS and we deny the Request.</w:t>
      </w:r>
    </w:p>
    <w:p w14:paraId="462203EB" w14:textId="1CEE33AE" w:rsidR="006A4149" w:rsidRPr="008D0427" w:rsidRDefault="00F26E4F" w:rsidP="00DB36BF">
      <w:pPr>
        <w:pStyle w:val="ParaNum"/>
      </w:pPr>
      <w:r w:rsidRPr="008D0427">
        <w:t>In addition</w:t>
      </w:r>
      <w:r w:rsidR="006A4149" w:rsidRPr="008D0427">
        <w:t xml:space="preserve">, ClearRF appears to argue that because its signal booster is designed to be connected by coaxial cable to an M2M device, </w:t>
      </w:r>
      <w:r w:rsidR="006A4149" w:rsidRPr="008D0427">
        <w:rPr>
          <w:i/>
        </w:rPr>
        <w:t>e.g.</w:t>
      </w:r>
      <w:r w:rsidR="006A4149" w:rsidRPr="008D0427">
        <w:t>, ce</w:t>
      </w:r>
      <w:r w:rsidR="007E579B">
        <w:t xml:space="preserve">llular modem, router or module – </w:t>
      </w:r>
      <w:r w:rsidR="006A4149" w:rsidRPr="008D0427">
        <w:t>and not a wireless phone</w:t>
      </w:r>
      <w:r w:rsidR="007E579B">
        <w:t xml:space="preserve"> – </w:t>
      </w:r>
      <w:r w:rsidR="006A4149" w:rsidRPr="008D0427">
        <w:t>the Commission</w:t>
      </w:r>
      <w:r w:rsidR="00FC7EBF" w:rsidRPr="008D0427">
        <w:t xml:space="preserve"> should</w:t>
      </w:r>
      <w:r w:rsidR="006A4149" w:rsidRPr="008D0427">
        <w:t xml:space="preserve"> apply</w:t>
      </w:r>
      <w:r w:rsidR="00FC7EBF" w:rsidRPr="008D0427">
        <w:t xml:space="preserve"> different technical standards than those contained in the Commission’s signal booster rules</w:t>
      </w:r>
      <w:r w:rsidR="006A4149" w:rsidRPr="008D0427">
        <w:t>.</w:t>
      </w:r>
      <w:r w:rsidR="006A4149" w:rsidRPr="008B5BD5">
        <w:rPr>
          <w:rStyle w:val="FootnoteReference"/>
        </w:rPr>
        <w:footnoteReference w:id="24"/>
      </w:r>
      <w:r w:rsidR="006A4149" w:rsidRPr="008D0427">
        <w:t xml:space="preserve">  </w:t>
      </w:r>
      <w:r w:rsidR="00FC7EBF" w:rsidRPr="008D0427">
        <w:t xml:space="preserve">We disagree.  </w:t>
      </w:r>
      <w:r w:rsidR="006A4149" w:rsidRPr="008D0427">
        <w:t>Part 20 of the Commission’s rules</w:t>
      </w:r>
      <w:r w:rsidR="00FC7EBF" w:rsidRPr="008D0427">
        <w:t xml:space="preserve"> applies</w:t>
      </w:r>
      <w:r w:rsidR="006A4149" w:rsidRPr="008D0427">
        <w:t xml:space="preserve"> to all Consumer Signal Boosters regardless of the end user equipment </w:t>
      </w:r>
      <w:r w:rsidR="00FC7EBF" w:rsidRPr="008D0427">
        <w:t>employed with the signal booster.</w:t>
      </w:r>
    </w:p>
    <w:p w14:paraId="11E241B7" w14:textId="35A26CD1" w:rsidR="00F26E4F" w:rsidRPr="008D0427" w:rsidRDefault="00AA0076" w:rsidP="00DB36BF">
      <w:pPr>
        <w:pStyle w:val="ParaNum"/>
      </w:pPr>
      <w:r w:rsidRPr="00AA0076">
        <w:t>Finally, we remind manufacturers that prior to operation of any Consumer Signal Booster, a subscriber must have the consent of his/her wireless provider and must register the booster with such provider.</w:t>
      </w:r>
      <w:r>
        <w:rPr>
          <w:rStyle w:val="FootnoteReference"/>
        </w:rPr>
        <w:footnoteReference w:id="25"/>
      </w:r>
      <w:r w:rsidRPr="00AA0076">
        <w:t xml:space="preserve"> </w:t>
      </w:r>
      <w:r>
        <w:t xml:space="preserve"> </w:t>
      </w:r>
      <w:r w:rsidRPr="00AA0076">
        <w:t xml:space="preserve">While many wireless providers have voluntarily committed to allow their </w:t>
      </w:r>
      <w:r w:rsidRPr="00AA0076">
        <w:lastRenderedPageBreak/>
        <w:t>subscribers to use Consumer Signal Boosters which comply with the NPS,</w:t>
      </w:r>
      <w:r>
        <w:rPr>
          <w:rStyle w:val="FootnoteReference"/>
        </w:rPr>
        <w:footnoteReference w:id="26"/>
      </w:r>
      <w:r w:rsidRPr="00AA0076">
        <w:t xml:space="preserve"> such commitments would not necessarily extend to a booster which received a determination of equivalent protection.</w:t>
      </w:r>
      <w:r>
        <w:rPr>
          <w:rStyle w:val="FootnoteReference"/>
        </w:rPr>
        <w:footnoteReference w:id="27"/>
      </w:r>
      <w:r w:rsidRPr="00AA0076">
        <w:t>  When seeking a determination of equivalent protection for Consumer Signal Boosters, we urge manufacturers to work with wireless providers to develop devices that improve wireless coverage for consumers and are determined to be safe for wireless networks.</w:t>
      </w:r>
    </w:p>
    <w:p w14:paraId="17A4AD5D" w14:textId="77777777" w:rsidR="00DB36BF" w:rsidRPr="008D0427" w:rsidRDefault="00DA5514" w:rsidP="00491F11">
      <w:pPr>
        <w:pStyle w:val="Heading1"/>
      </w:pPr>
      <w:r w:rsidRPr="008D0427">
        <w:t>Ordering clause</w:t>
      </w:r>
    </w:p>
    <w:p w14:paraId="2FF689A5" w14:textId="696F3095" w:rsidR="00DB36BF" w:rsidRPr="008D0427" w:rsidRDefault="00DA5514" w:rsidP="002304BC">
      <w:pPr>
        <w:pStyle w:val="ParaNum"/>
      </w:pPr>
      <w:r w:rsidRPr="008D0427">
        <w:t xml:space="preserve">Accordingly, IT IS ORDERED pursuant to Sections 1, 4(i), </w:t>
      </w:r>
      <w:r w:rsidR="00467C63" w:rsidRPr="008D0427">
        <w:t>302</w:t>
      </w:r>
      <w:r w:rsidRPr="008D0427">
        <w:t xml:space="preserve">, 303(f), </w:t>
      </w:r>
      <w:r w:rsidR="00BA1CB9" w:rsidRPr="008D0427">
        <w:t xml:space="preserve">and </w:t>
      </w:r>
      <w:r w:rsidR="00467C63" w:rsidRPr="008D0427">
        <w:t>303(r)</w:t>
      </w:r>
      <w:r w:rsidRPr="008D0427">
        <w:t xml:space="preserve">, of the Communications Act of 1934, as amended, 47 U.S.C. §§ 151, 154(i), </w:t>
      </w:r>
      <w:r w:rsidR="00467C63" w:rsidRPr="008D0427">
        <w:t>302,</w:t>
      </w:r>
      <w:r w:rsidRPr="008D0427">
        <w:t xml:space="preserve"> 303(f), </w:t>
      </w:r>
      <w:r w:rsidR="00BA1CB9" w:rsidRPr="008D0427">
        <w:t xml:space="preserve">and </w:t>
      </w:r>
      <w:r w:rsidRPr="008D0427">
        <w:t xml:space="preserve">303(r), </w:t>
      </w:r>
      <w:r w:rsidR="008E6D56" w:rsidRPr="008D0427">
        <w:t>and Sections 1.925</w:t>
      </w:r>
      <w:r w:rsidRPr="008D0427">
        <w:t xml:space="preserve"> and </w:t>
      </w:r>
      <w:r w:rsidR="002304BC" w:rsidRPr="008D0427">
        <w:t>20.21(e)(10)</w:t>
      </w:r>
      <w:r w:rsidRPr="008D0427">
        <w:t xml:space="preserve"> of the Commission’s Rules, 47 C.F.R. §§ 1.</w:t>
      </w:r>
      <w:r w:rsidR="008E6D56" w:rsidRPr="008D0427">
        <w:t>925</w:t>
      </w:r>
      <w:r w:rsidRPr="008D0427">
        <w:t xml:space="preserve">, </w:t>
      </w:r>
      <w:r w:rsidR="002304BC" w:rsidRPr="008D0427">
        <w:t>20.21(e)(10)</w:t>
      </w:r>
      <w:r w:rsidRPr="008D0427">
        <w:t xml:space="preserve">, that </w:t>
      </w:r>
      <w:r w:rsidR="00E24F42">
        <w:t xml:space="preserve">the </w:t>
      </w:r>
      <w:r w:rsidR="002304BC" w:rsidRPr="008D0427">
        <w:rPr>
          <w:spacing w:val="-2"/>
        </w:rPr>
        <w:t>Request for Determination of Equivalent Protection</w:t>
      </w:r>
      <w:r w:rsidRPr="008D0427">
        <w:t xml:space="preserve"> filed by </w:t>
      </w:r>
      <w:r w:rsidR="002304BC" w:rsidRPr="008D0427">
        <w:t>ClearRF IS DENIED.</w:t>
      </w:r>
    </w:p>
    <w:p w14:paraId="200B4168" w14:textId="77777777" w:rsidR="00DB36BF" w:rsidRPr="008D0427" w:rsidRDefault="00DB36BF" w:rsidP="00DB36BF">
      <w:pPr>
        <w:ind w:left="3600" w:firstLine="720"/>
      </w:pPr>
    </w:p>
    <w:p w14:paraId="6AD8EAAD" w14:textId="77777777" w:rsidR="00DB36BF" w:rsidRPr="008D0427" w:rsidRDefault="00DA5514" w:rsidP="00DB36BF">
      <w:pPr>
        <w:ind w:left="3600" w:firstLine="720"/>
      </w:pPr>
      <w:r w:rsidRPr="008D0427">
        <w:t>FEDERAL COMMUNICATIONS COMMISSION</w:t>
      </w:r>
    </w:p>
    <w:p w14:paraId="1EAFDC05" w14:textId="77777777" w:rsidR="00DB36BF" w:rsidRPr="008D0427" w:rsidRDefault="00DB36BF" w:rsidP="00DB36BF">
      <w:pPr>
        <w:ind w:left="3600" w:firstLine="720"/>
      </w:pPr>
    </w:p>
    <w:p w14:paraId="5B987851" w14:textId="77777777" w:rsidR="00DB36BF" w:rsidRPr="008D0427" w:rsidRDefault="00DB36BF" w:rsidP="00DB36BF">
      <w:pPr>
        <w:ind w:left="3600" w:firstLine="720"/>
      </w:pPr>
    </w:p>
    <w:p w14:paraId="034CA6BA" w14:textId="77777777" w:rsidR="00DB36BF" w:rsidRPr="008D0427" w:rsidRDefault="00DB36BF" w:rsidP="00DB36BF">
      <w:pPr>
        <w:ind w:left="3600" w:firstLine="720"/>
      </w:pPr>
    </w:p>
    <w:p w14:paraId="2EA4E53E" w14:textId="77777777" w:rsidR="00DB36BF" w:rsidRPr="008D0427" w:rsidRDefault="00DB36BF" w:rsidP="00DB36BF">
      <w:pPr>
        <w:ind w:left="3600" w:firstLine="720"/>
      </w:pPr>
    </w:p>
    <w:p w14:paraId="06FB53CC" w14:textId="7B4250A8" w:rsidR="00DB36BF" w:rsidRPr="008D0427" w:rsidRDefault="007E1809" w:rsidP="00DB36BF">
      <w:pPr>
        <w:ind w:left="3600" w:firstLine="720"/>
      </w:pPr>
      <w:r w:rsidRPr="008D0427">
        <w:t>Roger S. Noel</w:t>
      </w:r>
    </w:p>
    <w:p w14:paraId="3E0C5C6B" w14:textId="0BF178EF" w:rsidR="007E1809" w:rsidRPr="008D0427" w:rsidRDefault="007E1809" w:rsidP="00DB36BF">
      <w:pPr>
        <w:ind w:left="3600" w:firstLine="720"/>
      </w:pPr>
      <w:r w:rsidRPr="008D0427">
        <w:t>Chief</w:t>
      </w:r>
    </w:p>
    <w:p w14:paraId="3BA34711" w14:textId="77777777" w:rsidR="007E1809" w:rsidRPr="008D0427" w:rsidRDefault="007E1809" w:rsidP="00DB36BF">
      <w:pPr>
        <w:ind w:left="3600" w:firstLine="720"/>
      </w:pPr>
      <w:r w:rsidRPr="008D0427">
        <w:t>Mobility Division</w:t>
      </w:r>
    </w:p>
    <w:p w14:paraId="3A1D2A6D" w14:textId="01EA1C0A" w:rsidR="007E1809" w:rsidRPr="008D0427" w:rsidRDefault="007E1809" w:rsidP="00DB36BF">
      <w:pPr>
        <w:ind w:left="3600" w:firstLine="720"/>
      </w:pPr>
      <w:r w:rsidRPr="008D0427">
        <w:t>Wireless Telecommunications Bureau</w:t>
      </w:r>
    </w:p>
    <w:p w14:paraId="72CA5C2C" w14:textId="0D425C57" w:rsidR="00DB36BF" w:rsidRPr="008B5BD5" w:rsidRDefault="00DB36BF" w:rsidP="00DB36BF">
      <w:pPr>
        <w:pStyle w:val="Default"/>
        <w:ind w:left="3600" w:firstLine="720"/>
        <w:rPr>
          <w:color w:val="auto"/>
          <w:sz w:val="22"/>
          <w:szCs w:val="22"/>
        </w:rPr>
      </w:pPr>
    </w:p>
    <w:p w14:paraId="049BF6AC" w14:textId="6696560B" w:rsidR="00DB36BF" w:rsidRPr="008D0427" w:rsidRDefault="00DB36BF"/>
    <w:sectPr w:rsidR="00DB36BF" w:rsidRPr="008D0427" w:rsidSect="00DB36B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21E63" w14:textId="77777777" w:rsidR="00194D9D" w:rsidRDefault="00194D9D">
      <w:pPr>
        <w:spacing w:line="20" w:lineRule="exact"/>
      </w:pPr>
    </w:p>
  </w:endnote>
  <w:endnote w:type="continuationSeparator" w:id="0">
    <w:p w14:paraId="3555510C" w14:textId="77777777" w:rsidR="00194D9D" w:rsidRDefault="00194D9D">
      <w:r>
        <w:t xml:space="preserve"> </w:t>
      </w:r>
    </w:p>
  </w:endnote>
  <w:endnote w:type="continuationNotice" w:id="1">
    <w:p w14:paraId="67FC9B63" w14:textId="77777777" w:rsidR="00194D9D" w:rsidRDefault="00194D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591FB" w14:textId="77777777" w:rsidR="007E579B" w:rsidRDefault="007E579B" w:rsidP="00DB36BF">
    <w:pPr>
      <w:pStyle w:val="Footer"/>
      <w:framePr w:wrap="around" w:vAnchor="text" w:hAnchor="margin" w:xAlign="center" w:y="1"/>
    </w:pPr>
    <w:r>
      <w:fldChar w:fldCharType="begin"/>
    </w:r>
    <w:r>
      <w:instrText xml:space="preserve">PAGE  </w:instrText>
    </w:r>
    <w:r>
      <w:fldChar w:fldCharType="end"/>
    </w:r>
  </w:p>
  <w:p w14:paraId="4B4E4FA1" w14:textId="77777777" w:rsidR="007E579B" w:rsidRDefault="007E5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8DFD2" w14:textId="77777777" w:rsidR="007E579B" w:rsidRDefault="007E579B" w:rsidP="00DB36BF">
    <w:pPr>
      <w:pStyle w:val="Footer"/>
      <w:framePr w:wrap="around" w:vAnchor="text" w:hAnchor="margin" w:xAlign="center" w:y="1"/>
    </w:pPr>
    <w:r>
      <w:fldChar w:fldCharType="begin"/>
    </w:r>
    <w:r>
      <w:instrText xml:space="preserve">PAGE  </w:instrText>
    </w:r>
    <w:r>
      <w:fldChar w:fldCharType="separate"/>
    </w:r>
    <w:r w:rsidR="00361CEA">
      <w:rPr>
        <w:noProof/>
      </w:rPr>
      <w:t>4</w:t>
    </w:r>
    <w:r>
      <w:rPr>
        <w:noProof/>
      </w:rPr>
      <w:fldChar w:fldCharType="end"/>
    </w:r>
  </w:p>
  <w:p w14:paraId="418F5F9E" w14:textId="77777777" w:rsidR="007E579B" w:rsidRDefault="007E579B" w:rsidP="00DB36BF">
    <w:pPr>
      <w:suppressAutoHyphens/>
      <w:spacing w:line="227"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CE69" w14:textId="77777777" w:rsidR="00022100" w:rsidRDefault="00022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A4D69" w14:textId="77777777" w:rsidR="00194D9D" w:rsidRDefault="00194D9D">
      <w:r>
        <w:separator/>
      </w:r>
    </w:p>
  </w:footnote>
  <w:footnote w:type="continuationSeparator" w:id="0">
    <w:p w14:paraId="2D7A22F1" w14:textId="77777777" w:rsidR="00194D9D" w:rsidRDefault="00194D9D">
      <w:pPr>
        <w:rPr>
          <w:sz w:val="20"/>
        </w:rPr>
      </w:pPr>
      <w:r>
        <w:rPr>
          <w:sz w:val="20"/>
        </w:rPr>
        <w:t xml:space="preserve">(Continued from previous page)  </w:t>
      </w:r>
      <w:r>
        <w:rPr>
          <w:sz w:val="20"/>
        </w:rPr>
        <w:separator/>
      </w:r>
    </w:p>
  </w:footnote>
  <w:footnote w:type="continuationNotice" w:id="1">
    <w:p w14:paraId="7F34F37F" w14:textId="77777777" w:rsidR="00194D9D" w:rsidRDefault="00194D9D" w:rsidP="00F221B6">
      <w:pPr>
        <w:ind w:left="720" w:firstLine="720"/>
        <w:jc w:val="right"/>
        <w:rPr>
          <w:sz w:val="20"/>
        </w:rPr>
      </w:pPr>
      <w:r>
        <w:rPr>
          <w:sz w:val="20"/>
        </w:rPr>
        <w:t>(continued….)</w:t>
      </w:r>
    </w:p>
  </w:footnote>
  <w:footnote w:id="2">
    <w:p w14:paraId="6C29C54A" w14:textId="77777777" w:rsidR="007E579B" w:rsidRPr="005C47D2" w:rsidRDefault="007E579B" w:rsidP="000C21C8">
      <w:pPr>
        <w:pStyle w:val="FootnoteText"/>
      </w:pPr>
      <w:r>
        <w:rPr>
          <w:rStyle w:val="FootnoteReference"/>
        </w:rPr>
        <w:footnoteRef/>
      </w:r>
      <w:r>
        <w:t xml:space="preserve"> </w:t>
      </w:r>
      <w:r w:rsidRPr="0027426A">
        <w:rPr>
          <w:color w:val="000000" w:themeColor="text1"/>
        </w:rPr>
        <w:t>Amendment of Parts 1, 2, 22, 24, 27, 90 and 95 of the Commission’s Rules to Improve Wireless Coverage Through the Use of Signal Boosters,</w:t>
      </w:r>
      <w:r>
        <w:rPr>
          <w:color w:val="000000" w:themeColor="text1"/>
        </w:rPr>
        <w:t xml:space="preserve"> </w:t>
      </w:r>
      <w:r>
        <w:rPr>
          <w:i/>
          <w:color w:val="000000" w:themeColor="text1"/>
        </w:rPr>
        <w:t>Report and Order</w:t>
      </w:r>
      <w:r w:rsidRPr="0027426A">
        <w:rPr>
          <w:color w:val="000000" w:themeColor="text1"/>
        </w:rPr>
        <w:t>, 2</w:t>
      </w:r>
      <w:r>
        <w:rPr>
          <w:color w:val="000000" w:themeColor="text1"/>
        </w:rPr>
        <w:t>8</w:t>
      </w:r>
      <w:r w:rsidRPr="0027426A">
        <w:rPr>
          <w:color w:val="000000" w:themeColor="text1"/>
        </w:rPr>
        <w:t xml:space="preserve"> FCC Rcd </w:t>
      </w:r>
      <w:r>
        <w:rPr>
          <w:color w:val="000000" w:themeColor="text1"/>
        </w:rPr>
        <w:t>1663</w:t>
      </w:r>
      <w:r w:rsidRPr="001D06E9">
        <w:rPr>
          <w:color w:val="000000" w:themeColor="text1"/>
        </w:rPr>
        <w:t xml:space="preserve"> (201</w:t>
      </w:r>
      <w:r>
        <w:rPr>
          <w:color w:val="000000" w:themeColor="text1"/>
        </w:rPr>
        <w:t>3</w:t>
      </w:r>
      <w:r w:rsidRPr="001D06E9">
        <w:rPr>
          <w:color w:val="000000" w:themeColor="text1"/>
        </w:rPr>
        <w:t>)</w:t>
      </w:r>
      <w:r>
        <w:rPr>
          <w:color w:val="000000" w:themeColor="text1"/>
        </w:rPr>
        <w:t xml:space="preserve"> (</w:t>
      </w:r>
      <w:r>
        <w:rPr>
          <w:i/>
          <w:color w:val="000000" w:themeColor="text1"/>
        </w:rPr>
        <w:t>Report and Order</w:t>
      </w:r>
      <w:r>
        <w:rPr>
          <w:color w:val="000000" w:themeColor="text1"/>
        </w:rPr>
        <w:t>).</w:t>
      </w:r>
    </w:p>
  </w:footnote>
  <w:footnote w:id="3">
    <w:p w14:paraId="0A65802F" w14:textId="39E7BE6E" w:rsidR="007E579B" w:rsidRPr="002C1846" w:rsidRDefault="007E579B" w:rsidP="001A5B6B">
      <w:pPr>
        <w:pStyle w:val="FootnoteText"/>
      </w:pPr>
      <w:r>
        <w:rPr>
          <w:rStyle w:val="FootnoteReference"/>
        </w:rPr>
        <w:footnoteRef/>
      </w:r>
      <w:r>
        <w:t xml:space="preserve"> The NPS is </w:t>
      </w:r>
      <w:r w:rsidRPr="000C21C8">
        <w:t>a flexible set of requirements for the design and manufacture of Consumer Signal Boosters, which couple signal booster innovation with sufficient safeguards to protect wireless networks from harmful interference</w:t>
      </w:r>
      <w:r>
        <w:t xml:space="preserve">. </w:t>
      </w:r>
      <w:r w:rsidRPr="000C21C8">
        <w:rPr>
          <w:i/>
        </w:rPr>
        <w:t xml:space="preserve"> </w:t>
      </w:r>
      <w:r>
        <w:rPr>
          <w:i/>
        </w:rPr>
        <w:t>Report and Order</w:t>
      </w:r>
      <w:r>
        <w:t xml:space="preserve">, </w:t>
      </w:r>
      <w:r w:rsidRPr="006B135A">
        <w:t xml:space="preserve">28 FCC Rcd at </w:t>
      </w:r>
      <w:r>
        <w:t>1682-91,</w:t>
      </w:r>
      <w:r w:rsidRPr="006B135A">
        <w:t xml:space="preserve"> </w:t>
      </w:r>
      <w:r>
        <w:t>¶¶ 49-69.</w:t>
      </w:r>
    </w:p>
  </w:footnote>
  <w:footnote w:id="4">
    <w:p w14:paraId="1C9D7767" w14:textId="401D150C" w:rsidR="007E579B" w:rsidRPr="001A5B6B" w:rsidRDefault="007E579B">
      <w:pPr>
        <w:pStyle w:val="FootnoteText"/>
      </w:pPr>
      <w:r>
        <w:rPr>
          <w:rStyle w:val="FootnoteReference"/>
        </w:rPr>
        <w:footnoteRef/>
      </w:r>
      <w:r>
        <w:t xml:space="preserve"> The NPS includes one technical specification for Wideband Consumer Signal Boosters and a second for Provider-Specific Consumer Signal Boosters.  </w:t>
      </w:r>
      <w:r>
        <w:rPr>
          <w:i/>
        </w:rPr>
        <w:t>Id.</w:t>
      </w:r>
      <w:r>
        <w:t xml:space="preserve"> at 1690-91, ¶¶ 70-74.  Certain requirements in the Wideband Consumer Signal Booster specification are at issue here.</w:t>
      </w:r>
    </w:p>
  </w:footnote>
  <w:footnote w:id="5">
    <w:p w14:paraId="531A1125" w14:textId="74270886" w:rsidR="007E579B" w:rsidRPr="00393805" w:rsidRDefault="007E579B" w:rsidP="001A5B6B">
      <w:pPr>
        <w:pStyle w:val="FootnoteText"/>
      </w:pPr>
      <w:r>
        <w:rPr>
          <w:rStyle w:val="FootnoteReference"/>
        </w:rPr>
        <w:footnoteRef/>
      </w:r>
      <w:r>
        <w:t xml:space="preserve"> </w:t>
      </w:r>
      <w:r>
        <w:rPr>
          <w:i/>
        </w:rPr>
        <w:t>Id.</w:t>
      </w:r>
      <w:r>
        <w:t xml:space="preserve"> </w:t>
      </w:r>
      <w:r>
        <w:rPr>
          <w:color w:val="000000"/>
        </w:rPr>
        <w:t>at 1691-92, ¶¶</w:t>
      </w:r>
      <w:r w:rsidRPr="003B2995">
        <w:rPr>
          <w:color w:val="000000"/>
        </w:rPr>
        <w:t xml:space="preserve"> </w:t>
      </w:r>
      <w:r>
        <w:rPr>
          <w:color w:val="000000"/>
        </w:rPr>
        <w:t>75-76; 47 C.F.R. § 20.21(e)(10)</w:t>
      </w:r>
      <w:r w:rsidRPr="003B2995">
        <w:rPr>
          <w:color w:val="000000"/>
        </w:rPr>
        <w:t>.</w:t>
      </w:r>
      <w:r>
        <w:rPr>
          <w:color w:val="000000"/>
        </w:rPr>
        <w:t xml:space="preserve">  </w:t>
      </w:r>
    </w:p>
  </w:footnote>
  <w:footnote w:id="6">
    <w:p w14:paraId="10E2E8D9" w14:textId="52D21E89" w:rsidR="007E579B" w:rsidRDefault="007E579B" w:rsidP="00C84972">
      <w:pPr>
        <w:pStyle w:val="FootnoteText"/>
      </w:pPr>
      <w:r>
        <w:rPr>
          <w:rStyle w:val="FootnoteReference"/>
        </w:rPr>
        <w:footnoteRef/>
      </w:r>
      <w:r>
        <w:t xml:space="preserve"> ClearRF Request at 1.</w:t>
      </w:r>
    </w:p>
  </w:footnote>
  <w:footnote w:id="7">
    <w:p w14:paraId="7269AC0F" w14:textId="51DFB332" w:rsidR="007E579B" w:rsidRPr="000F6139" w:rsidRDefault="007E579B">
      <w:pPr>
        <w:pStyle w:val="FootnoteText"/>
        <w:rPr>
          <w:i/>
        </w:rPr>
      </w:pPr>
      <w:r>
        <w:rPr>
          <w:rStyle w:val="FootnoteReference"/>
        </w:rPr>
        <w:footnoteRef/>
      </w:r>
      <w:r>
        <w:t xml:space="preserve"> </w:t>
      </w:r>
      <w:r>
        <w:rPr>
          <w:i/>
        </w:rPr>
        <w:t>Id.</w:t>
      </w:r>
    </w:p>
  </w:footnote>
  <w:footnote w:id="8">
    <w:p w14:paraId="1DCB912C" w14:textId="59D32709" w:rsidR="007E579B" w:rsidRPr="003E293D" w:rsidRDefault="007E579B">
      <w:pPr>
        <w:pStyle w:val="FootnoteText"/>
      </w:pPr>
      <w:r>
        <w:rPr>
          <w:rStyle w:val="FootnoteReference"/>
        </w:rPr>
        <w:footnoteRef/>
      </w:r>
      <w:r>
        <w:t xml:space="preserve"> </w:t>
      </w:r>
      <w:r w:rsidRPr="003E293D">
        <w:t>Wireless Telecommunications Bureau Seeks Comment on ClearRF Request for Determination of Equivalent Protection</w:t>
      </w:r>
      <w:r>
        <w:t xml:space="preserve">, WT Docket No. 10-4, </w:t>
      </w:r>
      <w:r>
        <w:rPr>
          <w:i/>
        </w:rPr>
        <w:t>Public Notice</w:t>
      </w:r>
      <w:r>
        <w:t>, DA 14-304 (Rel. Mar. 5, 2014).</w:t>
      </w:r>
    </w:p>
  </w:footnote>
  <w:footnote w:id="9">
    <w:p w14:paraId="2FE75217" w14:textId="7C1DE525" w:rsidR="007E579B" w:rsidRDefault="007E579B">
      <w:pPr>
        <w:pStyle w:val="FootnoteText"/>
      </w:pPr>
      <w:r>
        <w:rPr>
          <w:rStyle w:val="FootnoteReference"/>
        </w:rPr>
        <w:footnoteRef/>
      </w:r>
      <w:r>
        <w:t xml:space="preserve"> Wireless Telecommunications Bureau Extends Period to File Comments on ClearRF Request for Determination of Equivalent Protection, </w:t>
      </w:r>
      <w:r w:rsidRPr="003E293D">
        <w:t xml:space="preserve">WT Docket No. 10-4, </w:t>
      </w:r>
      <w:r w:rsidRPr="003E293D">
        <w:rPr>
          <w:i/>
        </w:rPr>
        <w:t>Public Notice</w:t>
      </w:r>
      <w:r w:rsidRPr="003E293D">
        <w:t>, DA 14-</w:t>
      </w:r>
      <w:r>
        <w:t>366</w:t>
      </w:r>
      <w:r w:rsidRPr="003E293D">
        <w:t xml:space="preserve"> (Rel. Mar. </w:t>
      </w:r>
      <w:r>
        <w:t>18</w:t>
      </w:r>
      <w:r w:rsidRPr="003E293D">
        <w:t>, 2014).</w:t>
      </w:r>
    </w:p>
  </w:footnote>
  <w:footnote w:id="10">
    <w:p w14:paraId="30D23D89" w14:textId="14AAAEA0" w:rsidR="007E579B" w:rsidRPr="0044668D" w:rsidRDefault="007E579B">
      <w:pPr>
        <w:pStyle w:val="FootnoteText"/>
      </w:pPr>
      <w:r>
        <w:rPr>
          <w:rStyle w:val="FootnoteReference"/>
        </w:rPr>
        <w:footnoteRef/>
      </w:r>
      <w:r>
        <w:t xml:space="preserve"> </w:t>
      </w:r>
      <w:r>
        <w:rPr>
          <w:i/>
        </w:rPr>
        <w:t xml:space="preserve">See </w:t>
      </w:r>
      <w:r>
        <w:t>CTIA Comments at 4; Verizon Comments at 3.</w:t>
      </w:r>
    </w:p>
  </w:footnote>
  <w:footnote w:id="11">
    <w:p w14:paraId="761F0DD1" w14:textId="35E37B1C" w:rsidR="007E579B" w:rsidRPr="0044668D" w:rsidRDefault="007E579B">
      <w:pPr>
        <w:pStyle w:val="FootnoteText"/>
        <w:rPr>
          <w:i/>
        </w:rPr>
      </w:pPr>
      <w:r>
        <w:rPr>
          <w:rStyle w:val="FootnoteReference"/>
        </w:rPr>
        <w:footnoteRef/>
      </w:r>
      <w:r>
        <w:t xml:space="preserve"> </w:t>
      </w:r>
      <w:r>
        <w:rPr>
          <w:i/>
        </w:rPr>
        <w:t>Id.</w:t>
      </w:r>
    </w:p>
  </w:footnote>
  <w:footnote w:id="12">
    <w:p w14:paraId="7E4EB54F" w14:textId="5922D11E" w:rsidR="007E579B" w:rsidRDefault="007E579B">
      <w:pPr>
        <w:pStyle w:val="FootnoteText"/>
      </w:pPr>
      <w:r>
        <w:rPr>
          <w:rStyle w:val="FootnoteReference"/>
        </w:rPr>
        <w:footnoteRef/>
      </w:r>
      <w:r>
        <w:t xml:space="preserve"> </w:t>
      </w:r>
      <w:r>
        <w:rPr>
          <w:i/>
        </w:rPr>
        <w:t xml:space="preserve">See </w:t>
      </w:r>
      <w:r>
        <w:t>Verizon Comments at 3.</w:t>
      </w:r>
    </w:p>
  </w:footnote>
  <w:footnote w:id="13">
    <w:p w14:paraId="74AA107F" w14:textId="0A74030C" w:rsidR="007E579B" w:rsidRDefault="007E579B">
      <w:pPr>
        <w:pStyle w:val="FootnoteText"/>
      </w:pPr>
      <w:r>
        <w:rPr>
          <w:rStyle w:val="FootnoteReference"/>
        </w:rPr>
        <w:footnoteRef/>
      </w:r>
      <w:r>
        <w:t xml:space="preserve"> 47 C.F.R. § </w:t>
      </w:r>
      <w:r w:rsidRPr="00F2471D">
        <w:t>20.21(e)(8)(i)(B)</w:t>
      </w:r>
      <w:r>
        <w:t xml:space="preserve">.  </w:t>
      </w:r>
    </w:p>
  </w:footnote>
  <w:footnote w:id="14">
    <w:p w14:paraId="08FC7143" w14:textId="6EF04D76" w:rsidR="007E579B" w:rsidRDefault="007E579B">
      <w:pPr>
        <w:pStyle w:val="FootnoteText"/>
      </w:pPr>
      <w:r>
        <w:rPr>
          <w:rStyle w:val="FootnoteReference"/>
        </w:rPr>
        <w:footnoteRef/>
      </w:r>
      <w:r>
        <w:t xml:space="preserve"> </w:t>
      </w:r>
      <w:r w:rsidRPr="00435628">
        <w:t>OET Knowledge Database Publication No. 935210 D03.</w:t>
      </w:r>
    </w:p>
  </w:footnote>
  <w:footnote w:id="15">
    <w:p w14:paraId="22126E90" w14:textId="10A55B22" w:rsidR="007E579B" w:rsidRDefault="007E579B">
      <w:pPr>
        <w:pStyle w:val="FootnoteText"/>
      </w:pPr>
      <w:r>
        <w:rPr>
          <w:rStyle w:val="FootnoteReference"/>
        </w:rPr>
        <w:footnoteRef/>
      </w:r>
      <w:r>
        <w:t xml:space="preserve"> ClearRF Request at 2. </w:t>
      </w:r>
    </w:p>
  </w:footnote>
  <w:footnote w:id="16">
    <w:p w14:paraId="2A398D62" w14:textId="6A6B8019" w:rsidR="007E579B" w:rsidRPr="00C73A7B" w:rsidRDefault="007E579B">
      <w:pPr>
        <w:pStyle w:val="FootnoteText"/>
        <w:rPr>
          <w:i/>
        </w:rPr>
      </w:pPr>
      <w:r>
        <w:rPr>
          <w:rStyle w:val="FootnoteReference"/>
        </w:rPr>
        <w:footnoteRef/>
      </w:r>
      <w:r>
        <w:t xml:space="preserve"> Verizon Comments at 6-7.  Verizon explains that wireless systems assign modulation and power control resources based on the assumption that uplink and downlink channels have roughly equivalent gain.  The system assigns uplink resources based on channel estimations derived from the downlink.  When the uplink and downlink connections are unbalanced, the system will assign suboptimal modulation and power resources to the uplink, resulting in interference.  Verizon further explains that the uplink channel is used for transmission control to confirm proper downlink data transmission.  Because the uplink transmissions would not be reliable in an unbalanced gain scenario, the system would not receive the required responses from the device connected to the booster and would keep retransmitting to the device resulting in additional interference.  </w:t>
      </w:r>
      <w:r>
        <w:rPr>
          <w:i/>
        </w:rPr>
        <w:t>Id.</w:t>
      </w:r>
    </w:p>
  </w:footnote>
  <w:footnote w:id="17">
    <w:p w14:paraId="2104D90E" w14:textId="08CD656B" w:rsidR="007E579B" w:rsidRDefault="007E579B">
      <w:pPr>
        <w:pStyle w:val="FootnoteText"/>
      </w:pPr>
      <w:r>
        <w:rPr>
          <w:rStyle w:val="FootnoteReference"/>
        </w:rPr>
        <w:footnoteRef/>
      </w:r>
      <w:r>
        <w:t xml:space="preserve"> ClearRF Request at 1.</w:t>
      </w:r>
    </w:p>
  </w:footnote>
  <w:footnote w:id="18">
    <w:p w14:paraId="4AA76FE9" w14:textId="1A5280CE" w:rsidR="007E579B" w:rsidRPr="0042540D" w:rsidRDefault="007E579B">
      <w:pPr>
        <w:pStyle w:val="FootnoteText"/>
      </w:pPr>
      <w:r>
        <w:rPr>
          <w:rStyle w:val="FootnoteReference"/>
        </w:rPr>
        <w:footnoteRef/>
      </w:r>
      <w:r>
        <w:t xml:space="preserve"> </w:t>
      </w:r>
      <w:r>
        <w:rPr>
          <w:i/>
        </w:rPr>
        <w:t xml:space="preserve">See </w:t>
      </w:r>
      <w:r>
        <w:t>CTIA Comments at 5.</w:t>
      </w:r>
    </w:p>
  </w:footnote>
  <w:footnote w:id="19">
    <w:p w14:paraId="2921F985" w14:textId="06C4FAAE" w:rsidR="007E579B" w:rsidRDefault="007E579B">
      <w:pPr>
        <w:pStyle w:val="FootnoteText"/>
      </w:pPr>
      <w:r>
        <w:rPr>
          <w:rStyle w:val="FootnoteReference"/>
        </w:rPr>
        <w:footnoteRef/>
      </w:r>
      <w:r>
        <w:t xml:space="preserve"> </w:t>
      </w:r>
      <w:r w:rsidR="00D220E7">
        <w:t xml:space="preserve">47 C.F.R. </w:t>
      </w:r>
      <w:r w:rsidR="0034628D">
        <w:t xml:space="preserve">§ </w:t>
      </w:r>
      <w:r w:rsidRPr="00FF33F8">
        <w:t>20.21(e)(8)(i)(C)(2)(iii)</w:t>
      </w:r>
      <w:r>
        <w:t>.</w:t>
      </w:r>
    </w:p>
  </w:footnote>
  <w:footnote w:id="20">
    <w:p w14:paraId="6A4977AF" w14:textId="3129B2F2" w:rsidR="007E579B" w:rsidRDefault="007E579B">
      <w:pPr>
        <w:pStyle w:val="FootnoteText"/>
      </w:pPr>
      <w:r>
        <w:rPr>
          <w:rStyle w:val="FootnoteReference"/>
        </w:rPr>
        <w:footnoteRef/>
      </w:r>
      <w:r>
        <w:t xml:space="preserve"> </w:t>
      </w:r>
      <w:r w:rsidRPr="000F6139">
        <w:t>Verizon Comments at 7.</w:t>
      </w:r>
    </w:p>
  </w:footnote>
  <w:footnote w:id="21">
    <w:p w14:paraId="0668DAB8" w14:textId="6C421AF5" w:rsidR="007E579B" w:rsidRPr="000F6139" w:rsidRDefault="007E579B">
      <w:pPr>
        <w:pStyle w:val="FootnoteText"/>
        <w:rPr>
          <w:i/>
        </w:rPr>
      </w:pPr>
      <w:r>
        <w:rPr>
          <w:rStyle w:val="FootnoteReference"/>
        </w:rPr>
        <w:footnoteRef/>
      </w:r>
      <w:r>
        <w:t xml:space="preserve"> </w:t>
      </w:r>
      <w:r>
        <w:rPr>
          <w:i/>
        </w:rPr>
        <w:t>Id.</w:t>
      </w:r>
    </w:p>
  </w:footnote>
  <w:footnote w:id="22">
    <w:p w14:paraId="4A25F34E" w14:textId="61D99CB2" w:rsidR="007E579B" w:rsidRDefault="007E579B">
      <w:pPr>
        <w:pStyle w:val="FootnoteText"/>
      </w:pPr>
      <w:r>
        <w:rPr>
          <w:rStyle w:val="FootnoteReference"/>
        </w:rPr>
        <w:footnoteRef/>
      </w:r>
      <w:r>
        <w:t xml:space="preserve"> ClearRF Request at 2.</w:t>
      </w:r>
    </w:p>
  </w:footnote>
  <w:footnote w:id="23">
    <w:p w14:paraId="3AE8F538" w14:textId="46D953E3" w:rsidR="007E579B" w:rsidRDefault="007E579B">
      <w:pPr>
        <w:pStyle w:val="FootnoteText"/>
      </w:pPr>
      <w:r>
        <w:rPr>
          <w:rStyle w:val="FootnoteReference"/>
        </w:rPr>
        <w:footnoteRef/>
      </w:r>
      <w:r>
        <w:t xml:space="preserve"> </w:t>
      </w:r>
      <w:r>
        <w:rPr>
          <w:i/>
        </w:rPr>
        <w:t>Id.</w:t>
      </w:r>
    </w:p>
  </w:footnote>
  <w:footnote w:id="24">
    <w:p w14:paraId="584B95B7" w14:textId="74ADDC26" w:rsidR="007E579B" w:rsidRDefault="007E579B">
      <w:pPr>
        <w:pStyle w:val="FootnoteText"/>
      </w:pPr>
      <w:r>
        <w:rPr>
          <w:rStyle w:val="FootnoteReference"/>
        </w:rPr>
        <w:footnoteRef/>
      </w:r>
      <w:r>
        <w:t xml:space="preserve"> </w:t>
      </w:r>
      <w:r>
        <w:rPr>
          <w:i/>
        </w:rPr>
        <w:t xml:space="preserve">Id. </w:t>
      </w:r>
      <w:r>
        <w:t>at 1 (stating that the Commission’s rules “do not clearly account for signal boosters designed for use with M2M devices where the booster amplifier is directly cabled to the M2M device’s antenna port (not intended to be connected to a cell phone)”).</w:t>
      </w:r>
    </w:p>
  </w:footnote>
  <w:footnote w:id="25">
    <w:p w14:paraId="5FA99EB3" w14:textId="1C98C5EE" w:rsidR="007E579B" w:rsidRDefault="007E579B">
      <w:pPr>
        <w:pStyle w:val="FootnoteText"/>
      </w:pPr>
      <w:r>
        <w:rPr>
          <w:rStyle w:val="FootnoteReference"/>
        </w:rPr>
        <w:footnoteRef/>
      </w:r>
      <w:r>
        <w:t xml:space="preserve"> </w:t>
      </w:r>
      <w:r w:rsidRPr="00AA0076">
        <w:t>47 C.F.R. § 20.21(a).</w:t>
      </w:r>
    </w:p>
  </w:footnote>
  <w:footnote w:id="26">
    <w:p w14:paraId="50BBE2EA" w14:textId="7577925A" w:rsidR="007E579B" w:rsidRDefault="007E579B">
      <w:pPr>
        <w:pStyle w:val="FootnoteText"/>
      </w:pPr>
      <w:r>
        <w:rPr>
          <w:rStyle w:val="FootnoteReference"/>
        </w:rPr>
        <w:footnoteRef/>
      </w:r>
      <w:r>
        <w:t xml:space="preserve"> </w:t>
      </w:r>
      <w:r w:rsidRPr="00AA0076">
        <w:rPr>
          <w:i/>
          <w:iCs/>
        </w:rPr>
        <w:t>Report and Order</w:t>
      </w:r>
      <w:r w:rsidRPr="00AA0076">
        <w:t>, 28 FCC Rcd at 1674, ¶ 27.</w:t>
      </w:r>
    </w:p>
  </w:footnote>
  <w:footnote w:id="27">
    <w:p w14:paraId="777B5A44" w14:textId="7F5326E3" w:rsidR="007E579B" w:rsidRDefault="007E579B">
      <w:pPr>
        <w:pStyle w:val="FootnoteText"/>
      </w:pPr>
      <w:r>
        <w:rPr>
          <w:rStyle w:val="FootnoteReference"/>
        </w:rPr>
        <w:footnoteRef/>
      </w:r>
      <w:r>
        <w:t xml:space="preserve"> </w:t>
      </w:r>
      <w:r w:rsidRPr="00AA0076">
        <w:rPr>
          <w:i/>
          <w:iCs/>
        </w:rPr>
        <w:t xml:space="preserve">See, e.g., Ex Parte </w:t>
      </w:r>
      <w:r w:rsidRPr="00AA0076">
        <w:t>Letter from Andre J. Lachance, Assistant General Counsel, Verizon, to Marlene Dortch, Secretary, Federal Communications Commission (Jan. 29, 2013) at 1 (limiting voluntary consent to “consumer boosters [that] meet one of the consumer booster safe harbor protection standards [in the NPS]”).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836B7" w14:textId="77777777" w:rsidR="00022100" w:rsidRDefault="00022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8F28" w14:textId="131A5508" w:rsidR="007E579B" w:rsidRDefault="007E579B" w:rsidP="009C1C7D">
    <w:pPr>
      <w:pStyle w:val="Header"/>
    </w:pPr>
    <w:r>
      <w:rPr>
        <w:b w:val="0"/>
        <w:noProof/>
      </w:rPr>
      <mc:AlternateContent>
        <mc:Choice Requires="wps">
          <w:drawing>
            <wp:anchor distT="0" distB="0" distL="114300" distR="114300" simplePos="0" relativeHeight="251657728" behindDoc="1" locked="0" layoutInCell="0" allowOverlap="1" wp14:anchorId="26EC9775" wp14:editId="5D7B3E17">
              <wp:simplePos x="0" y="0"/>
              <wp:positionH relativeFrom="margin">
                <wp:posOffset>0</wp:posOffset>
              </wp:positionH>
              <wp:positionV relativeFrom="paragraph">
                <wp:posOffset>173355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0;margin-top:13.6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" o:allowincell="f" fillcolor="black" stroked="f" strokeweight=".05pt">
              <w10:wrap anchorx="margin"/>
            </v:rect>
          </w:pict>
        </mc:Fallback>
      </mc:AlternateContent>
    </w:r>
    <w:r>
      <w:tab/>
      <w:t>Federal Communications Commission</w:t>
    </w:r>
    <w:r>
      <w:tab/>
    </w:r>
    <w:r w:rsidR="00D220E7">
      <w:t>DA</w:t>
    </w:r>
    <w:r>
      <w:t xml:space="preserve"> 14-</w:t>
    </w:r>
    <w:r w:rsidR="007D74C5">
      <w:t>509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8A97B" w14:textId="7C044E2C" w:rsidR="007E579B" w:rsidRPr="008D0427" w:rsidRDefault="00491F11" w:rsidP="008D0427">
    <w:pPr>
      <w:pStyle w:val="Header"/>
    </w:pPr>
    <w:r>
      <w:rPr>
        <w:noProof/>
      </w:rPr>
      <mc:AlternateContent>
        <mc:Choice Requires="wps">
          <w:drawing>
            <wp:anchor distT="0" distB="0" distL="114300" distR="114300" simplePos="0" relativeHeight="251659776" behindDoc="1" locked="0" layoutInCell="0" allowOverlap="1" wp14:anchorId="6B1E1B38" wp14:editId="4C37D875">
              <wp:simplePos x="0" y="0"/>
              <wp:positionH relativeFrom="margin">
                <wp:posOffset>-9525</wp:posOffset>
              </wp:positionH>
              <wp:positionV relativeFrom="paragraph">
                <wp:posOffset>163830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5pt;margin-top:12.9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" o:allowincell="f" fillcolor="black" stroked="f" strokeweight=".05pt">
              <w10:wrap anchorx="margin"/>
            </v:rect>
          </w:pict>
        </mc:Fallback>
      </mc:AlternateContent>
    </w:r>
    <w:r w:rsidR="007E579B" w:rsidRPr="008B5BD5">
      <w:tab/>
      <w:t>Federal Communications Commission</w:t>
    </w:r>
    <w:r w:rsidR="007E579B" w:rsidRPr="008B5BD5">
      <w:tab/>
    </w:r>
    <w:r w:rsidR="00D220E7">
      <w:rPr>
        <w:spacing w:val="-2"/>
      </w:rPr>
      <w:t>DA</w:t>
    </w:r>
    <w:r w:rsidR="007E579B" w:rsidRPr="00312436">
      <w:rPr>
        <w:spacing w:val="-2"/>
      </w:rPr>
      <w:t xml:space="preserve"> 14-</w:t>
    </w:r>
    <w:r w:rsidR="007D74C5">
      <w:rPr>
        <w:spacing w:val="-2"/>
      </w:rPr>
      <w:t>509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2147F05"/>
    <w:multiLevelType w:val="hybridMultilevel"/>
    <w:tmpl w:val="7200F086"/>
    <w:lvl w:ilvl="0" w:tplc="441C68C0">
      <w:start w:val="1"/>
      <w:numFmt w:val="bullet"/>
      <w:lvlText w:val=""/>
      <w:lvlJc w:val="left"/>
      <w:pPr>
        <w:ind w:left="41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5DA30A42"/>
    <w:multiLevelType w:val="hybridMultilevel"/>
    <w:tmpl w:val="F00E0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4"/>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7"/>
  </w:num>
  <w:num w:numId="17">
    <w:abstractNumId w:val="8"/>
    <w:lvlOverride w:ilvl="0">
      <w:startOverride w:val="1"/>
    </w:lvlOverride>
  </w:num>
  <w:num w:numId="18">
    <w:abstractNumId w:val="8"/>
  </w:num>
  <w:num w:numId="19">
    <w:abstractNumId w:val="8"/>
  </w:num>
  <w:num w:numId="20">
    <w:abstractNumId w:val="8"/>
  </w:num>
  <w:num w:numId="21">
    <w:abstractNumId w:val="8"/>
  </w:num>
  <w:num w:numId="22">
    <w:abstractNumId w:val="8"/>
    <w:lvlOverride w:ilvl="0">
      <w:startOverride w:val="1"/>
    </w:lvlOverride>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4E"/>
    <w:rsid w:val="00003EF0"/>
    <w:rsid w:val="000045F3"/>
    <w:rsid w:val="00022100"/>
    <w:rsid w:val="00025497"/>
    <w:rsid w:val="000274D3"/>
    <w:rsid w:val="00044B05"/>
    <w:rsid w:val="00066C98"/>
    <w:rsid w:val="000706B5"/>
    <w:rsid w:val="00070CFC"/>
    <w:rsid w:val="00076032"/>
    <w:rsid w:val="00084D7D"/>
    <w:rsid w:val="0009725F"/>
    <w:rsid w:val="000C21C8"/>
    <w:rsid w:val="000D5066"/>
    <w:rsid w:val="000F546E"/>
    <w:rsid w:val="000F6139"/>
    <w:rsid w:val="00141792"/>
    <w:rsid w:val="00146CB8"/>
    <w:rsid w:val="00157FD6"/>
    <w:rsid w:val="00162BAF"/>
    <w:rsid w:val="00177C46"/>
    <w:rsid w:val="00187A4E"/>
    <w:rsid w:val="00187D30"/>
    <w:rsid w:val="00194D9D"/>
    <w:rsid w:val="0019717B"/>
    <w:rsid w:val="001A17A3"/>
    <w:rsid w:val="001A5B6B"/>
    <w:rsid w:val="001E1597"/>
    <w:rsid w:val="001E5E4F"/>
    <w:rsid w:val="001F1225"/>
    <w:rsid w:val="001F5EF5"/>
    <w:rsid w:val="00202552"/>
    <w:rsid w:val="00207FD3"/>
    <w:rsid w:val="002124AC"/>
    <w:rsid w:val="00223849"/>
    <w:rsid w:val="002304BC"/>
    <w:rsid w:val="00231343"/>
    <w:rsid w:val="00234AAE"/>
    <w:rsid w:val="0024683A"/>
    <w:rsid w:val="0027079F"/>
    <w:rsid w:val="00284901"/>
    <w:rsid w:val="00287B41"/>
    <w:rsid w:val="002A74A8"/>
    <w:rsid w:val="002C1846"/>
    <w:rsid w:val="002C56F3"/>
    <w:rsid w:val="002E43AF"/>
    <w:rsid w:val="002F559E"/>
    <w:rsid w:val="00312436"/>
    <w:rsid w:val="00312E8A"/>
    <w:rsid w:val="00327E00"/>
    <w:rsid w:val="0034533E"/>
    <w:rsid w:val="0034628D"/>
    <w:rsid w:val="00361CEA"/>
    <w:rsid w:val="00387C63"/>
    <w:rsid w:val="003A019A"/>
    <w:rsid w:val="003A1C75"/>
    <w:rsid w:val="003D136C"/>
    <w:rsid w:val="003D238A"/>
    <w:rsid w:val="003D2648"/>
    <w:rsid w:val="003E293D"/>
    <w:rsid w:val="003E3B28"/>
    <w:rsid w:val="003F5CB4"/>
    <w:rsid w:val="003F6338"/>
    <w:rsid w:val="00421AEB"/>
    <w:rsid w:val="0042540D"/>
    <w:rsid w:val="00435628"/>
    <w:rsid w:val="0044668D"/>
    <w:rsid w:val="004570DB"/>
    <w:rsid w:val="00467C63"/>
    <w:rsid w:val="0047263C"/>
    <w:rsid w:val="004840F8"/>
    <w:rsid w:val="00491F11"/>
    <w:rsid w:val="00494BA6"/>
    <w:rsid w:val="004A4873"/>
    <w:rsid w:val="004B4F80"/>
    <w:rsid w:val="004C2C2D"/>
    <w:rsid w:val="004C5922"/>
    <w:rsid w:val="004E349B"/>
    <w:rsid w:val="005302F7"/>
    <w:rsid w:val="005457B4"/>
    <w:rsid w:val="00564866"/>
    <w:rsid w:val="00577897"/>
    <w:rsid w:val="00582422"/>
    <w:rsid w:val="005959A7"/>
    <w:rsid w:val="005A1DA8"/>
    <w:rsid w:val="005A202E"/>
    <w:rsid w:val="005A6415"/>
    <w:rsid w:val="005C04E5"/>
    <w:rsid w:val="005C0F81"/>
    <w:rsid w:val="005C281A"/>
    <w:rsid w:val="005D2008"/>
    <w:rsid w:val="005D6230"/>
    <w:rsid w:val="005E3081"/>
    <w:rsid w:val="005E4CF5"/>
    <w:rsid w:val="005F6570"/>
    <w:rsid w:val="005F711A"/>
    <w:rsid w:val="00604FCA"/>
    <w:rsid w:val="0062028C"/>
    <w:rsid w:val="0063084D"/>
    <w:rsid w:val="00632A63"/>
    <w:rsid w:val="006351EE"/>
    <w:rsid w:val="006378B9"/>
    <w:rsid w:val="00641F7A"/>
    <w:rsid w:val="00656DB0"/>
    <w:rsid w:val="006711EB"/>
    <w:rsid w:val="00674571"/>
    <w:rsid w:val="00685D4E"/>
    <w:rsid w:val="006A4149"/>
    <w:rsid w:val="006B135A"/>
    <w:rsid w:val="006B1F26"/>
    <w:rsid w:val="006C4FF5"/>
    <w:rsid w:val="006D5B5E"/>
    <w:rsid w:val="006E642F"/>
    <w:rsid w:val="006F1939"/>
    <w:rsid w:val="00726E9B"/>
    <w:rsid w:val="00735BF6"/>
    <w:rsid w:val="00742DB7"/>
    <w:rsid w:val="0074414B"/>
    <w:rsid w:val="00777EB7"/>
    <w:rsid w:val="00780595"/>
    <w:rsid w:val="00786153"/>
    <w:rsid w:val="00791E3C"/>
    <w:rsid w:val="007A33D9"/>
    <w:rsid w:val="007B7453"/>
    <w:rsid w:val="007D74C5"/>
    <w:rsid w:val="007E1809"/>
    <w:rsid w:val="007E579B"/>
    <w:rsid w:val="007F112C"/>
    <w:rsid w:val="007F37B0"/>
    <w:rsid w:val="00840CF2"/>
    <w:rsid w:val="008A648A"/>
    <w:rsid w:val="008B26C5"/>
    <w:rsid w:val="008B5BD5"/>
    <w:rsid w:val="008C1E66"/>
    <w:rsid w:val="008D0427"/>
    <w:rsid w:val="008D69EA"/>
    <w:rsid w:val="008E6D56"/>
    <w:rsid w:val="008F1038"/>
    <w:rsid w:val="008F28C9"/>
    <w:rsid w:val="00911A6B"/>
    <w:rsid w:val="00927296"/>
    <w:rsid w:val="00933F08"/>
    <w:rsid w:val="00934B1D"/>
    <w:rsid w:val="009508D6"/>
    <w:rsid w:val="00950B10"/>
    <w:rsid w:val="009523EA"/>
    <w:rsid w:val="00991ABE"/>
    <w:rsid w:val="009B2241"/>
    <w:rsid w:val="009B6E32"/>
    <w:rsid w:val="009C1C7D"/>
    <w:rsid w:val="009D1D50"/>
    <w:rsid w:val="009D4D96"/>
    <w:rsid w:val="009E0AD1"/>
    <w:rsid w:val="00A00FBB"/>
    <w:rsid w:val="00A27D0C"/>
    <w:rsid w:val="00A36810"/>
    <w:rsid w:val="00A452E2"/>
    <w:rsid w:val="00A4754B"/>
    <w:rsid w:val="00AA0076"/>
    <w:rsid w:val="00AB18D4"/>
    <w:rsid w:val="00AE0335"/>
    <w:rsid w:val="00AE1A8F"/>
    <w:rsid w:val="00AE25D6"/>
    <w:rsid w:val="00AE7539"/>
    <w:rsid w:val="00AF08F3"/>
    <w:rsid w:val="00B503A3"/>
    <w:rsid w:val="00B52F49"/>
    <w:rsid w:val="00B561B2"/>
    <w:rsid w:val="00B7221C"/>
    <w:rsid w:val="00BA1CB9"/>
    <w:rsid w:val="00BA5D22"/>
    <w:rsid w:val="00BB1D85"/>
    <w:rsid w:val="00BC3347"/>
    <w:rsid w:val="00BD662A"/>
    <w:rsid w:val="00C1764C"/>
    <w:rsid w:val="00C35677"/>
    <w:rsid w:val="00C35C12"/>
    <w:rsid w:val="00C36BE5"/>
    <w:rsid w:val="00C61192"/>
    <w:rsid w:val="00C73A7B"/>
    <w:rsid w:val="00C764C4"/>
    <w:rsid w:val="00C84972"/>
    <w:rsid w:val="00C91326"/>
    <w:rsid w:val="00C92AF6"/>
    <w:rsid w:val="00C978D4"/>
    <w:rsid w:val="00CA3348"/>
    <w:rsid w:val="00CF1F2F"/>
    <w:rsid w:val="00D0088A"/>
    <w:rsid w:val="00D02EE6"/>
    <w:rsid w:val="00D220E7"/>
    <w:rsid w:val="00D37C87"/>
    <w:rsid w:val="00D37CAE"/>
    <w:rsid w:val="00D6507E"/>
    <w:rsid w:val="00D7504D"/>
    <w:rsid w:val="00D83F8D"/>
    <w:rsid w:val="00D92DD2"/>
    <w:rsid w:val="00D94E61"/>
    <w:rsid w:val="00DA5514"/>
    <w:rsid w:val="00DB106B"/>
    <w:rsid w:val="00DB22CE"/>
    <w:rsid w:val="00DB36BF"/>
    <w:rsid w:val="00DB3CB8"/>
    <w:rsid w:val="00DD380A"/>
    <w:rsid w:val="00DE3A5A"/>
    <w:rsid w:val="00DF4007"/>
    <w:rsid w:val="00DF66D2"/>
    <w:rsid w:val="00E24F42"/>
    <w:rsid w:val="00E25D6D"/>
    <w:rsid w:val="00E369E6"/>
    <w:rsid w:val="00E62773"/>
    <w:rsid w:val="00E63285"/>
    <w:rsid w:val="00E81D67"/>
    <w:rsid w:val="00EB435A"/>
    <w:rsid w:val="00EB66CA"/>
    <w:rsid w:val="00EE65EC"/>
    <w:rsid w:val="00F14E4B"/>
    <w:rsid w:val="00F16906"/>
    <w:rsid w:val="00F17C40"/>
    <w:rsid w:val="00F221B6"/>
    <w:rsid w:val="00F2471D"/>
    <w:rsid w:val="00F26E4F"/>
    <w:rsid w:val="00F334B1"/>
    <w:rsid w:val="00F83CA7"/>
    <w:rsid w:val="00F85750"/>
    <w:rsid w:val="00F9306E"/>
    <w:rsid w:val="00FB1BEC"/>
    <w:rsid w:val="00FB1D64"/>
    <w:rsid w:val="00FB27C7"/>
    <w:rsid w:val="00FB744D"/>
    <w:rsid w:val="00FC3F4E"/>
    <w:rsid w:val="00FC7EBF"/>
    <w:rsid w:val="00FF32D2"/>
    <w:rsid w:val="00FF33F8"/>
    <w:rsid w:val="00FF65F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7C0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Default Paragraph Font" w:uiPriority="1"/>
    <w:lsdException w:name="No List" w:uiPriority="99"/>
    <w:lsdException w:name="Revision" w:uiPriority="9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CEA"/>
    <w:pPr>
      <w:widowControl w:val="0"/>
    </w:pPr>
    <w:rPr>
      <w:snapToGrid w:val="0"/>
      <w:kern w:val="28"/>
      <w:sz w:val="22"/>
      <w:szCs w:val="20"/>
    </w:rPr>
  </w:style>
  <w:style w:type="paragraph" w:styleId="Heading1">
    <w:name w:val="heading 1"/>
    <w:basedOn w:val="Normal"/>
    <w:next w:val="ParaNum"/>
    <w:link w:val="Heading1Char"/>
    <w:qFormat/>
    <w:rsid w:val="00361CE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61CEA"/>
    <w:pPr>
      <w:keepNext/>
      <w:numPr>
        <w:ilvl w:val="1"/>
        <w:numId w:val="3"/>
      </w:numPr>
      <w:spacing w:after="120"/>
      <w:outlineLvl w:val="1"/>
    </w:pPr>
    <w:rPr>
      <w:b/>
    </w:rPr>
  </w:style>
  <w:style w:type="paragraph" w:styleId="Heading3">
    <w:name w:val="heading 3"/>
    <w:basedOn w:val="Normal"/>
    <w:next w:val="ParaNum"/>
    <w:link w:val="Heading3Char"/>
    <w:qFormat/>
    <w:rsid w:val="00361CEA"/>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61CEA"/>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61CEA"/>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61CE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61CE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61CE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61CE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61C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1CEA"/>
  </w:style>
  <w:style w:type="paragraph" w:styleId="BalloonText">
    <w:name w:val="Balloon Text"/>
    <w:basedOn w:val="Normal"/>
    <w:link w:val="BalloonTextChar1"/>
    <w:rsid w:val="000D32BD"/>
    <w:rPr>
      <w:rFonts w:ascii="Tahoma" w:hAnsi="Tahoma" w:cs="Tahoma"/>
      <w:sz w:val="16"/>
      <w:szCs w:val="16"/>
    </w:rPr>
  </w:style>
  <w:style w:type="character" w:customStyle="1" w:styleId="BalloonTextChar">
    <w:name w:val="Balloon Text Char"/>
    <w:basedOn w:val="DefaultParagraphFont"/>
    <w:uiPriority w:val="99"/>
    <w:semiHidden/>
    <w:rsid w:val="004265EC"/>
    <w:rPr>
      <w:rFonts w:ascii="Lucida Grande" w:hAnsi="Lucida Grande"/>
      <w:sz w:val="18"/>
      <w:szCs w:val="18"/>
    </w:rPr>
  </w:style>
  <w:style w:type="character" w:customStyle="1" w:styleId="BalloonTextChar0">
    <w:name w:val="Balloon Text Char"/>
    <w:basedOn w:val="DefaultParagraphFont"/>
    <w:uiPriority w:val="99"/>
    <w:semiHidden/>
    <w:rsid w:val="004265EC"/>
    <w:rPr>
      <w:rFonts w:ascii="Lucida Grande" w:hAnsi="Lucida Grande"/>
      <w:sz w:val="18"/>
      <w:szCs w:val="18"/>
    </w:rPr>
  </w:style>
  <w:style w:type="paragraph" w:customStyle="1" w:styleId="ParaNum">
    <w:name w:val="ParaNum"/>
    <w:basedOn w:val="Normal"/>
    <w:link w:val="ParaNumChar"/>
    <w:rsid w:val="00361CEA"/>
    <w:pPr>
      <w:numPr>
        <w:numId w:val="2"/>
      </w:numPr>
      <w:tabs>
        <w:tab w:val="clear" w:pos="1080"/>
        <w:tab w:val="num" w:pos="1440"/>
      </w:tabs>
      <w:spacing w:after="120"/>
    </w:pPr>
  </w:style>
  <w:style w:type="paragraph" w:styleId="EndnoteText">
    <w:name w:val="endnote text"/>
    <w:basedOn w:val="Normal"/>
    <w:semiHidden/>
    <w:rsid w:val="00361CEA"/>
    <w:rPr>
      <w:sz w:val="20"/>
    </w:rPr>
  </w:style>
  <w:style w:type="character" w:styleId="EndnoteReference">
    <w:name w:val="endnote reference"/>
    <w:semiHidden/>
    <w:rsid w:val="00361CEA"/>
    <w:rPr>
      <w:vertAlign w:val="superscript"/>
    </w:rPr>
  </w:style>
  <w:style w:type="paragraph" w:styleId="FootnoteText">
    <w:name w:val="footnote text"/>
    <w:aliases w:val="ALTS FOOTNOTE,fn Char,Footnote Text Char2 Char,Footnote Text Char3 Char1 Char,Footnote Text Char2 Char1 Char1 Char,Footnote Text Char3 Char1 Char Char Char,Footnote Text Char2 Char1 Char1 Char Char Char,fn,fn Char1,f,Footnote Text Ch"/>
    <w:link w:val="FootnoteTextChar"/>
    <w:rsid w:val="00361CEA"/>
    <w:pPr>
      <w:spacing w:after="120"/>
    </w:pPr>
    <w:rPr>
      <w:sz w:val="20"/>
      <w:szCs w:val="20"/>
    </w:rPr>
  </w:style>
  <w:style w:type="character" w:styleId="FootnoteReference">
    <w:name w:val="footnote reference"/>
    <w:aliases w:val="Style 12,(NECG) Footnote Reference,Style 13,Appel note de bas de p,Style 124,fr,o,Style 3,FR,Style 17,Footnote Reference/,Style 6"/>
    <w:rsid w:val="00361CEA"/>
    <w:rPr>
      <w:rFonts w:ascii="Times New Roman" w:hAnsi="Times New Roman"/>
      <w:dstrike w:val="0"/>
      <w:color w:val="auto"/>
      <w:sz w:val="20"/>
      <w:vertAlign w:val="superscript"/>
    </w:rPr>
  </w:style>
  <w:style w:type="paragraph" w:styleId="TOC1">
    <w:name w:val="toc 1"/>
    <w:basedOn w:val="Normal"/>
    <w:next w:val="Normal"/>
    <w:semiHidden/>
    <w:rsid w:val="00361CE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61CEA"/>
    <w:pPr>
      <w:tabs>
        <w:tab w:val="left" w:pos="720"/>
        <w:tab w:val="right" w:leader="dot" w:pos="9360"/>
      </w:tabs>
      <w:suppressAutoHyphens/>
      <w:ind w:left="720" w:right="720" w:hanging="360"/>
    </w:pPr>
    <w:rPr>
      <w:noProof/>
    </w:rPr>
  </w:style>
  <w:style w:type="paragraph" w:styleId="TOC3">
    <w:name w:val="toc 3"/>
    <w:basedOn w:val="Normal"/>
    <w:next w:val="Normal"/>
    <w:semiHidden/>
    <w:rsid w:val="00361CE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61CE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61C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61CE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61CE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61CE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61CE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61CEA"/>
    <w:pPr>
      <w:tabs>
        <w:tab w:val="right" w:pos="9360"/>
      </w:tabs>
      <w:suppressAutoHyphens/>
    </w:pPr>
  </w:style>
  <w:style w:type="character" w:customStyle="1" w:styleId="EquationCaption">
    <w:name w:val="_Equation Caption"/>
    <w:rsid w:val="00361CEA"/>
  </w:style>
  <w:style w:type="paragraph" w:styleId="Header">
    <w:name w:val="header"/>
    <w:basedOn w:val="Normal"/>
    <w:autoRedefine/>
    <w:rsid w:val="00361CEA"/>
    <w:pPr>
      <w:tabs>
        <w:tab w:val="center" w:pos="4680"/>
        <w:tab w:val="right" w:pos="9360"/>
      </w:tabs>
    </w:pPr>
    <w:rPr>
      <w:b/>
    </w:rPr>
  </w:style>
  <w:style w:type="paragraph" w:styleId="Footer">
    <w:name w:val="footer"/>
    <w:basedOn w:val="Normal"/>
    <w:rsid w:val="00361CEA"/>
    <w:pPr>
      <w:tabs>
        <w:tab w:val="center" w:pos="4320"/>
        <w:tab w:val="right" w:pos="8640"/>
      </w:tabs>
    </w:pPr>
  </w:style>
  <w:style w:type="character" w:styleId="PageNumber">
    <w:name w:val="page number"/>
    <w:basedOn w:val="DefaultParagraphFont"/>
    <w:rsid w:val="00361CEA"/>
  </w:style>
  <w:style w:type="paragraph" w:styleId="BlockText">
    <w:name w:val="Block Text"/>
    <w:basedOn w:val="Normal"/>
    <w:rsid w:val="00361CEA"/>
    <w:pPr>
      <w:spacing w:after="240"/>
      <w:ind w:left="1440" w:right="1440"/>
    </w:pPr>
  </w:style>
  <w:style w:type="paragraph" w:customStyle="1" w:styleId="Paratitle">
    <w:name w:val="Para title"/>
    <w:basedOn w:val="Normal"/>
    <w:rsid w:val="00361CEA"/>
    <w:pPr>
      <w:tabs>
        <w:tab w:val="center" w:pos="9270"/>
      </w:tabs>
      <w:spacing w:after="240"/>
    </w:pPr>
    <w:rPr>
      <w:spacing w:val="-2"/>
    </w:rPr>
  </w:style>
  <w:style w:type="paragraph" w:customStyle="1" w:styleId="Bullet">
    <w:name w:val="Bullet"/>
    <w:basedOn w:val="Normal"/>
    <w:rsid w:val="00361CEA"/>
    <w:pPr>
      <w:tabs>
        <w:tab w:val="left" w:pos="2160"/>
      </w:tabs>
      <w:spacing w:after="220"/>
      <w:ind w:left="2160" w:hanging="720"/>
    </w:pPr>
  </w:style>
  <w:style w:type="paragraph" w:customStyle="1" w:styleId="TableFormat">
    <w:name w:val="TableFormat"/>
    <w:basedOn w:val="Bullet"/>
    <w:rsid w:val="00361CEA"/>
    <w:pPr>
      <w:tabs>
        <w:tab w:val="clear" w:pos="2160"/>
        <w:tab w:val="left" w:pos="5040"/>
      </w:tabs>
      <w:ind w:left="5040" w:hanging="3600"/>
    </w:pPr>
  </w:style>
  <w:style w:type="paragraph" w:customStyle="1" w:styleId="TOCTitle">
    <w:name w:val="TOC Title"/>
    <w:basedOn w:val="Normal"/>
    <w:rsid w:val="00361C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61CEA"/>
    <w:pPr>
      <w:jc w:val="center"/>
    </w:pPr>
    <w:rPr>
      <w:rFonts w:ascii="Times New Roman Bold" w:hAnsi="Times New Roman Bold"/>
      <w:b/>
      <w:bCs/>
      <w:caps/>
      <w:szCs w:val="22"/>
    </w:rPr>
  </w:style>
  <w:style w:type="character" w:styleId="Hyperlink">
    <w:name w:val="Hyperlink"/>
    <w:rsid w:val="00361CEA"/>
    <w:rPr>
      <w:color w:val="0000FF"/>
      <w:u w:val="single"/>
    </w:rPr>
  </w:style>
  <w:style w:type="paragraph" w:styleId="ListParagraph">
    <w:name w:val="List Paragraph"/>
    <w:basedOn w:val="Normal"/>
    <w:uiPriority w:val="99"/>
    <w:qFormat/>
    <w:rsid w:val="00D7090C"/>
    <w:pPr>
      <w:ind w:left="720"/>
    </w:pPr>
    <w:rPr>
      <w:rFonts w:ascii="Calibri" w:eastAsia="Calibri" w:hAnsi="Calibri" w:cs="Calibri"/>
      <w:snapToGrid/>
    </w:rPr>
  </w:style>
  <w:style w:type="paragraph" w:customStyle="1" w:styleId="Default">
    <w:name w:val="Default"/>
    <w:rsid w:val="00452FC2"/>
    <w:pPr>
      <w:autoSpaceDE w:val="0"/>
      <w:autoSpaceDN w:val="0"/>
      <w:adjustRightInd w:val="0"/>
    </w:pPr>
    <w:rPr>
      <w:color w:val="000000"/>
    </w:rPr>
  </w:style>
  <w:style w:type="character" w:styleId="CommentReference">
    <w:name w:val="annotation reference"/>
    <w:basedOn w:val="DefaultParagraphFont"/>
    <w:rsid w:val="000D32BD"/>
    <w:rPr>
      <w:sz w:val="16"/>
      <w:szCs w:val="16"/>
    </w:rPr>
  </w:style>
  <w:style w:type="paragraph" w:styleId="CommentText">
    <w:name w:val="annotation text"/>
    <w:basedOn w:val="Normal"/>
    <w:link w:val="CommentTextChar"/>
    <w:rsid w:val="000D32BD"/>
  </w:style>
  <w:style w:type="character" w:customStyle="1" w:styleId="CommentTextChar">
    <w:name w:val="Comment Text Char"/>
    <w:basedOn w:val="DefaultParagraphFont"/>
    <w:link w:val="CommentText"/>
    <w:rsid w:val="00AE25D6"/>
    <w:rPr>
      <w:snapToGrid w:val="0"/>
      <w:kern w:val="28"/>
    </w:rPr>
  </w:style>
  <w:style w:type="paragraph" w:styleId="CommentSubject">
    <w:name w:val="annotation subject"/>
    <w:basedOn w:val="CommentText"/>
    <w:next w:val="CommentText"/>
    <w:link w:val="CommentSubjectChar"/>
    <w:rsid w:val="00AE25D6"/>
    <w:rPr>
      <w:b/>
      <w:bCs/>
      <w:sz w:val="20"/>
    </w:rPr>
  </w:style>
  <w:style w:type="character" w:customStyle="1" w:styleId="CommentSubjectChar">
    <w:name w:val="Comment Subject Char"/>
    <w:basedOn w:val="CommentTextChar"/>
    <w:link w:val="CommentSubject"/>
    <w:rsid w:val="000D32BD"/>
    <w:rPr>
      <w:b/>
      <w:bCs/>
      <w:snapToGrid w:val="0"/>
      <w:kern w:val="28"/>
      <w:sz w:val="20"/>
      <w:szCs w:val="20"/>
    </w:rPr>
  </w:style>
  <w:style w:type="character" w:customStyle="1" w:styleId="BalloonTextChar1">
    <w:name w:val="Balloon Text Char1"/>
    <w:basedOn w:val="DefaultParagraphFont"/>
    <w:link w:val="BalloonText"/>
    <w:rsid w:val="000D32BD"/>
    <w:rPr>
      <w:rFonts w:ascii="Tahoma" w:hAnsi="Tahoma" w:cs="Tahoma"/>
      <w:snapToGrid w:val="0"/>
      <w:kern w:val="28"/>
      <w:sz w:val="16"/>
      <w:szCs w:val="16"/>
    </w:rPr>
  </w:style>
  <w:style w:type="paragraph" w:styleId="Revision">
    <w:name w:val="Revision"/>
    <w:hidden/>
    <w:uiPriority w:val="99"/>
    <w:semiHidden/>
    <w:rsid w:val="006A5F13"/>
    <w:rPr>
      <w:snapToGrid w:val="0"/>
      <w:kern w:val="28"/>
      <w:sz w:val="22"/>
    </w:rPr>
  </w:style>
  <w:style w:type="character" w:customStyle="1" w:styleId="FootnoteTextChar">
    <w:name w:val="Footnote Text Char"/>
    <w:aliases w:val="ALTS FOOTNOTE Char,fn Char Char,Footnote Text Char2 Char Char,Footnote Text Char3 Char1 Char Char,Footnote Text Char2 Char1 Char1 Char Char,Footnote Text Char3 Char1 Char Char Char Char,fn Char2,fn Char1 Char,f Char"/>
    <w:basedOn w:val="DefaultParagraphFont"/>
    <w:link w:val="FootnoteText"/>
    <w:locked/>
    <w:rsid w:val="00417813"/>
    <w:rPr>
      <w:sz w:val="20"/>
      <w:szCs w:val="20"/>
    </w:rPr>
  </w:style>
  <w:style w:type="character" w:customStyle="1" w:styleId="FootnoteTextChar1">
    <w:name w:val="Footnote Text Char1"/>
    <w:aliases w:val="ALTS FOOTNOTE Char2,fn Char Char2,Footnote Text Char2 Char Char2,Footnote Text Char3 Char1 Char Char2,Footnote Text Char2 Char1 Char1 Char Char2,Footnote Text Char3 Char1 Char Char Char Char2,fn Char4,fn Char1 Char1,f Char1"/>
    <w:uiPriority w:val="99"/>
    <w:locked/>
    <w:rsid w:val="00AE25D6"/>
    <w:rPr>
      <w:rFonts w:eastAsia="Times New Roman" w:cs="Times New Roman"/>
      <w:lang w:eastAsia="ar-SA" w:bidi="ar-SA"/>
    </w:rPr>
  </w:style>
  <w:style w:type="character" w:customStyle="1" w:styleId="StyleParaNum11pt1CharCharCharCharCharCharCharCharCharCharCharCharCharCharCharCharChar">
    <w:name w:val="Style ParaNum + 11 pt1 Char Char Char Char Char Char Char Char Char Char Char Char Char Char Char Char Char"/>
    <w:uiPriority w:val="99"/>
    <w:rsid w:val="0081039D"/>
    <w:rPr>
      <w:snapToGrid w:val="0"/>
      <w:sz w:val="22"/>
      <w:lang w:val="en-US" w:eastAsia="en-US"/>
    </w:rPr>
  </w:style>
  <w:style w:type="character" w:customStyle="1" w:styleId="Heading1Char">
    <w:name w:val="Heading 1 Char"/>
    <w:link w:val="Heading1"/>
    <w:rsid w:val="00C764C4"/>
    <w:rPr>
      <w:rFonts w:ascii="Times New Roman Bold" w:hAnsi="Times New Roman Bold"/>
      <w:b/>
      <w:caps/>
      <w:snapToGrid w:val="0"/>
      <w:kern w:val="28"/>
      <w:sz w:val="22"/>
      <w:szCs w:val="20"/>
    </w:rPr>
  </w:style>
  <w:style w:type="character" w:customStyle="1" w:styleId="Heading2Char">
    <w:name w:val="Heading 2 Char"/>
    <w:link w:val="Heading2"/>
    <w:rsid w:val="00C764C4"/>
    <w:rPr>
      <w:b/>
      <w:snapToGrid w:val="0"/>
      <w:kern w:val="28"/>
      <w:sz w:val="22"/>
      <w:szCs w:val="20"/>
    </w:rPr>
  </w:style>
  <w:style w:type="character" w:customStyle="1" w:styleId="Heading3Char">
    <w:name w:val="Heading 3 Char"/>
    <w:link w:val="Heading3"/>
    <w:rsid w:val="00C764C4"/>
    <w:rPr>
      <w:b/>
      <w:snapToGrid w:val="0"/>
      <w:kern w:val="28"/>
      <w:sz w:val="22"/>
      <w:szCs w:val="20"/>
    </w:rPr>
  </w:style>
  <w:style w:type="character" w:customStyle="1" w:styleId="Heading4Char">
    <w:name w:val="Heading 4 Char"/>
    <w:link w:val="Heading4"/>
    <w:rsid w:val="00C764C4"/>
    <w:rPr>
      <w:b/>
      <w:snapToGrid w:val="0"/>
      <w:kern w:val="28"/>
      <w:sz w:val="22"/>
      <w:szCs w:val="20"/>
    </w:rPr>
  </w:style>
  <w:style w:type="character" w:customStyle="1" w:styleId="Heading5Char">
    <w:name w:val="Heading 5 Char"/>
    <w:link w:val="Heading5"/>
    <w:rsid w:val="00C764C4"/>
    <w:rPr>
      <w:b/>
      <w:snapToGrid w:val="0"/>
      <w:kern w:val="28"/>
      <w:sz w:val="22"/>
      <w:szCs w:val="20"/>
    </w:rPr>
  </w:style>
  <w:style w:type="character" w:customStyle="1" w:styleId="Heading6Char">
    <w:name w:val="Heading 6 Char"/>
    <w:link w:val="Heading6"/>
    <w:rsid w:val="00C764C4"/>
    <w:rPr>
      <w:b/>
      <w:snapToGrid w:val="0"/>
      <w:kern w:val="28"/>
      <w:sz w:val="22"/>
      <w:szCs w:val="20"/>
    </w:rPr>
  </w:style>
  <w:style w:type="character" w:customStyle="1" w:styleId="Heading7Char">
    <w:name w:val="Heading 7 Char"/>
    <w:link w:val="Heading7"/>
    <w:rsid w:val="00C764C4"/>
    <w:rPr>
      <w:b/>
      <w:snapToGrid w:val="0"/>
      <w:kern w:val="28"/>
      <w:sz w:val="22"/>
      <w:szCs w:val="20"/>
    </w:rPr>
  </w:style>
  <w:style w:type="character" w:customStyle="1" w:styleId="Heading8Char">
    <w:name w:val="Heading 8 Char"/>
    <w:link w:val="Heading8"/>
    <w:rsid w:val="00C764C4"/>
    <w:rPr>
      <w:b/>
      <w:snapToGrid w:val="0"/>
      <w:kern w:val="28"/>
      <w:sz w:val="22"/>
      <w:szCs w:val="20"/>
    </w:rPr>
  </w:style>
  <w:style w:type="character" w:customStyle="1" w:styleId="Heading9Char">
    <w:name w:val="Heading 9 Char"/>
    <w:link w:val="Heading9"/>
    <w:rsid w:val="00C764C4"/>
    <w:rPr>
      <w:b/>
      <w:snapToGrid w:val="0"/>
      <w:kern w:val="28"/>
      <w:sz w:val="22"/>
      <w:szCs w:val="20"/>
    </w:rPr>
  </w:style>
  <w:style w:type="character" w:customStyle="1" w:styleId="ParaNumChar">
    <w:name w:val="ParaNum Char"/>
    <w:link w:val="ParaNum"/>
    <w:locked/>
    <w:rsid w:val="008C1E66"/>
    <w:rPr>
      <w:snapToGrid w:val="0"/>
      <w:kern w:val="28"/>
      <w:sz w:val="22"/>
      <w:szCs w:val="20"/>
    </w:rPr>
  </w:style>
  <w:style w:type="paragraph" w:styleId="NormalWeb">
    <w:name w:val="Normal (Web)"/>
    <w:basedOn w:val="Normal"/>
    <w:rsid w:val="006E6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Default Paragraph Font" w:uiPriority="1"/>
    <w:lsdException w:name="No List" w:uiPriority="99"/>
    <w:lsdException w:name="Revision" w:uiPriority="9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CEA"/>
    <w:pPr>
      <w:widowControl w:val="0"/>
    </w:pPr>
    <w:rPr>
      <w:snapToGrid w:val="0"/>
      <w:kern w:val="28"/>
      <w:sz w:val="22"/>
      <w:szCs w:val="20"/>
    </w:rPr>
  </w:style>
  <w:style w:type="paragraph" w:styleId="Heading1">
    <w:name w:val="heading 1"/>
    <w:basedOn w:val="Normal"/>
    <w:next w:val="ParaNum"/>
    <w:link w:val="Heading1Char"/>
    <w:qFormat/>
    <w:rsid w:val="00361CE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61CEA"/>
    <w:pPr>
      <w:keepNext/>
      <w:numPr>
        <w:ilvl w:val="1"/>
        <w:numId w:val="3"/>
      </w:numPr>
      <w:spacing w:after="120"/>
      <w:outlineLvl w:val="1"/>
    </w:pPr>
    <w:rPr>
      <w:b/>
    </w:rPr>
  </w:style>
  <w:style w:type="paragraph" w:styleId="Heading3">
    <w:name w:val="heading 3"/>
    <w:basedOn w:val="Normal"/>
    <w:next w:val="ParaNum"/>
    <w:link w:val="Heading3Char"/>
    <w:qFormat/>
    <w:rsid w:val="00361CEA"/>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361CEA"/>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61CEA"/>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361CEA"/>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361CEA"/>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361CE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361CE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61C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1CEA"/>
  </w:style>
  <w:style w:type="paragraph" w:styleId="BalloonText">
    <w:name w:val="Balloon Text"/>
    <w:basedOn w:val="Normal"/>
    <w:link w:val="BalloonTextChar1"/>
    <w:rsid w:val="000D32BD"/>
    <w:rPr>
      <w:rFonts w:ascii="Tahoma" w:hAnsi="Tahoma" w:cs="Tahoma"/>
      <w:sz w:val="16"/>
      <w:szCs w:val="16"/>
    </w:rPr>
  </w:style>
  <w:style w:type="character" w:customStyle="1" w:styleId="BalloonTextChar">
    <w:name w:val="Balloon Text Char"/>
    <w:basedOn w:val="DefaultParagraphFont"/>
    <w:uiPriority w:val="99"/>
    <w:semiHidden/>
    <w:rsid w:val="004265EC"/>
    <w:rPr>
      <w:rFonts w:ascii="Lucida Grande" w:hAnsi="Lucida Grande"/>
      <w:sz w:val="18"/>
      <w:szCs w:val="18"/>
    </w:rPr>
  </w:style>
  <w:style w:type="character" w:customStyle="1" w:styleId="BalloonTextChar0">
    <w:name w:val="Balloon Text Char"/>
    <w:basedOn w:val="DefaultParagraphFont"/>
    <w:uiPriority w:val="99"/>
    <w:semiHidden/>
    <w:rsid w:val="004265EC"/>
    <w:rPr>
      <w:rFonts w:ascii="Lucida Grande" w:hAnsi="Lucida Grande"/>
      <w:sz w:val="18"/>
      <w:szCs w:val="18"/>
    </w:rPr>
  </w:style>
  <w:style w:type="paragraph" w:customStyle="1" w:styleId="ParaNum">
    <w:name w:val="ParaNum"/>
    <w:basedOn w:val="Normal"/>
    <w:link w:val="ParaNumChar"/>
    <w:rsid w:val="00361CEA"/>
    <w:pPr>
      <w:numPr>
        <w:numId w:val="2"/>
      </w:numPr>
      <w:tabs>
        <w:tab w:val="clear" w:pos="1080"/>
        <w:tab w:val="num" w:pos="1440"/>
      </w:tabs>
      <w:spacing w:after="120"/>
    </w:pPr>
  </w:style>
  <w:style w:type="paragraph" w:styleId="EndnoteText">
    <w:name w:val="endnote text"/>
    <w:basedOn w:val="Normal"/>
    <w:semiHidden/>
    <w:rsid w:val="00361CEA"/>
    <w:rPr>
      <w:sz w:val="20"/>
    </w:rPr>
  </w:style>
  <w:style w:type="character" w:styleId="EndnoteReference">
    <w:name w:val="endnote reference"/>
    <w:semiHidden/>
    <w:rsid w:val="00361CEA"/>
    <w:rPr>
      <w:vertAlign w:val="superscript"/>
    </w:rPr>
  </w:style>
  <w:style w:type="paragraph" w:styleId="FootnoteText">
    <w:name w:val="footnote text"/>
    <w:aliases w:val="ALTS FOOTNOTE,fn Char,Footnote Text Char2 Char,Footnote Text Char3 Char1 Char,Footnote Text Char2 Char1 Char1 Char,Footnote Text Char3 Char1 Char Char Char,Footnote Text Char2 Char1 Char1 Char Char Char,fn,fn Char1,f,Footnote Text Ch"/>
    <w:link w:val="FootnoteTextChar"/>
    <w:rsid w:val="00361CEA"/>
    <w:pPr>
      <w:spacing w:after="120"/>
    </w:pPr>
    <w:rPr>
      <w:sz w:val="20"/>
      <w:szCs w:val="20"/>
    </w:rPr>
  </w:style>
  <w:style w:type="character" w:styleId="FootnoteReference">
    <w:name w:val="footnote reference"/>
    <w:aliases w:val="Style 12,(NECG) Footnote Reference,Style 13,Appel note de bas de p,Style 124,fr,o,Style 3,FR,Style 17,Footnote Reference/,Style 6"/>
    <w:rsid w:val="00361CEA"/>
    <w:rPr>
      <w:rFonts w:ascii="Times New Roman" w:hAnsi="Times New Roman"/>
      <w:dstrike w:val="0"/>
      <w:color w:val="auto"/>
      <w:sz w:val="20"/>
      <w:vertAlign w:val="superscript"/>
    </w:rPr>
  </w:style>
  <w:style w:type="paragraph" w:styleId="TOC1">
    <w:name w:val="toc 1"/>
    <w:basedOn w:val="Normal"/>
    <w:next w:val="Normal"/>
    <w:semiHidden/>
    <w:rsid w:val="00361CE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61CEA"/>
    <w:pPr>
      <w:tabs>
        <w:tab w:val="left" w:pos="720"/>
        <w:tab w:val="right" w:leader="dot" w:pos="9360"/>
      </w:tabs>
      <w:suppressAutoHyphens/>
      <w:ind w:left="720" w:right="720" w:hanging="360"/>
    </w:pPr>
    <w:rPr>
      <w:noProof/>
    </w:rPr>
  </w:style>
  <w:style w:type="paragraph" w:styleId="TOC3">
    <w:name w:val="toc 3"/>
    <w:basedOn w:val="Normal"/>
    <w:next w:val="Normal"/>
    <w:semiHidden/>
    <w:rsid w:val="00361CE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61CE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61CE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61CE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61CE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61CE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61CE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61CEA"/>
    <w:pPr>
      <w:tabs>
        <w:tab w:val="right" w:pos="9360"/>
      </w:tabs>
      <w:suppressAutoHyphens/>
    </w:pPr>
  </w:style>
  <w:style w:type="character" w:customStyle="1" w:styleId="EquationCaption">
    <w:name w:val="_Equation Caption"/>
    <w:rsid w:val="00361CEA"/>
  </w:style>
  <w:style w:type="paragraph" w:styleId="Header">
    <w:name w:val="header"/>
    <w:basedOn w:val="Normal"/>
    <w:autoRedefine/>
    <w:rsid w:val="00361CEA"/>
    <w:pPr>
      <w:tabs>
        <w:tab w:val="center" w:pos="4680"/>
        <w:tab w:val="right" w:pos="9360"/>
      </w:tabs>
    </w:pPr>
    <w:rPr>
      <w:b/>
    </w:rPr>
  </w:style>
  <w:style w:type="paragraph" w:styleId="Footer">
    <w:name w:val="footer"/>
    <w:basedOn w:val="Normal"/>
    <w:rsid w:val="00361CEA"/>
    <w:pPr>
      <w:tabs>
        <w:tab w:val="center" w:pos="4320"/>
        <w:tab w:val="right" w:pos="8640"/>
      </w:tabs>
    </w:pPr>
  </w:style>
  <w:style w:type="character" w:styleId="PageNumber">
    <w:name w:val="page number"/>
    <w:basedOn w:val="DefaultParagraphFont"/>
    <w:rsid w:val="00361CEA"/>
  </w:style>
  <w:style w:type="paragraph" w:styleId="BlockText">
    <w:name w:val="Block Text"/>
    <w:basedOn w:val="Normal"/>
    <w:rsid w:val="00361CEA"/>
    <w:pPr>
      <w:spacing w:after="240"/>
      <w:ind w:left="1440" w:right="1440"/>
    </w:pPr>
  </w:style>
  <w:style w:type="paragraph" w:customStyle="1" w:styleId="Paratitle">
    <w:name w:val="Para title"/>
    <w:basedOn w:val="Normal"/>
    <w:rsid w:val="00361CEA"/>
    <w:pPr>
      <w:tabs>
        <w:tab w:val="center" w:pos="9270"/>
      </w:tabs>
      <w:spacing w:after="240"/>
    </w:pPr>
    <w:rPr>
      <w:spacing w:val="-2"/>
    </w:rPr>
  </w:style>
  <w:style w:type="paragraph" w:customStyle="1" w:styleId="Bullet">
    <w:name w:val="Bullet"/>
    <w:basedOn w:val="Normal"/>
    <w:rsid w:val="00361CEA"/>
    <w:pPr>
      <w:tabs>
        <w:tab w:val="left" w:pos="2160"/>
      </w:tabs>
      <w:spacing w:after="220"/>
      <w:ind w:left="2160" w:hanging="720"/>
    </w:pPr>
  </w:style>
  <w:style w:type="paragraph" w:customStyle="1" w:styleId="TableFormat">
    <w:name w:val="TableFormat"/>
    <w:basedOn w:val="Bullet"/>
    <w:rsid w:val="00361CEA"/>
    <w:pPr>
      <w:tabs>
        <w:tab w:val="clear" w:pos="2160"/>
        <w:tab w:val="left" w:pos="5040"/>
      </w:tabs>
      <w:ind w:left="5040" w:hanging="3600"/>
    </w:pPr>
  </w:style>
  <w:style w:type="paragraph" w:customStyle="1" w:styleId="TOCTitle">
    <w:name w:val="TOC Title"/>
    <w:basedOn w:val="Normal"/>
    <w:rsid w:val="00361CE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61CEA"/>
    <w:pPr>
      <w:jc w:val="center"/>
    </w:pPr>
    <w:rPr>
      <w:rFonts w:ascii="Times New Roman Bold" w:hAnsi="Times New Roman Bold"/>
      <w:b/>
      <w:bCs/>
      <w:caps/>
      <w:szCs w:val="22"/>
    </w:rPr>
  </w:style>
  <w:style w:type="character" w:styleId="Hyperlink">
    <w:name w:val="Hyperlink"/>
    <w:rsid w:val="00361CEA"/>
    <w:rPr>
      <w:color w:val="0000FF"/>
      <w:u w:val="single"/>
    </w:rPr>
  </w:style>
  <w:style w:type="paragraph" w:styleId="ListParagraph">
    <w:name w:val="List Paragraph"/>
    <w:basedOn w:val="Normal"/>
    <w:uiPriority w:val="99"/>
    <w:qFormat/>
    <w:rsid w:val="00D7090C"/>
    <w:pPr>
      <w:ind w:left="720"/>
    </w:pPr>
    <w:rPr>
      <w:rFonts w:ascii="Calibri" w:eastAsia="Calibri" w:hAnsi="Calibri" w:cs="Calibri"/>
      <w:snapToGrid/>
    </w:rPr>
  </w:style>
  <w:style w:type="paragraph" w:customStyle="1" w:styleId="Default">
    <w:name w:val="Default"/>
    <w:rsid w:val="00452FC2"/>
    <w:pPr>
      <w:autoSpaceDE w:val="0"/>
      <w:autoSpaceDN w:val="0"/>
      <w:adjustRightInd w:val="0"/>
    </w:pPr>
    <w:rPr>
      <w:color w:val="000000"/>
    </w:rPr>
  </w:style>
  <w:style w:type="character" w:styleId="CommentReference">
    <w:name w:val="annotation reference"/>
    <w:basedOn w:val="DefaultParagraphFont"/>
    <w:rsid w:val="000D32BD"/>
    <w:rPr>
      <w:sz w:val="16"/>
      <w:szCs w:val="16"/>
    </w:rPr>
  </w:style>
  <w:style w:type="paragraph" w:styleId="CommentText">
    <w:name w:val="annotation text"/>
    <w:basedOn w:val="Normal"/>
    <w:link w:val="CommentTextChar"/>
    <w:rsid w:val="000D32BD"/>
  </w:style>
  <w:style w:type="character" w:customStyle="1" w:styleId="CommentTextChar">
    <w:name w:val="Comment Text Char"/>
    <w:basedOn w:val="DefaultParagraphFont"/>
    <w:link w:val="CommentText"/>
    <w:rsid w:val="00AE25D6"/>
    <w:rPr>
      <w:snapToGrid w:val="0"/>
      <w:kern w:val="28"/>
    </w:rPr>
  </w:style>
  <w:style w:type="paragraph" w:styleId="CommentSubject">
    <w:name w:val="annotation subject"/>
    <w:basedOn w:val="CommentText"/>
    <w:next w:val="CommentText"/>
    <w:link w:val="CommentSubjectChar"/>
    <w:rsid w:val="00AE25D6"/>
    <w:rPr>
      <w:b/>
      <w:bCs/>
      <w:sz w:val="20"/>
    </w:rPr>
  </w:style>
  <w:style w:type="character" w:customStyle="1" w:styleId="CommentSubjectChar">
    <w:name w:val="Comment Subject Char"/>
    <w:basedOn w:val="CommentTextChar"/>
    <w:link w:val="CommentSubject"/>
    <w:rsid w:val="000D32BD"/>
    <w:rPr>
      <w:b/>
      <w:bCs/>
      <w:snapToGrid w:val="0"/>
      <w:kern w:val="28"/>
      <w:sz w:val="20"/>
      <w:szCs w:val="20"/>
    </w:rPr>
  </w:style>
  <w:style w:type="character" w:customStyle="1" w:styleId="BalloonTextChar1">
    <w:name w:val="Balloon Text Char1"/>
    <w:basedOn w:val="DefaultParagraphFont"/>
    <w:link w:val="BalloonText"/>
    <w:rsid w:val="000D32BD"/>
    <w:rPr>
      <w:rFonts w:ascii="Tahoma" w:hAnsi="Tahoma" w:cs="Tahoma"/>
      <w:snapToGrid w:val="0"/>
      <w:kern w:val="28"/>
      <w:sz w:val="16"/>
      <w:szCs w:val="16"/>
    </w:rPr>
  </w:style>
  <w:style w:type="paragraph" w:styleId="Revision">
    <w:name w:val="Revision"/>
    <w:hidden/>
    <w:uiPriority w:val="99"/>
    <w:semiHidden/>
    <w:rsid w:val="006A5F13"/>
    <w:rPr>
      <w:snapToGrid w:val="0"/>
      <w:kern w:val="28"/>
      <w:sz w:val="22"/>
    </w:rPr>
  </w:style>
  <w:style w:type="character" w:customStyle="1" w:styleId="FootnoteTextChar">
    <w:name w:val="Footnote Text Char"/>
    <w:aliases w:val="ALTS FOOTNOTE Char,fn Char Char,Footnote Text Char2 Char Char,Footnote Text Char3 Char1 Char Char,Footnote Text Char2 Char1 Char1 Char Char,Footnote Text Char3 Char1 Char Char Char Char,fn Char2,fn Char1 Char,f Char"/>
    <w:basedOn w:val="DefaultParagraphFont"/>
    <w:link w:val="FootnoteText"/>
    <w:locked/>
    <w:rsid w:val="00417813"/>
    <w:rPr>
      <w:sz w:val="20"/>
      <w:szCs w:val="20"/>
    </w:rPr>
  </w:style>
  <w:style w:type="character" w:customStyle="1" w:styleId="FootnoteTextChar1">
    <w:name w:val="Footnote Text Char1"/>
    <w:aliases w:val="ALTS FOOTNOTE Char2,fn Char Char2,Footnote Text Char2 Char Char2,Footnote Text Char3 Char1 Char Char2,Footnote Text Char2 Char1 Char1 Char Char2,Footnote Text Char3 Char1 Char Char Char Char2,fn Char4,fn Char1 Char1,f Char1"/>
    <w:uiPriority w:val="99"/>
    <w:locked/>
    <w:rsid w:val="00AE25D6"/>
    <w:rPr>
      <w:rFonts w:eastAsia="Times New Roman" w:cs="Times New Roman"/>
      <w:lang w:eastAsia="ar-SA" w:bidi="ar-SA"/>
    </w:rPr>
  </w:style>
  <w:style w:type="character" w:customStyle="1" w:styleId="StyleParaNum11pt1CharCharCharCharCharCharCharCharCharCharCharCharCharCharCharCharChar">
    <w:name w:val="Style ParaNum + 11 pt1 Char Char Char Char Char Char Char Char Char Char Char Char Char Char Char Char Char"/>
    <w:uiPriority w:val="99"/>
    <w:rsid w:val="0081039D"/>
    <w:rPr>
      <w:snapToGrid w:val="0"/>
      <w:sz w:val="22"/>
      <w:lang w:val="en-US" w:eastAsia="en-US"/>
    </w:rPr>
  </w:style>
  <w:style w:type="character" w:customStyle="1" w:styleId="Heading1Char">
    <w:name w:val="Heading 1 Char"/>
    <w:link w:val="Heading1"/>
    <w:rsid w:val="00C764C4"/>
    <w:rPr>
      <w:rFonts w:ascii="Times New Roman Bold" w:hAnsi="Times New Roman Bold"/>
      <w:b/>
      <w:caps/>
      <w:snapToGrid w:val="0"/>
      <w:kern w:val="28"/>
      <w:sz w:val="22"/>
      <w:szCs w:val="20"/>
    </w:rPr>
  </w:style>
  <w:style w:type="character" w:customStyle="1" w:styleId="Heading2Char">
    <w:name w:val="Heading 2 Char"/>
    <w:link w:val="Heading2"/>
    <w:rsid w:val="00C764C4"/>
    <w:rPr>
      <w:b/>
      <w:snapToGrid w:val="0"/>
      <w:kern w:val="28"/>
      <w:sz w:val="22"/>
      <w:szCs w:val="20"/>
    </w:rPr>
  </w:style>
  <w:style w:type="character" w:customStyle="1" w:styleId="Heading3Char">
    <w:name w:val="Heading 3 Char"/>
    <w:link w:val="Heading3"/>
    <w:rsid w:val="00C764C4"/>
    <w:rPr>
      <w:b/>
      <w:snapToGrid w:val="0"/>
      <w:kern w:val="28"/>
      <w:sz w:val="22"/>
      <w:szCs w:val="20"/>
    </w:rPr>
  </w:style>
  <w:style w:type="character" w:customStyle="1" w:styleId="Heading4Char">
    <w:name w:val="Heading 4 Char"/>
    <w:link w:val="Heading4"/>
    <w:rsid w:val="00C764C4"/>
    <w:rPr>
      <w:b/>
      <w:snapToGrid w:val="0"/>
      <w:kern w:val="28"/>
      <w:sz w:val="22"/>
      <w:szCs w:val="20"/>
    </w:rPr>
  </w:style>
  <w:style w:type="character" w:customStyle="1" w:styleId="Heading5Char">
    <w:name w:val="Heading 5 Char"/>
    <w:link w:val="Heading5"/>
    <w:rsid w:val="00C764C4"/>
    <w:rPr>
      <w:b/>
      <w:snapToGrid w:val="0"/>
      <w:kern w:val="28"/>
      <w:sz w:val="22"/>
      <w:szCs w:val="20"/>
    </w:rPr>
  </w:style>
  <w:style w:type="character" w:customStyle="1" w:styleId="Heading6Char">
    <w:name w:val="Heading 6 Char"/>
    <w:link w:val="Heading6"/>
    <w:rsid w:val="00C764C4"/>
    <w:rPr>
      <w:b/>
      <w:snapToGrid w:val="0"/>
      <w:kern w:val="28"/>
      <w:sz w:val="22"/>
      <w:szCs w:val="20"/>
    </w:rPr>
  </w:style>
  <w:style w:type="character" w:customStyle="1" w:styleId="Heading7Char">
    <w:name w:val="Heading 7 Char"/>
    <w:link w:val="Heading7"/>
    <w:rsid w:val="00C764C4"/>
    <w:rPr>
      <w:b/>
      <w:snapToGrid w:val="0"/>
      <w:kern w:val="28"/>
      <w:sz w:val="22"/>
      <w:szCs w:val="20"/>
    </w:rPr>
  </w:style>
  <w:style w:type="character" w:customStyle="1" w:styleId="Heading8Char">
    <w:name w:val="Heading 8 Char"/>
    <w:link w:val="Heading8"/>
    <w:rsid w:val="00C764C4"/>
    <w:rPr>
      <w:b/>
      <w:snapToGrid w:val="0"/>
      <w:kern w:val="28"/>
      <w:sz w:val="22"/>
      <w:szCs w:val="20"/>
    </w:rPr>
  </w:style>
  <w:style w:type="character" w:customStyle="1" w:styleId="Heading9Char">
    <w:name w:val="Heading 9 Char"/>
    <w:link w:val="Heading9"/>
    <w:rsid w:val="00C764C4"/>
    <w:rPr>
      <w:b/>
      <w:snapToGrid w:val="0"/>
      <w:kern w:val="28"/>
      <w:sz w:val="22"/>
      <w:szCs w:val="20"/>
    </w:rPr>
  </w:style>
  <w:style w:type="character" w:customStyle="1" w:styleId="ParaNumChar">
    <w:name w:val="ParaNum Char"/>
    <w:link w:val="ParaNum"/>
    <w:locked/>
    <w:rsid w:val="008C1E66"/>
    <w:rPr>
      <w:snapToGrid w:val="0"/>
      <w:kern w:val="28"/>
      <w:sz w:val="22"/>
      <w:szCs w:val="20"/>
    </w:rPr>
  </w:style>
  <w:style w:type="paragraph" w:styleId="NormalWeb">
    <w:name w:val="Normal (Web)"/>
    <w:basedOn w:val="Normal"/>
    <w:rsid w:val="006E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4310">
      <w:bodyDiv w:val="1"/>
      <w:marLeft w:val="0"/>
      <w:marRight w:val="0"/>
      <w:marTop w:val="0"/>
      <w:marBottom w:val="0"/>
      <w:divBdr>
        <w:top w:val="none" w:sz="0" w:space="0" w:color="auto"/>
        <w:left w:val="none" w:sz="0" w:space="0" w:color="auto"/>
        <w:bottom w:val="none" w:sz="0" w:space="0" w:color="auto"/>
        <w:right w:val="none" w:sz="0" w:space="0" w:color="auto"/>
      </w:divBdr>
      <w:divsChild>
        <w:div w:id="2053000391">
          <w:marLeft w:val="0"/>
          <w:marRight w:val="0"/>
          <w:marTop w:val="0"/>
          <w:marBottom w:val="0"/>
          <w:divBdr>
            <w:top w:val="none" w:sz="0" w:space="0" w:color="auto"/>
            <w:left w:val="none" w:sz="0" w:space="0" w:color="auto"/>
            <w:bottom w:val="none" w:sz="0" w:space="0" w:color="auto"/>
            <w:right w:val="none" w:sz="0" w:space="0" w:color="auto"/>
          </w:divBdr>
          <w:divsChild>
            <w:div w:id="143667660">
              <w:marLeft w:val="0"/>
              <w:marRight w:val="0"/>
              <w:marTop w:val="0"/>
              <w:marBottom w:val="0"/>
              <w:divBdr>
                <w:top w:val="none" w:sz="0" w:space="0" w:color="auto"/>
                <w:left w:val="none" w:sz="0" w:space="0" w:color="auto"/>
                <w:bottom w:val="none" w:sz="0" w:space="0" w:color="auto"/>
                <w:right w:val="none" w:sz="0" w:space="0" w:color="auto"/>
              </w:divBdr>
              <w:divsChild>
                <w:div w:id="1123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7920">
      <w:bodyDiv w:val="1"/>
      <w:marLeft w:val="0"/>
      <w:marRight w:val="0"/>
      <w:marTop w:val="0"/>
      <w:marBottom w:val="0"/>
      <w:divBdr>
        <w:top w:val="none" w:sz="0" w:space="0" w:color="auto"/>
        <w:left w:val="none" w:sz="0" w:space="0" w:color="auto"/>
        <w:bottom w:val="none" w:sz="0" w:space="0" w:color="auto"/>
        <w:right w:val="none" w:sz="0" w:space="0" w:color="auto"/>
      </w:divBdr>
    </w:div>
    <w:div w:id="534538752">
      <w:bodyDiv w:val="1"/>
      <w:marLeft w:val="0"/>
      <w:marRight w:val="0"/>
      <w:marTop w:val="0"/>
      <w:marBottom w:val="0"/>
      <w:divBdr>
        <w:top w:val="none" w:sz="0" w:space="0" w:color="auto"/>
        <w:left w:val="none" w:sz="0" w:space="0" w:color="auto"/>
        <w:bottom w:val="none" w:sz="0" w:space="0" w:color="auto"/>
        <w:right w:val="none" w:sz="0" w:space="0" w:color="auto"/>
      </w:divBdr>
      <w:divsChild>
        <w:div w:id="290869201">
          <w:marLeft w:val="0"/>
          <w:marRight w:val="0"/>
          <w:marTop w:val="0"/>
          <w:marBottom w:val="0"/>
          <w:divBdr>
            <w:top w:val="none" w:sz="0" w:space="0" w:color="auto"/>
            <w:left w:val="none" w:sz="0" w:space="0" w:color="auto"/>
            <w:bottom w:val="none" w:sz="0" w:space="0" w:color="auto"/>
            <w:right w:val="none" w:sz="0" w:space="0" w:color="auto"/>
          </w:divBdr>
        </w:div>
        <w:div w:id="526022872">
          <w:marLeft w:val="0"/>
          <w:marRight w:val="0"/>
          <w:marTop w:val="0"/>
          <w:marBottom w:val="0"/>
          <w:divBdr>
            <w:top w:val="none" w:sz="0" w:space="0" w:color="auto"/>
            <w:left w:val="none" w:sz="0" w:space="0" w:color="auto"/>
            <w:bottom w:val="none" w:sz="0" w:space="0" w:color="auto"/>
            <w:right w:val="none" w:sz="0" w:space="0" w:color="auto"/>
          </w:divBdr>
        </w:div>
        <w:div w:id="587421998">
          <w:marLeft w:val="0"/>
          <w:marRight w:val="0"/>
          <w:marTop w:val="0"/>
          <w:marBottom w:val="0"/>
          <w:divBdr>
            <w:top w:val="none" w:sz="0" w:space="0" w:color="auto"/>
            <w:left w:val="none" w:sz="0" w:space="0" w:color="auto"/>
            <w:bottom w:val="none" w:sz="0" w:space="0" w:color="auto"/>
            <w:right w:val="none" w:sz="0" w:space="0" w:color="auto"/>
          </w:divBdr>
        </w:div>
        <w:div w:id="756364591">
          <w:marLeft w:val="0"/>
          <w:marRight w:val="0"/>
          <w:marTop w:val="0"/>
          <w:marBottom w:val="0"/>
          <w:divBdr>
            <w:top w:val="none" w:sz="0" w:space="0" w:color="auto"/>
            <w:left w:val="none" w:sz="0" w:space="0" w:color="auto"/>
            <w:bottom w:val="none" w:sz="0" w:space="0" w:color="auto"/>
            <w:right w:val="none" w:sz="0" w:space="0" w:color="auto"/>
          </w:divBdr>
        </w:div>
        <w:div w:id="996810625">
          <w:marLeft w:val="0"/>
          <w:marRight w:val="0"/>
          <w:marTop w:val="0"/>
          <w:marBottom w:val="0"/>
          <w:divBdr>
            <w:top w:val="none" w:sz="0" w:space="0" w:color="auto"/>
            <w:left w:val="none" w:sz="0" w:space="0" w:color="auto"/>
            <w:bottom w:val="none" w:sz="0" w:space="0" w:color="auto"/>
            <w:right w:val="none" w:sz="0" w:space="0" w:color="auto"/>
          </w:divBdr>
        </w:div>
        <w:div w:id="1046686789">
          <w:marLeft w:val="0"/>
          <w:marRight w:val="0"/>
          <w:marTop w:val="0"/>
          <w:marBottom w:val="0"/>
          <w:divBdr>
            <w:top w:val="none" w:sz="0" w:space="0" w:color="auto"/>
            <w:left w:val="none" w:sz="0" w:space="0" w:color="auto"/>
            <w:bottom w:val="none" w:sz="0" w:space="0" w:color="auto"/>
            <w:right w:val="none" w:sz="0" w:space="0" w:color="auto"/>
          </w:divBdr>
        </w:div>
        <w:div w:id="1320113742">
          <w:marLeft w:val="0"/>
          <w:marRight w:val="0"/>
          <w:marTop w:val="0"/>
          <w:marBottom w:val="0"/>
          <w:divBdr>
            <w:top w:val="none" w:sz="0" w:space="0" w:color="auto"/>
            <w:left w:val="none" w:sz="0" w:space="0" w:color="auto"/>
            <w:bottom w:val="none" w:sz="0" w:space="0" w:color="auto"/>
            <w:right w:val="none" w:sz="0" w:space="0" w:color="auto"/>
          </w:divBdr>
        </w:div>
        <w:div w:id="1414401734">
          <w:marLeft w:val="0"/>
          <w:marRight w:val="0"/>
          <w:marTop w:val="0"/>
          <w:marBottom w:val="0"/>
          <w:divBdr>
            <w:top w:val="none" w:sz="0" w:space="0" w:color="auto"/>
            <w:left w:val="none" w:sz="0" w:space="0" w:color="auto"/>
            <w:bottom w:val="none" w:sz="0" w:space="0" w:color="auto"/>
            <w:right w:val="none" w:sz="0" w:space="0" w:color="auto"/>
          </w:divBdr>
        </w:div>
        <w:div w:id="1501384402">
          <w:marLeft w:val="0"/>
          <w:marRight w:val="0"/>
          <w:marTop w:val="0"/>
          <w:marBottom w:val="0"/>
          <w:divBdr>
            <w:top w:val="none" w:sz="0" w:space="0" w:color="auto"/>
            <w:left w:val="none" w:sz="0" w:space="0" w:color="auto"/>
            <w:bottom w:val="none" w:sz="0" w:space="0" w:color="auto"/>
            <w:right w:val="none" w:sz="0" w:space="0" w:color="auto"/>
          </w:divBdr>
        </w:div>
        <w:div w:id="1753354450">
          <w:marLeft w:val="0"/>
          <w:marRight w:val="0"/>
          <w:marTop w:val="0"/>
          <w:marBottom w:val="0"/>
          <w:divBdr>
            <w:top w:val="none" w:sz="0" w:space="0" w:color="auto"/>
            <w:left w:val="none" w:sz="0" w:space="0" w:color="auto"/>
            <w:bottom w:val="none" w:sz="0" w:space="0" w:color="auto"/>
            <w:right w:val="none" w:sz="0" w:space="0" w:color="auto"/>
          </w:divBdr>
        </w:div>
        <w:div w:id="1769351508">
          <w:marLeft w:val="0"/>
          <w:marRight w:val="0"/>
          <w:marTop w:val="0"/>
          <w:marBottom w:val="0"/>
          <w:divBdr>
            <w:top w:val="none" w:sz="0" w:space="0" w:color="auto"/>
            <w:left w:val="none" w:sz="0" w:space="0" w:color="auto"/>
            <w:bottom w:val="none" w:sz="0" w:space="0" w:color="auto"/>
            <w:right w:val="none" w:sz="0" w:space="0" w:color="auto"/>
          </w:divBdr>
        </w:div>
      </w:divsChild>
    </w:div>
    <w:div w:id="683626885">
      <w:bodyDiv w:val="1"/>
      <w:marLeft w:val="0"/>
      <w:marRight w:val="0"/>
      <w:marTop w:val="0"/>
      <w:marBottom w:val="0"/>
      <w:divBdr>
        <w:top w:val="none" w:sz="0" w:space="0" w:color="auto"/>
        <w:left w:val="none" w:sz="0" w:space="0" w:color="auto"/>
        <w:bottom w:val="none" w:sz="0" w:space="0" w:color="auto"/>
        <w:right w:val="none" w:sz="0" w:space="0" w:color="auto"/>
      </w:divBdr>
      <w:divsChild>
        <w:div w:id="74061853">
          <w:marLeft w:val="0"/>
          <w:marRight w:val="0"/>
          <w:marTop w:val="0"/>
          <w:marBottom w:val="0"/>
          <w:divBdr>
            <w:top w:val="none" w:sz="0" w:space="0" w:color="auto"/>
            <w:left w:val="none" w:sz="0" w:space="0" w:color="auto"/>
            <w:bottom w:val="none" w:sz="0" w:space="0" w:color="auto"/>
            <w:right w:val="none" w:sz="0" w:space="0" w:color="auto"/>
          </w:divBdr>
        </w:div>
        <w:div w:id="356198499">
          <w:marLeft w:val="0"/>
          <w:marRight w:val="0"/>
          <w:marTop w:val="0"/>
          <w:marBottom w:val="0"/>
          <w:divBdr>
            <w:top w:val="none" w:sz="0" w:space="0" w:color="auto"/>
            <w:left w:val="none" w:sz="0" w:space="0" w:color="auto"/>
            <w:bottom w:val="none" w:sz="0" w:space="0" w:color="auto"/>
            <w:right w:val="none" w:sz="0" w:space="0" w:color="auto"/>
          </w:divBdr>
        </w:div>
        <w:div w:id="596671960">
          <w:marLeft w:val="0"/>
          <w:marRight w:val="0"/>
          <w:marTop w:val="0"/>
          <w:marBottom w:val="0"/>
          <w:divBdr>
            <w:top w:val="none" w:sz="0" w:space="0" w:color="auto"/>
            <w:left w:val="none" w:sz="0" w:space="0" w:color="auto"/>
            <w:bottom w:val="none" w:sz="0" w:space="0" w:color="auto"/>
            <w:right w:val="none" w:sz="0" w:space="0" w:color="auto"/>
          </w:divBdr>
        </w:div>
        <w:div w:id="1816993715">
          <w:marLeft w:val="0"/>
          <w:marRight w:val="0"/>
          <w:marTop w:val="0"/>
          <w:marBottom w:val="0"/>
          <w:divBdr>
            <w:top w:val="none" w:sz="0" w:space="0" w:color="auto"/>
            <w:left w:val="none" w:sz="0" w:space="0" w:color="auto"/>
            <w:bottom w:val="none" w:sz="0" w:space="0" w:color="auto"/>
            <w:right w:val="none" w:sz="0" w:space="0" w:color="auto"/>
          </w:divBdr>
        </w:div>
      </w:divsChild>
    </w:div>
    <w:div w:id="1100642505">
      <w:bodyDiv w:val="1"/>
      <w:marLeft w:val="0"/>
      <w:marRight w:val="0"/>
      <w:marTop w:val="0"/>
      <w:marBottom w:val="0"/>
      <w:divBdr>
        <w:top w:val="none" w:sz="0" w:space="0" w:color="auto"/>
        <w:left w:val="none" w:sz="0" w:space="0" w:color="auto"/>
        <w:bottom w:val="none" w:sz="0" w:space="0" w:color="auto"/>
        <w:right w:val="none" w:sz="0" w:space="0" w:color="auto"/>
      </w:divBdr>
      <w:divsChild>
        <w:div w:id="730857564">
          <w:marLeft w:val="0"/>
          <w:marRight w:val="0"/>
          <w:marTop w:val="0"/>
          <w:marBottom w:val="0"/>
          <w:divBdr>
            <w:top w:val="none" w:sz="0" w:space="0" w:color="auto"/>
            <w:left w:val="none" w:sz="0" w:space="0" w:color="auto"/>
            <w:bottom w:val="none" w:sz="0" w:space="0" w:color="auto"/>
            <w:right w:val="none" w:sz="0" w:space="0" w:color="auto"/>
          </w:divBdr>
        </w:div>
        <w:div w:id="1017999006">
          <w:marLeft w:val="0"/>
          <w:marRight w:val="0"/>
          <w:marTop w:val="0"/>
          <w:marBottom w:val="0"/>
          <w:divBdr>
            <w:top w:val="none" w:sz="0" w:space="0" w:color="auto"/>
            <w:left w:val="none" w:sz="0" w:space="0" w:color="auto"/>
            <w:bottom w:val="none" w:sz="0" w:space="0" w:color="auto"/>
            <w:right w:val="none" w:sz="0" w:space="0" w:color="auto"/>
          </w:divBdr>
        </w:div>
        <w:div w:id="1241018856">
          <w:marLeft w:val="0"/>
          <w:marRight w:val="0"/>
          <w:marTop w:val="0"/>
          <w:marBottom w:val="0"/>
          <w:divBdr>
            <w:top w:val="none" w:sz="0" w:space="0" w:color="auto"/>
            <w:left w:val="none" w:sz="0" w:space="0" w:color="auto"/>
            <w:bottom w:val="none" w:sz="0" w:space="0" w:color="auto"/>
            <w:right w:val="none" w:sz="0" w:space="0" w:color="auto"/>
          </w:divBdr>
        </w:div>
        <w:div w:id="1971090928">
          <w:marLeft w:val="0"/>
          <w:marRight w:val="0"/>
          <w:marTop w:val="0"/>
          <w:marBottom w:val="0"/>
          <w:divBdr>
            <w:top w:val="none" w:sz="0" w:space="0" w:color="auto"/>
            <w:left w:val="none" w:sz="0" w:space="0" w:color="auto"/>
            <w:bottom w:val="none" w:sz="0" w:space="0" w:color="auto"/>
            <w:right w:val="none" w:sz="0" w:space="0" w:color="auto"/>
          </w:divBdr>
        </w:div>
      </w:divsChild>
    </w:div>
    <w:div w:id="1295405982">
      <w:bodyDiv w:val="1"/>
      <w:marLeft w:val="0"/>
      <w:marRight w:val="0"/>
      <w:marTop w:val="0"/>
      <w:marBottom w:val="0"/>
      <w:divBdr>
        <w:top w:val="none" w:sz="0" w:space="0" w:color="auto"/>
        <w:left w:val="none" w:sz="0" w:space="0" w:color="auto"/>
        <w:bottom w:val="none" w:sz="0" w:space="0" w:color="auto"/>
        <w:right w:val="none" w:sz="0" w:space="0" w:color="auto"/>
      </w:divBdr>
      <w:divsChild>
        <w:div w:id="1376781367">
          <w:marLeft w:val="0"/>
          <w:marRight w:val="0"/>
          <w:marTop w:val="0"/>
          <w:marBottom w:val="0"/>
          <w:divBdr>
            <w:top w:val="none" w:sz="0" w:space="0" w:color="auto"/>
            <w:left w:val="none" w:sz="0" w:space="0" w:color="auto"/>
            <w:bottom w:val="none" w:sz="0" w:space="0" w:color="auto"/>
            <w:right w:val="none" w:sz="0" w:space="0" w:color="auto"/>
          </w:divBdr>
          <w:divsChild>
            <w:div w:id="1129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338">
      <w:bodyDiv w:val="1"/>
      <w:marLeft w:val="0"/>
      <w:marRight w:val="0"/>
      <w:marTop w:val="0"/>
      <w:marBottom w:val="0"/>
      <w:divBdr>
        <w:top w:val="none" w:sz="0" w:space="0" w:color="auto"/>
        <w:left w:val="none" w:sz="0" w:space="0" w:color="auto"/>
        <w:bottom w:val="none" w:sz="0" w:space="0" w:color="auto"/>
        <w:right w:val="none" w:sz="0" w:space="0" w:color="auto"/>
      </w:divBdr>
      <w:divsChild>
        <w:div w:id="197352163">
          <w:marLeft w:val="0"/>
          <w:marRight w:val="0"/>
          <w:marTop w:val="0"/>
          <w:marBottom w:val="0"/>
          <w:divBdr>
            <w:top w:val="none" w:sz="0" w:space="0" w:color="auto"/>
            <w:left w:val="none" w:sz="0" w:space="0" w:color="auto"/>
            <w:bottom w:val="none" w:sz="0" w:space="0" w:color="auto"/>
            <w:right w:val="none" w:sz="0" w:space="0" w:color="auto"/>
          </w:divBdr>
          <w:divsChild>
            <w:div w:id="1518151166">
              <w:marLeft w:val="0"/>
              <w:marRight w:val="0"/>
              <w:marTop w:val="0"/>
              <w:marBottom w:val="0"/>
              <w:divBdr>
                <w:top w:val="none" w:sz="0" w:space="0" w:color="auto"/>
                <w:left w:val="none" w:sz="0" w:space="0" w:color="auto"/>
                <w:bottom w:val="none" w:sz="0" w:space="0" w:color="auto"/>
                <w:right w:val="none" w:sz="0" w:space="0" w:color="auto"/>
              </w:divBdr>
              <w:divsChild>
                <w:div w:id="7567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7494">
      <w:bodyDiv w:val="1"/>
      <w:marLeft w:val="0"/>
      <w:marRight w:val="0"/>
      <w:marTop w:val="0"/>
      <w:marBottom w:val="0"/>
      <w:divBdr>
        <w:top w:val="none" w:sz="0" w:space="0" w:color="auto"/>
        <w:left w:val="none" w:sz="0" w:space="0" w:color="auto"/>
        <w:bottom w:val="none" w:sz="0" w:space="0" w:color="auto"/>
        <w:right w:val="none" w:sz="0" w:space="0" w:color="auto"/>
      </w:divBdr>
      <w:divsChild>
        <w:div w:id="153373003">
          <w:marLeft w:val="0"/>
          <w:marRight w:val="0"/>
          <w:marTop w:val="0"/>
          <w:marBottom w:val="0"/>
          <w:divBdr>
            <w:top w:val="none" w:sz="0" w:space="0" w:color="auto"/>
            <w:left w:val="none" w:sz="0" w:space="0" w:color="auto"/>
            <w:bottom w:val="none" w:sz="0" w:space="0" w:color="auto"/>
            <w:right w:val="none" w:sz="0" w:space="0" w:color="auto"/>
          </w:divBdr>
        </w:div>
        <w:div w:id="280501012">
          <w:marLeft w:val="0"/>
          <w:marRight w:val="0"/>
          <w:marTop w:val="0"/>
          <w:marBottom w:val="0"/>
          <w:divBdr>
            <w:top w:val="none" w:sz="0" w:space="0" w:color="auto"/>
            <w:left w:val="none" w:sz="0" w:space="0" w:color="auto"/>
            <w:bottom w:val="none" w:sz="0" w:space="0" w:color="auto"/>
            <w:right w:val="none" w:sz="0" w:space="0" w:color="auto"/>
          </w:divBdr>
        </w:div>
        <w:div w:id="285889079">
          <w:marLeft w:val="0"/>
          <w:marRight w:val="0"/>
          <w:marTop w:val="0"/>
          <w:marBottom w:val="0"/>
          <w:divBdr>
            <w:top w:val="none" w:sz="0" w:space="0" w:color="auto"/>
            <w:left w:val="none" w:sz="0" w:space="0" w:color="auto"/>
            <w:bottom w:val="none" w:sz="0" w:space="0" w:color="auto"/>
            <w:right w:val="none" w:sz="0" w:space="0" w:color="auto"/>
          </w:divBdr>
        </w:div>
        <w:div w:id="447118864">
          <w:marLeft w:val="0"/>
          <w:marRight w:val="0"/>
          <w:marTop w:val="0"/>
          <w:marBottom w:val="0"/>
          <w:divBdr>
            <w:top w:val="none" w:sz="0" w:space="0" w:color="auto"/>
            <w:left w:val="none" w:sz="0" w:space="0" w:color="auto"/>
            <w:bottom w:val="none" w:sz="0" w:space="0" w:color="auto"/>
            <w:right w:val="none" w:sz="0" w:space="0" w:color="auto"/>
          </w:divBdr>
        </w:div>
        <w:div w:id="970865934">
          <w:marLeft w:val="0"/>
          <w:marRight w:val="0"/>
          <w:marTop w:val="0"/>
          <w:marBottom w:val="0"/>
          <w:divBdr>
            <w:top w:val="none" w:sz="0" w:space="0" w:color="auto"/>
            <w:left w:val="none" w:sz="0" w:space="0" w:color="auto"/>
            <w:bottom w:val="none" w:sz="0" w:space="0" w:color="auto"/>
            <w:right w:val="none" w:sz="0" w:space="0" w:color="auto"/>
          </w:divBdr>
        </w:div>
        <w:div w:id="1086654321">
          <w:marLeft w:val="0"/>
          <w:marRight w:val="0"/>
          <w:marTop w:val="0"/>
          <w:marBottom w:val="0"/>
          <w:divBdr>
            <w:top w:val="none" w:sz="0" w:space="0" w:color="auto"/>
            <w:left w:val="none" w:sz="0" w:space="0" w:color="auto"/>
            <w:bottom w:val="none" w:sz="0" w:space="0" w:color="auto"/>
            <w:right w:val="none" w:sz="0" w:space="0" w:color="auto"/>
          </w:divBdr>
        </w:div>
        <w:div w:id="1115752121">
          <w:marLeft w:val="0"/>
          <w:marRight w:val="0"/>
          <w:marTop w:val="0"/>
          <w:marBottom w:val="0"/>
          <w:divBdr>
            <w:top w:val="none" w:sz="0" w:space="0" w:color="auto"/>
            <w:left w:val="none" w:sz="0" w:space="0" w:color="auto"/>
            <w:bottom w:val="none" w:sz="0" w:space="0" w:color="auto"/>
            <w:right w:val="none" w:sz="0" w:space="0" w:color="auto"/>
          </w:divBdr>
        </w:div>
        <w:div w:id="1564869133">
          <w:marLeft w:val="0"/>
          <w:marRight w:val="0"/>
          <w:marTop w:val="0"/>
          <w:marBottom w:val="0"/>
          <w:divBdr>
            <w:top w:val="none" w:sz="0" w:space="0" w:color="auto"/>
            <w:left w:val="none" w:sz="0" w:space="0" w:color="auto"/>
            <w:bottom w:val="none" w:sz="0" w:space="0" w:color="auto"/>
            <w:right w:val="none" w:sz="0" w:space="0" w:color="auto"/>
          </w:divBdr>
        </w:div>
        <w:div w:id="1573587262">
          <w:marLeft w:val="0"/>
          <w:marRight w:val="0"/>
          <w:marTop w:val="0"/>
          <w:marBottom w:val="0"/>
          <w:divBdr>
            <w:top w:val="none" w:sz="0" w:space="0" w:color="auto"/>
            <w:left w:val="none" w:sz="0" w:space="0" w:color="auto"/>
            <w:bottom w:val="none" w:sz="0" w:space="0" w:color="auto"/>
            <w:right w:val="none" w:sz="0" w:space="0" w:color="auto"/>
          </w:divBdr>
        </w:div>
        <w:div w:id="1603101330">
          <w:marLeft w:val="0"/>
          <w:marRight w:val="0"/>
          <w:marTop w:val="0"/>
          <w:marBottom w:val="0"/>
          <w:divBdr>
            <w:top w:val="none" w:sz="0" w:space="0" w:color="auto"/>
            <w:left w:val="none" w:sz="0" w:space="0" w:color="auto"/>
            <w:bottom w:val="none" w:sz="0" w:space="0" w:color="auto"/>
            <w:right w:val="none" w:sz="0" w:space="0" w:color="auto"/>
          </w:divBdr>
        </w:div>
        <w:div w:id="1875265159">
          <w:marLeft w:val="0"/>
          <w:marRight w:val="0"/>
          <w:marTop w:val="0"/>
          <w:marBottom w:val="0"/>
          <w:divBdr>
            <w:top w:val="none" w:sz="0" w:space="0" w:color="auto"/>
            <w:left w:val="none" w:sz="0" w:space="0" w:color="auto"/>
            <w:bottom w:val="none" w:sz="0" w:space="0" w:color="auto"/>
            <w:right w:val="none" w:sz="0" w:space="0" w:color="auto"/>
          </w:divBdr>
        </w:div>
        <w:div w:id="1901820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1315</Words>
  <Characters>7506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2013-09-30T13:54:00Z</cp:lastPrinted>
  <dcterms:created xsi:type="dcterms:W3CDTF">2014-04-16T20:05:00Z</dcterms:created>
  <dcterms:modified xsi:type="dcterms:W3CDTF">2014-04-16T20:05:00Z</dcterms:modified>
  <cp:category> </cp:category>
  <cp:contentStatus> </cp:contentStatus>
</cp:coreProperties>
</file>