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59" w:rsidRDefault="00392259" w:rsidP="00392259">
      <w:pPr>
        <w:jc w:val="right"/>
        <w:rPr>
          <w:b/>
        </w:rPr>
      </w:pPr>
      <w:bookmarkStart w:id="0" w:name="_GoBack"/>
      <w:bookmarkEnd w:id="0"/>
      <w:r w:rsidRPr="00A52ECF">
        <w:rPr>
          <w:b/>
        </w:rPr>
        <w:t xml:space="preserve">DA </w:t>
      </w:r>
      <w:r>
        <w:rPr>
          <w:b/>
        </w:rPr>
        <w:t>1</w:t>
      </w:r>
      <w:r w:rsidR="00446662">
        <w:rPr>
          <w:b/>
        </w:rPr>
        <w:t>4</w:t>
      </w:r>
      <w:r w:rsidRPr="00A52ECF">
        <w:rPr>
          <w:b/>
        </w:rPr>
        <w:t>-</w:t>
      </w:r>
      <w:r w:rsidR="00787FD4">
        <w:rPr>
          <w:b/>
        </w:rPr>
        <w:t>512</w:t>
      </w:r>
    </w:p>
    <w:p w:rsidR="00392259" w:rsidRDefault="00392259" w:rsidP="00392259">
      <w:pPr>
        <w:jc w:val="right"/>
        <w:rPr>
          <w:b/>
        </w:rPr>
      </w:pPr>
    </w:p>
    <w:p w:rsidR="00392259" w:rsidRDefault="00392259" w:rsidP="00392259">
      <w:r>
        <w:t>Mr. Enrique Amezcua</w:t>
      </w:r>
    </w:p>
    <w:p w:rsidR="00392259" w:rsidRDefault="00392259" w:rsidP="00392259">
      <w:r>
        <w:t>X2nSat</w:t>
      </w:r>
    </w:p>
    <w:p w:rsidR="00392259" w:rsidRDefault="00392259" w:rsidP="00392259">
      <w:r>
        <w:t>1310 Redwood Way</w:t>
      </w:r>
    </w:p>
    <w:p w:rsidR="00392259" w:rsidRDefault="00392259" w:rsidP="00392259">
      <w:r>
        <w:t>Petaluma, CA 94954</w:t>
      </w:r>
    </w:p>
    <w:p w:rsidR="00392259" w:rsidRDefault="00392259" w:rsidP="00392259"/>
    <w:p w:rsidR="00392259" w:rsidRDefault="00282DE9" w:rsidP="00392259">
      <w:hyperlink r:id="rId8" w:history="1">
        <w:r w:rsidR="00392259">
          <w:rPr>
            <w:rStyle w:val="Hyperlink"/>
          </w:rPr>
          <w:t>enrique@x2nsat.com</w:t>
        </w:r>
      </w:hyperlink>
    </w:p>
    <w:p w:rsidR="00392259" w:rsidRDefault="00392259" w:rsidP="00392259"/>
    <w:p w:rsidR="00392259" w:rsidRDefault="00392259" w:rsidP="00392259">
      <w:r>
        <w:tab/>
      </w:r>
      <w:r>
        <w:tab/>
      </w:r>
      <w:r>
        <w:tab/>
      </w:r>
      <w:r>
        <w:tab/>
      </w:r>
      <w:r>
        <w:tab/>
      </w:r>
      <w:r>
        <w:tab/>
      </w:r>
      <w:r w:rsidR="00636487">
        <w:t xml:space="preserve">        </w:t>
      </w:r>
      <w:r>
        <w:t>Call Sign:  E130177</w:t>
      </w:r>
    </w:p>
    <w:p w:rsidR="00392259" w:rsidRDefault="00392259" w:rsidP="00392259">
      <w:r>
        <w:tab/>
      </w:r>
      <w:r>
        <w:tab/>
      </w:r>
      <w:r>
        <w:tab/>
      </w:r>
      <w:r>
        <w:tab/>
      </w:r>
      <w:r>
        <w:tab/>
      </w:r>
      <w:r>
        <w:tab/>
      </w:r>
      <w:r w:rsidR="00F450CC">
        <w:t xml:space="preserve">        </w:t>
      </w:r>
      <w:r>
        <w:t xml:space="preserve">File No.:   </w:t>
      </w:r>
      <w:r w:rsidR="00605F7A">
        <w:t xml:space="preserve"> </w:t>
      </w:r>
      <w:r>
        <w:t>SES-LIC-20130926-00838</w:t>
      </w:r>
    </w:p>
    <w:p w:rsidR="00392259" w:rsidRDefault="00392259" w:rsidP="00392259"/>
    <w:p w:rsidR="00392259" w:rsidRDefault="00392259" w:rsidP="00392259">
      <w:r>
        <w:t>Dear Mr. Amezcua:</w:t>
      </w:r>
    </w:p>
    <w:p w:rsidR="00392259" w:rsidRDefault="00392259" w:rsidP="00392259"/>
    <w:p w:rsidR="00392259" w:rsidRDefault="00392259" w:rsidP="00274DB3">
      <w:pPr>
        <w:ind w:firstLine="720"/>
      </w:pPr>
      <w:r>
        <w:t>On September 26, 2013, X2nSat refiled the above-captioned application</w:t>
      </w:r>
      <w:r>
        <w:rPr>
          <w:rStyle w:val="FootnoteReference"/>
        </w:rPr>
        <w:footnoteReference w:id="1"/>
      </w:r>
      <w:r>
        <w:t xml:space="preserve"> for a new VSAT network that includes a fixed earth station, located in Petaluma, CA, and three types of remote earth stations.</w:t>
      </w:r>
      <w:r w:rsidR="00B5559F" w:rsidRPr="00B5559F">
        <w:t xml:space="preserve"> </w:t>
      </w:r>
      <w:r w:rsidR="00B5559F">
        <w:rPr>
          <w:rStyle w:val="FootnoteReference"/>
        </w:rPr>
        <w:footnoteReference w:id="2"/>
      </w:r>
      <w:r w:rsidR="00636487">
        <w:t xml:space="preserve"> </w:t>
      </w:r>
      <w:r>
        <w:t xml:space="preserve"> All earth stations would access the SES-2 (Call Sign S2826) satellite at the 87° W.L. orbital location, from points within CONUS, Alaska, Hawaii, Puerto Rico, and the U.S. Virgin Islands in the 11.7-12.2 GHz (space-to-Earth) and 14.0-14.5 GHz (Earth-to-space) frequency bands</w:t>
      </w:r>
      <w:r w:rsidR="00B5559F">
        <w:t>.</w:t>
      </w:r>
      <w:r>
        <w:t xml:space="preserve">  </w:t>
      </w:r>
      <w:r w:rsidR="00274DB3">
        <w:t>Pursuant to Section 25.112(a)(1) of the Commission’s rules, 47 C.F.R. § 25.112(a)(1), we dismiss the application, without prejudice to re-filing.</w:t>
      </w:r>
      <w:r w:rsidR="00B45069">
        <w:rPr>
          <w:rStyle w:val="FootnoteReference"/>
        </w:rPr>
        <w:footnoteReference w:id="3"/>
      </w:r>
    </w:p>
    <w:p w:rsidR="00392259" w:rsidRDefault="00392259" w:rsidP="00392259"/>
    <w:p w:rsidR="00392259" w:rsidRDefault="00392259" w:rsidP="00274DB3">
      <w:pPr>
        <w:ind w:firstLine="720"/>
      </w:pPr>
      <w:r>
        <w:t>Section 25.112</w:t>
      </w:r>
      <w:r w:rsidR="00442885">
        <w:t xml:space="preserve"> </w:t>
      </w:r>
      <w:r>
        <w:t>of the Commission’s rules</w:t>
      </w:r>
      <w:r w:rsidR="00442885">
        <w:t xml:space="preserve">, 47 C.F.R. § 25.112, </w:t>
      </w:r>
      <w:r>
        <w:t xml:space="preserve">requires the Commission to return, as unacceptable for filing, any earth station application that is not substantially complete, contains internal inconsistencies, or does not substantially comply with the Commission’s rules.  For the reason set forth below, we find X2nSat’s application is deficient </w:t>
      </w:r>
      <w:r w:rsidR="00A64869">
        <w:t>and subject to dismissal.</w:t>
      </w:r>
    </w:p>
    <w:p w:rsidR="00392259" w:rsidRDefault="00392259" w:rsidP="00392259"/>
    <w:p w:rsidR="00A64869" w:rsidRDefault="00392259" w:rsidP="00FA7BF0">
      <w:pPr>
        <w:ind w:firstLine="720"/>
      </w:pPr>
      <w:r>
        <w:t xml:space="preserve">In the </w:t>
      </w:r>
      <w:r w:rsidR="00A64869">
        <w:t xml:space="preserve">Commission’s previous </w:t>
      </w:r>
      <w:r>
        <w:t>dismissal letter</w:t>
      </w:r>
      <w:r w:rsidR="00A64869">
        <w:t xml:space="preserve">, </w:t>
      </w:r>
      <w:r w:rsidR="00B45069">
        <w:t>we</w:t>
      </w:r>
      <w:r>
        <w:t xml:space="preserve"> requested </w:t>
      </w:r>
      <w:r w:rsidR="00B45069">
        <w:t xml:space="preserve">that, for the </w:t>
      </w:r>
      <w:r w:rsidR="00A64869">
        <w:t>0.75-meter Newtec model MDM2200 antenna</w:t>
      </w:r>
      <w:r w:rsidR="00B45069">
        <w:t>, X2nSat</w:t>
      </w:r>
      <w:r w:rsidR="00741B79">
        <w:t xml:space="preserve"> submit as part of any re-filed application information</w:t>
      </w:r>
      <w:r w:rsidR="003A5BBB">
        <w:t xml:space="preserve"> related to antenna performance.  X2nSat was required to submit </w:t>
      </w:r>
      <w:r w:rsidR="00DF31AC">
        <w:t xml:space="preserve">information related to </w:t>
      </w:r>
      <w:r w:rsidR="003A5BBB">
        <w:t xml:space="preserve">any one of the </w:t>
      </w:r>
      <w:r w:rsidR="0061634F">
        <w:t xml:space="preserve">three </w:t>
      </w:r>
      <w:r w:rsidR="003A5BBB">
        <w:t>antenna performance certification methods below:</w:t>
      </w:r>
    </w:p>
    <w:p w:rsidR="00442885" w:rsidRDefault="00442885" w:rsidP="00392259"/>
    <w:p w:rsidR="0094702B" w:rsidRDefault="00B45069" w:rsidP="00DF31AC">
      <w:pPr>
        <w:pStyle w:val="ListParagraph"/>
        <w:numPr>
          <w:ilvl w:val="0"/>
          <w:numId w:val="2"/>
        </w:numPr>
      </w:pPr>
      <w:r>
        <w:t xml:space="preserve">the </w:t>
      </w:r>
      <w:r w:rsidR="00741B79">
        <w:t xml:space="preserve">antenna </w:t>
      </w:r>
      <w:r>
        <w:t xml:space="preserve">manufacturer’s certification that demonstrates </w:t>
      </w:r>
      <w:r w:rsidR="0094702B">
        <w:t>c</w:t>
      </w:r>
      <w:r w:rsidR="00392259">
        <w:t>ompli</w:t>
      </w:r>
      <w:r>
        <w:t xml:space="preserve">ance </w:t>
      </w:r>
      <w:r w:rsidR="00392259">
        <w:t>with Section 25.209(a)</w:t>
      </w:r>
      <w:r w:rsidR="006F3DB3">
        <w:t xml:space="preserve"> </w:t>
      </w:r>
      <w:r w:rsidR="00392259">
        <w:t>and (b)</w:t>
      </w:r>
      <w:r w:rsidR="006F3DB3" w:rsidRPr="006F3DB3">
        <w:t xml:space="preserve"> </w:t>
      </w:r>
      <w:r w:rsidR="006F3DB3">
        <w:t>of the Commission’s rules</w:t>
      </w:r>
      <w:r w:rsidR="00442885">
        <w:t>, 47 C.F.R. § § 25.209(a) and (b)</w:t>
      </w:r>
      <w:r w:rsidR="00741B79">
        <w:t xml:space="preserve"> regarding </w:t>
      </w:r>
      <w:r w:rsidR="0094702B">
        <w:t>antenna performance standards</w:t>
      </w:r>
      <w:r w:rsidR="00741B79">
        <w:t>;</w:t>
      </w:r>
      <w:r w:rsidR="0094702B">
        <w:t xml:space="preserve"> or</w:t>
      </w:r>
    </w:p>
    <w:p w:rsidR="00442885" w:rsidRDefault="006F3DB3" w:rsidP="00DF31AC">
      <w:pPr>
        <w:pStyle w:val="ListParagraph"/>
        <w:numPr>
          <w:ilvl w:val="0"/>
          <w:numId w:val="2"/>
        </w:numPr>
      </w:pPr>
      <w:r>
        <w:t xml:space="preserve">the </w:t>
      </w:r>
      <w:r w:rsidR="00392259">
        <w:t>certifications listed in Section 25.220(d)(1)(i-iv) of the Commission’s rules,</w:t>
      </w:r>
      <w:r w:rsidR="00442885" w:rsidRPr="00442885">
        <w:t xml:space="preserve"> </w:t>
      </w:r>
      <w:r w:rsidR="00442885">
        <w:t xml:space="preserve">47 C.F.R.§ </w:t>
      </w:r>
      <w:r w:rsidR="00442885" w:rsidRPr="006F3DB3">
        <w:t>25.220(d)(1)(i-iv)</w:t>
      </w:r>
      <w:r w:rsidR="00741B79">
        <w:t>;</w:t>
      </w:r>
      <w:r w:rsidR="00392259">
        <w:t xml:space="preserve"> or</w:t>
      </w:r>
      <w:r>
        <w:t>,</w:t>
      </w:r>
    </w:p>
    <w:p w:rsidR="00BC4DE5" w:rsidRDefault="00392259" w:rsidP="00BC4DE5">
      <w:pPr>
        <w:pStyle w:val="ListParagraph"/>
        <w:numPr>
          <w:ilvl w:val="0"/>
          <w:numId w:val="2"/>
        </w:numPr>
      </w:pPr>
      <w:r>
        <w:lastRenderedPageBreak/>
        <w:t xml:space="preserve">the call sign </w:t>
      </w:r>
      <w:r w:rsidR="00636487">
        <w:t>and</w:t>
      </w:r>
      <w:r>
        <w:t xml:space="preserve"> specific application</w:t>
      </w:r>
      <w:r w:rsidR="00442885">
        <w:t xml:space="preserve"> file number </w:t>
      </w:r>
      <w:r>
        <w:t>in which th</w:t>
      </w:r>
      <w:r w:rsidR="0094702B">
        <w:t xml:space="preserve">is </w:t>
      </w:r>
      <w:r>
        <w:t>type of antenna has been previously approved</w:t>
      </w:r>
      <w:r w:rsidR="0094702B">
        <w:t>.</w:t>
      </w:r>
      <w:r w:rsidR="00B45069">
        <w:rPr>
          <w:rStyle w:val="FootnoteReference"/>
        </w:rPr>
        <w:footnoteReference w:id="4"/>
      </w:r>
      <w:r w:rsidR="00442885">
        <w:t xml:space="preserve"> </w:t>
      </w:r>
    </w:p>
    <w:p w:rsidR="00BC4DE5" w:rsidRDefault="00BC4DE5" w:rsidP="00BC4DE5">
      <w:pPr>
        <w:pStyle w:val="ListParagraph"/>
        <w:ind w:left="780"/>
      </w:pPr>
    </w:p>
    <w:p w:rsidR="00E61A72" w:rsidRDefault="00E61A72" w:rsidP="00BC4DE5">
      <w:pPr>
        <w:pStyle w:val="ListParagraph"/>
        <w:ind w:left="0"/>
      </w:pPr>
      <w:r>
        <w:t xml:space="preserve">X2NSat failed to submit any of the required information.  </w:t>
      </w:r>
    </w:p>
    <w:p w:rsidR="00FA7BF0" w:rsidRDefault="00FA7BF0" w:rsidP="00636487">
      <w:pPr>
        <w:pStyle w:val="ListParagraph"/>
        <w:ind w:left="780"/>
      </w:pPr>
    </w:p>
    <w:p w:rsidR="00392259" w:rsidRDefault="00392259" w:rsidP="00FA7BF0">
      <w:pPr>
        <w:ind w:firstLine="720"/>
      </w:pPr>
      <w:r>
        <w:t>Accordingly, pursuant to Section 25.112(</w:t>
      </w:r>
      <w:r w:rsidR="003A5BBB">
        <w:t>c</w:t>
      </w:r>
      <w:r w:rsidR="00DF31AC">
        <w:t>)</w:t>
      </w:r>
      <w:r>
        <w:t xml:space="preserve"> of the Commission’s rules, 47 C.F.R. § 25.112(</w:t>
      </w:r>
      <w:r w:rsidR="003A5BBB">
        <w:t>c</w:t>
      </w:r>
      <w:r>
        <w:t>), and Section 0.261 of the Commission’s rules on delegations of authority, 47 C.F.R. § 0.261, we dismiss X2nSat’s above-captioned application without prejudice to re-filing.</w:t>
      </w:r>
    </w:p>
    <w:p w:rsidR="00392259" w:rsidRDefault="00392259" w:rsidP="00392259"/>
    <w:p w:rsidR="00392259" w:rsidRDefault="00392259" w:rsidP="00B45069">
      <w:pPr>
        <w:tabs>
          <w:tab w:val="left" w:pos="4320"/>
        </w:tabs>
      </w:pPr>
      <w:r>
        <w:tab/>
      </w:r>
      <w:r>
        <w:tab/>
      </w:r>
      <w:r>
        <w:tab/>
      </w:r>
      <w:r>
        <w:tab/>
      </w:r>
      <w:r>
        <w:tab/>
      </w:r>
      <w:r>
        <w:tab/>
      </w:r>
      <w:r>
        <w:tab/>
        <w:t>Sincerely,</w:t>
      </w:r>
    </w:p>
    <w:p w:rsidR="00B45069" w:rsidRDefault="00B45069" w:rsidP="00B45069">
      <w:pPr>
        <w:tabs>
          <w:tab w:val="left" w:pos="4320"/>
        </w:tabs>
      </w:pPr>
    </w:p>
    <w:p w:rsidR="00B45069" w:rsidRDefault="00B45069" w:rsidP="00B45069">
      <w:pPr>
        <w:tabs>
          <w:tab w:val="left" w:pos="4320"/>
        </w:tabs>
      </w:pPr>
    </w:p>
    <w:p w:rsidR="00B45069" w:rsidRDefault="00B45069" w:rsidP="00B45069">
      <w:pPr>
        <w:tabs>
          <w:tab w:val="left" w:pos="4320"/>
        </w:tabs>
      </w:pPr>
    </w:p>
    <w:p w:rsidR="00B45069" w:rsidRDefault="00B45069" w:rsidP="00B45069">
      <w:pPr>
        <w:tabs>
          <w:tab w:val="left" w:pos="4320"/>
        </w:tabs>
      </w:pPr>
    </w:p>
    <w:p w:rsidR="00392259" w:rsidRDefault="00B45069" w:rsidP="00B45069">
      <w:pPr>
        <w:tabs>
          <w:tab w:val="left" w:pos="4320"/>
        </w:tabs>
      </w:pPr>
      <w:r>
        <w:tab/>
      </w:r>
      <w:r w:rsidR="00392259">
        <w:t>Paul E. Blais</w:t>
      </w:r>
    </w:p>
    <w:p w:rsidR="00392259" w:rsidRDefault="00B45069" w:rsidP="00B45069">
      <w:pPr>
        <w:tabs>
          <w:tab w:val="left" w:pos="4320"/>
        </w:tabs>
      </w:pPr>
      <w:r>
        <w:tab/>
      </w:r>
      <w:r w:rsidR="00392259">
        <w:t>Chief, Systems Analysis Branch</w:t>
      </w:r>
    </w:p>
    <w:p w:rsidR="00392259" w:rsidRDefault="00392259" w:rsidP="00B45069">
      <w:pPr>
        <w:tabs>
          <w:tab w:val="left" w:pos="4320"/>
        </w:tabs>
      </w:pPr>
      <w:r>
        <w:tab/>
        <w:t>Satellite Division</w:t>
      </w:r>
    </w:p>
    <w:p w:rsidR="00392259" w:rsidRDefault="00392259" w:rsidP="00B45069">
      <w:pPr>
        <w:tabs>
          <w:tab w:val="left" w:pos="4320"/>
        </w:tabs>
      </w:pPr>
      <w:r>
        <w:tab/>
        <w:t>International Bureau</w:t>
      </w:r>
    </w:p>
    <w:p w:rsidR="00392259" w:rsidRDefault="00392259" w:rsidP="00392259">
      <w:pPr>
        <w:rPr>
          <w:b/>
        </w:rPr>
      </w:pPr>
    </w:p>
    <w:p w:rsidR="00204CE3" w:rsidRPr="00204CE3" w:rsidRDefault="00204CE3" w:rsidP="00392259">
      <w:pPr>
        <w:jc w:val="right"/>
      </w:pPr>
    </w:p>
    <w:sectPr w:rsidR="00204CE3" w:rsidRPr="00204CE3">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F4" w:rsidRDefault="000600F4">
      <w:r>
        <w:separator/>
      </w:r>
    </w:p>
  </w:endnote>
  <w:endnote w:type="continuationSeparator" w:id="0">
    <w:p w:rsidR="000600F4" w:rsidRDefault="0006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F4" w:rsidRDefault="000600F4">
      <w:r>
        <w:separator/>
      </w:r>
    </w:p>
  </w:footnote>
  <w:footnote w:type="continuationSeparator" w:id="0">
    <w:p w:rsidR="000600F4" w:rsidRDefault="000600F4">
      <w:r>
        <w:continuationSeparator/>
      </w:r>
    </w:p>
  </w:footnote>
  <w:footnote w:id="1">
    <w:p w:rsidR="00392259" w:rsidRDefault="00392259" w:rsidP="00392259">
      <w:pPr>
        <w:pStyle w:val="FootnoteText"/>
      </w:pPr>
      <w:r>
        <w:rPr>
          <w:rStyle w:val="FootnoteReference"/>
        </w:rPr>
        <w:footnoteRef/>
      </w:r>
      <w:r>
        <w:t xml:space="preserve">  This application is a re</w:t>
      </w:r>
      <w:r w:rsidR="00741B79">
        <w:t>-</w:t>
      </w:r>
      <w:r>
        <w:t>fil</w:t>
      </w:r>
      <w:r w:rsidR="00B5559F">
        <w:t xml:space="preserve">ing </w:t>
      </w:r>
      <w:r>
        <w:t xml:space="preserve">of </w:t>
      </w:r>
      <w:r w:rsidR="00B5559F">
        <w:t>application SES</w:t>
      </w:r>
      <w:r>
        <w:t xml:space="preserve">-LIC-20130903-00775 </w:t>
      </w:r>
      <w:r w:rsidR="00B5559F">
        <w:t xml:space="preserve">that </w:t>
      </w:r>
      <w:r>
        <w:t xml:space="preserve">was dismissed as defective without prejudice to re-filing </w:t>
      </w:r>
      <w:r w:rsidR="00B5559F">
        <w:t>in FCC letter,</w:t>
      </w:r>
      <w:r>
        <w:t xml:space="preserve"> DA 13-1973</w:t>
      </w:r>
      <w:r w:rsidR="00B5559F">
        <w:t>, released</w:t>
      </w:r>
      <w:r>
        <w:t xml:space="preserve"> September 24, 2013.</w:t>
      </w:r>
    </w:p>
    <w:p w:rsidR="00392259" w:rsidRDefault="00392259" w:rsidP="00392259">
      <w:pPr>
        <w:pStyle w:val="FootnoteText"/>
      </w:pPr>
    </w:p>
  </w:footnote>
  <w:footnote w:id="2">
    <w:p w:rsidR="00B5559F" w:rsidRDefault="00B5559F" w:rsidP="00B5559F">
      <w:pPr>
        <w:pStyle w:val="FootnoteText"/>
      </w:pPr>
      <w:r>
        <w:rPr>
          <w:rStyle w:val="FootnoteReference"/>
        </w:rPr>
        <w:footnoteRef/>
      </w:r>
      <w:r>
        <w:t xml:space="preserve">  The three types of remote antennas are: 1.8-meter Skyware Global antennas; 1.2-meter Skyware Global antennas, and 0.75-meter Newtec model MDM2200 antennas. </w:t>
      </w:r>
    </w:p>
    <w:p w:rsidR="00B5559F" w:rsidRDefault="00B5559F" w:rsidP="00B5559F">
      <w:pPr>
        <w:pStyle w:val="FootnoteText"/>
      </w:pPr>
    </w:p>
  </w:footnote>
  <w:footnote w:id="3">
    <w:p w:rsidR="00B45069" w:rsidRDefault="00B45069" w:rsidP="00B45069">
      <w:pPr>
        <w:pStyle w:val="FootnoteText"/>
      </w:pPr>
      <w:r>
        <w:rPr>
          <w:rStyle w:val="FootnoteReference"/>
        </w:rPr>
        <w:footnoteRef/>
      </w:r>
      <w:r>
        <w:t xml:space="preserve">  If </w:t>
      </w:r>
      <w:r w:rsidRPr="00E1473C">
        <w:t>X2</w:t>
      </w:r>
      <w:r w:rsidRPr="00787FD4">
        <w:t>nSat</w:t>
      </w:r>
      <w:r>
        <w:t xml:space="preserve"> re-files an application identical to the application dismissed, with the exception of supplying the corrected information, it need not pay an application fee. </w:t>
      </w:r>
      <w:r w:rsidR="00442885">
        <w:t xml:space="preserve"> </w:t>
      </w:r>
      <w:r>
        <w:rPr>
          <w:i/>
        </w:rPr>
        <w:t>See</w:t>
      </w:r>
      <w:r>
        <w:t xml:space="preserve"> 47 C.F.R. § 1.1111(d).</w:t>
      </w:r>
    </w:p>
    <w:p w:rsidR="00B45069" w:rsidRDefault="00B45069" w:rsidP="00B45069">
      <w:pPr>
        <w:pStyle w:val="FootnoteText"/>
      </w:pPr>
    </w:p>
  </w:footnote>
  <w:footnote w:id="4">
    <w:p w:rsidR="00B45069" w:rsidRDefault="00B45069" w:rsidP="00B45069">
      <w:pPr>
        <w:pStyle w:val="NormalWeb"/>
        <w:rPr>
          <w:snapToGrid w:val="0"/>
          <w:color w:val="000000"/>
          <w:sz w:val="20"/>
          <w:szCs w:val="20"/>
        </w:rPr>
      </w:pPr>
      <w:r>
        <w:rPr>
          <w:rStyle w:val="FootnoteReference"/>
        </w:rPr>
        <w:footnoteRef/>
      </w:r>
      <w:r>
        <w:t xml:space="preserve">  </w:t>
      </w:r>
      <w:r>
        <w:rPr>
          <w:i/>
          <w:iCs/>
          <w:snapToGrid w:val="0"/>
          <w:color w:val="000000"/>
          <w:sz w:val="20"/>
          <w:szCs w:val="20"/>
        </w:rPr>
        <w:t xml:space="preserve">Fifth Report and Order, </w:t>
      </w:r>
      <w:r>
        <w:rPr>
          <w:snapToGrid w:val="0"/>
          <w:color w:val="000000"/>
          <w:sz w:val="20"/>
          <w:szCs w:val="20"/>
        </w:rPr>
        <w:t>20 FCC Rcd at 5666 (para. 59)</w:t>
      </w:r>
      <w:r w:rsidR="00741B79">
        <w:rPr>
          <w:snapToGrid w:val="0"/>
          <w:color w:val="000000"/>
          <w:sz w:val="20"/>
          <w:szCs w:val="20"/>
        </w:rPr>
        <w:t xml:space="preserve">.  </w:t>
      </w:r>
      <w:r w:rsidR="00741B79" w:rsidRPr="00741B79">
        <w:rPr>
          <w:snapToGrid w:val="0"/>
          <w:color w:val="000000"/>
          <w:sz w:val="20"/>
          <w:szCs w:val="20"/>
        </w:rPr>
        <w:t xml:space="preserve">The Commission maintains a list of approved non-routine antennas at </w:t>
      </w:r>
      <w:hyperlink r:id="rId1" w:history="1">
        <w:r w:rsidR="00741B79" w:rsidRPr="00477309">
          <w:rPr>
            <w:rStyle w:val="Hyperlink"/>
            <w:snapToGrid w:val="0"/>
            <w:sz w:val="20"/>
            <w:szCs w:val="20"/>
          </w:rPr>
          <w:t>http://transition.fcc.gov/ib/sd/nresa/#</w:t>
        </w:r>
      </w:hyperlink>
      <w:r w:rsidR="00741B79" w:rsidRPr="00741B79">
        <w:rPr>
          <w:snapToGrid w:val="0"/>
          <w:color w:val="000000"/>
          <w:sz w:val="20"/>
          <w:szCs w:val="20"/>
        </w:rPr>
        <w:t>.</w:t>
      </w:r>
      <w:r w:rsidR="00741B79">
        <w:rPr>
          <w:snapToGrid w:val="0"/>
          <w:color w:val="000000"/>
          <w:sz w:val="20"/>
          <w:szCs w:val="20"/>
        </w:rPr>
        <w:t xml:space="preserve"> </w:t>
      </w:r>
    </w:p>
    <w:p w:rsidR="00B45069" w:rsidRDefault="00B45069" w:rsidP="00B450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C1" w:rsidRDefault="00EA3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D4" w:rsidRPr="00787FD4" w:rsidRDefault="00787FD4" w:rsidP="00787FD4">
    <w:pPr>
      <w:pStyle w:val="Header"/>
    </w:pPr>
    <w:r w:rsidRPr="00787FD4">
      <w:rPr>
        <w:b/>
        <w:noProof/>
      </w:rPr>
      <mc:AlternateContent>
        <mc:Choice Requires="wps">
          <w:drawing>
            <wp:anchor distT="0" distB="0" distL="114300" distR="114300" simplePos="0" relativeHeight="251659776" behindDoc="1" locked="0" layoutInCell="0" allowOverlap="1" wp14:anchorId="546BD79A" wp14:editId="483B09D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87FD4">
      <w:rPr>
        <w:b/>
      </w:rPr>
      <w:tab/>
      <w:t>Federal Communications Commission</w:t>
    </w:r>
    <w:r w:rsidRPr="00787FD4">
      <w:rPr>
        <w:b/>
      </w:rPr>
      <w:tab/>
      <w:t>DA 14-</w:t>
    </w:r>
    <w:r>
      <w:rPr>
        <w:b/>
      </w:rPr>
      <w:t>512</w:t>
    </w:r>
  </w:p>
  <w:p w:rsidR="00787FD4" w:rsidRDefault="00787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282DE9">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59168780"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282DE9">
      <w:rPr>
        <w:noProof/>
        <w:sz w:val="24"/>
      </w:rPr>
      <w:t>April 16, 2014</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3089"/>
    <w:multiLevelType w:val="hybridMultilevel"/>
    <w:tmpl w:val="4C861E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543131B6"/>
    <w:multiLevelType w:val="hybridMultilevel"/>
    <w:tmpl w:val="7A36E43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0917808"/>
    <w:multiLevelType w:val="hybridMultilevel"/>
    <w:tmpl w:val="E6A84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9"/>
    <w:rsid w:val="000600F4"/>
    <w:rsid w:val="00065E28"/>
    <w:rsid w:val="00204CE3"/>
    <w:rsid w:val="00274DB3"/>
    <w:rsid w:val="00282DE9"/>
    <w:rsid w:val="002B54DB"/>
    <w:rsid w:val="00352E49"/>
    <w:rsid w:val="00392259"/>
    <w:rsid w:val="003A5BBB"/>
    <w:rsid w:val="00442885"/>
    <w:rsid w:val="00446662"/>
    <w:rsid w:val="004D3B53"/>
    <w:rsid w:val="00513AC7"/>
    <w:rsid w:val="00545656"/>
    <w:rsid w:val="00605F7A"/>
    <w:rsid w:val="0061634F"/>
    <w:rsid w:val="00636487"/>
    <w:rsid w:val="006F3DB3"/>
    <w:rsid w:val="0070462C"/>
    <w:rsid w:val="00741B79"/>
    <w:rsid w:val="00787FD4"/>
    <w:rsid w:val="00793A59"/>
    <w:rsid w:val="007D2792"/>
    <w:rsid w:val="0092772B"/>
    <w:rsid w:val="0094702B"/>
    <w:rsid w:val="00987FCE"/>
    <w:rsid w:val="009C5D27"/>
    <w:rsid w:val="00A35122"/>
    <w:rsid w:val="00A64869"/>
    <w:rsid w:val="00A701C6"/>
    <w:rsid w:val="00B45069"/>
    <w:rsid w:val="00B5559F"/>
    <w:rsid w:val="00B611FB"/>
    <w:rsid w:val="00BC4DE5"/>
    <w:rsid w:val="00DA49F4"/>
    <w:rsid w:val="00DF31AC"/>
    <w:rsid w:val="00E136ED"/>
    <w:rsid w:val="00E1473C"/>
    <w:rsid w:val="00E61A72"/>
    <w:rsid w:val="00EA33C1"/>
    <w:rsid w:val="00F450CC"/>
    <w:rsid w:val="00FA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59"/>
    <w:rPr>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napToGrid/>
      <w:color w:val="auto"/>
      <w:sz w:val="20"/>
      <w:szCs w:val="20"/>
    </w:rPr>
  </w:style>
  <w:style w:type="paragraph" w:styleId="Footer">
    <w:name w:val="footer"/>
    <w:basedOn w:val="Normal"/>
    <w:semiHidden/>
    <w:pPr>
      <w:tabs>
        <w:tab w:val="center" w:pos="4320"/>
        <w:tab w:val="right" w:pos="8640"/>
      </w:tabs>
    </w:pPr>
    <w:rPr>
      <w:snapToGrid/>
      <w:color w:val="auto"/>
      <w:sz w:val="20"/>
      <w:szCs w:val="20"/>
    </w:rPr>
  </w:style>
  <w:style w:type="character" w:styleId="Hyperlink">
    <w:name w:val="Hyperlink"/>
    <w:unhideWhenUsed/>
    <w:rsid w:val="00392259"/>
    <w:rPr>
      <w:color w:val="0000FF"/>
      <w:u w:val="single"/>
    </w:r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392259"/>
    <w:rPr>
      <w:sz w:val="20"/>
      <w:szCs w:val="20"/>
    </w:rPr>
  </w:style>
  <w:style w:type="character" w:customStyle="1" w:styleId="FootnoteTextChar">
    <w:name w:val="Footnote Text Char"/>
    <w:basedOn w:val="DefaultParagraphFont"/>
    <w:uiPriority w:val="99"/>
    <w:semiHidden/>
    <w:rsid w:val="00392259"/>
    <w:rPr>
      <w:snapToGrid w:val="0"/>
      <w:color w:val="000000"/>
    </w:rPr>
  </w:style>
  <w:style w:type="character" w:styleId="FootnoteReference">
    <w:name w:val="footnote reference"/>
    <w:semiHidden/>
    <w:rsid w:val="00392259"/>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392259"/>
    <w:rPr>
      <w:snapToGrid w:val="0"/>
      <w:color w:val="000000"/>
    </w:rPr>
  </w:style>
  <w:style w:type="paragraph" w:styleId="ListParagraph">
    <w:name w:val="List Paragraph"/>
    <w:basedOn w:val="Normal"/>
    <w:uiPriority w:val="34"/>
    <w:qFormat/>
    <w:rsid w:val="00A64869"/>
    <w:pPr>
      <w:ind w:left="720"/>
      <w:contextualSpacing/>
    </w:pPr>
  </w:style>
  <w:style w:type="paragraph" w:styleId="NormalWeb">
    <w:name w:val="Normal (Web)"/>
    <w:basedOn w:val="Normal"/>
    <w:uiPriority w:val="99"/>
    <w:rsid w:val="00B45069"/>
    <w:rPr>
      <w:snapToGrid/>
      <w:color w:val="auto"/>
      <w:sz w:val="24"/>
      <w:szCs w:val="24"/>
    </w:rPr>
  </w:style>
  <w:style w:type="paragraph" w:styleId="BalloonText">
    <w:name w:val="Balloon Text"/>
    <w:basedOn w:val="Normal"/>
    <w:link w:val="BalloonTextChar"/>
    <w:uiPriority w:val="99"/>
    <w:semiHidden/>
    <w:unhideWhenUsed/>
    <w:rsid w:val="00741B79"/>
    <w:rPr>
      <w:rFonts w:ascii="Tahoma" w:hAnsi="Tahoma" w:cs="Tahoma"/>
      <w:sz w:val="16"/>
      <w:szCs w:val="16"/>
    </w:rPr>
  </w:style>
  <w:style w:type="character" w:customStyle="1" w:styleId="BalloonTextChar">
    <w:name w:val="Balloon Text Char"/>
    <w:basedOn w:val="DefaultParagraphFont"/>
    <w:link w:val="BalloonText"/>
    <w:uiPriority w:val="99"/>
    <w:semiHidden/>
    <w:rsid w:val="00741B79"/>
    <w:rPr>
      <w:rFonts w:ascii="Tahoma"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59"/>
    <w:rPr>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napToGrid/>
      <w:color w:val="auto"/>
      <w:sz w:val="20"/>
      <w:szCs w:val="20"/>
    </w:rPr>
  </w:style>
  <w:style w:type="paragraph" w:styleId="Footer">
    <w:name w:val="footer"/>
    <w:basedOn w:val="Normal"/>
    <w:semiHidden/>
    <w:pPr>
      <w:tabs>
        <w:tab w:val="center" w:pos="4320"/>
        <w:tab w:val="right" w:pos="8640"/>
      </w:tabs>
    </w:pPr>
    <w:rPr>
      <w:snapToGrid/>
      <w:color w:val="auto"/>
      <w:sz w:val="20"/>
      <w:szCs w:val="20"/>
    </w:rPr>
  </w:style>
  <w:style w:type="character" w:styleId="Hyperlink">
    <w:name w:val="Hyperlink"/>
    <w:unhideWhenUsed/>
    <w:rsid w:val="00392259"/>
    <w:rPr>
      <w:color w:val="0000FF"/>
      <w:u w:val="single"/>
    </w:r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rsid w:val="00392259"/>
    <w:rPr>
      <w:sz w:val="20"/>
      <w:szCs w:val="20"/>
    </w:rPr>
  </w:style>
  <w:style w:type="character" w:customStyle="1" w:styleId="FootnoteTextChar">
    <w:name w:val="Footnote Text Char"/>
    <w:basedOn w:val="DefaultParagraphFont"/>
    <w:uiPriority w:val="99"/>
    <w:semiHidden/>
    <w:rsid w:val="00392259"/>
    <w:rPr>
      <w:snapToGrid w:val="0"/>
      <w:color w:val="000000"/>
    </w:rPr>
  </w:style>
  <w:style w:type="character" w:styleId="FootnoteReference">
    <w:name w:val="footnote reference"/>
    <w:semiHidden/>
    <w:rsid w:val="00392259"/>
    <w:rPr>
      <w:vertAlign w:val="superscript"/>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rsid w:val="00392259"/>
    <w:rPr>
      <w:snapToGrid w:val="0"/>
      <w:color w:val="000000"/>
    </w:rPr>
  </w:style>
  <w:style w:type="paragraph" w:styleId="ListParagraph">
    <w:name w:val="List Paragraph"/>
    <w:basedOn w:val="Normal"/>
    <w:uiPriority w:val="34"/>
    <w:qFormat/>
    <w:rsid w:val="00A64869"/>
    <w:pPr>
      <w:ind w:left="720"/>
      <w:contextualSpacing/>
    </w:pPr>
  </w:style>
  <w:style w:type="paragraph" w:styleId="NormalWeb">
    <w:name w:val="Normal (Web)"/>
    <w:basedOn w:val="Normal"/>
    <w:uiPriority w:val="99"/>
    <w:rsid w:val="00B45069"/>
    <w:rPr>
      <w:snapToGrid/>
      <w:color w:val="auto"/>
      <w:sz w:val="24"/>
      <w:szCs w:val="24"/>
    </w:rPr>
  </w:style>
  <w:style w:type="paragraph" w:styleId="BalloonText">
    <w:name w:val="Balloon Text"/>
    <w:basedOn w:val="Normal"/>
    <w:link w:val="BalloonTextChar"/>
    <w:uiPriority w:val="99"/>
    <w:semiHidden/>
    <w:unhideWhenUsed/>
    <w:rsid w:val="00741B79"/>
    <w:rPr>
      <w:rFonts w:ascii="Tahoma" w:hAnsi="Tahoma" w:cs="Tahoma"/>
      <w:sz w:val="16"/>
      <w:szCs w:val="16"/>
    </w:rPr>
  </w:style>
  <w:style w:type="character" w:customStyle="1" w:styleId="BalloonTextChar">
    <w:name w:val="Balloon Text Char"/>
    <w:basedOn w:val="DefaultParagraphFont"/>
    <w:link w:val="BalloonText"/>
    <w:uiPriority w:val="99"/>
    <w:semiHidden/>
    <w:rsid w:val="00741B79"/>
    <w:rPr>
      <w:rFonts w:ascii="Tahoma" w:hAnsi="Tahoma" w:cs="Tahoma"/>
      <w:snapToGrid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x2nsa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ib/sd/nresa/"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338</Words>
  <Characters>2028</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2014-04-16T19:53:00Z</dcterms:created>
  <dcterms:modified xsi:type="dcterms:W3CDTF">2014-04-16T19:53:00Z</dcterms:modified>
  <cp:category> </cp:category>
  <cp:contentStatus> </cp:contentStatus>
</cp:coreProperties>
</file>