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7F2" w:rsidRDefault="00AB17F2">
      <w:pPr>
        <w:jc w:val="center"/>
        <w:rPr>
          <w:b/>
        </w:rPr>
      </w:pPr>
      <w:bookmarkStart w:id="0" w:name="_GoBack"/>
      <w:bookmarkEnd w:id="0"/>
      <w:r>
        <w:rPr>
          <w:b/>
        </w:rPr>
        <w:t>Before the</w:t>
      </w:r>
    </w:p>
    <w:p w:rsidR="00AB17F2" w:rsidRDefault="00AB17F2">
      <w:pPr>
        <w:jc w:val="center"/>
        <w:rPr>
          <w:b/>
        </w:rPr>
      </w:pPr>
      <w:r>
        <w:rPr>
          <w:b/>
        </w:rPr>
        <w:t>Federal Communications Commission</w:t>
      </w:r>
    </w:p>
    <w:p w:rsidR="00AB17F2" w:rsidRDefault="00AB17F2">
      <w:pPr>
        <w:jc w:val="center"/>
        <w:rPr>
          <w:b/>
        </w:rPr>
      </w:pPr>
      <w:r>
        <w:rPr>
          <w:b/>
        </w:rPr>
        <w:t>Washington, D.C. 20554</w:t>
      </w:r>
    </w:p>
    <w:p w:rsidR="00AB17F2" w:rsidRDefault="00AB17F2"/>
    <w:p w:rsidR="00AB17F2" w:rsidRDefault="00AB17F2"/>
    <w:tbl>
      <w:tblPr>
        <w:tblW w:w="0" w:type="auto"/>
        <w:tblLayout w:type="fixed"/>
        <w:tblLook w:val="0000" w:firstRow="0" w:lastRow="0" w:firstColumn="0" w:lastColumn="0" w:noHBand="0" w:noVBand="0"/>
      </w:tblPr>
      <w:tblGrid>
        <w:gridCol w:w="4698"/>
        <w:gridCol w:w="720"/>
        <w:gridCol w:w="4230"/>
      </w:tblGrid>
      <w:tr w:rsidR="00AB17F2">
        <w:tc>
          <w:tcPr>
            <w:tcW w:w="4698" w:type="dxa"/>
          </w:tcPr>
          <w:p w:rsidR="00AB17F2" w:rsidRDefault="00AB17F2">
            <w:pPr>
              <w:ind w:right="-18"/>
            </w:pPr>
            <w:r>
              <w:t>In the Matter of</w:t>
            </w:r>
          </w:p>
          <w:p w:rsidR="00AB17F2" w:rsidRDefault="00AB17F2">
            <w:pPr>
              <w:ind w:right="-18"/>
            </w:pPr>
          </w:p>
          <w:p w:rsidR="00AB17F2" w:rsidRDefault="00116059">
            <w:pPr>
              <w:ind w:right="-18"/>
              <w:rPr>
                <w:caps/>
              </w:rPr>
            </w:pPr>
            <w:r>
              <w:rPr>
                <w:caps/>
              </w:rPr>
              <w:t>SKAGIT COUNTY FIRE PROTECTION</w:t>
            </w:r>
          </w:p>
          <w:p w:rsidR="00AB17F2" w:rsidRDefault="00116059">
            <w:pPr>
              <w:ind w:right="-18"/>
              <w:rPr>
                <w:caps/>
              </w:rPr>
            </w:pPr>
            <w:r>
              <w:rPr>
                <w:caps/>
              </w:rPr>
              <w:t>DISTRICT</w:t>
            </w:r>
            <w:r w:rsidR="00A16668">
              <w:rPr>
                <w:caps/>
              </w:rPr>
              <w:t xml:space="preserve"> 5</w:t>
            </w:r>
          </w:p>
          <w:p w:rsidR="00116059" w:rsidRDefault="00116059">
            <w:pPr>
              <w:ind w:right="-18"/>
              <w:rPr>
                <w:caps/>
              </w:rPr>
            </w:pPr>
          </w:p>
          <w:p w:rsidR="00AB17F2" w:rsidRDefault="00AB17F2" w:rsidP="00116059">
            <w:pPr>
              <w:ind w:right="-18"/>
            </w:pPr>
            <w:r>
              <w:t xml:space="preserve">Request for Waiver </w:t>
            </w:r>
            <w:r w:rsidR="008B6889">
              <w:t xml:space="preserve">to Operate Vehicular Repeaters on Federal Frequency </w:t>
            </w:r>
            <w:r w:rsidR="00116059">
              <w:t>170.150</w:t>
            </w:r>
            <w:r w:rsidR="008B6889">
              <w:t xml:space="preserve"> MHz</w:t>
            </w:r>
          </w:p>
        </w:tc>
        <w:tc>
          <w:tcPr>
            <w:tcW w:w="720" w:type="dxa"/>
          </w:tcPr>
          <w:p w:rsidR="00AB17F2" w:rsidRDefault="00AB17F2">
            <w:r>
              <w:t>)</w:t>
            </w:r>
          </w:p>
          <w:p w:rsidR="00AB17F2" w:rsidRDefault="00AB17F2">
            <w:r>
              <w:t>)</w:t>
            </w:r>
          </w:p>
          <w:p w:rsidR="00AB17F2" w:rsidRDefault="00AB17F2">
            <w:r>
              <w:t>)</w:t>
            </w:r>
          </w:p>
          <w:p w:rsidR="00AB17F2" w:rsidRDefault="00AB17F2">
            <w:r>
              <w:t>)</w:t>
            </w:r>
          </w:p>
          <w:p w:rsidR="00AB17F2" w:rsidRDefault="00AB17F2">
            <w:r>
              <w:t>)</w:t>
            </w:r>
          </w:p>
          <w:p w:rsidR="00AB17F2" w:rsidRDefault="00AB17F2">
            <w:r>
              <w:t>)</w:t>
            </w:r>
          </w:p>
          <w:p w:rsidR="00AB17F2" w:rsidRPr="00116059" w:rsidRDefault="00116059">
            <w:r w:rsidRPr="00116059">
              <w:t>)</w:t>
            </w:r>
          </w:p>
          <w:p w:rsidR="00116059" w:rsidRDefault="00116059">
            <w:pPr>
              <w:rPr>
                <w:b/>
              </w:rPr>
            </w:pPr>
          </w:p>
        </w:tc>
        <w:tc>
          <w:tcPr>
            <w:tcW w:w="4230" w:type="dxa"/>
          </w:tcPr>
          <w:p w:rsidR="00AB17F2" w:rsidRDefault="00AB17F2"/>
          <w:p w:rsidR="00AB17F2" w:rsidRDefault="00AB17F2"/>
          <w:p w:rsidR="00AB17F2" w:rsidRDefault="00AB17F2" w:rsidP="006F778F">
            <w:r>
              <w:rPr>
                <w:spacing w:val="-2"/>
              </w:rPr>
              <w:t xml:space="preserve">File No. </w:t>
            </w:r>
            <w:r w:rsidR="006F778F">
              <w:t>0005632141</w:t>
            </w:r>
          </w:p>
        </w:tc>
      </w:tr>
    </w:tbl>
    <w:p w:rsidR="00AB17F2" w:rsidRDefault="00AB17F2">
      <w:pPr>
        <w:jc w:val="center"/>
        <w:rPr>
          <w:b/>
        </w:rPr>
      </w:pPr>
      <w:r>
        <w:rPr>
          <w:b/>
          <w:spacing w:val="-2"/>
        </w:rPr>
        <w:t>ORDER</w:t>
      </w:r>
    </w:p>
    <w:p w:rsidR="00AB17F2" w:rsidRDefault="00AB17F2"/>
    <w:p w:rsidR="00AB17F2" w:rsidRDefault="00AB17F2">
      <w:pPr>
        <w:tabs>
          <w:tab w:val="left" w:pos="5760"/>
          <w:tab w:val="right" w:pos="9360"/>
        </w:tabs>
        <w:rPr>
          <w:b/>
        </w:rPr>
      </w:pPr>
      <w:r>
        <w:rPr>
          <w:b/>
        </w:rPr>
        <w:t>Adopted</w:t>
      </w:r>
      <w:r w:rsidRPr="00E72904">
        <w:rPr>
          <w:b/>
        </w:rPr>
        <w:t xml:space="preserve">: </w:t>
      </w:r>
      <w:r w:rsidR="0090487E">
        <w:rPr>
          <w:b/>
        </w:rPr>
        <w:t>April 17</w:t>
      </w:r>
      <w:r w:rsidRPr="00E72904">
        <w:rPr>
          <w:b/>
        </w:rPr>
        <w:t>, 201</w:t>
      </w:r>
      <w:r w:rsidR="003011E6" w:rsidRPr="00E72904">
        <w:rPr>
          <w:b/>
        </w:rPr>
        <w:t>4</w:t>
      </w:r>
      <w:r>
        <w:rPr>
          <w:b/>
        </w:rPr>
        <w:tab/>
      </w:r>
      <w:r>
        <w:rPr>
          <w:b/>
        </w:rPr>
        <w:tab/>
        <w:t>Released</w:t>
      </w:r>
      <w:r w:rsidRPr="00E72904">
        <w:rPr>
          <w:b/>
        </w:rPr>
        <w:t xml:space="preserve">: </w:t>
      </w:r>
      <w:r w:rsidR="0090487E">
        <w:rPr>
          <w:b/>
        </w:rPr>
        <w:t>April 18</w:t>
      </w:r>
      <w:r w:rsidRPr="00E72904">
        <w:rPr>
          <w:b/>
        </w:rPr>
        <w:t>, 201</w:t>
      </w:r>
      <w:r w:rsidR="003011E6" w:rsidRPr="00E72904">
        <w:rPr>
          <w:b/>
        </w:rPr>
        <w:t>4</w:t>
      </w:r>
    </w:p>
    <w:p w:rsidR="00AB17F2" w:rsidRDefault="00AB17F2">
      <w:pPr>
        <w:tabs>
          <w:tab w:val="left" w:pos="5760"/>
          <w:tab w:val="right" w:pos="9360"/>
        </w:tabs>
        <w:rPr>
          <w:b/>
        </w:rPr>
      </w:pPr>
    </w:p>
    <w:p w:rsidR="00AB17F2" w:rsidRDefault="00AB17F2">
      <w:pPr>
        <w:tabs>
          <w:tab w:val="left" w:pos="5760"/>
        </w:tabs>
      </w:pPr>
      <w:r>
        <w:t xml:space="preserve">By the </w:t>
      </w:r>
      <w:r>
        <w:rPr>
          <w:color w:val="000000"/>
          <w:szCs w:val="22"/>
        </w:rPr>
        <w:t>Chief, Policy and Licensing Division, Public Safety and Homeland Security Bureau</w:t>
      </w:r>
      <w:r>
        <w:rPr>
          <w:spacing w:val="-2"/>
        </w:rPr>
        <w:t>:</w:t>
      </w:r>
    </w:p>
    <w:p w:rsidR="00AB17F2" w:rsidRDefault="00AB17F2"/>
    <w:p w:rsidR="00AB17F2" w:rsidRDefault="00AB17F2">
      <w:pPr>
        <w:pStyle w:val="Heading1"/>
      </w:pPr>
      <w:r>
        <w:t>Introduction</w:t>
      </w:r>
    </w:p>
    <w:p w:rsidR="00AB17F2" w:rsidRDefault="00014A30">
      <w:pPr>
        <w:pStyle w:val="ParaNum"/>
      </w:pPr>
      <w:r>
        <w:t xml:space="preserve">On February 4, 2013, </w:t>
      </w:r>
      <w:r w:rsidR="00A16668">
        <w:t>Skagit County Fire Protection District 5 (Skagit)</w:t>
      </w:r>
      <w:r w:rsidR="009C214C">
        <w:t xml:space="preserve"> </w:t>
      </w:r>
      <w:r>
        <w:t xml:space="preserve">in the State of Washington </w:t>
      </w:r>
      <w:r w:rsidR="00AB17F2">
        <w:t>filed an application</w:t>
      </w:r>
      <w:r w:rsidR="00A454B5">
        <w:t xml:space="preserve"> </w:t>
      </w:r>
      <w:r w:rsidR="00AB17F2">
        <w:t xml:space="preserve">and a </w:t>
      </w:r>
      <w:r w:rsidR="00B1621E">
        <w:t>R</w:t>
      </w:r>
      <w:r w:rsidR="00AB17F2">
        <w:t xml:space="preserve">equest for </w:t>
      </w:r>
      <w:r w:rsidR="00B1621E">
        <w:t>W</w:t>
      </w:r>
      <w:r w:rsidR="00AB17F2">
        <w:t xml:space="preserve">aiver to use frequency </w:t>
      </w:r>
      <w:r w:rsidR="00A16668">
        <w:t>170.150</w:t>
      </w:r>
      <w:r w:rsidR="009C214C">
        <w:t xml:space="preserve"> </w:t>
      </w:r>
      <w:r w:rsidR="00AB17F2">
        <w:t xml:space="preserve">MHz for </w:t>
      </w:r>
      <w:r w:rsidR="00A454B5">
        <w:t>vehicular</w:t>
      </w:r>
      <w:r w:rsidR="009C214C">
        <w:t xml:space="preserve"> repeaters</w:t>
      </w:r>
      <w:r w:rsidR="00A454B5">
        <w:t>.</w:t>
      </w:r>
      <w:r w:rsidR="00F21CC4">
        <w:rPr>
          <w:rStyle w:val="FootnoteReference"/>
        </w:rPr>
        <w:footnoteReference w:id="2"/>
      </w:r>
      <w:r w:rsidR="00AB17F2">
        <w:t xml:space="preserve">  </w:t>
      </w:r>
      <w:r w:rsidR="0040559C" w:rsidRPr="0040559C">
        <w:t xml:space="preserve">Skagit requests waiver of the Commission’s rules because </w:t>
      </w:r>
      <w:r w:rsidR="00E05FC8">
        <w:t xml:space="preserve">the allocation for the </w:t>
      </w:r>
      <w:r w:rsidR="0040559C" w:rsidRPr="0040559C">
        <w:t>frequency</w:t>
      </w:r>
      <w:r w:rsidR="00E05FC8">
        <w:t xml:space="preserve"> band that contains</w:t>
      </w:r>
      <w:r w:rsidR="0040559C" w:rsidRPr="0040559C">
        <w:t xml:space="preserve"> </w:t>
      </w:r>
      <w:r w:rsidR="00A16668">
        <w:t>170.150 MHz</w:t>
      </w:r>
      <w:r w:rsidR="000B6D04">
        <w:t xml:space="preserve"> </w:t>
      </w:r>
      <w:r w:rsidR="00E05FC8">
        <w:t>does not support Skagit’s proposed</w:t>
      </w:r>
      <w:r w:rsidR="000B6D04">
        <w:t xml:space="preserve"> use.  </w:t>
      </w:r>
      <w:r w:rsidR="00AB17F2">
        <w:t xml:space="preserve">For the reasons below, we </w:t>
      </w:r>
      <w:r w:rsidR="0070225E">
        <w:t>deny</w:t>
      </w:r>
      <w:r w:rsidR="007610B0">
        <w:t xml:space="preserve"> the </w:t>
      </w:r>
      <w:r w:rsidR="00AD510E">
        <w:t>W</w:t>
      </w:r>
      <w:r w:rsidR="007610B0">
        <w:t xml:space="preserve">aiver </w:t>
      </w:r>
      <w:r w:rsidR="00AD510E">
        <w:t>R</w:t>
      </w:r>
      <w:r w:rsidR="007610B0">
        <w:t>equest</w:t>
      </w:r>
      <w:r w:rsidR="00AB17F2">
        <w:t>.</w:t>
      </w:r>
    </w:p>
    <w:p w:rsidR="00AB17F2" w:rsidRDefault="00AB17F2">
      <w:pPr>
        <w:pStyle w:val="Heading1"/>
      </w:pPr>
      <w:r>
        <w:t>Background</w:t>
      </w:r>
    </w:p>
    <w:p w:rsidR="00AB17F2" w:rsidRDefault="002415DE" w:rsidP="00111BFB">
      <w:pPr>
        <w:pStyle w:val="ParaNum"/>
      </w:pPr>
      <w:bookmarkStart w:id="1" w:name="_Ref337825188"/>
      <w:r>
        <w:t>Skagit states it “has a variety of terrain challenges that hamper effective public safety communications.”</w:t>
      </w:r>
      <w:r>
        <w:rPr>
          <w:rStyle w:val="FootnoteReference"/>
        </w:rPr>
        <w:footnoteReference w:id="3"/>
      </w:r>
      <w:r>
        <w:t xml:space="preserve">  Skagit argues that a vehicular repeater “is the most reasonable and cost effective solution to overcome these challenges and provide the best protection for [Skagit’s] personnel and community.”</w:t>
      </w:r>
      <w:r>
        <w:rPr>
          <w:rStyle w:val="FootnoteReference"/>
        </w:rPr>
        <w:footnoteReference w:id="4"/>
      </w:r>
      <w:r>
        <w:t xml:space="preserve">  </w:t>
      </w:r>
      <w:r w:rsidR="00C12CA9" w:rsidRPr="00C12CA9">
        <w:t>Skagit asserts that “the public safety frequency pool in the Puget Sound area is extremely congested</w:t>
      </w:r>
      <w:r w:rsidR="00C12CA9">
        <w:t>.</w:t>
      </w:r>
      <w:r w:rsidR="00C12CA9" w:rsidRPr="00C12CA9">
        <w:t>”</w:t>
      </w:r>
      <w:r w:rsidR="00C12CA9">
        <w:rPr>
          <w:rStyle w:val="FootnoteReference"/>
        </w:rPr>
        <w:footnoteReference w:id="5"/>
      </w:r>
      <w:r w:rsidR="00C12CA9" w:rsidRPr="00C12CA9">
        <w:t xml:space="preserve"> </w:t>
      </w:r>
      <w:r w:rsidR="00C12CA9">
        <w:t xml:space="preserve"> </w:t>
      </w:r>
      <w:r w:rsidR="00C12CA9" w:rsidRPr="00C12CA9">
        <w:t xml:space="preserve">Skagit County operates a </w:t>
      </w:r>
      <w:r w:rsidR="00D60CF3">
        <w:t>public safety radio</w:t>
      </w:r>
      <w:r w:rsidR="00C12CA9" w:rsidRPr="00C12CA9">
        <w:t xml:space="preserve"> system on frequencies 153.830 to 159.150 MHz.</w:t>
      </w:r>
      <w:r w:rsidR="00C12CA9">
        <w:rPr>
          <w:rStyle w:val="FootnoteReference"/>
        </w:rPr>
        <w:footnoteReference w:id="6"/>
      </w:r>
      <w:r w:rsidR="00C12CA9">
        <w:t xml:space="preserve">  </w:t>
      </w:r>
      <w:r w:rsidR="00C12CA9" w:rsidRPr="00C12CA9">
        <w:t xml:space="preserve">Skagit </w:t>
      </w:r>
      <w:r w:rsidR="00D60CF3">
        <w:t>argue</w:t>
      </w:r>
      <w:r w:rsidR="00C12CA9" w:rsidRPr="00C12CA9">
        <w:t>s</w:t>
      </w:r>
      <w:r w:rsidR="00D60CF3">
        <w:t xml:space="preserve"> that</w:t>
      </w:r>
      <w:r w:rsidR="00C12CA9" w:rsidRPr="00C12CA9">
        <w:t xml:space="preserve"> “[o]pen frequencies with the necessary 2 MHz separation are not available in the 150-159 range due to harmful co-channel and adjacent interference to not only the applicant, but to incumbent licensees as well.”</w:t>
      </w:r>
      <w:r w:rsidR="00C12CA9" w:rsidRPr="00C12CA9">
        <w:rPr>
          <w:vertAlign w:val="superscript"/>
        </w:rPr>
        <w:footnoteReference w:id="7"/>
      </w:r>
      <w:r w:rsidR="00C12CA9" w:rsidRPr="00C12CA9">
        <w:t xml:space="preserve">  Skagit</w:t>
      </w:r>
      <w:r w:rsidR="00C12CA9">
        <w:t xml:space="preserve"> states that it</w:t>
      </w:r>
      <w:r w:rsidR="00C12CA9" w:rsidRPr="00C12CA9">
        <w:t xml:space="preserve">s “proximity to British Columbia, Canada further limits </w:t>
      </w:r>
      <w:r w:rsidR="00C12CA9" w:rsidRPr="00C12CA9">
        <w:lastRenderedPageBreak/>
        <w:t>the frequency pool.”</w:t>
      </w:r>
      <w:r w:rsidR="00C12CA9" w:rsidRPr="00C12CA9">
        <w:rPr>
          <w:vertAlign w:val="superscript"/>
        </w:rPr>
        <w:footnoteReference w:id="8"/>
      </w:r>
      <w:r w:rsidR="00C12CA9" w:rsidRPr="00C12CA9">
        <w:t xml:space="preserve">  Skagit seeks to operate low power vehicular repeaters on frequency 170.150 MHz because “[f]requencies in the 170 or 172 [MHz] ranges offer the best opportunities to meet the needs of Skagit County Fire Protection District 5, avoid harmful interference issues in the 150-160 [MHz] range</w:t>
      </w:r>
      <w:r w:rsidR="000F6FC8">
        <w:t>,</w:t>
      </w:r>
      <w:r w:rsidR="00C12CA9" w:rsidRPr="00C12CA9">
        <w:t xml:space="preserve"> and avoid coordination issues with Industry Canada.”</w:t>
      </w:r>
      <w:r w:rsidR="00C12CA9" w:rsidRPr="00C12CA9">
        <w:rPr>
          <w:vertAlign w:val="superscript"/>
        </w:rPr>
        <w:footnoteReference w:id="9"/>
      </w:r>
      <w:r w:rsidR="00C12CA9" w:rsidRPr="00C12CA9">
        <w:t xml:space="preserve"> </w:t>
      </w:r>
      <w:r w:rsidR="00C12CA9">
        <w:t xml:space="preserve"> </w:t>
      </w:r>
      <w:bookmarkEnd w:id="1"/>
      <w:r w:rsidR="00A771AF">
        <w:t xml:space="preserve">Therefore, </w:t>
      </w:r>
      <w:r w:rsidR="005D1E2C">
        <w:t>Skagit</w:t>
      </w:r>
      <w:r w:rsidR="00A771AF">
        <w:t xml:space="preserve"> argues it “can find no other reasonable alternative than to request this waiver for the use of frequency 170.150</w:t>
      </w:r>
      <w:r w:rsidR="00697D95">
        <w:t xml:space="preserve"> </w:t>
      </w:r>
      <w:r w:rsidR="00A771AF">
        <w:t>MHz.”</w:t>
      </w:r>
      <w:r w:rsidR="00A771AF">
        <w:rPr>
          <w:rStyle w:val="FootnoteReference"/>
        </w:rPr>
        <w:footnoteReference w:id="10"/>
      </w:r>
      <w:r w:rsidR="00111BFB">
        <w:t xml:space="preserve">  Skagit </w:t>
      </w:r>
      <w:r w:rsidR="00111BFB" w:rsidRPr="00111BFB">
        <w:t>“requests a waiver of the Federal Communications Commission rules seeking authorization to use frequency 170.150</w:t>
      </w:r>
      <w:r w:rsidR="00111BFB">
        <w:t xml:space="preserve"> …” and notes that “[t]his </w:t>
      </w:r>
      <w:r w:rsidR="00111BFB" w:rsidRPr="00111BFB">
        <w:t>frequency falls under section 90.265, Assignment and Use of Frequencies in the Bands allocated for Federal use.”</w:t>
      </w:r>
      <w:r w:rsidR="00111BFB">
        <w:rPr>
          <w:rStyle w:val="FootnoteReference"/>
        </w:rPr>
        <w:footnoteReference w:id="11"/>
      </w:r>
    </w:p>
    <w:p w:rsidR="00D43D37" w:rsidRDefault="00E05FC8" w:rsidP="00D43D37">
      <w:pPr>
        <w:pStyle w:val="ParaNum"/>
      </w:pPr>
      <w:r>
        <w:t>T</w:t>
      </w:r>
      <w:r w:rsidR="00E262DD" w:rsidRPr="00E262DD">
        <w:t>he 162.0375-173.2 MHz</w:t>
      </w:r>
      <w:r>
        <w:t xml:space="preserve"> frequency band</w:t>
      </w:r>
      <w:r w:rsidR="00F75D64">
        <w:t xml:space="preserve">, </w:t>
      </w:r>
      <w:r>
        <w:t xml:space="preserve">which </w:t>
      </w:r>
      <w:r w:rsidR="00F75D64">
        <w:t>includ</w:t>
      </w:r>
      <w:r>
        <w:t xml:space="preserve">es the </w:t>
      </w:r>
      <w:r w:rsidR="00F75D64">
        <w:t>frequency 170.150 MHz,</w:t>
      </w:r>
      <w:r w:rsidR="00E262DD" w:rsidRPr="00E262DD">
        <w:t xml:space="preserve"> </w:t>
      </w:r>
      <w:r>
        <w:t>is</w:t>
      </w:r>
      <w:r w:rsidRPr="00E262DD">
        <w:t xml:space="preserve"> </w:t>
      </w:r>
      <w:r w:rsidR="00E262DD" w:rsidRPr="00E262DD">
        <w:t>allocated to</w:t>
      </w:r>
      <w:r w:rsidR="001F0C3B">
        <w:t xml:space="preserve"> </w:t>
      </w:r>
      <w:r w:rsidR="00E262DD" w:rsidRPr="00E262DD">
        <w:t>fixed and mobile</w:t>
      </w:r>
      <w:r w:rsidR="00E262DD">
        <w:t xml:space="preserve"> </w:t>
      </w:r>
      <w:r>
        <w:t>services on a primary basis for Federal users</w:t>
      </w:r>
      <w:r w:rsidR="00E262DD">
        <w:t>.</w:t>
      </w:r>
      <w:r w:rsidR="00E262DD">
        <w:rPr>
          <w:rStyle w:val="FootnoteReference"/>
        </w:rPr>
        <w:footnoteReference w:id="12"/>
      </w:r>
      <w:r w:rsidR="00E262DD">
        <w:t xml:space="preserve"> </w:t>
      </w:r>
      <w:r w:rsidR="00E262DD" w:rsidRPr="00E262DD">
        <w:t xml:space="preserve"> </w:t>
      </w:r>
      <w:r>
        <w:t xml:space="preserve">In addition, numerous United States (US) footnotes </w:t>
      </w:r>
      <w:r w:rsidR="009B6FFC">
        <w:t xml:space="preserve">to the Table of </w:t>
      </w:r>
      <w:r w:rsidR="009B6FFC" w:rsidRPr="00E262DD">
        <w:t xml:space="preserve">Frequency </w:t>
      </w:r>
      <w:r w:rsidR="009B6FFC">
        <w:t xml:space="preserve">Allocations </w:t>
      </w:r>
      <w:r>
        <w:t xml:space="preserve">also permit specific non-Federal uses in the band.  </w:t>
      </w:r>
      <w:r w:rsidR="009B6FFC">
        <w:t xml:space="preserve">Notably, </w:t>
      </w:r>
      <w:r w:rsidR="00E262DD">
        <w:t xml:space="preserve">Footnote US11 </w:t>
      </w:r>
      <w:r w:rsidR="009B6FFC">
        <w:t>makes the</w:t>
      </w:r>
      <w:r w:rsidR="004C399D">
        <w:t xml:space="preserve"> </w:t>
      </w:r>
      <w:r w:rsidR="004C399D" w:rsidRPr="004C399D">
        <w:t xml:space="preserve">frequency 170.150 MHz </w:t>
      </w:r>
      <w:r w:rsidR="004C399D">
        <w:t xml:space="preserve">available </w:t>
      </w:r>
      <w:r w:rsidR="004C399D" w:rsidRPr="004C399D">
        <w:t>for non-Federal public safety use only within 241.4 kilometers (150 miles) of New</w:t>
      </w:r>
      <w:r w:rsidR="004C399D">
        <w:t xml:space="preserve"> York</w:t>
      </w:r>
      <w:r w:rsidR="006248A8">
        <w:t xml:space="preserve"> City</w:t>
      </w:r>
      <w:r w:rsidR="00D43D37">
        <w:t>.</w:t>
      </w:r>
      <w:r w:rsidR="00D43D37">
        <w:rPr>
          <w:rStyle w:val="FootnoteReference"/>
        </w:rPr>
        <w:footnoteReference w:id="13"/>
      </w:r>
      <w:r w:rsidR="00D00354">
        <w:t xml:space="preserve">  </w:t>
      </w:r>
      <w:r w:rsidR="00DD0565">
        <w:t xml:space="preserve">Section 90.265(d) reflects this same non-Federal geographic </w:t>
      </w:r>
      <w:r w:rsidR="006D14FC">
        <w:t>designation</w:t>
      </w:r>
      <w:r w:rsidR="00DD0565">
        <w:t xml:space="preserve">.  </w:t>
      </w:r>
      <w:r w:rsidR="009B6FFC">
        <w:t xml:space="preserve">However, </w:t>
      </w:r>
      <w:r w:rsidR="004C399D" w:rsidRPr="004C399D">
        <w:t>Skagit is not located within th</w:t>
      </w:r>
      <w:r w:rsidR="004C399D">
        <w:t>is</w:t>
      </w:r>
      <w:r w:rsidR="004C399D" w:rsidRPr="004C399D">
        <w:t xml:space="preserve"> dedicated </w:t>
      </w:r>
      <w:r w:rsidR="000F6FC8">
        <w:t>geographic area</w:t>
      </w:r>
      <w:r w:rsidR="006D14FC">
        <w:t>.  While Skagit does not specify the rules it requests to be waived</w:t>
      </w:r>
      <w:r w:rsidR="00D00354">
        <w:t>,</w:t>
      </w:r>
      <w:r w:rsidR="009B6FFC">
        <w:t xml:space="preserve"> </w:t>
      </w:r>
      <w:r w:rsidR="00D00354">
        <w:t xml:space="preserve">we </w:t>
      </w:r>
      <w:r w:rsidR="006D14FC">
        <w:t xml:space="preserve">will consider </w:t>
      </w:r>
      <w:r w:rsidR="00D00354">
        <w:t xml:space="preserve">Skagit’s </w:t>
      </w:r>
      <w:r w:rsidR="004C399D">
        <w:t>petition</w:t>
      </w:r>
      <w:r w:rsidR="00D00354">
        <w:t xml:space="preserve"> as a request for waiver of </w:t>
      </w:r>
      <w:r w:rsidR="00D00354" w:rsidRPr="00D00354">
        <w:t>Section</w:t>
      </w:r>
      <w:r w:rsidR="00D00354">
        <w:t xml:space="preserve"> </w:t>
      </w:r>
      <w:r w:rsidR="00DD0565">
        <w:t>90.265(d)</w:t>
      </w:r>
      <w:r w:rsidR="00D00354">
        <w:t>.</w:t>
      </w:r>
    </w:p>
    <w:p w:rsidR="00D43D37" w:rsidRPr="00F50709" w:rsidRDefault="00F0068E" w:rsidP="00D43D37">
      <w:pPr>
        <w:pStyle w:val="ParaNum"/>
      </w:pPr>
      <w:r>
        <w:t xml:space="preserve">On March 7, 2014, </w:t>
      </w:r>
      <w:r w:rsidRPr="00F0068E">
        <w:t xml:space="preserve">the National Telecommunications and Information Administration (NTIA) filed a letter recommending that the Commission deny the </w:t>
      </w:r>
      <w:r>
        <w:t>Waiver R</w:t>
      </w:r>
      <w:r w:rsidRPr="00F0068E">
        <w:t>equest</w:t>
      </w:r>
      <w:r>
        <w:t>.</w:t>
      </w:r>
      <w:r>
        <w:rPr>
          <w:rStyle w:val="FootnoteReference"/>
          <w:szCs w:val="22"/>
        </w:rPr>
        <w:footnoteReference w:id="14"/>
      </w:r>
      <w:r w:rsidRPr="00F0068E">
        <w:t xml:space="preserve"> </w:t>
      </w:r>
      <w:r>
        <w:t xml:space="preserve"> </w:t>
      </w:r>
      <w:r w:rsidR="00D43D37" w:rsidRPr="00F50709">
        <w:t xml:space="preserve">In </w:t>
      </w:r>
      <w:r w:rsidR="00754044">
        <w:t xml:space="preserve">a </w:t>
      </w:r>
      <w:r w:rsidR="00D43D37" w:rsidRPr="00F50709">
        <w:t>letter, NTIA stated</w:t>
      </w:r>
      <w:r w:rsidR="00D43D37">
        <w:t>,</w:t>
      </w:r>
      <w:r w:rsidR="00D43D37" w:rsidRPr="00D43D37">
        <w:t xml:space="preserve"> </w:t>
      </w:r>
      <w:r w:rsidR="00D43D37">
        <w:t>“</w:t>
      </w:r>
      <w:r w:rsidR="00D43D37" w:rsidRPr="00D43D37">
        <w:rPr>
          <w:szCs w:val="22"/>
        </w:rPr>
        <w:t>NTIA urges the FCC to deny the applicant’s waiver request to operate up to 20 vehicular repeaters over a large geographic area at this frequency, which is allocated to the Federal Government on a primary basis</w:t>
      </w:r>
      <w:r w:rsidR="00D43D37">
        <w:rPr>
          <w:szCs w:val="22"/>
        </w:rPr>
        <w:t>.”</w:t>
      </w:r>
      <w:r w:rsidR="00A70F60">
        <w:rPr>
          <w:rStyle w:val="FootnoteReference"/>
          <w:szCs w:val="22"/>
        </w:rPr>
        <w:footnoteReference w:id="15"/>
      </w:r>
      <w:r w:rsidR="00A32000">
        <w:rPr>
          <w:szCs w:val="22"/>
        </w:rPr>
        <w:t xml:space="preserve">  NTIA states that “[s]ince the applicant proposes to operate the vehicular repeater over a large geographic area, coordination with federal operations is not practical.”</w:t>
      </w:r>
      <w:r w:rsidR="00A32000">
        <w:rPr>
          <w:rStyle w:val="FootnoteReference"/>
          <w:szCs w:val="22"/>
        </w:rPr>
        <w:footnoteReference w:id="16"/>
      </w:r>
      <w:r w:rsidR="00A32000">
        <w:rPr>
          <w:szCs w:val="22"/>
        </w:rPr>
        <w:t xml:space="preserve">  NTIA argues that “[n]on-federal and federal public safety services should not routinely be placed at risk by creating potential conflicts with each other’s operations.”</w:t>
      </w:r>
      <w:r w:rsidR="00A32000">
        <w:rPr>
          <w:rStyle w:val="FootnoteReference"/>
          <w:szCs w:val="22"/>
        </w:rPr>
        <w:footnoteReference w:id="17"/>
      </w:r>
    </w:p>
    <w:p w:rsidR="00AB17F2" w:rsidRDefault="00AB17F2">
      <w:pPr>
        <w:pStyle w:val="Heading1"/>
      </w:pPr>
      <w:r>
        <w:t>discussion</w:t>
      </w:r>
    </w:p>
    <w:p w:rsidR="00B41E93" w:rsidRDefault="000022D8" w:rsidP="001E7168">
      <w:pPr>
        <w:pStyle w:val="ParaNum"/>
      </w:pPr>
      <w:r w:rsidRPr="001E7168">
        <w:rPr>
          <w:snapToGrid w:val="0"/>
          <w:kern w:val="28"/>
        </w:rPr>
        <w:t>Section 1.925 of the Commission’s rules states that to obtain a waiver of the Commission’s rules, a petitioner must demonstrate either that: (i) the underlying purpose of the rule(s) would not be served or would be frustrated by application to the present case, and that a grant of waiver would be in the public interest;</w:t>
      </w:r>
      <w:r w:rsidRPr="000022D8">
        <w:rPr>
          <w:snapToGrid w:val="0"/>
          <w:kern w:val="28"/>
          <w:vertAlign w:val="superscript"/>
        </w:rPr>
        <w:footnoteReference w:id="18"/>
      </w:r>
      <w:r w:rsidRPr="001E7168">
        <w:rPr>
          <w:snapToGrid w:val="0"/>
          <w:kern w:val="28"/>
        </w:rPr>
        <w:t xml:space="preserve"> or (ii) in view of unique or unusual factual circumstances of the instant </w:t>
      </w:r>
      <w:r w:rsidRPr="001E7168">
        <w:rPr>
          <w:snapToGrid w:val="0"/>
          <w:kern w:val="28"/>
        </w:rPr>
        <w:lastRenderedPageBreak/>
        <w:t>case, application of the rule(s) would be inequitable, unduly burdensome, or contrary to the public interest, or the applicant has no reasonable alternative.</w:t>
      </w:r>
      <w:r w:rsidRPr="000022D8">
        <w:rPr>
          <w:snapToGrid w:val="0"/>
          <w:kern w:val="28"/>
          <w:vertAlign w:val="superscript"/>
        </w:rPr>
        <w:footnoteReference w:id="19"/>
      </w:r>
      <w:r w:rsidRPr="001E7168">
        <w:rPr>
          <w:snapToGrid w:val="0"/>
          <w:kern w:val="28"/>
        </w:rPr>
        <w:t xml:space="preserve">  The applicant faces a high hurdle and must plead with particularity the facts and circumstances that warrant a waiver.</w:t>
      </w:r>
      <w:r w:rsidRPr="000022D8">
        <w:rPr>
          <w:snapToGrid w:val="0"/>
          <w:kern w:val="28"/>
          <w:szCs w:val="22"/>
          <w:vertAlign w:val="superscript"/>
        </w:rPr>
        <w:footnoteReference w:id="20"/>
      </w:r>
    </w:p>
    <w:p w:rsidR="004800C0" w:rsidRPr="004800C0" w:rsidRDefault="00E23165" w:rsidP="003B48CA">
      <w:pPr>
        <w:pStyle w:val="ParaNum"/>
        <w:rPr>
          <w:szCs w:val="22"/>
        </w:rPr>
      </w:pPr>
      <w:r>
        <w:t xml:space="preserve">We first analyze </w:t>
      </w:r>
      <w:r w:rsidR="005D1E2C">
        <w:t>Skagit</w:t>
      </w:r>
      <w:r w:rsidR="00B91B0B">
        <w:t>’s</w:t>
      </w:r>
      <w:r>
        <w:t xml:space="preserve"> request under the first prong of Section 1.925</w:t>
      </w:r>
      <w:r w:rsidR="00365B2E">
        <w:t>(b)(3)</w:t>
      </w:r>
      <w:r>
        <w:t xml:space="preserve">.  </w:t>
      </w:r>
      <w:r w:rsidR="00D0350B">
        <w:t>Section 90.265(d)</w:t>
      </w:r>
      <w:r w:rsidR="00F1578F">
        <w:t xml:space="preserve"> reflects Section 2.106 </w:t>
      </w:r>
      <w:r w:rsidR="00B0285E">
        <w:t>f</w:t>
      </w:r>
      <w:r w:rsidR="00F1578F">
        <w:t>ootnote US11</w:t>
      </w:r>
      <w:r w:rsidR="00CC3A6E">
        <w:t>,</w:t>
      </w:r>
      <w:r w:rsidR="00F1578F">
        <w:t xml:space="preserve"> which</w:t>
      </w:r>
      <w:r w:rsidR="00D0350B">
        <w:t xml:space="preserve"> </w:t>
      </w:r>
      <w:r w:rsidR="006D14FC">
        <w:t xml:space="preserve">states that </w:t>
      </w:r>
      <w:r w:rsidR="006D14FC" w:rsidRPr="006D14FC">
        <w:t xml:space="preserve">frequency 170.150 MHz </w:t>
      </w:r>
      <w:r w:rsidR="006D14FC">
        <w:t xml:space="preserve">is </w:t>
      </w:r>
      <w:r w:rsidR="006D14FC" w:rsidRPr="006D14FC">
        <w:t>available for non-Federal public safety use only within 241.4 kilometers (150 miles) of New York City</w:t>
      </w:r>
      <w:r w:rsidR="00CC3A6E">
        <w:t xml:space="preserve"> on a secondary basis to any Federal station</w:t>
      </w:r>
      <w:r w:rsidR="006D14FC">
        <w:t xml:space="preserve">.  </w:t>
      </w:r>
      <w:r w:rsidR="00CC3A6E">
        <w:t xml:space="preserve">In 2005, the Commission </w:t>
      </w:r>
      <w:r w:rsidR="00B0285E">
        <w:t>established</w:t>
      </w:r>
      <w:r w:rsidR="006D14FC">
        <w:t xml:space="preserve"> </w:t>
      </w:r>
      <w:r w:rsidR="00F1578F">
        <w:t xml:space="preserve">Section </w:t>
      </w:r>
      <w:r w:rsidR="004800C0">
        <w:t>90.</w:t>
      </w:r>
      <w:r w:rsidR="00F1578F">
        <w:t>265</w:t>
      </w:r>
      <w:r w:rsidR="00B0285E">
        <w:t>(d)</w:t>
      </w:r>
      <w:r w:rsidR="006D14FC">
        <w:t xml:space="preserve"> </w:t>
      </w:r>
      <w:r w:rsidR="00CC3A6E">
        <w:t xml:space="preserve">“to </w:t>
      </w:r>
      <w:r w:rsidR="00CC3A6E" w:rsidRPr="00CC3A6E">
        <w:t>accurately reflect non-Federal licensee</w:t>
      </w:r>
      <w:r w:rsidR="00BA7CEA">
        <w:t>[s</w:t>
      </w:r>
      <w:r w:rsidR="00CC3A6E" w:rsidRPr="00CC3A6E">
        <w:t>’</w:t>
      </w:r>
      <w:r w:rsidR="00BA7CEA">
        <w:t>]</w:t>
      </w:r>
      <w:r w:rsidR="00CC3A6E" w:rsidRPr="00CC3A6E">
        <w:t xml:space="preserve"> role in this shared band by, </w:t>
      </w:r>
      <w:r w:rsidR="00CC3A6E" w:rsidRPr="00BA7CEA">
        <w:rPr>
          <w:i/>
        </w:rPr>
        <w:t>inter alia</w:t>
      </w:r>
      <w:r w:rsidR="00CC3A6E" w:rsidRPr="00CC3A6E">
        <w:t>, moving the rules pertaining to these channels into a new subpart to Section 90.265 of our Rules and more plainly stating the secondary nature of non-Federal operations on the band</w:t>
      </w:r>
      <w:r w:rsidR="00CC3A6E">
        <w:t>.”</w:t>
      </w:r>
      <w:r w:rsidR="007578AA">
        <w:rPr>
          <w:rStyle w:val="FootnoteReference"/>
        </w:rPr>
        <w:footnoteReference w:id="21"/>
      </w:r>
      <w:r w:rsidR="007578AA">
        <w:t xml:space="preserve">  The </w:t>
      </w:r>
      <w:r w:rsidR="00B0285E">
        <w:t>Commission inserted</w:t>
      </w:r>
      <w:r w:rsidR="007578AA">
        <w:t xml:space="preserve"> the secondary basis </w:t>
      </w:r>
      <w:r w:rsidR="00132F43">
        <w:t xml:space="preserve">provision </w:t>
      </w:r>
      <w:r w:rsidR="007578AA">
        <w:t>“</w:t>
      </w:r>
      <w:r w:rsidR="007578AA" w:rsidRPr="007578AA">
        <w:t xml:space="preserve">to give effect to the restriction embodied in footnote US11 that non-Federal operations on 166.250 MHz and 170.150 MHz operate on the condition that no harmful interference is caused to </w:t>
      </w:r>
      <w:r w:rsidR="007578AA">
        <w:t>‘</w:t>
      </w:r>
      <w:r w:rsidR="007578AA" w:rsidRPr="007578AA">
        <w:t>present or future</w:t>
      </w:r>
      <w:r w:rsidR="007578AA">
        <w:t>’</w:t>
      </w:r>
      <w:r w:rsidR="007578AA" w:rsidRPr="007578AA">
        <w:t xml:space="preserve"> Federal stations</w:t>
      </w:r>
      <w:r w:rsidR="007578AA">
        <w:t>.”</w:t>
      </w:r>
      <w:r w:rsidR="007578AA">
        <w:rPr>
          <w:rStyle w:val="FootnoteReference"/>
        </w:rPr>
        <w:footnoteReference w:id="22"/>
      </w:r>
      <w:r w:rsidR="00D1306C">
        <w:t xml:space="preserve">  </w:t>
      </w:r>
    </w:p>
    <w:p w:rsidR="001F0C3B" w:rsidRPr="001F0C3B" w:rsidRDefault="004800C0" w:rsidP="003B48CA">
      <w:pPr>
        <w:pStyle w:val="ParaNum"/>
        <w:rPr>
          <w:szCs w:val="22"/>
        </w:rPr>
      </w:pPr>
      <w:r>
        <w:t xml:space="preserve">To determine the purpose of this rule, we note that </w:t>
      </w:r>
      <w:r w:rsidR="000E71C0">
        <w:t>Section 90.265(d)</w:t>
      </w:r>
      <w:r w:rsidR="002C3E43">
        <w:t xml:space="preserve"> </w:t>
      </w:r>
      <w:r>
        <w:t>is</w:t>
      </w:r>
      <w:r w:rsidR="000E71C0">
        <w:t xml:space="preserve"> analogous to Section 90.305(a)</w:t>
      </w:r>
      <w:r w:rsidR="000E71C0" w:rsidRPr="000E71C0">
        <w:t xml:space="preserve"> of the Commission’s rules</w:t>
      </w:r>
      <w:r w:rsidR="000E71C0">
        <w:t xml:space="preserve">, which </w:t>
      </w:r>
      <w:r w:rsidR="002C3E43">
        <w:t xml:space="preserve">also limits the geographic areas where public safety entities may use certain frequencies.  Section 90.305(a) </w:t>
      </w:r>
      <w:r w:rsidR="000E71C0" w:rsidRPr="000E71C0">
        <w:t xml:space="preserve">provides that private land mobile radio (PLMR) base stations operating in the </w:t>
      </w:r>
      <w:r w:rsidR="000E71C0">
        <w:t>470</w:t>
      </w:r>
      <w:r w:rsidR="000E71C0" w:rsidRPr="000E71C0">
        <w:t xml:space="preserve">-512 MHz band (TV channels </w:t>
      </w:r>
      <w:r w:rsidR="000E71C0">
        <w:t>14-</w:t>
      </w:r>
      <w:r w:rsidR="000E71C0" w:rsidRPr="000E71C0">
        <w:t>20) may be located not more than fifty miles (eighty kilometers) from the geographic centers of urbanized areas listed in Section 90.303 of the Commission’s rules</w:t>
      </w:r>
      <w:r w:rsidR="000E71C0">
        <w:t>.</w:t>
      </w:r>
      <w:r w:rsidR="000E71C0">
        <w:rPr>
          <w:rStyle w:val="FootnoteReference"/>
        </w:rPr>
        <w:footnoteReference w:id="23"/>
      </w:r>
      <w:r w:rsidR="000E71C0">
        <w:t xml:space="preserve">  The purpose of this rule is</w:t>
      </w:r>
      <w:r w:rsidR="00D03951">
        <w:t xml:space="preserve"> </w:t>
      </w:r>
      <w:r w:rsidR="00D03951" w:rsidRPr="00D03951">
        <w:t>to protect over-the-air broadcast operations on TV Channels 14-21 located outside of these cities from harmful interference from PLMR systems operating in the 470-512 MHz band</w:t>
      </w:r>
      <w:r w:rsidR="00D03951">
        <w:t>.</w:t>
      </w:r>
      <w:r w:rsidR="00D03951">
        <w:rPr>
          <w:rStyle w:val="FootnoteReference"/>
        </w:rPr>
        <w:footnoteReference w:id="24"/>
      </w:r>
      <w:r w:rsidR="00D03951">
        <w:t xml:space="preserve">  Likewise,</w:t>
      </w:r>
      <w:r w:rsidR="002C3E43">
        <w:t xml:space="preserve"> we can infer that</w:t>
      </w:r>
      <w:r w:rsidR="00D03951">
        <w:t xml:space="preserve"> the</w:t>
      </w:r>
      <w:r w:rsidR="002C3E43">
        <w:t xml:space="preserve"> underlying</w:t>
      </w:r>
      <w:r w:rsidR="00D03951">
        <w:t xml:space="preserve"> purpose of Section 90.265</w:t>
      </w:r>
      <w:r w:rsidR="002C3E43">
        <w:t xml:space="preserve"> </w:t>
      </w:r>
      <w:r w:rsidR="00D03951">
        <w:t xml:space="preserve">is to protect Federal stations on frequency 170.150 MHz located outside 150 miles of New York City from harmful interference from co-channel public safety systems operating within that zone. </w:t>
      </w:r>
      <w:r w:rsidR="000E71C0">
        <w:t xml:space="preserve"> </w:t>
      </w:r>
      <w:r w:rsidR="00E14370">
        <w:t xml:space="preserve">The area of Skagit County, Washington could not be considered a </w:t>
      </w:r>
      <w:r w:rsidR="00E14370" w:rsidRPr="00BA7CEA">
        <w:rPr>
          <w:i/>
        </w:rPr>
        <w:t>de minimis</w:t>
      </w:r>
      <w:r w:rsidR="00E14370">
        <w:t xml:space="preserve"> expansion of that area</w:t>
      </w:r>
      <w:r w:rsidR="00314CE5">
        <w:t xml:space="preserve"> due to its location on the opposite side of the country from New York</w:t>
      </w:r>
      <w:r w:rsidR="00E14370">
        <w:t>.</w:t>
      </w:r>
      <w:r w:rsidR="00F1578F">
        <w:t xml:space="preserve"> </w:t>
      </w:r>
      <w:r w:rsidR="00050F2B">
        <w:t xml:space="preserve"> </w:t>
      </w:r>
    </w:p>
    <w:p w:rsidR="00D0350B" w:rsidRPr="00BA7CEA" w:rsidRDefault="00BA7CEA" w:rsidP="003B48CA">
      <w:pPr>
        <w:pStyle w:val="ParaNum"/>
        <w:rPr>
          <w:szCs w:val="22"/>
        </w:rPr>
      </w:pPr>
      <w:r w:rsidRPr="00BA7CEA">
        <w:t xml:space="preserve">We find that application of Section </w:t>
      </w:r>
      <w:r>
        <w:t>90.265(d)</w:t>
      </w:r>
      <w:r w:rsidRPr="00BA7CEA">
        <w:t xml:space="preserve"> would serve the purpose of the rule in this instance because it would prevent Skagit from causing harmful interference to Federal operations operating in accordance with the Table of Frequency Allocations, as illustrated in </w:t>
      </w:r>
      <w:r w:rsidR="001F0C3B">
        <w:t xml:space="preserve">the </w:t>
      </w:r>
      <w:r w:rsidRPr="00BA7CEA">
        <w:t xml:space="preserve">March 7, 2014 </w:t>
      </w:r>
      <w:r w:rsidR="001F0C3B">
        <w:t>NTIA L</w:t>
      </w:r>
      <w:r w:rsidRPr="00BA7CEA">
        <w:t xml:space="preserve">etter.  Skagit has offered no information or analysis that would suggest otherwise and we derive none on our own analysis.  </w:t>
      </w:r>
      <w:r w:rsidR="00F1578F" w:rsidRPr="00F1578F">
        <w:t>We conclude that Skagit has not shown that the underlying purpose of the rule would not be served or would be frustrated by application to the instant case.</w:t>
      </w:r>
    </w:p>
    <w:p w:rsidR="004A7206" w:rsidRPr="005D1E2C" w:rsidRDefault="00C24FB3" w:rsidP="003B48CA">
      <w:pPr>
        <w:pStyle w:val="ParaNum"/>
        <w:rPr>
          <w:szCs w:val="22"/>
        </w:rPr>
      </w:pPr>
      <w:r w:rsidRPr="00C24FB3">
        <w:t xml:space="preserve">Next, we </w:t>
      </w:r>
      <w:r>
        <w:t xml:space="preserve">analyze Skagit’s request under the second prong of Section 1.925(b)(3).  </w:t>
      </w:r>
      <w:r w:rsidR="00EF739A" w:rsidRPr="00EF739A">
        <w:t>Skagit has not shown that in view of the unique or unusual factual circumstances of the existing case, application of the rule would be inequitable, unduly burdensome</w:t>
      </w:r>
      <w:r w:rsidR="00B1621E">
        <w:t>,</w:t>
      </w:r>
      <w:r w:rsidR="00EF739A" w:rsidRPr="00EF739A">
        <w:t xml:space="preserve"> or contrary to the public interest, or th</w:t>
      </w:r>
      <w:r w:rsidR="00B1621E">
        <w:t>at</w:t>
      </w:r>
      <w:r w:rsidR="00EF739A" w:rsidRPr="00EF739A">
        <w:t xml:space="preserve"> </w:t>
      </w:r>
      <w:r w:rsidR="00EF739A">
        <w:t>Skagit</w:t>
      </w:r>
      <w:r w:rsidR="00EF739A" w:rsidRPr="00EF739A">
        <w:t xml:space="preserve"> has no reasonable alternative.  Rather, we find </w:t>
      </w:r>
      <w:r w:rsidR="00EF739A">
        <w:t>Skagit</w:t>
      </w:r>
      <w:r w:rsidR="00EF739A" w:rsidRPr="00EF739A">
        <w:t xml:space="preserve"> has the alternative to apply for any non-Federal Part 90 frequency in the VHF band and seek waiver of applicable rules if necessary.</w:t>
      </w:r>
      <w:r w:rsidR="00DE3340">
        <w:t xml:space="preserve"> </w:t>
      </w:r>
      <w:r w:rsidR="008A799B">
        <w:t xml:space="preserve"> </w:t>
      </w:r>
      <w:r w:rsidR="00EF739A" w:rsidRPr="00EF739A">
        <w:t xml:space="preserve">Moreover, </w:t>
      </w:r>
      <w:r w:rsidR="005D3FCA">
        <w:t xml:space="preserve">given NTIA’s opposition, </w:t>
      </w:r>
      <w:r w:rsidR="00EF739A" w:rsidRPr="00EF739A">
        <w:t xml:space="preserve">we find application of the rule would not be contrary to the public interest because it would </w:t>
      </w:r>
      <w:r w:rsidR="005D3FCA">
        <w:t>avoid causing interference to</w:t>
      </w:r>
      <w:r w:rsidR="00EF739A" w:rsidRPr="00EF739A">
        <w:t xml:space="preserve"> </w:t>
      </w:r>
      <w:r w:rsidR="00865418">
        <w:t>Federal</w:t>
      </w:r>
      <w:r w:rsidR="00EF739A" w:rsidRPr="00EF739A">
        <w:t xml:space="preserve"> operations</w:t>
      </w:r>
      <w:r w:rsidR="005D3FCA">
        <w:t>, which include public safety operations</w:t>
      </w:r>
      <w:r w:rsidR="00865418">
        <w:t>.</w:t>
      </w:r>
      <w:r w:rsidR="005D3FCA">
        <w:rPr>
          <w:rStyle w:val="FootnoteReference"/>
        </w:rPr>
        <w:footnoteReference w:id="25"/>
      </w:r>
      <w:r w:rsidR="00865418">
        <w:t xml:space="preserve">  </w:t>
      </w:r>
      <w:r w:rsidR="00EE4C3B" w:rsidRPr="00EE4C3B">
        <w:t xml:space="preserve">For these reasons, we conclude that Skagit has failed to justify a waiver of pursuant to the Commission’s waiver standard, Section 1.925 of the Commission’s rules.  </w:t>
      </w:r>
    </w:p>
    <w:p w:rsidR="00AB17F2" w:rsidRDefault="00AB17F2">
      <w:pPr>
        <w:pStyle w:val="Heading1"/>
      </w:pPr>
      <w:r>
        <w:t>Conclusion</w:t>
      </w:r>
    </w:p>
    <w:p w:rsidR="0068192A" w:rsidRDefault="0068192A" w:rsidP="0070225E">
      <w:pPr>
        <w:pStyle w:val="ParaNum"/>
        <w:rPr>
          <w:szCs w:val="22"/>
        </w:rPr>
      </w:pPr>
      <w:r>
        <w:t xml:space="preserve">We find that </w:t>
      </w:r>
      <w:r w:rsidR="0062641C">
        <w:t>Skagit</w:t>
      </w:r>
      <w:r>
        <w:t xml:space="preserve"> </w:t>
      </w:r>
      <w:r w:rsidR="00DF7298">
        <w:t xml:space="preserve">fails to </w:t>
      </w:r>
      <w:r w:rsidR="00C558B1">
        <w:t xml:space="preserve">meet </w:t>
      </w:r>
      <w:r w:rsidR="00613098">
        <w:t>both prongs of Section 1.925</w:t>
      </w:r>
      <w:r w:rsidR="00365B2E">
        <w:t>(b)(3)</w:t>
      </w:r>
      <w:r w:rsidR="00613098">
        <w:t xml:space="preserve"> of our rules</w:t>
      </w:r>
      <w:r w:rsidR="0078295C">
        <w:t xml:space="preserve"> to obtain a waiver of Section</w:t>
      </w:r>
      <w:r w:rsidR="000400CF">
        <w:t xml:space="preserve"> 90.265(d)</w:t>
      </w:r>
      <w:r>
        <w:t>.  Accordingly</w:t>
      </w:r>
      <w:r w:rsidR="0078295C">
        <w:t>,</w:t>
      </w:r>
      <w:r w:rsidR="00AB17F2">
        <w:t xml:space="preserve"> we </w:t>
      </w:r>
      <w:r w:rsidR="0070225E">
        <w:t>deny</w:t>
      </w:r>
      <w:r w:rsidR="00AB17F2">
        <w:t xml:space="preserve"> the waiver request</w:t>
      </w:r>
      <w:r w:rsidR="0070225E">
        <w:t>.</w:t>
      </w:r>
    </w:p>
    <w:p w:rsidR="00AB17F2" w:rsidRDefault="00AB17F2">
      <w:pPr>
        <w:pStyle w:val="Heading1"/>
      </w:pPr>
      <w:r>
        <w:t>Ordering Clauses</w:t>
      </w:r>
    </w:p>
    <w:p w:rsidR="00AB17F2" w:rsidRDefault="00AB17F2" w:rsidP="0062641C">
      <w:pPr>
        <w:pStyle w:val="ParaNum"/>
        <w:rPr>
          <w:spacing w:val="-2"/>
        </w:rPr>
      </w:pPr>
      <w:r>
        <w:t>Accordingly, WE ORDER that pursuant to Section</w:t>
      </w:r>
      <w:r w:rsidR="00044383">
        <w:t>s</w:t>
      </w:r>
      <w:r>
        <w:t xml:space="preserve"> 4(i)</w:t>
      </w:r>
      <w:r w:rsidR="00044383">
        <w:t xml:space="preserve"> </w:t>
      </w:r>
      <w:r>
        <w:t>of the Communications Act of 1934, 47 U.S.C. § 154(i),</w:t>
      </w:r>
      <w:r w:rsidR="00044383">
        <w:t xml:space="preserve"> </w:t>
      </w:r>
      <w:r w:rsidR="001D4F7D">
        <w:t>and Section 1.925</w:t>
      </w:r>
      <w:r w:rsidR="00365B2E">
        <w:t>(b)(3)</w:t>
      </w:r>
      <w:r w:rsidR="001D4F7D">
        <w:t xml:space="preserve"> of the Commission’s rules,</w:t>
      </w:r>
      <w:r>
        <w:t xml:space="preserve"> </w:t>
      </w:r>
      <w:r w:rsidR="001D4F7D">
        <w:t>47 C.F.R. § 1.925</w:t>
      </w:r>
      <w:r w:rsidR="00365B2E">
        <w:t>(b)(3)</w:t>
      </w:r>
      <w:r w:rsidR="001D4F7D">
        <w:t xml:space="preserve">, </w:t>
      </w:r>
      <w:r>
        <w:t xml:space="preserve">the Request for Waiver filed by </w:t>
      </w:r>
      <w:r w:rsidR="0062641C">
        <w:t>Skagit County Fire Protection District 5</w:t>
      </w:r>
      <w:r>
        <w:t xml:space="preserve">, on </w:t>
      </w:r>
      <w:r w:rsidR="0062641C" w:rsidRPr="0062641C">
        <w:t>Feb</w:t>
      </w:r>
      <w:r w:rsidR="0062641C">
        <w:t>ruary</w:t>
      </w:r>
      <w:r w:rsidR="0062641C" w:rsidRPr="0062641C">
        <w:t xml:space="preserve"> 4, 2013</w:t>
      </w:r>
      <w:r>
        <w:t>,</w:t>
      </w:r>
      <w:r w:rsidR="00044383">
        <w:t xml:space="preserve"> </w:t>
      </w:r>
      <w:r w:rsidR="0070225E">
        <w:t>IS DENI</w:t>
      </w:r>
      <w:r>
        <w:t>ED.</w:t>
      </w:r>
    </w:p>
    <w:p w:rsidR="00973F01" w:rsidRDefault="00AB17F2">
      <w:pPr>
        <w:pStyle w:val="ParaNum"/>
      </w:pPr>
      <w:r>
        <w:t xml:space="preserve">WE FURTHER ORDER that application File No. </w:t>
      </w:r>
      <w:r w:rsidR="0062641C">
        <w:t xml:space="preserve">0005632141 </w:t>
      </w:r>
      <w:r w:rsidR="000B6D04">
        <w:t xml:space="preserve">SHALL BE </w:t>
      </w:r>
      <w:r w:rsidR="0070225E">
        <w:t>DISMISSED</w:t>
      </w:r>
      <w:r w:rsidR="000B6D04">
        <w:t xml:space="preserve"> consistent with </w:t>
      </w:r>
      <w:r>
        <w:t>this Order</w:t>
      </w:r>
      <w:r w:rsidR="000B6D04">
        <w:t xml:space="preserve"> and the Commission’s rules</w:t>
      </w:r>
      <w:r>
        <w:t>.</w:t>
      </w:r>
    </w:p>
    <w:p w:rsidR="00AB17F2" w:rsidRDefault="00AB17F2">
      <w:pPr>
        <w:pStyle w:val="ParaNum"/>
      </w:pPr>
      <w:r>
        <w:t>This action is taken under delegated authority pursuant to Sections 0.191 and 0.392 of the Commission’s rules, 47 C.F.R. §§ 0.191, 0.392.</w:t>
      </w:r>
    </w:p>
    <w:p w:rsidR="00AB17F2" w:rsidRDefault="00AB17F2">
      <w:r>
        <w:tab/>
      </w:r>
      <w:r>
        <w:tab/>
      </w:r>
      <w:r>
        <w:tab/>
      </w:r>
      <w:r>
        <w:tab/>
      </w:r>
      <w:r>
        <w:tab/>
      </w:r>
      <w:r>
        <w:tab/>
        <w:t>FEDERAL COMMUNICATIONS COMMISSION</w:t>
      </w:r>
    </w:p>
    <w:p w:rsidR="00AB17F2" w:rsidRDefault="00AB17F2" w:rsidP="0070225E">
      <w:pPr>
        <w:ind w:left="4320"/>
      </w:pPr>
    </w:p>
    <w:p w:rsidR="00AB17F2" w:rsidRDefault="00AB17F2" w:rsidP="0070225E">
      <w:pPr>
        <w:ind w:left="4320"/>
      </w:pPr>
    </w:p>
    <w:p w:rsidR="00AB17F2" w:rsidRDefault="00AB17F2" w:rsidP="0070225E">
      <w:pPr>
        <w:ind w:left="4320"/>
      </w:pPr>
    </w:p>
    <w:p w:rsidR="00AB17F2" w:rsidRDefault="00AB17F2">
      <w:pPr>
        <w:ind w:left="4320"/>
      </w:pPr>
    </w:p>
    <w:p w:rsidR="00AB17F2" w:rsidRDefault="00AB17F2">
      <w:r>
        <w:tab/>
      </w:r>
      <w:r>
        <w:tab/>
      </w:r>
      <w:r>
        <w:tab/>
      </w:r>
      <w:r>
        <w:tab/>
      </w:r>
      <w:r>
        <w:tab/>
      </w:r>
      <w:r>
        <w:tab/>
        <w:t>Thomas J. Beers</w:t>
      </w:r>
    </w:p>
    <w:p w:rsidR="00AB17F2" w:rsidRDefault="00AB17F2">
      <w:r>
        <w:tab/>
      </w:r>
      <w:r>
        <w:tab/>
      </w:r>
      <w:r>
        <w:tab/>
      </w:r>
      <w:r>
        <w:tab/>
      </w:r>
      <w:r>
        <w:tab/>
      </w:r>
      <w:r>
        <w:tab/>
        <w:t>Chief, Policy</w:t>
      </w:r>
      <w:r>
        <w:rPr>
          <w:color w:val="000000"/>
          <w:szCs w:val="22"/>
        </w:rPr>
        <w:t xml:space="preserve"> and Licensing</w:t>
      </w:r>
      <w:r>
        <w:t xml:space="preserve"> Division</w:t>
      </w:r>
    </w:p>
    <w:p w:rsidR="00AB17F2" w:rsidRDefault="00AB17F2">
      <w:pPr>
        <w:ind w:left="3600" w:firstLine="720"/>
      </w:pPr>
      <w:r>
        <w:t>Public Safety and Homeland Security Bureau</w:t>
      </w:r>
    </w:p>
    <w:sectPr w:rsidR="00AB17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010" w:rsidRDefault="006C3010">
      <w:r>
        <w:separator/>
      </w:r>
    </w:p>
  </w:endnote>
  <w:endnote w:type="continuationSeparator" w:id="0">
    <w:p w:rsidR="006C3010" w:rsidRDefault="006C3010">
      <w:r>
        <w:continuationSeparator/>
      </w:r>
    </w:p>
  </w:endnote>
  <w:endnote w:type="continuationNotice" w:id="1">
    <w:p w:rsidR="006C3010" w:rsidRDefault="006C3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72C" w:rsidRDefault="005F07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BAC" w:rsidRDefault="005C1BAC">
    <w:pPr>
      <w:pStyle w:val="Footer"/>
      <w:jc w:val="center"/>
    </w:pPr>
    <w:r>
      <w:rPr>
        <w:rStyle w:val="PageNumber"/>
      </w:rPr>
      <w:fldChar w:fldCharType="begin"/>
    </w:r>
    <w:r>
      <w:rPr>
        <w:rStyle w:val="PageNumber"/>
      </w:rPr>
      <w:instrText xml:space="preserve"> PAGE </w:instrText>
    </w:r>
    <w:r>
      <w:rPr>
        <w:rStyle w:val="PageNumber"/>
      </w:rPr>
      <w:fldChar w:fldCharType="separate"/>
    </w:r>
    <w:r w:rsidR="00C5671F">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72C" w:rsidRDefault="005F0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010" w:rsidRDefault="006C3010">
      <w:pPr>
        <w:rPr>
          <w:sz w:val="20"/>
        </w:rPr>
      </w:pPr>
      <w:r>
        <w:rPr>
          <w:sz w:val="20"/>
        </w:rPr>
        <w:separator/>
      </w:r>
    </w:p>
  </w:footnote>
  <w:footnote w:type="continuationSeparator" w:id="0">
    <w:p w:rsidR="006C3010" w:rsidRDefault="006C3010">
      <w:pPr>
        <w:rPr>
          <w:sz w:val="20"/>
        </w:rPr>
      </w:pPr>
      <w:r>
        <w:rPr>
          <w:sz w:val="20"/>
        </w:rPr>
        <w:separator/>
      </w:r>
    </w:p>
    <w:p w:rsidR="006C3010" w:rsidRDefault="006C3010">
      <w:pPr>
        <w:rPr>
          <w:sz w:val="20"/>
        </w:rPr>
      </w:pPr>
      <w:r>
        <w:rPr>
          <w:sz w:val="20"/>
        </w:rPr>
        <w:t>(...continued from previous page)</w:t>
      </w:r>
    </w:p>
  </w:footnote>
  <w:footnote w:type="continuationNotice" w:id="1">
    <w:p w:rsidR="006C3010" w:rsidRDefault="006C3010">
      <w:pPr>
        <w:jc w:val="right"/>
        <w:rPr>
          <w:sz w:val="20"/>
        </w:rPr>
      </w:pPr>
      <w:r>
        <w:rPr>
          <w:sz w:val="20"/>
        </w:rPr>
        <w:t>(continued....)</w:t>
      </w:r>
    </w:p>
  </w:footnote>
  <w:footnote w:id="2">
    <w:p w:rsidR="00F21CC4" w:rsidRDefault="00F21CC4">
      <w:pPr>
        <w:pStyle w:val="FootnoteText"/>
      </w:pPr>
      <w:r>
        <w:rPr>
          <w:rStyle w:val="FootnoteReference"/>
        </w:rPr>
        <w:footnoteRef/>
      </w:r>
      <w:r>
        <w:t xml:space="preserve"> </w:t>
      </w:r>
      <w:r w:rsidR="003011E6" w:rsidRPr="003435E2">
        <w:t>File No. 0005632141 (filed Feb. 4, 2013), attached Skagit County Fire Protection District 5 Waiver Request (Waiver Request).</w:t>
      </w:r>
    </w:p>
  </w:footnote>
  <w:footnote w:id="3">
    <w:p w:rsidR="002415DE" w:rsidRPr="00B54A35" w:rsidRDefault="002415DE" w:rsidP="002415DE">
      <w:pPr>
        <w:pStyle w:val="FootnoteText"/>
      </w:pPr>
      <w:r>
        <w:rPr>
          <w:rStyle w:val="FootnoteReference"/>
        </w:rPr>
        <w:footnoteRef/>
      </w:r>
      <w:r>
        <w:t xml:space="preserve"> </w:t>
      </w:r>
      <w:r w:rsidRPr="002415DE">
        <w:t>Waiver Request at 1.</w:t>
      </w:r>
    </w:p>
  </w:footnote>
  <w:footnote w:id="4">
    <w:p w:rsidR="002415DE" w:rsidRPr="002E5A1A" w:rsidRDefault="002415DE" w:rsidP="002415DE">
      <w:pPr>
        <w:pStyle w:val="FootnoteText"/>
      </w:pPr>
      <w:r>
        <w:rPr>
          <w:rStyle w:val="FootnoteReference"/>
        </w:rPr>
        <w:footnoteRef/>
      </w:r>
      <w:r>
        <w:t xml:space="preserve"> </w:t>
      </w:r>
      <w:r>
        <w:rPr>
          <w:i/>
        </w:rPr>
        <w:t>Id.</w:t>
      </w:r>
    </w:p>
  </w:footnote>
  <w:footnote w:id="5">
    <w:p w:rsidR="00C12CA9" w:rsidRDefault="00C12CA9">
      <w:pPr>
        <w:pStyle w:val="FootnoteText"/>
      </w:pPr>
      <w:r>
        <w:rPr>
          <w:rStyle w:val="FootnoteReference"/>
        </w:rPr>
        <w:footnoteRef/>
      </w:r>
      <w:r>
        <w:t xml:space="preserve"> </w:t>
      </w:r>
      <w:r w:rsidR="002415DE" w:rsidRPr="002415DE">
        <w:rPr>
          <w:i/>
        </w:rPr>
        <w:t>Id</w:t>
      </w:r>
      <w:r w:rsidR="002415DE" w:rsidRPr="002415DE">
        <w:t>.</w:t>
      </w:r>
    </w:p>
  </w:footnote>
  <w:footnote w:id="6">
    <w:p w:rsidR="00C12CA9" w:rsidRPr="00C12CA9" w:rsidRDefault="00C12CA9">
      <w:pPr>
        <w:pStyle w:val="FootnoteText"/>
      </w:pPr>
      <w:r>
        <w:rPr>
          <w:rStyle w:val="FootnoteReference"/>
        </w:rPr>
        <w:footnoteRef/>
      </w:r>
      <w:r>
        <w:t xml:space="preserve"> </w:t>
      </w:r>
      <w:r>
        <w:rPr>
          <w:i/>
        </w:rPr>
        <w:t>Id</w:t>
      </w:r>
      <w:r>
        <w:t>.</w:t>
      </w:r>
    </w:p>
  </w:footnote>
  <w:footnote w:id="7">
    <w:p w:rsidR="00C12CA9" w:rsidRDefault="00C12CA9" w:rsidP="00C12CA9">
      <w:pPr>
        <w:pStyle w:val="FootnoteText"/>
      </w:pPr>
      <w:r>
        <w:rPr>
          <w:rStyle w:val="FootnoteReference"/>
        </w:rPr>
        <w:footnoteRef/>
      </w:r>
      <w:r>
        <w:t xml:space="preserve"> </w:t>
      </w:r>
      <w:r>
        <w:rPr>
          <w:i/>
        </w:rPr>
        <w:t>Id.</w:t>
      </w:r>
      <w:r w:rsidRPr="00C12CA9">
        <w:rPr>
          <w:i/>
        </w:rPr>
        <w:t xml:space="preserve"> </w:t>
      </w:r>
      <w:r>
        <w:t xml:space="preserve"> </w:t>
      </w:r>
      <w:r w:rsidR="00572A9D" w:rsidRPr="00572A9D">
        <w:t>According to Pyramid</w:t>
      </w:r>
      <w:r w:rsidR="00E0785B">
        <w:t xml:space="preserve"> Communications Inc</w:t>
      </w:r>
      <w:r w:rsidR="00D60CF3">
        <w:t>.</w:t>
      </w:r>
      <w:r w:rsidR="00E0785B">
        <w:t>,</w:t>
      </w:r>
      <w:r w:rsidR="00D60CF3">
        <w:t xml:space="preserve"> a manufacturer of vehicular repeaters,</w:t>
      </w:r>
      <w:r w:rsidR="00E0785B">
        <w:t xml:space="preserve"> </w:t>
      </w:r>
      <w:r w:rsidR="00572A9D" w:rsidRPr="00572A9D">
        <w:t xml:space="preserve">current filter technology requires </w:t>
      </w:r>
      <w:r w:rsidR="00E0785B">
        <w:t>vehicular repeater</w:t>
      </w:r>
      <w:r w:rsidR="00572A9D" w:rsidRPr="00572A9D">
        <w:t>s to operate on fre</w:t>
      </w:r>
      <w:r w:rsidR="00E72904">
        <w:t>quencies that are separated by at least two</w:t>
      </w:r>
      <w:r w:rsidR="00572A9D" w:rsidRPr="00572A9D">
        <w:t xml:space="preserve"> megahertz from the system’s main licensed frequencies.</w:t>
      </w:r>
      <w:r w:rsidR="00E0785B">
        <w:t xml:space="preserve">  </w:t>
      </w:r>
      <w:r w:rsidR="00D60CF3" w:rsidRPr="00D60CF3">
        <w:rPr>
          <w:i/>
        </w:rPr>
        <w:t>See</w:t>
      </w:r>
      <w:r w:rsidR="00D60CF3" w:rsidRPr="00D60CF3">
        <w:t xml:space="preserve"> Modification of Sections 90.20(d)(34) and 90.265 of the Commission’s Rules to Facilitate the Use of Vehicular Repeater Units, Petition for Rule Making of Pyramid Communications, Inc. (filed Aug. 16, 2011)</w:t>
      </w:r>
      <w:r w:rsidR="00D60CF3">
        <w:t xml:space="preserve"> at 2, RM-11635.</w:t>
      </w:r>
    </w:p>
  </w:footnote>
  <w:footnote w:id="8">
    <w:p w:rsidR="00C12CA9" w:rsidRPr="000443B7" w:rsidRDefault="00C12CA9" w:rsidP="00C12CA9">
      <w:pPr>
        <w:pStyle w:val="FootnoteText"/>
      </w:pPr>
      <w:r>
        <w:rPr>
          <w:rStyle w:val="FootnoteReference"/>
        </w:rPr>
        <w:footnoteRef/>
      </w:r>
      <w:r>
        <w:t xml:space="preserve"> </w:t>
      </w:r>
      <w:r w:rsidR="000443B7" w:rsidRPr="000443B7">
        <w:t>Waiver Request at 1</w:t>
      </w:r>
      <w:r w:rsidR="000443B7">
        <w:t>.</w:t>
      </w:r>
    </w:p>
  </w:footnote>
  <w:footnote w:id="9">
    <w:p w:rsidR="00C12CA9" w:rsidRPr="00430F72" w:rsidRDefault="00C12CA9" w:rsidP="00C12CA9">
      <w:pPr>
        <w:pStyle w:val="FootnoteText"/>
      </w:pPr>
      <w:r>
        <w:rPr>
          <w:rStyle w:val="FootnoteReference"/>
        </w:rPr>
        <w:footnoteRef/>
      </w:r>
      <w:r>
        <w:t xml:space="preserve"> </w:t>
      </w:r>
      <w:r w:rsidR="006C3E50">
        <w:rPr>
          <w:i/>
        </w:rPr>
        <w:t>Id</w:t>
      </w:r>
      <w:r>
        <w:t xml:space="preserve">. </w:t>
      </w:r>
    </w:p>
  </w:footnote>
  <w:footnote w:id="10">
    <w:p w:rsidR="00A771AF" w:rsidRDefault="00A771AF">
      <w:pPr>
        <w:pStyle w:val="FootnoteText"/>
      </w:pPr>
      <w:r>
        <w:rPr>
          <w:rStyle w:val="FootnoteReference"/>
        </w:rPr>
        <w:footnoteRef/>
      </w:r>
      <w:r>
        <w:t xml:space="preserve"> </w:t>
      </w:r>
      <w:r>
        <w:rPr>
          <w:i/>
        </w:rPr>
        <w:t>Id.</w:t>
      </w:r>
    </w:p>
  </w:footnote>
  <w:footnote w:id="11">
    <w:p w:rsidR="00111BFB" w:rsidRPr="00111BFB" w:rsidRDefault="00111BFB">
      <w:pPr>
        <w:pStyle w:val="FootnoteText"/>
      </w:pPr>
      <w:r>
        <w:rPr>
          <w:rStyle w:val="FootnoteReference"/>
        </w:rPr>
        <w:footnoteRef/>
      </w:r>
      <w:r>
        <w:t xml:space="preserve"> </w:t>
      </w:r>
      <w:r>
        <w:rPr>
          <w:i/>
        </w:rPr>
        <w:t>Id</w:t>
      </w:r>
      <w:r w:rsidRPr="001F0C3B">
        <w:t>.</w:t>
      </w:r>
    </w:p>
  </w:footnote>
  <w:footnote w:id="12">
    <w:p w:rsidR="00E262DD" w:rsidRDefault="00E262DD">
      <w:pPr>
        <w:pStyle w:val="FootnoteText"/>
      </w:pPr>
      <w:r>
        <w:rPr>
          <w:rStyle w:val="FootnoteReference"/>
        </w:rPr>
        <w:footnoteRef/>
      </w:r>
      <w:r>
        <w:t xml:space="preserve"> </w:t>
      </w:r>
      <w:r w:rsidRPr="00E262DD">
        <w:t>47 C.F.R. § 2.106</w:t>
      </w:r>
      <w:r>
        <w:t>, Table of Frequency Allocations.</w:t>
      </w:r>
    </w:p>
  </w:footnote>
  <w:footnote w:id="13">
    <w:p w:rsidR="00D43D37" w:rsidRDefault="00D43D37">
      <w:pPr>
        <w:pStyle w:val="FootnoteText"/>
      </w:pPr>
      <w:r>
        <w:rPr>
          <w:rStyle w:val="FootnoteReference"/>
        </w:rPr>
        <w:footnoteRef/>
      </w:r>
      <w:r>
        <w:t xml:space="preserve"> </w:t>
      </w:r>
      <w:r w:rsidR="00D00354" w:rsidRPr="00D00354">
        <w:t>47 C.F.R. §</w:t>
      </w:r>
      <w:r w:rsidR="00D00354">
        <w:t xml:space="preserve"> 2.106, footnote US11.</w:t>
      </w:r>
      <w:r w:rsidR="004C399D">
        <w:t xml:space="preserve">  </w:t>
      </w:r>
      <w:r w:rsidR="004C399D" w:rsidRPr="004C399D">
        <w:rPr>
          <w:i/>
        </w:rPr>
        <w:t>See also</w:t>
      </w:r>
      <w:r w:rsidR="004C399D">
        <w:t xml:space="preserve"> </w:t>
      </w:r>
      <w:r w:rsidR="004C399D" w:rsidRPr="004C399D">
        <w:t>47 C.F.R. § 90.265(d).</w:t>
      </w:r>
    </w:p>
  </w:footnote>
  <w:footnote w:id="14">
    <w:p w:rsidR="00F0068E" w:rsidRDefault="00F0068E">
      <w:pPr>
        <w:pStyle w:val="FootnoteText"/>
      </w:pPr>
      <w:r>
        <w:rPr>
          <w:rStyle w:val="FootnoteReference"/>
        </w:rPr>
        <w:footnoteRef/>
      </w:r>
      <w:r>
        <w:t xml:space="preserve"> </w:t>
      </w:r>
      <w:r w:rsidRPr="00F0068E">
        <w:rPr>
          <w:i/>
        </w:rPr>
        <w:t>See</w:t>
      </w:r>
      <w:r w:rsidRPr="00F0068E">
        <w:t xml:space="preserve"> Letter from Karl B. Nebbia, Associate Administrator, Office of Spectrum Management, National Telecommunications and Information Administration, to Julius Knapp, Chief, Office of Engineering and Technology, Federal Communications Commission</w:t>
      </w:r>
      <w:r w:rsidR="00F75D64">
        <w:t>,</w:t>
      </w:r>
      <w:r w:rsidRPr="00F0068E">
        <w:t xml:space="preserve"> </w:t>
      </w:r>
      <w:r w:rsidR="00F75D64">
        <w:t xml:space="preserve">RE: </w:t>
      </w:r>
      <w:r w:rsidR="00F75D64" w:rsidRPr="00F75D64">
        <w:t>Skagit County Fire Protection District 5</w:t>
      </w:r>
      <w:r w:rsidR="00F75D64">
        <w:t xml:space="preserve"> Waiver Request (ULS File No. 0005632141) </w:t>
      </w:r>
      <w:r w:rsidRPr="00F0068E">
        <w:t xml:space="preserve">(dated </w:t>
      </w:r>
      <w:r>
        <w:t>March 7, 2014</w:t>
      </w:r>
      <w:r w:rsidRPr="00F0068E">
        <w:t>) (NTIA Letter)</w:t>
      </w:r>
      <w:r w:rsidR="00A32000">
        <w:t xml:space="preserve"> at 1</w:t>
      </w:r>
      <w:r w:rsidRPr="00F0068E">
        <w:t>.</w:t>
      </w:r>
    </w:p>
  </w:footnote>
  <w:footnote w:id="15">
    <w:p w:rsidR="00A70F60" w:rsidRPr="00A70F60" w:rsidRDefault="00A70F60">
      <w:pPr>
        <w:pStyle w:val="FootnoteText"/>
      </w:pPr>
      <w:r>
        <w:rPr>
          <w:rStyle w:val="FootnoteReference"/>
        </w:rPr>
        <w:footnoteRef/>
      </w:r>
      <w:r>
        <w:t xml:space="preserve"> </w:t>
      </w:r>
      <w:r w:rsidRPr="00A70F60">
        <w:rPr>
          <w:i/>
        </w:rPr>
        <w:t>Id</w:t>
      </w:r>
      <w:r>
        <w:t>.</w:t>
      </w:r>
    </w:p>
  </w:footnote>
  <w:footnote w:id="16">
    <w:p w:rsidR="00A32000" w:rsidRPr="00A32000" w:rsidRDefault="00A32000">
      <w:pPr>
        <w:pStyle w:val="FootnoteText"/>
      </w:pPr>
      <w:r>
        <w:rPr>
          <w:rStyle w:val="FootnoteReference"/>
        </w:rPr>
        <w:footnoteRef/>
      </w:r>
      <w:r>
        <w:t xml:space="preserve"> </w:t>
      </w:r>
      <w:r>
        <w:rPr>
          <w:i/>
        </w:rPr>
        <w:t>Id</w:t>
      </w:r>
      <w:r>
        <w:t>. at 2.</w:t>
      </w:r>
    </w:p>
  </w:footnote>
  <w:footnote w:id="17">
    <w:p w:rsidR="00A32000" w:rsidRDefault="00A32000">
      <w:pPr>
        <w:pStyle w:val="FootnoteText"/>
      </w:pPr>
      <w:r>
        <w:rPr>
          <w:rStyle w:val="FootnoteReference"/>
        </w:rPr>
        <w:footnoteRef/>
      </w:r>
      <w:r>
        <w:t xml:space="preserve"> </w:t>
      </w:r>
      <w:r w:rsidRPr="00A32000">
        <w:rPr>
          <w:i/>
        </w:rPr>
        <w:t>Id</w:t>
      </w:r>
      <w:r w:rsidRPr="00A32000">
        <w:t>.</w:t>
      </w:r>
    </w:p>
  </w:footnote>
  <w:footnote w:id="18">
    <w:p w:rsidR="000022D8" w:rsidRDefault="000022D8" w:rsidP="000022D8">
      <w:pPr>
        <w:pStyle w:val="FootnoteText"/>
      </w:pPr>
      <w:r>
        <w:rPr>
          <w:rStyle w:val="FootnoteReference"/>
        </w:rPr>
        <w:footnoteRef/>
      </w:r>
      <w:r>
        <w:t xml:space="preserve"> 47 C.F.R. § 1.925(b)(3)(i).</w:t>
      </w:r>
    </w:p>
  </w:footnote>
  <w:footnote w:id="19">
    <w:p w:rsidR="000022D8" w:rsidRDefault="000022D8" w:rsidP="000022D8">
      <w:pPr>
        <w:pStyle w:val="FootnoteText"/>
      </w:pPr>
      <w:r>
        <w:rPr>
          <w:rStyle w:val="FootnoteReference"/>
        </w:rPr>
        <w:footnoteRef/>
      </w:r>
      <w:r>
        <w:t xml:space="preserve"> 47 C.F.R. § 1.925(b)(3)(ii).</w:t>
      </w:r>
    </w:p>
  </w:footnote>
  <w:footnote w:id="20">
    <w:p w:rsidR="000022D8" w:rsidRDefault="000022D8" w:rsidP="000022D8">
      <w:pPr>
        <w:autoSpaceDE w:val="0"/>
        <w:autoSpaceDN w:val="0"/>
        <w:adjustRightInd w:val="0"/>
        <w:spacing w:after="120"/>
        <w:rPr>
          <w:sz w:val="20"/>
        </w:rPr>
      </w:pPr>
      <w:r>
        <w:rPr>
          <w:rStyle w:val="FootnoteReference"/>
          <w:sz w:val="20"/>
        </w:rPr>
        <w:footnoteRef/>
      </w:r>
      <w:r>
        <w:rPr>
          <w:sz w:val="20"/>
          <w:lang w:val="da-DK"/>
        </w:rPr>
        <w:t xml:space="preserve"> </w:t>
      </w:r>
      <w:r>
        <w:rPr>
          <w:i/>
          <w:iCs/>
          <w:sz w:val="20"/>
          <w:lang w:val="da-DK"/>
        </w:rPr>
        <w:t xml:space="preserve">WAIT Radio v. FCC, </w:t>
      </w:r>
      <w:r>
        <w:rPr>
          <w:sz w:val="20"/>
          <w:lang w:val="da-DK"/>
        </w:rPr>
        <w:t>418 F.2d 1153, 1157 (D.</w:t>
      </w:r>
      <w:r>
        <w:rPr>
          <w:sz w:val="20"/>
        </w:rPr>
        <w:t xml:space="preserve">C. Cir. 1969), </w:t>
      </w:r>
      <w:r>
        <w:rPr>
          <w:i/>
          <w:iCs/>
          <w:sz w:val="20"/>
        </w:rPr>
        <w:t xml:space="preserve">aff’d, </w:t>
      </w:r>
      <w:r>
        <w:rPr>
          <w:sz w:val="20"/>
        </w:rPr>
        <w:t xml:space="preserve">459 F.2d 1203 (1973), </w:t>
      </w:r>
      <w:r>
        <w:rPr>
          <w:i/>
          <w:iCs/>
          <w:sz w:val="20"/>
        </w:rPr>
        <w:t xml:space="preserve">cert. denied, </w:t>
      </w:r>
      <w:r>
        <w:rPr>
          <w:sz w:val="20"/>
        </w:rPr>
        <w:t>409 U.S. 1027 (1972) (</w:t>
      </w:r>
      <w:r>
        <w:rPr>
          <w:i/>
          <w:iCs/>
          <w:sz w:val="20"/>
        </w:rPr>
        <w:t xml:space="preserve">citing Rio Grande Family Radio Fellowship, Inc. v. FCC, </w:t>
      </w:r>
      <w:r>
        <w:rPr>
          <w:sz w:val="20"/>
        </w:rPr>
        <w:t xml:space="preserve">406 F.2d 664 (D.C. Cir. 1968)); Birach Broad. Corp., </w:t>
      </w:r>
      <w:r>
        <w:rPr>
          <w:i/>
          <w:iCs/>
          <w:sz w:val="20"/>
        </w:rPr>
        <w:t xml:space="preserve">Memorandum Opinion and Order, </w:t>
      </w:r>
      <w:r>
        <w:rPr>
          <w:sz w:val="20"/>
        </w:rPr>
        <w:t>18 FCC Rcd 1414, 1415 (2003).</w:t>
      </w:r>
    </w:p>
  </w:footnote>
  <w:footnote w:id="21">
    <w:p w:rsidR="007578AA" w:rsidRDefault="007578AA" w:rsidP="002C7ED7">
      <w:pPr>
        <w:pStyle w:val="FootnoteText"/>
      </w:pPr>
      <w:r>
        <w:rPr>
          <w:rStyle w:val="FootnoteReference"/>
        </w:rPr>
        <w:footnoteRef/>
      </w:r>
      <w:r w:rsidR="002C7ED7">
        <w:t xml:space="preserve">Amendment of Parts 2 and 90 of the Commission's Rules to Provide for Narrowband Private Land Mobile Radio Channels in the 150.05-150.8 MHz, 162-174 MHz, and 406.1-420 MHz Bands that are Allocated for Federal Government Use, ET Docket No. 04-243, </w:t>
      </w:r>
      <w:r w:rsidR="002C7ED7" w:rsidRPr="004116EA">
        <w:rPr>
          <w:i/>
        </w:rPr>
        <w:t>Report and Order</w:t>
      </w:r>
      <w:r w:rsidR="002C7ED7">
        <w:t>, 20 FCC Rcd 5793, 5816</w:t>
      </w:r>
      <w:r>
        <w:t xml:space="preserve"> </w:t>
      </w:r>
      <w:r w:rsidRPr="007578AA">
        <w:t>¶</w:t>
      </w:r>
      <w:r>
        <w:t xml:space="preserve"> 59</w:t>
      </w:r>
      <w:r w:rsidR="002C7ED7">
        <w:t xml:space="preserve"> </w:t>
      </w:r>
      <w:r w:rsidR="002C7ED7" w:rsidRPr="002C7ED7">
        <w:t>(2005)</w:t>
      </w:r>
      <w:r>
        <w:t>.</w:t>
      </w:r>
    </w:p>
  </w:footnote>
  <w:footnote w:id="22">
    <w:p w:rsidR="007578AA" w:rsidRDefault="007578AA">
      <w:pPr>
        <w:pStyle w:val="FootnoteText"/>
      </w:pPr>
      <w:r>
        <w:rPr>
          <w:rStyle w:val="FootnoteReference"/>
        </w:rPr>
        <w:footnoteRef/>
      </w:r>
      <w:r>
        <w:t xml:space="preserve"> </w:t>
      </w:r>
      <w:r w:rsidR="002C7ED7" w:rsidRPr="004116EA">
        <w:rPr>
          <w:i/>
        </w:rPr>
        <w:t>Id</w:t>
      </w:r>
      <w:r w:rsidR="002C7ED7">
        <w:t>. at 5817</w:t>
      </w:r>
      <w:r>
        <w:t xml:space="preserve"> ¶ 62.</w:t>
      </w:r>
    </w:p>
  </w:footnote>
  <w:footnote w:id="23">
    <w:p w:rsidR="000E71C0" w:rsidRDefault="000E71C0">
      <w:pPr>
        <w:pStyle w:val="FootnoteText"/>
      </w:pPr>
      <w:r>
        <w:rPr>
          <w:rStyle w:val="FootnoteReference"/>
        </w:rPr>
        <w:footnoteRef/>
      </w:r>
      <w:r>
        <w:t xml:space="preserve"> </w:t>
      </w:r>
      <w:r w:rsidRPr="000E71C0">
        <w:t xml:space="preserve">47 C.F.R. § </w:t>
      </w:r>
      <w:r>
        <w:t>90.305(a).</w:t>
      </w:r>
      <w:r w:rsidR="00314CE5">
        <w:t xml:space="preserve">  </w:t>
      </w:r>
    </w:p>
  </w:footnote>
  <w:footnote w:id="24">
    <w:p w:rsidR="00D03951" w:rsidRDefault="00D03951">
      <w:pPr>
        <w:pStyle w:val="FootnoteText"/>
      </w:pPr>
      <w:r>
        <w:rPr>
          <w:rStyle w:val="FootnoteReference"/>
        </w:rPr>
        <w:footnoteRef/>
      </w:r>
      <w:r>
        <w:t xml:space="preserve"> </w:t>
      </w:r>
      <w:r w:rsidRPr="00D03951">
        <w:rPr>
          <w:i/>
        </w:rPr>
        <w:t>See</w:t>
      </w:r>
      <w:r w:rsidRPr="00D03951">
        <w:t xml:space="preserve"> Further Sharing of the UHF Television Band by Private Land Mobile Radio Services, </w:t>
      </w:r>
      <w:r w:rsidRPr="00D03951">
        <w:rPr>
          <w:i/>
        </w:rPr>
        <w:t>Notice of Proposed Rulemaking</w:t>
      </w:r>
      <w:r w:rsidRPr="00D03951">
        <w:t>, Gen. Docket No. 85-172, 101 F.C.C. 2d 852 (1985).</w:t>
      </w:r>
      <w:r w:rsidR="00314CE5">
        <w:t xml:space="preserve">  </w:t>
      </w:r>
      <w:r w:rsidR="00314CE5" w:rsidRPr="00314CE5">
        <w:t>One notable difference in this comparison is that public safety stations under Section 90.305(a) are not secondary to over-the-air broadcast stations.</w:t>
      </w:r>
    </w:p>
  </w:footnote>
  <w:footnote w:id="25">
    <w:p w:rsidR="005D3FCA" w:rsidRDefault="005D3FCA">
      <w:pPr>
        <w:pStyle w:val="FootnoteText"/>
      </w:pPr>
      <w:r>
        <w:rPr>
          <w:rStyle w:val="FootnoteReference"/>
        </w:rPr>
        <w:footnoteRef/>
      </w:r>
      <w:r>
        <w:t xml:space="preserve"> </w:t>
      </w:r>
      <w:r w:rsidR="00013910" w:rsidRPr="00013910">
        <w:rPr>
          <w:i/>
        </w:rPr>
        <w:t>See</w:t>
      </w:r>
      <w:r w:rsidR="00013910">
        <w:t xml:space="preserve"> </w:t>
      </w:r>
      <w:r>
        <w:t>NTIA Letter at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72C" w:rsidRDefault="005F07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BAC" w:rsidRDefault="005C1BAC">
    <w:pPr>
      <w:pStyle w:val="Header"/>
      <w:tabs>
        <w:tab w:val="clear" w:pos="4320"/>
        <w:tab w:val="clear" w:pos="8640"/>
        <w:tab w:val="center" w:pos="4680"/>
        <w:tab w:val="right" w:pos="9360"/>
      </w:tabs>
      <w:rPr>
        <w:b/>
      </w:rPr>
    </w:pPr>
    <w:r>
      <w:rPr>
        <w:b/>
      </w:rPr>
      <w:tab/>
      <w:t>Federal Communications Commission</w:t>
    </w:r>
    <w:r>
      <w:rPr>
        <w:b/>
      </w:rPr>
      <w:tab/>
      <w:t>DA 1</w:t>
    </w:r>
    <w:r w:rsidR="00443DD0">
      <w:rPr>
        <w:b/>
      </w:rPr>
      <w:t>4</w:t>
    </w:r>
    <w:r>
      <w:rPr>
        <w:b/>
      </w:rPr>
      <w:t>-</w:t>
    </w:r>
    <w:r w:rsidR="00FE4792">
      <w:rPr>
        <w:b/>
      </w:rPr>
      <w:t>521</w:t>
    </w:r>
    <w:r>
      <w:rPr>
        <w:b/>
      </w:rPr>
      <w:t xml:space="preserve"> </w:t>
    </w:r>
  </w:p>
  <w:p w:rsidR="005C1BAC" w:rsidRDefault="00D11FE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60E53087" wp14:editId="53839F55">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5C1BAC" w:rsidRDefault="005C1B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BAC" w:rsidRDefault="005C1BAC">
    <w:pPr>
      <w:pStyle w:val="Header"/>
      <w:tabs>
        <w:tab w:val="clear" w:pos="4320"/>
        <w:tab w:val="clear" w:pos="8640"/>
        <w:tab w:val="center" w:pos="4680"/>
        <w:tab w:val="right" w:pos="9360"/>
      </w:tabs>
      <w:rPr>
        <w:b/>
      </w:rPr>
    </w:pPr>
    <w:r>
      <w:rPr>
        <w:b/>
      </w:rPr>
      <w:tab/>
      <w:t>Federal Communications Commission</w:t>
    </w:r>
    <w:r>
      <w:rPr>
        <w:b/>
      </w:rPr>
      <w:tab/>
    </w:r>
    <w:r w:rsidRPr="00E72904">
      <w:rPr>
        <w:b/>
      </w:rPr>
      <w:t>DA 1</w:t>
    </w:r>
    <w:r w:rsidR="00443DD0" w:rsidRPr="00E72904">
      <w:rPr>
        <w:b/>
      </w:rPr>
      <w:t>4</w:t>
    </w:r>
    <w:r w:rsidRPr="00E72904">
      <w:rPr>
        <w:b/>
      </w:rPr>
      <w:t>-</w:t>
    </w:r>
    <w:r w:rsidR="00FE4792">
      <w:rPr>
        <w:b/>
      </w:rPr>
      <w:t>521</w:t>
    </w:r>
    <w:r>
      <w:rPr>
        <w:b/>
      </w:rPr>
      <w:t xml:space="preserve"> </w:t>
    </w:r>
  </w:p>
  <w:p w:rsidR="005C1BAC" w:rsidRDefault="00D11FE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32AABBFE" wp14:editId="5AFADD88">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EB8C4BE"/>
    <w:lvl w:ilvl="0">
      <w:start w:val="1"/>
      <w:numFmt w:val="decimal"/>
      <w:lvlText w:val="%1."/>
      <w:lvlJc w:val="left"/>
      <w:pPr>
        <w:tabs>
          <w:tab w:val="num" w:pos="1440"/>
        </w:tabs>
        <w:ind w:left="1440" w:hanging="360"/>
      </w:pPr>
    </w:lvl>
  </w:abstractNum>
  <w:abstractNum w:abstractNumId="1">
    <w:nsid w:val="029118BA"/>
    <w:multiLevelType w:val="hybridMultilevel"/>
    <w:tmpl w:val="A82AEC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0F3933D3"/>
    <w:multiLevelType w:val="multilevel"/>
    <w:tmpl w:val="02025E96"/>
    <w:lvl w:ilvl="0">
      <w:start w:val="1"/>
      <w:numFmt w:val="decimal"/>
      <w:lvlText w:val="%1."/>
      <w:lvlJc w:val="left"/>
      <w:pPr>
        <w:tabs>
          <w:tab w:val="num" w:pos="900"/>
        </w:tabs>
        <w:ind w:left="90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rFonts w:cs="Times New Roman"/>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color w:val="auto"/>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14CF7192"/>
    <w:multiLevelType w:val="multilevel"/>
    <w:tmpl w:val="A82AEC4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183F4BB0"/>
    <w:multiLevelType w:val="hybridMultilevel"/>
    <w:tmpl w:val="BA62D0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5B80C88"/>
    <w:multiLevelType w:val="hybridMultilevel"/>
    <w:tmpl w:val="CE5E6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1E23FAE"/>
    <w:multiLevelType w:val="hybridMultilevel"/>
    <w:tmpl w:val="491055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1">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2">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3">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4">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5">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6">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6"/>
  </w:num>
  <w:num w:numId="2">
    <w:abstractNumId w:val="27"/>
  </w:num>
  <w:num w:numId="3">
    <w:abstractNumId w:val="8"/>
  </w:num>
  <w:num w:numId="4">
    <w:abstractNumId w:val="22"/>
  </w:num>
  <w:num w:numId="5">
    <w:abstractNumId w:val="9"/>
  </w:num>
  <w:num w:numId="6">
    <w:abstractNumId w:val="25"/>
  </w:num>
  <w:num w:numId="7">
    <w:abstractNumId w:val="19"/>
  </w:num>
  <w:num w:numId="8">
    <w:abstractNumId w:val="10"/>
  </w:num>
  <w:num w:numId="9">
    <w:abstractNumId w:val="24"/>
  </w:num>
  <w:num w:numId="10">
    <w:abstractNumId w:val="16"/>
  </w:num>
  <w:num w:numId="11">
    <w:abstractNumId w:val="14"/>
  </w:num>
  <w:num w:numId="12">
    <w:abstractNumId w:val="11"/>
  </w:num>
  <w:num w:numId="13">
    <w:abstractNumId w:val="17"/>
  </w:num>
  <w:num w:numId="14">
    <w:abstractNumId w:val="23"/>
  </w:num>
  <w:num w:numId="15">
    <w:abstractNumId w:val="6"/>
  </w:num>
  <w:num w:numId="16">
    <w:abstractNumId w:val="7"/>
  </w:num>
  <w:num w:numId="17">
    <w:abstractNumId w:val="12"/>
  </w:num>
  <w:num w:numId="18">
    <w:abstractNumId w:val="2"/>
  </w:num>
  <w:num w:numId="19">
    <w:abstractNumId w:val="13"/>
  </w:num>
  <w:num w:numId="20">
    <w:abstractNumId w:val="20"/>
  </w:num>
  <w:num w:numId="21">
    <w:abstractNumId w:val="21"/>
  </w:num>
  <w:num w:numId="22">
    <w:abstractNumId w:val="0"/>
  </w:num>
  <w:num w:numId="23">
    <w:abstractNumId w:val="18"/>
  </w:num>
  <w:num w:numId="24">
    <w:abstractNumId w:val="1"/>
  </w:num>
  <w:num w:numId="25">
    <w:abstractNumId w:val="4"/>
  </w:num>
  <w:num w:numId="26">
    <w:abstractNumId w:val="15"/>
  </w:num>
  <w:num w:numId="27">
    <w:abstractNumId w:val="5"/>
  </w:num>
  <w:num w:numId="28">
    <w:abstractNumId w:val="17"/>
    <w:lvlOverride w:ilvl="0">
      <w:startOverride w:val="1"/>
    </w:lvlOverride>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4A3"/>
    <w:rsid w:val="000022D8"/>
    <w:rsid w:val="00005731"/>
    <w:rsid w:val="00013910"/>
    <w:rsid w:val="000141C7"/>
    <w:rsid w:val="00014A30"/>
    <w:rsid w:val="000252EE"/>
    <w:rsid w:val="000400CF"/>
    <w:rsid w:val="0004038D"/>
    <w:rsid w:val="00044383"/>
    <w:rsid w:val="000443B7"/>
    <w:rsid w:val="00050F2B"/>
    <w:rsid w:val="00055897"/>
    <w:rsid w:val="00057F01"/>
    <w:rsid w:val="000627E1"/>
    <w:rsid w:val="000735F6"/>
    <w:rsid w:val="00077EB7"/>
    <w:rsid w:val="000912A7"/>
    <w:rsid w:val="00093EB6"/>
    <w:rsid w:val="000B6D04"/>
    <w:rsid w:val="000C28F3"/>
    <w:rsid w:val="000C4DAF"/>
    <w:rsid w:val="000D48E7"/>
    <w:rsid w:val="000E025F"/>
    <w:rsid w:val="000E4F80"/>
    <w:rsid w:val="000E71C0"/>
    <w:rsid w:val="000F1A39"/>
    <w:rsid w:val="000F6FC8"/>
    <w:rsid w:val="00104710"/>
    <w:rsid w:val="00111BFB"/>
    <w:rsid w:val="00116059"/>
    <w:rsid w:val="0013025C"/>
    <w:rsid w:val="00132F43"/>
    <w:rsid w:val="00161D03"/>
    <w:rsid w:val="0017067A"/>
    <w:rsid w:val="00176430"/>
    <w:rsid w:val="00197AB5"/>
    <w:rsid w:val="001A048C"/>
    <w:rsid w:val="001B1970"/>
    <w:rsid w:val="001C31E5"/>
    <w:rsid w:val="001C4FCC"/>
    <w:rsid w:val="001D19BB"/>
    <w:rsid w:val="001D1B9C"/>
    <w:rsid w:val="001D4171"/>
    <w:rsid w:val="001D4F7D"/>
    <w:rsid w:val="001D7962"/>
    <w:rsid w:val="001E015B"/>
    <w:rsid w:val="001E2E3F"/>
    <w:rsid w:val="001E4B3F"/>
    <w:rsid w:val="001E7168"/>
    <w:rsid w:val="001F0106"/>
    <w:rsid w:val="001F0C3B"/>
    <w:rsid w:val="001F12B7"/>
    <w:rsid w:val="001F1B95"/>
    <w:rsid w:val="0020632E"/>
    <w:rsid w:val="00213F33"/>
    <w:rsid w:val="00216FDF"/>
    <w:rsid w:val="002415DE"/>
    <w:rsid w:val="0024500F"/>
    <w:rsid w:val="00250E0A"/>
    <w:rsid w:val="00251991"/>
    <w:rsid w:val="00255C58"/>
    <w:rsid w:val="00267CCE"/>
    <w:rsid w:val="00277679"/>
    <w:rsid w:val="00282961"/>
    <w:rsid w:val="00282B16"/>
    <w:rsid w:val="00282C03"/>
    <w:rsid w:val="00285107"/>
    <w:rsid w:val="00286352"/>
    <w:rsid w:val="00290D52"/>
    <w:rsid w:val="002A0887"/>
    <w:rsid w:val="002B609B"/>
    <w:rsid w:val="002C3E43"/>
    <w:rsid w:val="002C7722"/>
    <w:rsid w:val="002C7ED7"/>
    <w:rsid w:val="002E2EA4"/>
    <w:rsid w:val="002E5A1A"/>
    <w:rsid w:val="002E5A68"/>
    <w:rsid w:val="002E65EA"/>
    <w:rsid w:val="002F133D"/>
    <w:rsid w:val="002F46D9"/>
    <w:rsid w:val="003011E6"/>
    <w:rsid w:val="00314CE5"/>
    <w:rsid w:val="003269A9"/>
    <w:rsid w:val="00327D93"/>
    <w:rsid w:val="00365932"/>
    <w:rsid w:val="00365B2E"/>
    <w:rsid w:val="003703FD"/>
    <w:rsid w:val="00371472"/>
    <w:rsid w:val="00384FA4"/>
    <w:rsid w:val="003946F0"/>
    <w:rsid w:val="00397988"/>
    <w:rsid w:val="003A031D"/>
    <w:rsid w:val="003A22BF"/>
    <w:rsid w:val="003A6193"/>
    <w:rsid w:val="003B48CA"/>
    <w:rsid w:val="003B7B3D"/>
    <w:rsid w:val="003C37DE"/>
    <w:rsid w:val="003C52DE"/>
    <w:rsid w:val="003C6FBA"/>
    <w:rsid w:val="003D2D56"/>
    <w:rsid w:val="003E3E3D"/>
    <w:rsid w:val="003F3D95"/>
    <w:rsid w:val="00401237"/>
    <w:rsid w:val="00401496"/>
    <w:rsid w:val="00405128"/>
    <w:rsid w:val="0040559C"/>
    <w:rsid w:val="00410D1C"/>
    <w:rsid w:val="004116EA"/>
    <w:rsid w:val="00420DBE"/>
    <w:rsid w:val="00430F72"/>
    <w:rsid w:val="004339DE"/>
    <w:rsid w:val="004425DD"/>
    <w:rsid w:val="00443DD0"/>
    <w:rsid w:val="0044463F"/>
    <w:rsid w:val="00445280"/>
    <w:rsid w:val="004506BA"/>
    <w:rsid w:val="00457A92"/>
    <w:rsid w:val="00467013"/>
    <w:rsid w:val="0047556B"/>
    <w:rsid w:val="004800C0"/>
    <w:rsid w:val="004967FC"/>
    <w:rsid w:val="004A4B07"/>
    <w:rsid w:val="004A7206"/>
    <w:rsid w:val="004B252F"/>
    <w:rsid w:val="004B272F"/>
    <w:rsid w:val="004C399D"/>
    <w:rsid w:val="004C6B08"/>
    <w:rsid w:val="004D45C0"/>
    <w:rsid w:val="004D4E51"/>
    <w:rsid w:val="004E7186"/>
    <w:rsid w:val="004F6C14"/>
    <w:rsid w:val="00514DF3"/>
    <w:rsid w:val="0051659A"/>
    <w:rsid w:val="005214F6"/>
    <w:rsid w:val="00521D95"/>
    <w:rsid w:val="00524A33"/>
    <w:rsid w:val="00527608"/>
    <w:rsid w:val="00536B68"/>
    <w:rsid w:val="00545F86"/>
    <w:rsid w:val="0054745F"/>
    <w:rsid w:val="005474A3"/>
    <w:rsid w:val="00556EB7"/>
    <w:rsid w:val="0056057E"/>
    <w:rsid w:val="005637DA"/>
    <w:rsid w:val="00565750"/>
    <w:rsid w:val="0057097A"/>
    <w:rsid w:val="00572A9D"/>
    <w:rsid w:val="00580A71"/>
    <w:rsid w:val="0058206B"/>
    <w:rsid w:val="00583BD4"/>
    <w:rsid w:val="005869FA"/>
    <w:rsid w:val="0058736E"/>
    <w:rsid w:val="00590A9D"/>
    <w:rsid w:val="00595E5D"/>
    <w:rsid w:val="005A350D"/>
    <w:rsid w:val="005A3C6D"/>
    <w:rsid w:val="005A45C6"/>
    <w:rsid w:val="005B0504"/>
    <w:rsid w:val="005C1BAC"/>
    <w:rsid w:val="005C41C8"/>
    <w:rsid w:val="005D02AB"/>
    <w:rsid w:val="005D1E2C"/>
    <w:rsid w:val="005D3EDE"/>
    <w:rsid w:val="005D3FCA"/>
    <w:rsid w:val="005D5B42"/>
    <w:rsid w:val="005D7811"/>
    <w:rsid w:val="005F072C"/>
    <w:rsid w:val="005F15E6"/>
    <w:rsid w:val="005F4908"/>
    <w:rsid w:val="005F7448"/>
    <w:rsid w:val="00612B4B"/>
    <w:rsid w:val="00613098"/>
    <w:rsid w:val="00621AFC"/>
    <w:rsid w:val="00621B84"/>
    <w:rsid w:val="006248A8"/>
    <w:rsid w:val="0062641C"/>
    <w:rsid w:val="00630C09"/>
    <w:rsid w:val="006325D1"/>
    <w:rsid w:val="006410B0"/>
    <w:rsid w:val="00641475"/>
    <w:rsid w:val="006526AD"/>
    <w:rsid w:val="0066399D"/>
    <w:rsid w:val="00673F92"/>
    <w:rsid w:val="0068094B"/>
    <w:rsid w:val="0068192A"/>
    <w:rsid w:val="00682243"/>
    <w:rsid w:val="00684505"/>
    <w:rsid w:val="00697D95"/>
    <w:rsid w:val="006A6A40"/>
    <w:rsid w:val="006B29CE"/>
    <w:rsid w:val="006C107A"/>
    <w:rsid w:val="006C3010"/>
    <w:rsid w:val="006C3E50"/>
    <w:rsid w:val="006D14FC"/>
    <w:rsid w:val="006D60DC"/>
    <w:rsid w:val="006D7934"/>
    <w:rsid w:val="006E1D06"/>
    <w:rsid w:val="006F6FE3"/>
    <w:rsid w:val="006F778F"/>
    <w:rsid w:val="0070225E"/>
    <w:rsid w:val="0070306C"/>
    <w:rsid w:val="0071019C"/>
    <w:rsid w:val="00716C6F"/>
    <w:rsid w:val="00720025"/>
    <w:rsid w:val="00720D49"/>
    <w:rsid w:val="00722539"/>
    <w:rsid w:val="00733EAF"/>
    <w:rsid w:val="00735FFB"/>
    <w:rsid w:val="0073666A"/>
    <w:rsid w:val="00741105"/>
    <w:rsid w:val="0075263B"/>
    <w:rsid w:val="00754044"/>
    <w:rsid w:val="0075739F"/>
    <w:rsid w:val="007578AA"/>
    <w:rsid w:val="007610B0"/>
    <w:rsid w:val="00763955"/>
    <w:rsid w:val="00765D8C"/>
    <w:rsid w:val="00767D2C"/>
    <w:rsid w:val="0078295C"/>
    <w:rsid w:val="00794991"/>
    <w:rsid w:val="00795A96"/>
    <w:rsid w:val="007A1727"/>
    <w:rsid w:val="007A3FAE"/>
    <w:rsid w:val="007B6214"/>
    <w:rsid w:val="007C0EFE"/>
    <w:rsid w:val="007C4449"/>
    <w:rsid w:val="007C44C9"/>
    <w:rsid w:val="007C600B"/>
    <w:rsid w:val="007D2F97"/>
    <w:rsid w:val="007D4E4D"/>
    <w:rsid w:val="007D5DFD"/>
    <w:rsid w:val="007E7933"/>
    <w:rsid w:val="007F68B2"/>
    <w:rsid w:val="007F698D"/>
    <w:rsid w:val="008014CC"/>
    <w:rsid w:val="00814A08"/>
    <w:rsid w:val="0081607B"/>
    <w:rsid w:val="00816CA7"/>
    <w:rsid w:val="00817866"/>
    <w:rsid w:val="008217D1"/>
    <w:rsid w:val="008413FE"/>
    <w:rsid w:val="00865418"/>
    <w:rsid w:val="008742AB"/>
    <w:rsid w:val="0088530A"/>
    <w:rsid w:val="008A1074"/>
    <w:rsid w:val="008A1469"/>
    <w:rsid w:val="008A799B"/>
    <w:rsid w:val="008B0419"/>
    <w:rsid w:val="008B5E68"/>
    <w:rsid w:val="008B6889"/>
    <w:rsid w:val="008C41E4"/>
    <w:rsid w:val="008C5D9B"/>
    <w:rsid w:val="008D118F"/>
    <w:rsid w:val="008E5E48"/>
    <w:rsid w:val="008F041B"/>
    <w:rsid w:val="008F1927"/>
    <w:rsid w:val="009003F5"/>
    <w:rsid w:val="0090101F"/>
    <w:rsid w:val="0090487E"/>
    <w:rsid w:val="009079BE"/>
    <w:rsid w:val="009120F5"/>
    <w:rsid w:val="00913B50"/>
    <w:rsid w:val="0091478F"/>
    <w:rsid w:val="0091750A"/>
    <w:rsid w:val="009334C9"/>
    <w:rsid w:val="00940D79"/>
    <w:rsid w:val="0095064B"/>
    <w:rsid w:val="00954457"/>
    <w:rsid w:val="009547AD"/>
    <w:rsid w:val="009571EB"/>
    <w:rsid w:val="009610BB"/>
    <w:rsid w:val="00970D95"/>
    <w:rsid w:val="00973F01"/>
    <w:rsid w:val="00976E52"/>
    <w:rsid w:val="00976FE2"/>
    <w:rsid w:val="009829AE"/>
    <w:rsid w:val="00983886"/>
    <w:rsid w:val="009926F6"/>
    <w:rsid w:val="009929D8"/>
    <w:rsid w:val="0099623B"/>
    <w:rsid w:val="009A49F6"/>
    <w:rsid w:val="009A75AF"/>
    <w:rsid w:val="009B6FFC"/>
    <w:rsid w:val="009C214C"/>
    <w:rsid w:val="009F2CA9"/>
    <w:rsid w:val="009F3CFF"/>
    <w:rsid w:val="00A06A62"/>
    <w:rsid w:val="00A13E48"/>
    <w:rsid w:val="00A158C9"/>
    <w:rsid w:val="00A16668"/>
    <w:rsid w:val="00A203B9"/>
    <w:rsid w:val="00A318AA"/>
    <w:rsid w:val="00A32000"/>
    <w:rsid w:val="00A340F8"/>
    <w:rsid w:val="00A35702"/>
    <w:rsid w:val="00A36DE2"/>
    <w:rsid w:val="00A41AC5"/>
    <w:rsid w:val="00A452D1"/>
    <w:rsid w:val="00A454B5"/>
    <w:rsid w:val="00A64DE7"/>
    <w:rsid w:val="00A66684"/>
    <w:rsid w:val="00A70F60"/>
    <w:rsid w:val="00A72660"/>
    <w:rsid w:val="00A771AF"/>
    <w:rsid w:val="00A833E9"/>
    <w:rsid w:val="00A840F6"/>
    <w:rsid w:val="00A84D31"/>
    <w:rsid w:val="00A93442"/>
    <w:rsid w:val="00AA0E69"/>
    <w:rsid w:val="00AA247B"/>
    <w:rsid w:val="00AA6434"/>
    <w:rsid w:val="00AB17F2"/>
    <w:rsid w:val="00AC3D53"/>
    <w:rsid w:val="00AC500C"/>
    <w:rsid w:val="00AD08E8"/>
    <w:rsid w:val="00AD1227"/>
    <w:rsid w:val="00AD4658"/>
    <w:rsid w:val="00AD510E"/>
    <w:rsid w:val="00AE645A"/>
    <w:rsid w:val="00AF6C91"/>
    <w:rsid w:val="00B019F4"/>
    <w:rsid w:val="00B0285E"/>
    <w:rsid w:val="00B02C6E"/>
    <w:rsid w:val="00B10911"/>
    <w:rsid w:val="00B1621E"/>
    <w:rsid w:val="00B2539F"/>
    <w:rsid w:val="00B35D3E"/>
    <w:rsid w:val="00B41E93"/>
    <w:rsid w:val="00B42C51"/>
    <w:rsid w:val="00B50C53"/>
    <w:rsid w:val="00B51B6F"/>
    <w:rsid w:val="00B53C51"/>
    <w:rsid w:val="00B54A35"/>
    <w:rsid w:val="00B61037"/>
    <w:rsid w:val="00B64EE9"/>
    <w:rsid w:val="00B7732D"/>
    <w:rsid w:val="00B82C3F"/>
    <w:rsid w:val="00B91B0B"/>
    <w:rsid w:val="00B93A56"/>
    <w:rsid w:val="00BA529D"/>
    <w:rsid w:val="00BA7CEA"/>
    <w:rsid w:val="00BB4D82"/>
    <w:rsid w:val="00BC28CB"/>
    <w:rsid w:val="00BC445D"/>
    <w:rsid w:val="00BD33AB"/>
    <w:rsid w:val="00BD6658"/>
    <w:rsid w:val="00BE0DE3"/>
    <w:rsid w:val="00BE7A5E"/>
    <w:rsid w:val="00BF0F1A"/>
    <w:rsid w:val="00BF1A51"/>
    <w:rsid w:val="00BF3FCF"/>
    <w:rsid w:val="00BF6367"/>
    <w:rsid w:val="00C06E68"/>
    <w:rsid w:val="00C10FD4"/>
    <w:rsid w:val="00C12CA9"/>
    <w:rsid w:val="00C14CF4"/>
    <w:rsid w:val="00C24FB3"/>
    <w:rsid w:val="00C259BB"/>
    <w:rsid w:val="00C370CB"/>
    <w:rsid w:val="00C42F5F"/>
    <w:rsid w:val="00C50613"/>
    <w:rsid w:val="00C558B1"/>
    <w:rsid w:val="00C5671F"/>
    <w:rsid w:val="00C76F06"/>
    <w:rsid w:val="00C83189"/>
    <w:rsid w:val="00CA1376"/>
    <w:rsid w:val="00CB1C61"/>
    <w:rsid w:val="00CB211C"/>
    <w:rsid w:val="00CC3A6E"/>
    <w:rsid w:val="00CC5A0F"/>
    <w:rsid w:val="00CC7170"/>
    <w:rsid w:val="00CD182C"/>
    <w:rsid w:val="00CE0CC0"/>
    <w:rsid w:val="00CE4659"/>
    <w:rsid w:val="00CE62AF"/>
    <w:rsid w:val="00D00354"/>
    <w:rsid w:val="00D0350B"/>
    <w:rsid w:val="00D03951"/>
    <w:rsid w:val="00D11FEB"/>
    <w:rsid w:val="00D1306C"/>
    <w:rsid w:val="00D16CAE"/>
    <w:rsid w:val="00D259D7"/>
    <w:rsid w:val="00D3415F"/>
    <w:rsid w:val="00D41016"/>
    <w:rsid w:val="00D42571"/>
    <w:rsid w:val="00D43D37"/>
    <w:rsid w:val="00D44962"/>
    <w:rsid w:val="00D55CA0"/>
    <w:rsid w:val="00D56A06"/>
    <w:rsid w:val="00D60CF3"/>
    <w:rsid w:val="00D63977"/>
    <w:rsid w:val="00D734A3"/>
    <w:rsid w:val="00D838CA"/>
    <w:rsid w:val="00DB3421"/>
    <w:rsid w:val="00DC28A3"/>
    <w:rsid w:val="00DC6470"/>
    <w:rsid w:val="00DD0565"/>
    <w:rsid w:val="00DD75E4"/>
    <w:rsid w:val="00DE0F42"/>
    <w:rsid w:val="00DE3340"/>
    <w:rsid w:val="00DE47E3"/>
    <w:rsid w:val="00DE4B4B"/>
    <w:rsid w:val="00DE688B"/>
    <w:rsid w:val="00DF7298"/>
    <w:rsid w:val="00E00313"/>
    <w:rsid w:val="00E005E5"/>
    <w:rsid w:val="00E05FC8"/>
    <w:rsid w:val="00E06F00"/>
    <w:rsid w:val="00E0785B"/>
    <w:rsid w:val="00E14370"/>
    <w:rsid w:val="00E158EC"/>
    <w:rsid w:val="00E23165"/>
    <w:rsid w:val="00E262DD"/>
    <w:rsid w:val="00E32EC3"/>
    <w:rsid w:val="00E42F00"/>
    <w:rsid w:val="00E43F57"/>
    <w:rsid w:val="00E50E2A"/>
    <w:rsid w:val="00E579EA"/>
    <w:rsid w:val="00E61CC4"/>
    <w:rsid w:val="00E629AD"/>
    <w:rsid w:val="00E656DB"/>
    <w:rsid w:val="00E72904"/>
    <w:rsid w:val="00E85527"/>
    <w:rsid w:val="00E85DF1"/>
    <w:rsid w:val="00E872D9"/>
    <w:rsid w:val="00EA331D"/>
    <w:rsid w:val="00EC5C67"/>
    <w:rsid w:val="00EC7444"/>
    <w:rsid w:val="00ED2278"/>
    <w:rsid w:val="00ED5521"/>
    <w:rsid w:val="00EE131F"/>
    <w:rsid w:val="00EE2AC1"/>
    <w:rsid w:val="00EE4C3B"/>
    <w:rsid w:val="00EE7550"/>
    <w:rsid w:val="00EF0265"/>
    <w:rsid w:val="00EF7235"/>
    <w:rsid w:val="00EF739A"/>
    <w:rsid w:val="00F0068E"/>
    <w:rsid w:val="00F022CF"/>
    <w:rsid w:val="00F05994"/>
    <w:rsid w:val="00F14419"/>
    <w:rsid w:val="00F1578F"/>
    <w:rsid w:val="00F20882"/>
    <w:rsid w:val="00F21CC4"/>
    <w:rsid w:val="00F321FB"/>
    <w:rsid w:val="00F42BD4"/>
    <w:rsid w:val="00F50709"/>
    <w:rsid w:val="00F52735"/>
    <w:rsid w:val="00F57C36"/>
    <w:rsid w:val="00F62280"/>
    <w:rsid w:val="00F7047C"/>
    <w:rsid w:val="00F754E8"/>
    <w:rsid w:val="00F75D64"/>
    <w:rsid w:val="00F761B8"/>
    <w:rsid w:val="00F8255E"/>
    <w:rsid w:val="00F85C0B"/>
    <w:rsid w:val="00F85EE3"/>
    <w:rsid w:val="00F90B44"/>
    <w:rsid w:val="00FA41B9"/>
    <w:rsid w:val="00FA4CD4"/>
    <w:rsid w:val="00FA5077"/>
    <w:rsid w:val="00FB1E3A"/>
    <w:rsid w:val="00FB3D42"/>
    <w:rsid w:val="00FB6603"/>
    <w:rsid w:val="00FC0990"/>
    <w:rsid w:val="00FC1A11"/>
    <w:rsid w:val="00FC7C10"/>
    <w:rsid w:val="00FD6F6E"/>
    <w:rsid w:val="00FE3603"/>
    <w:rsid w:val="00FE4792"/>
    <w:rsid w:val="00FF5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clear" w:pos="1080"/>
        <w:tab w:val="left" w:pos="1440"/>
      </w:tabs>
      <w:spacing w:after="220"/>
    </w:pPr>
  </w:style>
  <w:style w:type="paragraph" w:styleId="FootnoteText">
    <w:name w:val="footnote text"/>
    <w:aliases w:val="Footnote Text Char1,Footnote Text Char Char,Footnote Text Char2 Char Char,Footnote Text Char Char Char Char,Footnote Text Char1 Char Char Char Char,Footnote Text Char Char Char Char Char Char,Footnote Text Char,Footnote Text Char2 Char,fn"/>
    <w:basedOn w:val="Normal"/>
    <w:link w:val="FootnoteTextChar2"/>
    <w:uiPriority w:val="99"/>
    <w:semiHidden/>
    <w:pPr>
      <w:tabs>
        <w:tab w:val="left" w:pos="180"/>
        <w:tab w:val="left" w:pos="720"/>
        <w:tab w:val="left" w:pos="1440"/>
        <w:tab w:val="left" w:pos="2160"/>
      </w:tabs>
      <w:spacing w:after="120"/>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Style 13,o,fr,Style 3,FR,Style 17,Style 6,Footnote Reference/"/>
    <w:uiPriority w:val="99"/>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rsid w:val="00A840F6"/>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A840F6"/>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rsid w:val="00A840F6"/>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rsid w:val="00A840F6"/>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rsid w:val="00A840F6"/>
    <w:pPr>
      <w:widowControl w:val="0"/>
      <w:tabs>
        <w:tab w:val="left" w:leader="dot" w:pos="9360"/>
      </w:tabs>
      <w:suppressAutoHyphens/>
      <w:ind w:left="720" w:hanging="720"/>
      <w:jc w:val="both"/>
    </w:pPr>
  </w:style>
  <w:style w:type="paragraph" w:styleId="TOC9">
    <w:name w:val="toc 9"/>
    <w:basedOn w:val="Normal"/>
    <w:next w:val="Normal"/>
    <w:semiHidden/>
    <w:rsid w:val="00A840F6"/>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bestsection1">
    <w:name w:val="bestsection1"/>
    <w:rPr>
      <w:color w:val="FF0000"/>
    </w:rPr>
  </w:style>
  <w:style w:type="character" w:customStyle="1" w:styleId="FootnoteTextChar2">
    <w:name w:val="Footnote Text Char2"/>
    <w:aliases w:val="Footnote Text Char1 Char,Footnote Text Char Char Char,Footnote Text Char2 Char Char Char,Footnote Text Char Char Char Char Char,Footnote Text Char1 Char Char Char Char Char,Footnote Text Char Char Char Char Char Char Char,fn Char"/>
    <w:link w:val="FootnoteText"/>
    <w:rPr>
      <w:lang w:val="en-US" w:eastAsia="en-US" w:bidi="ar-SA"/>
    </w:rPr>
  </w:style>
  <w:style w:type="paragraph" w:styleId="BalloonText">
    <w:name w:val="Balloon Text"/>
    <w:basedOn w:val="Normal"/>
    <w:semiHidden/>
    <w:rPr>
      <w:rFonts w:ascii="Tahoma" w:hAnsi="Tahoma" w:cs="Tahoma"/>
      <w:sz w:val="16"/>
      <w:szCs w:val="16"/>
    </w:rPr>
  </w:style>
  <w:style w:type="character" w:customStyle="1" w:styleId="documentbody1">
    <w:name w:val="documentbody1"/>
    <w:rPr>
      <w:rFonts w:ascii="Verdana" w:hAnsi="Verdana" w:hint="default"/>
      <w:sz w:val="19"/>
      <w:szCs w:val="19"/>
    </w:rPr>
  </w:style>
  <w:style w:type="character" w:customStyle="1" w:styleId="searchterm1">
    <w:name w:val="searchterm1"/>
    <w:rPr>
      <w:b/>
      <w:bCs/>
      <w:shd w:val="clear" w:color="auto" w:fill="FFFF00"/>
    </w:rPr>
  </w:style>
  <w:style w:type="paragraph" w:customStyle="1" w:styleId="StyleParaNumBlack">
    <w:name w:val="Style ParaNum + Black"/>
    <w:basedOn w:val="ParaNum"/>
    <w:link w:val="StyleParaNumBlackChar"/>
    <w:rPr>
      <w:color w:val="000000"/>
    </w:rPr>
  </w:style>
  <w:style w:type="character" w:customStyle="1" w:styleId="ParaNumChar">
    <w:name w:val="ParaNum Char"/>
    <w:link w:val="ParaNum"/>
    <w:rPr>
      <w:sz w:val="22"/>
      <w:lang w:val="en-US" w:eastAsia="en-US" w:bidi="ar-SA"/>
    </w:rPr>
  </w:style>
  <w:style w:type="character" w:customStyle="1" w:styleId="StyleParaNumBlackChar">
    <w:name w:val="Style ParaNum + Black Char"/>
    <w:link w:val="StyleParaNumBlack"/>
    <w:rPr>
      <w:color w:val="000000"/>
      <w:sz w:val="22"/>
      <w:lang w:val="en-US" w:eastAsia="en-US" w:bidi="ar-SA"/>
    </w:rPr>
  </w:style>
  <w:style w:type="character" w:styleId="Hyperlink">
    <w:name w:val="Hyperlink"/>
    <w:rPr>
      <w:color w:val="0000FF"/>
      <w:u w:val="single"/>
    </w:rPr>
  </w:style>
  <w:style w:type="character" w:styleId="CommentReference">
    <w:name w:val="annotation reference"/>
    <w:rsid w:val="00AC3D53"/>
    <w:rPr>
      <w:sz w:val="16"/>
      <w:szCs w:val="16"/>
    </w:rPr>
  </w:style>
  <w:style w:type="paragraph" w:styleId="CommentText">
    <w:name w:val="annotation text"/>
    <w:basedOn w:val="Normal"/>
    <w:link w:val="CommentTextChar"/>
    <w:rsid w:val="00AC3D53"/>
    <w:rPr>
      <w:sz w:val="20"/>
    </w:rPr>
  </w:style>
  <w:style w:type="character" w:customStyle="1" w:styleId="CommentTextChar">
    <w:name w:val="Comment Text Char"/>
    <w:basedOn w:val="DefaultParagraphFont"/>
    <w:link w:val="CommentText"/>
    <w:rsid w:val="00AC3D53"/>
  </w:style>
  <w:style w:type="paragraph" w:styleId="CommentSubject">
    <w:name w:val="annotation subject"/>
    <w:basedOn w:val="CommentText"/>
    <w:next w:val="CommentText"/>
    <w:link w:val="CommentSubjectChar"/>
    <w:rsid w:val="00AC3D53"/>
    <w:rPr>
      <w:b/>
      <w:bCs/>
    </w:rPr>
  </w:style>
  <w:style w:type="character" w:customStyle="1" w:styleId="CommentSubjectChar">
    <w:name w:val="Comment Subject Char"/>
    <w:link w:val="CommentSubject"/>
    <w:rsid w:val="00AC3D53"/>
    <w:rPr>
      <w:b/>
      <w:bCs/>
    </w:rPr>
  </w:style>
  <w:style w:type="character" w:customStyle="1" w:styleId="FootnoteTextChar4">
    <w:name w:val="Footnote Text Char4"/>
    <w:aliases w:val="Footnote Text Char Char4,Footnote Text Char3 Char Char2,Footnote Text Char4 Char1 Char Char2,Footnote Text Char Char2 Char Char Char4,Footnote Text Char3 Char Char Char2 Char Char2,Footnote Text Char Char2 Char Char Char2 Char Char2"/>
    <w:uiPriority w:val="99"/>
    <w:semiHidden/>
    <w:locked/>
    <w:rsid w:val="00A833E9"/>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clear" w:pos="1080"/>
        <w:tab w:val="left" w:pos="1440"/>
      </w:tabs>
      <w:spacing w:after="220"/>
    </w:pPr>
  </w:style>
  <w:style w:type="paragraph" w:styleId="FootnoteText">
    <w:name w:val="footnote text"/>
    <w:aliases w:val="Footnote Text Char1,Footnote Text Char Char,Footnote Text Char2 Char Char,Footnote Text Char Char Char Char,Footnote Text Char1 Char Char Char Char,Footnote Text Char Char Char Char Char Char,Footnote Text Char,Footnote Text Char2 Char,fn"/>
    <w:basedOn w:val="Normal"/>
    <w:link w:val="FootnoteTextChar2"/>
    <w:uiPriority w:val="99"/>
    <w:semiHidden/>
    <w:pPr>
      <w:tabs>
        <w:tab w:val="left" w:pos="180"/>
        <w:tab w:val="left" w:pos="720"/>
        <w:tab w:val="left" w:pos="1440"/>
        <w:tab w:val="left" w:pos="2160"/>
      </w:tabs>
      <w:spacing w:after="120"/>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Style 13,o,fr,Style 3,FR,Style 17,Style 6,Footnote Reference/"/>
    <w:uiPriority w:val="99"/>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rsid w:val="00A840F6"/>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A840F6"/>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rsid w:val="00A840F6"/>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rsid w:val="00A840F6"/>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rsid w:val="00A840F6"/>
    <w:pPr>
      <w:widowControl w:val="0"/>
      <w:tabs>
        <w:tab w:val="left" w:leader="dot" w:pos="9360"/>
      </w:tabs>
      <w:suppressAutoHyphens/>
      <w:ind w:left="720" w:hanging="720"/>
      <w:jc w:val="both"/>
    </w:pPr>
  </w:style>
  <w:style w:type="paragraph" w:styleId="TOC9">
    <w:name w:val="toc 9"/>
    <w:basedOn w:val="Normal"/>
    <w:next w:val="Normal"/>
    <w:semiHidden/>
    <w:rsid w:val="00A840F6"/>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bestsection1">
    <w:name w:val="bestsection1"/>
    <w:rPr>
      <w:color w:val="FF0000"/>
    </w:rPr>
  </w:style>
  <w:style w:type="character" w:customStyle="1" w:styleId="FootnoteTextChar2">
    <w:name w:val="Footnote Text Char2"/>
    <w:aliases w:val="Footnote Text Char1 Char,Footnote Text Char Char Char,Footnote Text Char2 Char Char Char,Footnote Text Char Char Char Char Char,Footnote Text Char1 Char Char Char Char Char,Footnote Text Char Char Char Char Char Char Char,fn Char"/>
    <w:link w:val="FootnoteText"/>
    <w:rPr>
      <w:lang w:val="en-US" w:eastAsia="en-US" w:bidi="ar-SA"/>
    </w:rPr>
  </w:style>
  <w:style w:type="paragraph" w:styleId="BalloonText">
    <w:name w:val="Balloon Text"/>
    <w:basedOn w:val="Normal"/>
    <w:semiHidden/>
    <w:rPr>
      <w:rFonts w:ascii="Tahoma" w:hAnsi="Tahoma" w:cs="Tahoma"/>
      <w:sz w:val="16"/>
      <w:szCs w:val="16"/>
    </w:rPr>
  </w:style>
  <w:style w:type="character" w:customStyle="1" w:styleId="documentbody1">
    <w:name w:val="documentbody1"/>
    <w:rPr>
      <w:rFonts w:ascii="Verdana" w:hAnsi="Verdana" w:hint="default"/>
      <w:sz w:val="19"/>
      <w:szCs w:val="19"/>
    </w:rPr>
  </w:style>
  <w:style w:type="character" w:customStyle="1" w:styleId="searchterm1">
    <w:name w:val="searchterm1"/>
    <w:rPr>
      <w:b/>
      <w:bCs/>
      <w:shd w:val="clear" w:color="auto" w:fill="FFFF00"/>
    </w:rPr>
  </w:style>
  <w:style w:type="paragraph" w:customStyle="1" w:styleId="StyleParaNumBlack">
    <w:name w:val="Style ParaNum + Black"/>
    <w:basedOn w:val="ParaNum"/>
    <w:link w:val="StyleParaNumBlackChar"/>
    <w:rPr>
      <w:color w:val="000000"/>
    </w:rPr>
  </w:style>
  <w:style w:type="character" w:customStyle="1" w:styleId="ParaNumChar">
    <w:name w:val="ParaNum Char"/>
    <w:link w:val="ParaNum"/>
    <w:rPr>
      <w:sz w:val="22"/>
      <w:lang w:val="en-US" w:eastAsia="en-US" w:bidi="ar-SA"/>
    </w:rPr>
  </w:style>
  <w:style w:type="character" w:customStyle="1" w:styleId="StyleParaNumBlackChar">
    <w:name w:val="Style ParaNum + Black Char"/>
    <w:link w:val="StyleParaNumBlack"/>
    <w:rPr>
      <w:color w:val="000000"/>
      <w:sz w:val="22"/>
      <w:lang w:val="en-US" w:eastAsia="en-US" w:bidi="ar-SA"/>
    </w:rPr>
  </w:style>
  <w:style w:type="character" w:styleId="Hyperlink">
    <w:name w:val="Hyperlink"/>
    <w:rPr>
      <w:color w:val="0000FF"/>
      <w:u w:val="single"/>
    </w:rPr>
  </w:style>
  <w:style w:type="character" w:styleId="CommentReference">
    <w:name w:val="annotation reference"/>
    <w:rsid w:val="00AC3D53"/>
    <w:rPr>
      <w:sz w:val="16"/>
      <w:szCs w:val="16"/>
    </w:rPr>
  </w:style>
  <w:style w:type="paragraph" w:styleId="CommentText">
    <w:name w:val="annotation text"/>
    <w:basedOn w:val="Normal"/>
    <w:link w:val="CommentTextChar"/>
    <w:rsid w:val="00AC3D53"/>
    <w:rPr>
      <w:sz w:val="20"/>
    </w:rPr>
  </w:style>
  <w:style w:type="character" w:customStyle="1" w:styleId="CommentTextChar">
    <w:name w:val="Comment Text Char"/>
    <w:basedOn w:val="DefaultParagraphFont"/>
    <w:link w:val="CommentText"/>
    <w:rsid w:val="00AC3D53"/>
  </w:style>
  <w:style w:type="paragraph" w:styleId="CommentSubject">
    <w:name w:val="annotation subject"/>
    <w:basedOn w:val="CommentText"/>
    <w:next w:val="CommentText"/>
    <w:link w:val="CommentSubjectChar"/>
    <w:rsid w:val="00AC3D53"/>
    <w:rPr>
      <w:b/>
      <w:bCs/>
    </w:rPr>
  </w:style>
  <w:style w:type="character" w:customStyle="1" w:styleId="CommentSubjectChar">
    <w:name w:val="Comment Subject Char"/>
    <w:link w:val="CommentSubject"/>
    <w:rsid w:val="00AC3D53"/>
    <w:rPr>
      <w:b/>
      <w:bCs/>
    </w:rPr>
  </w:style>
  <w:style w:type="character" w:customStyle="1" w:styleId="FootnoteTextChar4">
    <w:name w:val="Footnote Text Char4"/>
    <w:aliases w:val="Footnote Text Char Char4,Footnote Text Char3 Char Char2,Footnote Text Char4 Char1 Char Char2,Footnote Text Char Char2 Char Char Char4,Footnote Text Char3 Char Char Char2 Char Char2,Footnote Text Char Char2 Char Char Char2 Char Char2"/>
    <w:uiPriority w:val="99"/>
    <w:semiHidden/>
    <w:locked/>
    <w:rsid w:val="00A833E9"/>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63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1409</Words>
  <Characters>7635</Characters>
  <Application>Microsoft Office Word</Application>
  <DocSecurity>0</DocSecurity>
  <Lines>132</Lines>
  <Paragraphs>40</Paragraphs>
  <ScaleCrop>false</ScaleCrop>
  <Manager/>
  <Company/>
  <LinksUpToDate>false</LinksUpToDate>
  <CharactersWithSpaces>9062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2014-04-18T15:18:00Z</dcterms:created>
  <dcterms:modified xsi:type="dcterms:W3CDTF">2014-04-18T15:18:00Z</dcterms:modified>
  <cp:category> </cp:category>
  <cp:contentStatus> </cp:contentStatus>
</cp:coreProperties>
</file>