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7D" w:rsidRPr="00684FCB" w:rsidRDefault="0037457D" w:rsidP="0001436C">
      <w:pPr>
        <w:pStyle w:val="Header"/>
        <w:tabs>
          <w:tab w:val="clear" w:pos="4320"/>
          <w:tab w:val="clear" w:pos="8640"/>
        </w:tabs>
        <w:rPr>
          <w:szCs w:val="22"/>
        </w:rPr>
        <w:sectPr w:rsidR="0037457D" w:rsidRPr="00684F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2" w:name="_GoBack"/>
      <w:bookmarkEnd w:id="2"/>
    </w:p>
    <w:p w:rsidR="0037457D" w:rsidRPr="00684FCB" w:rsidRDefault="0037457D" w:rsidP="0001436C">
      <w:pPr>
        <w:jc w:val="right"/>
        <w:rPr>
          <w:rFonts w:eastAsia="ヒラギノ角ゴ Pro W3"/>
          <w:b/>
          <w:color w:val="000000"/>
          <w:szCs w:val="22"/>
        </w:rPr>
      </w:pPr>
      <w:r w:rsidRPr="00684FCB">
        <w:rPr>
          <w:rFonts w:eastAsia="ヒラギノ角ゴ Pro W3"/>
          <w:b/>
          <w:szCs w:val="22"/>
        </w:rPr>
        <w:lastRenderedPageBreak/>
        <w:t xml:space="preserve"> DA 14-</w:t>
      </w:r>
      <w:r w:rsidR="007B0FBF" w:rsidRPr="00684FCB">
        <w:rPr>
          <w:rFonts w:eastAsia="ヒラギノ角ゴ Pro W3"/>
          <w:b/>
          <w:szCs w:val="22"/>
        </w:rPr>
        <w:t>526</w:t>
      </w:r>
    </w:p>
    <w:p w:rsidR="0037457D" w:rsidRPr="00684FCB" w:rsidRDefault="007B0FBF" w:rsidP="0001436C">
      <w:pPr>
        <w:jc w:val="right"/>
        <w:rPr>
          <w:rFonts w:eastAsia="ヒラギノ角ゴ Pro W3"/>
          <w:b/>
          <w:color w:val="000000"/>
          <w:szCs w:val="22"/>
        </w:rPr>
      </w:pPr>
      <w:r w:rsidRPr="00684FCB">
        <w:rPr>
          <w:rFonts w:eastAsia="ヒラギノ角ゴ Pro W3"/>
          <w:b/>
          <w:szCs w:val="22"/>
        </w:rPr>
        <w:t>Released</w:t>
      </w:r>
      <w:r w:rsidR="006A3469" w:rsidRPr="00684FCB">
        <w:rPr>
          <w:rFonts w:eastAsia="ヒラギノ角ゴ Pro W3"/>
          <w:b/>
          <w:szCs w:val="22"/>
        </w:rPr>
        <w:t xml:space="preserve">:  </w:t>
      </w:r>
      <w:r w:rsidR="004F6DBB" w:rsidRPr="00684FCB">
        <w:rPr>
          <w:rFonts w:eastAsia="ヒラギノ角ゴ Pro W3"/>
          <w:b/>
          <w:szCs w:val="22"/>
        </w:rPr>
        <w:t xml:space="preserve">April </w:t>
      </w:r>
      <w:r w:rsidRPr="00684FCB">
        <w:rPr>
          <w:rFonts w:eastAsia="ヒラギノ角ゴ Pro W3"/>
          <w:b/>
          <w:szCs w:val="22"/>
        </w:rPr>
        <w:t>21</w:t>
      </w:r>
      <w:r w:rsidR="0037457D" w:rsidRPr="00684FCB">
        <w:rPr>
          <w:rFonts w:eastAsia="ヒラギノ角ゴ Pro W3"/>
          <w:b/>
          <w:szCs w:val="22"/>
        </w:rPr>
        <w:t>, 2014</w:t>
      </w:r>
    </w:p>
    <w:p w:rsidR="0037457D" w:rsidRPr="00684FCB" w:rsidRDefault="0037457D" w:rsidP="0001436C">
      <w:pPr>
        <w:jc w:val="right"/>
        <w:rPr>
          <w:rFonts w:eastAsia="ヒラギノ角ゴ Pro W3"/>
          <w:color w:val="000000"/>
          <w:szCs w:val="22"/>
        </w:rPr>
      </w:pPr>
    </w:p>
    <w:p w:rsidR="0037457D" w:rsidRPr="00684FCB" w:rsidRDefault="0037457D" w:rsidP="00FB0918">
      <w:pPr>
        <w:jc w:val="center"/>
        <w:rPr>
          <w:rFonts w:eastAsia="ヒラギノ角ゴ Pro W3"/>
          <w:b/>
          <w:color w:val="000000"/>
          <w:szCs w:val="22"/>
        </w:rPr>
      </w:pPr>
      <w:r w:rsidRPr="00684FCB">
        <w:rPr>
          <w:rFonts w:eastAsia="ヒラギノ角ゴ Pro W3"/>
          <w:b/>
          <w:szCs w:val="22"/>
        </w:rPr>
        <w:t>WIRELINE COMPETITION BUREAU SEEKS</w:t>
      </w:r>
      <w:r w:rsidRPr="00684FCB">
        <w:rPr>
          <w:b/>
          <w:szCs w:val="22"/>
        </w:rPr>
        <w:t xml:space="preserve"> </w:t>
      </w:r>
      <w:r w:rsidRPr="00684FCB">
        <w:rPr>
          <w:rFonts w:eastAsia="ヒラギノ角ゴ Pro W3"/>
          <w:b/>
          <w:szCs w:val="22"/>
        </w:rPr>
        <w:t>COMMENT ON</w:t>
      </w:r>
      <w:r w:rsidR="004268BF" w:rsidRPr="00684FCB">
        <w:rPr>
          <w:rFonts w:eastAsia="ヒラギノ角ゴ Pro W3"/>
          <w:b/>
          <w:szCs w:val="22"/>
        </w:rPr>
        <w:t xml:space="preserve"> </w:t>
      </w:r>
      <w:r w:rsidR="00DD5825" w:rsidRPr="00684FCB">
        <w:rPr>
          <w:rFonts w:eastAsia="ヒラギノ角ゴ Pro W3"/>
          <w:b/>
          <w:szCs w:val="22"/>
        </w:rPr>
        <w:t>WHETHER TO CLARIFY APPENDIX C OF</w:t>
      </w:r>
      <w:r w:rsidR="006A3469" w:rsidRPr="00684FCB">
        <w:rPr>
          <w:rFonts w:eastAsia="ヒラギノ角ゴ Pro W3"/>
          <w:b/>
          <w:szCs w:val="22"/>
        </w:rPr>
        <w:t xml:space="preserve"> THE RURAL CALL COMPLETION ORDER</w:t>
      </w:r>
    </w:p>
    <w:p w:rsidR="0037457D" w:rsidRPr="00684FCB" w:rsidRDefault="0037457D" w:rsidP="0001436C">
      <w:pPr>
        <w:jc w:val="center"/>
        <w:rPr>
          <w:rFonts w:eastAsia="ヒラギノ角ゴ Pro W3"/>
          <w:b/>
          <w:color w:val="000000"/>
          <w:szCs w:val="22"/>
        </w:rPr>
      </w:pPr>
    </w:p>
    <w:p w:rsidR="0037457D" w:rsidRPr="00684FCB" w:rsidRDefault="006A3469" w:rsidP="0001436C">
      <w:pPr>
        <w:jc w:val="center"/>
        <w:rPr>
          <w:rFonts w:eastAsia="ヒラギノ角ゴ Pro W3"/>
          <w:b/>
          <w:color w:val="000000"/>
          <w:szCs w:val="22"/>
        </w:rPr>
      </w:pPr>
      <w:r w:rsidRPr="00684FCB">
        <w:rPr>
          <w:rFonts w:eastAsia="ヒラギノ角ゴ Pro W3"/>
          <w:b/>
          <w:szCs w:val="22"/>
        </w:rPr>
        <w:t>WC Docket No. 13</w:t>
      </w:r>
      <w:r w:rsidR="0037457D" w:rsidRPr="00684FCB">
        <w:rPr>
          <w:rFonts w:eastAsia="ヒラギノ角ゴ Pro W3"/>
          <w:b/>
          <w:szCs w:val="22"/>
        </w:rPr>
        <w:t>-</w:t>
      </w:r>
      <w:r w:rsidRPr="00684FCB">
        <w:rPr>
          <w:rFonts w:eastAsia="ヒラギノ角ゴ Pro W3"/>
          <w:b/>
          <w:szCs w:val="22"/>
        </w:rPr>
        <w:t>39</w:t>
      </w:r>
    </w:p>
    <w:p w:rsidR="0037457D" w:rsidRPr="00684FCB" w:rsidRDefault="0037457D" w:rsidP="0001436C">
      <w:pPr>
        <w:jc w:val="center"/>
        <w:rPr>
          <w:rFonts w:eastAsia="ヒラギノ角ゴ Pro W3"/>
          <w:color w:val="000000"/>
          <w:szCs w:val="22"/>
        </w:rPr>
      </w:pPr>
    </w:p>
    <w:p w:rsidR="0037457D" w:rsidRPr="00684FCB" w:rsidRDefault="006A3469" w:rsidP="0001436C">
      <w:pPr>
        <w:rPr>
          <w:rFonts w:eastAsia="ヒラギノ角ゴ Pro W3"/>
          <w:b/>
          <w:color w:val="000000"/>
          <w:szCs w:val="22"/>
        </w:rPr>
      </w:pPr>
      <w:r w:rsidRPr="00684FCB">
        <w:rPr>
          <w:rFonts w:eastAsia="ヒラギノ角ゴ Pro W3"/>
          <w:b/>
          <w:szCs w:val="22"/>
        </w:rPr>
        <w:t>Comment Date:</w:t>
      </w:r>
      <w:r w:rsidR="003A0F5D" w:rsidRPr="00684FCB">
        <w:rPr>
          <w:rFonts w:eastAsia="ヒラギノ角ゴ Pro W3"/>
          <w:b/>
          <w:szCs w:val="22"/>
        </w:rPr>
        <w:t xml:space="preserve"> </w:t>
      </w:r>
      <w:r w:rsidRPr="00684FCB">
        <w:rPr>
          <w:rFonts w:eastAsia="ヒラギノ角ゴ Pro W3"/>
          <w:b/>
          <w:szCs w:val="22"/>
        </w:rPr>
        <w:t xml:space="preserve"> </w:t>
      </w:r>
      <w:r w:rsidR="00763A05" w:rsidRPr="00684FCB">
        <w:rPr>
          <w:rFonts w:eastAsia="ヒラギノ角ゴ Pro W3"/>
          <w:b/>
          <w:szCs w:val="22"/>
        </w:rPr>
        <w:t>(</w:t>
      </w:r>
      <w:r w:rsidR="00E940A1" w:rsidRPr="00684FCB">
        <w:rPr>
          <w:rFonts w:eastAsia="ヒラギノ角ゴ Pro W3"/>
          <w:b/>
          <w:szCs w:val="22"/>
        </w:rPr>
        <w:t>7 days after date of publication in the Federal Register</w:t>
      </w:r>
      <w:r w:rsidR="00763A05" w:rsidRPr="00684FCB">
        <w:rPr>
          <w:rFonts w:eastAsia="ヒラギノ角ゴ Pro W3"/>
          <w:b/>
          <w:szCs w:val="22"/>
        </w:rPr>
        <w:t>)</w:t>
      </w:r>
      <w:r w:rsidR="004F6DBB" w:rsidRPr="00684FCB">
        <w:rPr>
          <w:rFonts w:eastAsia="ヒラギノ角ゴ Pro W3"/>
          <w:b/>
          <w:szCs w:val="22"/>
        </w:rPr>
        <w:t xml:space="preserve"> </w:t>
      </w:r>
    </w:p>
    <w:p w:rsidR="0037457D" w:rsidRPr="00684FCB" w:rsidRDefault="0037457D" w:rsidP="0001436C">
      <w:pPr>
        <w:rPr>
          <w:rFonts w:eastAsia="ヒラギノ角ゴ Pro W3"/>
          <w:color w:val="000000"/>
          <w:szCs w:val="22"/>
        </w:rPr>
      </w:pPr>
    </w:p>
    <w:p w:rsidR="0003775A" w:rsidRPr="00684FCB" w:rsidRDefault="00E01DAB" w:rsidP="0001436C">
      <w:pPr>
        <w:spacing w:after="120"/>
        <w:ind w:firstLine="720"/>
        <w:rPr>
          <w:szCs w:val="22"/>
        </w:rPr>
      </w:pPr>
      <w:r w:rsidRPr="00684FCB">
        <w:rPr>
          <w:szCs w:val="22"/>
        </w:rPr>
        <w:t>T</w:t>
      </w:r>
      <w:r w:rsidR="0037457D" w:rsidRPr="00684FCB">
        <w:rPr>
          <w:szCs w:val="22"/>
        </w:rPr>
        <w:t xml:space="preserve">he Wireline Competition Bureau seeks comment on </w:t>
      </w:r>
      <w:r w:rsidR="00DD5825" w:rsidRPr="00684FCB">
        <w:rPr>
          <w:szCs w:val="22"/>
        </w:rPr>
        <w:t xml:space="preserve">whether </w:t>
      </w:r>
      <w:r w:rsidR="002B6A9C" w:rsidRPr="00684FCB">
        <w:rPr>
          <w:szCs w:val="22"/>
        </w:rPr>
        <w:t xml:space="preserve">guidance or additional clarification would assist providers with their filing obligations related to the </w:t>
      </w:r>
      <w:r w:rsidR="002B6A9C" w:rsidRPr="00684FCB">
        <w:rPr>
          <w:i/>
          <w:szCs w:val="22"/>
        </w:rPr>
        <w:t>Rural Call Completion Order</w:t>
      </w:r>
      <w:r w:rsidR="002B6A9C" w:rsidRPr="00684FCB">
        <w:rPr>
          <w:szCs w:val="22"/>
        </w:rPr>
        <w:t>.</w:t>
      </w:r>
      <w:r w:rsidR="002B6A9C" w:rsidRPr="00684FCB">
        <w:rPr>
          <w:rStyle w:val="FootnoteReference"/>
          <w:szCs w:val="22"/>
        </w:rPr>
        <w:footnoteReference w:id="1"/>
      </w:r>
      <w:r w:rsidR="002B6A9C" w:rsidRPr="00684FCB">
        <w:rPr>
          <w:szCs w:val="22"/>
        </w:rPr>
        <w:t xml:space="preserve">   Specifically, we seek comment on whether to</w:t>
      </w:r>
      <w:r w:rsidR="00D2704A" w:rsidRPr="00684FCB">
        <w:rPr>
          <w:szCs w:val="22"/>
        </w:rPr>
        <w:t xml:space="preserve"> modify or otherwise</w:t>
      </w:r>
      <w:r w:rsidR="002B6A9C" w:rsidRPr="00684FCB">
        <w:rPr>
          <w:szCs w:val="22"/>
        </w:rPr>
        <w:t xml:space="preserve"> provide assistance regarding</w:t>
      </w:r>
      <w:r w:rsidR="004268BF" w:rsidRPr="00684FCB">
        <w:rPr>
          <w:szCs w:val="22"/>
        </w:rPr>
        <w:t xml:space="preserve"> </w:t>
      </w:r>
      <w:r w:rsidR="00D3109E" w:rsidRPr="00684FCB">
        <w:rPr>
          <w:szCs w:val="22"/>
        </w:rPr>
        <w:t xml:space="preserve">the </w:t>
      </w:r>
      <w:r w:rsidR="00BD4BB7" w:rsidRPr="00684FCB">
        <w:rPr>
          <w:szCs w:val="22"/>
        </w:rPr>
        <w:t xml:space="preserve">criteria </w:t>
      </w:r>
      <w:r w:rsidR="003B4D43" w:rsidRPr="00684FCB">
        <w:rPr>
          <w:szCs w:val="22"/>
        </w:rPr>
        <w:t xml:space="preserve">described </w:t>
      </w:r>
      <w:r w:rsidRPr="00684FCB">
        <w:rPr>
          <w:szCs w:val="22"/>
        </w:rPr>
        <w:t xml:space="preserve">in Appendix C of the </w:t>
      </w:r>
      <w:r w:rsidR="00BD4BB7" w:rsidRPr="00684FCB">
        <w:rPr>
          <w:i/>
          <w:szCs w:val="22"/>
        </w:rPr>
        <w:t xml:space="preserve">Rural Call Completion </w:t>
      </w:r>
      <w:r w:rsidR="00D3109E" w:rsidRPr="00684FCB">
        <w:rPr>
          <w:i/>
          <w:szCs w:val="22"/>
        </w:rPr>
        <w:t>Order</w:t>
      </w:r>
      <w:r w:rsidR="003B4D43" w:rsidRPr="00684FCB">
        <w:rPr>
          <w:szCs w:val="22"/>
        </w:rPr>
        <w:t xml:space="preserve"> for categorizing certain types of call attempts</w:t>
      </w:r>
      <w:r w:rsidR="00BD4BB7" w:rsidRPr="00684FCB">
        <w:rPr>
          <w:szCs w:val="22"/>
        </w:rPr>
        <w:t>.</w:t>
      </w:r>
      <w:r w:rsidR="007620BF" w:rsidRPr="00684FCB">
        <w:rPr>
          <w:szCs w:val="22"/>
        </w:rPr>
        <w:t xml:space="preserve"> </w:t>
      </w:r>
      <w:r w:rsidR="007A7E31" w:rsidRPr="00684FCB">
        <w:rPr>
          <w:szCs w:val="22"/>
        </w:rPr>
        <w:t xml:space="preserve"> </w:t>
      </w:r>
      <w:r w:rsidRPr="00684FCB">
        <w:rPr>
          <w:szCs w:val="22"/>
        </w:rPr>
        <w:t xml:space="preserve">We release this </w:t>
      </w:r>
      <w:r w:rsidR="00060703" w:rsidRPr="00684FCB">
        <w:rPr>
          <w:szCs w:val="22"/>
        </w:rPr>
        <w:t xml:space="preserve">Public </w:t>
      </w:r>
      <w:r w:rsidRPr="00684FCB">
        <w:rPr>
          <w:szCs w:val="22"/>
        </w:rPr>
        <w:t xml:space="preserve">Notice in response to questions raised </w:t>
      </w:r>
      <w:r w:rsidR="00A85169" w:rsidRPr="00684FCB">
        <w:rPr>
          <w:szCs w:val="22"/>
        </w:rPr>
        <w:t xml:space="preserve">in the record </w:t>
      </w:r>
      <w:r w:rsidR="006E4CF3" w:rsidRPr="00684FCB">
        <w:rPr>
          <w:szCs w:val="22"/>
        </w:rPr>
        <w:t>regarding</w:t>
      </w:r>
      <w:r w:rsidR="006E52E2" w:rsidRPr="00684FCB">
        <w:rPr>
          <w:szCs w:val="22"/>
        </w:rPr>
        <w:t xml:space="preserve"> </w:t>
      </w:r>
      <w:r w:rsidR="00A85169" w:rsidRPr="00684FCB">
        <w:rPr>
          <w:szCs w:val="22"/>
        </w:rPr>
        <w:t xml:space="preserve">the </w:t>
      </w:r>
      <w:r w:rsidR="006E52E2" w:rsidRPr="00684FCB">
        <w:rPr>
          <w:szCs w:val="22"/>
        </w:rPr>
        <w:t>“</w:t>
      </w:r>
      <w:r w:rsidR="00A85169" w:rsidRPr="00684FCB">
        <w:rPr>
          <w:szCs w:val="22"/>
        </w:rPr>
        <w:t>a</w:t>
      </w:r>
      <w:r w:rsidR="006E52E2" w:rsidRPr="00684FCB">
        <w:rPr>
          <w:szCs w:val="22"/>
        </w:rPr>
        <w:t>nswered”</w:t>
      </w:r>
      <w:r w:rsidR="008D6612" w:rsidRPr="00684FCB">
        <w:rPr>
          <w:szCs w:val="22"/>
        </w:rPr>
        <w:t xml:space="preserve"> </w:t>
      </w:r>
      <w:r w:rsidR="00D3109E" w:rsidRPr="00684FCB">
        <w:rPr>
          <w:szCs w:val="22"/>
        </w:rPr>
        <w:t xml:space="preserve">and </w:t>
      </w:r>
      <w:r w:rsidR="006E52E2" w:rsidRPr="00684FCB">
        <w:rPr>
          <w:szCs w:val="22"/>
        </w:rPr>
        <w:t>“</w:t>
      </w:r>
      <w:r w:rsidR="00A85169" w:rsidRPr="00684FCB">
        <w:rPr>
          <w:szCs w:val="22"/>
        </w:rPr>
        <w:t>r</w:t>
      </w:r>
      <w:r w:rsidR="006E52E2" w:rsidRPr="00684FCB">
        <w:rPr>
          <w:szCs w:val="22"/>
        </w:rPr>
        <w:t xml:space="preserve">ing </w:t>
      </w:r>
      <w:r w:rsidR="00347F9A" w:rsidRPr="00684FCB">
        <w:rPr>
          <w:szCs w:val="22"/>
        </w:rPr>
        <w:t xml:space="preserve">no </w:t>
      </w:r>
      <w:r w:rsidR="00A85169" w:rsidRPr="00684FCB">
        <w:rPr>
          <w:szCs w:val="22"/>
        </w:rPr>
        <w:t>a</w:t>
      </w:r>
      <w:r w:rsidR="006E52E2" w:rsidRPr="00684FCB">
        <w:rPr>
          <w:szCs w:val="22"/>
        </w:rPr>
        <w:t xml:space="preserve">nswer” </w:t>
      </w:r>
      <w:r w:rsidR="00A85169" w:rsidRPr="00684FCB">
        <w:rPr>
          <w:szCs w:val="22"/>
        </w:rPr>
        <w:t xml:space="preserve">categories of </w:t>
      </w:r>
      <w:r w:rsidR="006E52E2" w:rsidRPr="00684FCB">
        <w:rPr>
          <w:szCs w:val="22"/>
        </w:rPr>
        <w:t xml:space="preserve">call attempts </w:t>
      </w:r>
      <w:r w:rsidR="00A85169" w:rsidRPr="00684FCB">
        <w:rPr>
          <w:szCs w:val="22"/>
        </w:rPr>
        <w:t xml:space="preserve">described </w:t>
      </w:r>
      <w:r w:rsidR="006E52E2" w:rsidRPr="00684FCB">
        <w:rPr>
          <w:szCs w:val="22"/>
        </w:rPr>
        <w:t>in Appendix</w:t>
      </w:r>
      <w:r w:rsidR="00D3109E" w:rsidRPr="00684FCB">
        <w:rPr>
          <w:szCs w:val="22"/>
        </w:rPr>
        <w:t xml:space="preserve"> C</w:t>
      </w:r>
      <w:r w:rsidR="002B6A9C" w:rsidRPr="00684FCB">
        <w:rPr>
          <w:szCs w:val="22"/>
        </w:rPr>
        <w:t>, pursuant to delegated authority.</w:t>
      </w:r>
      <w:r w:rsidR="002B6A9C" w:rsidRPr="00684FCB">
        <w:rPr>
          <w:rStyle w:val="FootnoteReference"/>
          <w:szCs w:val="22"/>
        </w:rPr>
        <w:footnoteReference w:id="2"/>
      </w:r>
      <w:r w:rsidR="00D2704A" w:rsidRPr="00684FCB">
        <w:rPr>
          <w:szCs w:val="22"/>
        </w:rPr>
        <w:t xml:space="preserve">  These questions raise the possibility that the relevant criteria in Appendix C were inadvertently drafted in a way that </w:t>
      </w:r>
      <w:r w:rsidR="00300A85" w:rsidRPr="00684FCB">
        <w:rPr>
          <w:szCs w:val="22"/>
        </w:rPr>
        <w:t xml:space="preserve">fails to reflect the </w:t>
      </w:r>
      <w:r w:rsidR="00D2704A" w:rsidRPr="00684FCB">
        <w:rPr>
          <w:szCs w:val="22"/>
        </w:rPr>
        <w:t>Commission’s</w:t>
      </w:r>
      <w:r w:rsidR="00CB4EA2" w:rsidRPr="00684FCB">
        <w:rPr>
          <w:szCs w:val="22"/>
        </w:rPr>
        <w:t xml:space="preserve"> clear</w:t>
      </w:r>
      <w:r w:rsidR="00D2704A" w:rsidRPr="00684FCB">
        <w:rPr>
          <w:szCs w:val="22"/>
        </w:rPr>
        <w:t xml:space="preserve"> intent, as</w:t>
      </w:r>
      <w:r w:rsidR="00CB4EA2" w:rsidRPr="00684FCB">
        <w:rPr>
          <w:szCs w:val="22"/>
        </w:rPr>
        <w:t xml:space="preserve"> expressed</w:t>
      </w:r>
      <w:r w:rsidR="00D2704A" w:rsidRPr="00684FCB">
        <w:rPr>
          <w:szCs w:val="22"/>
        </w:rPr>
        <w:t xml:space="preserve"> in the </w:t>
      </w:r>
      <w:r w:rsidR="00D2704A" w:rsidRPr="00684FCB">
        <w:rPr>
          <w:i/>
          <w:szCs w:val="22"/>
        </w:rPr>
        <w:t>Order</w:t>
      </w:r>
      <w:r w:rsidR="00D2704A" w:rsidRPr="00684FCB">
        <w:rPr>
          <w:szCs w:val="22"/>
        </w:rPr>
        <w:t>.</w:t>
      </w:r>
    </w:p>
    <w:p w:rsidR="003B4D43" w:rsidRPr="00684FCB" w:rsidRDefault="00EB2DC9" w:rsidP="0001436C">
      <w:pPr>
        <w:spacing w:after="120"/>
        <w:ind w:firstLine="720"/>
        <w:rPr>
          <w:szCs w:val="22"/>
        </w:rPr>
      </w:pPr>
      <w:r w:rsidRPr="00684FCB">
        <w:rPr>
          <w:i/>
          <w:iCs/>
          <w:szCs w:val="22"/>
          <w:u w:val="single"/>
        </w:rPr>
        <w:t>“</w:t>
      </w:r>
      <w:r w:rsidR="006E52E2" w:rsidRPr="00684FCB">
        <w:rPr>
          <w:i/>
          <w:iCs/>
          <w:szCs w:val="22"/>
          <w:u w:val="single"/>
        </w:rPr>
        <w:t>Answered</w:t>
      </w:r>
      <w:r w:rsidRPr="00684FCB">
        <w:rPr>
          <w:i/>
          <w:iCs/>
          <w:szCs w:val="22"/>
          <w:u w:val="single"/>
        </w:rPr>
        <w:t>”</w:t>
      </w:r>
      <w:r w:rsidR="006E52E2" w:rsidRPr="00684FCB">
        <w:rPr>
          <w:i/>
          <w:iCs/>
          <w:szCs w:val="22"/>
          <w:u w:val="single"/>
        </w:rPr>
        <w:t xml:space="preserve"> call attempts</w:t>
      </w:r>
      <w:r w:rsidR="006E52E2" w:rsidRPr="00684FCB">
        <w:rPr>
          <w:i/>
          <w:iCs/>
          <w:szCs w:val="22"/>
        </w:rPr>
        <w:t>.</w:t>
      </w:r>
      <w:r w:rsidR="00E84C87" w:rsidRPr="00684FCB">
        <w:rPr>
          <w:i/>
          <w:iCs/>
          <w:szCs w:val="22"/>
        </w:rPr>
        <w:t xml:space="preserve"> </w:t>
      </w:r>
      <w:r w:rsidR="006E52E2" w:rsidRPr="00684FCB">
        <w:rPr>
          <w:i/>
          <w:iCs/>
          <w:szCs w:val="22"/>
        </w:rPr>
        <w:t xml:space="preserve"> </w:t>
      </w:r>
      <w:r w:rsidR="00D3109E" w:rsidRPr="00684FCB">
        <w:rPr>
          <w:iCs/>
          <w:szCs w:val="22"/>
        </w:rPr>
        <w:t xml:space="preserve">The reporting requirements in the </w:t>
      </w:r>
      <w:r w:rsidR="00E01DAB" w:rsidRPr="00684FCB">
        <w:rPr>
          <w:i/>
          <w:iCs/>
          <w:szCs w:val="22"/>
        </w:rPr>
        <w:t xml:space="preserve">Rural Call Completion Order </w:t>
      </w:r>
      <w:r w:rsidR="00D3109E" w:rsidRPr="00684FCB">
        <w:rPr>
          <w:iCs/>
          <w:szCs w:val="22"/>
        </w:rPr>
        <w:t xml:space="preserve">require covered providers to categorize call attempts </w:t>
      </w:r>
      <w:r w:rsidR="00A85169" w:rsidRPr="00684FCB">
        <w:rPr>
          <w:iCs/>
          <w:szCs w:val="22"/>
        </w:rPr>
        <w:t xml:space="preserve">either </w:t>
      </w:r>
      <w:r w:rsidR="00D3109E" w:rsidRPr="00684FCB">
        <w:rPr>
          <w:iCs/>
          <w:szCs w:val="22"/>
        </w:rPr>
        <w:t xml:space="preserve">as </w:t>
      </w:r>
      <w:r w:rsidR="00E01DAB" w:rsidRPr="00684FCB">
        <w:rPr>
          <w:iCs/>
          <w:szCs w:val="22"/>
        </w:rPr>
        <w:t>“</w:t>
      </w:r>
      <w:r w:rsidR="00A85169" w:rsidRPr="00684FCB">
        <w:rPr>
          <w:iCs/>
          <w:szCs w:val="22"/>
        </w:rPr>
        <w:t>a</w:t>
      </w:r>
      <w:r w:rsidR="00D3109E" w:rsidRPr="00684FCB">
        <w:rPr>
          <w:iCs/>
          <w:szCs w:val="22"/>
        </w:rPr>
        <w:t>nswered</w:t>
      </w:r>
      <w:r w:rsidR="00E01DAB" w:rsidRPr="00684FCB">
        <w:rPr>
          <w:iCs/>
          <w:szCs w:val="22"/>
        </w:rPr>
        <w:t>”</w:t>
      </w:r>
      <w:r w:rsidR="00D3109E" w:rsidRPr="00684FCB">
        <w:rPr>
          <w:iCs/>
          <w:szCs w:val="22"/>
        </w:rPr>
        <w:t xml:space="preserve"> or </w:t>
      </w:r>
      <w:r w:rsidR="00A85169" w:rsidRPr="00684FCB">
        <w:rPr>
          <w:iCs/>
          <w:szCs w:val="22"/>
        </w:rPr>
        <w:t>as one of three types of calls</w:t>
      </w:r>
      <w:r w:rsidR="006A471B" w:rsidRPr="00684FCB">
        <w:rPr>
          <w:iCs/>
          <w:szCs w:val="22"/>
        </w:rPr>
        <w:t xml:space="preserve"> that </w:t>
      </w:r>
      <w:r w:rsidR="00060703" w:rsidRPr="00684FCB">
        <w:rPr>
          <w:iCs/>
          <w:szCs w:val="22"/>
        </w:rPr>
        <w:t>a</w:t>
      </w:r>
      <w:r w:rsidR="006A471B" w:rsidRPr="00684FCB">
        <w:rPr>
          <w:iCs/>
          <w:szCs w:val="22"/>
        </w:rPr>
        <w:t>re not answered</w:t>
      </w:r>
      <w:r w:rsidR="00A85169" w:rsidRPr="00684FCB">
        <w:rPr>
          <w:iCs/>
          <w:szCs w:val="22"/>
        </w:rPr>
        <w:t xml:space="preserve">:  </w:t>
      </w:r>
      <w:r w:rsidR="00E01DAB" w:rsidRPr="00684FCB">
        <w:rPr>
          <w:iCs/>
          <w:szCs w:val="22"/>
        </w:rPr>
        <w:t>“</w:t>
      </w:r>
      <w:r w:rsidR="00A85169" w:rsidRPr="00684FCB">
        <w:rPr>
          <w:iCs/>
          <w:szCs w:val="22"/>
        </w:rPr>
        <w:t>b</w:t>
      </w:r>
      <w:r w:rsidR="00D3109E" w:rsidRPr="00684FCB">
        <w:rPr>
          <w:iCs/>
          <w:szCs w:val="22"/>
        </w:rPr>
        <w:t>usy,</w:t>
      </w:r>
      <w:r w:rsidR="00E01DAB" w:rsidRPr="00684FCB">
        <w:rPr>
          <w:iCs/>
          <w:szCs w:val="22"/>
        </w:rPr>
        <w:t>”</w:t>
      </w:r>
      <w:r w:rsidR="00D3109E" w:rsidRPr="00684FCB">
        <w:rPr>
          <w:iCs/>
          <w:szCs w:val="22"/>
        </w:rPr>
        <w:t xml:space="preserve"> </w:t>
      </w:r>
      <w:r w:rsidR="00E01DAB" w:rsidRPr="00684FCB">
        <w:rPr>
          <w:iCs/>
          <w:szCs w:val="22"/>
        </w:rPr>
        <w:t>“</w:t>
      </w:r>
      <w:r w:rsidR="00A85169" w:rsidRPr="00684FCB">
        <w:rPr>
          <w:iCs/>
          <w:szCs w:val="22"/>
        </w:rPr>
        <w:t>r</w:t>
      </w:r>
      <w:r w:rsidR="00D3109E" w:rsidRPr="00684FCB">
        <w:rPr>
          <w:iCs/>
          <w:szCs w:val="22"/>
        </w:rPr>
        <w:t xml:space="preserve">ing </w:t>
      </w:r>
      <w:r w:rsidR="00A85169" w:rsidRPr="00684FCB">
        <w:rPr>
          <w:iCs/>
          <w:szCs w:val="22"/>
        </w:rPr>
        <w:t>n</w:t>
      </w:r>
      <w:r w:rsidR="00D3109E" w:rsidRPr="00684FCB">
        <w:rPr>
          <w:iCs/>
          <w:szCs w:val="22"/>
        </w:rPr>
        <w:t>o</w:t>
      </w:r>
      <w:r w:rsidR="00A85169" w:rsidRPr="00684FCB">
        <w:rPr>
          <w:iCs/>
          <w:szCs w:val="22"/>
        </w:rPr>
        <w:t xml:space="preserve"> a</w:t>
      </w:r>
      <w:r w:rsidR="00D3109E" w:rsidRPr="00684FCB">
        <w:rPr>
          <w:iCs/>
          <w:szCs w:val="22"/>
        </w:rPr>
        <w:t>nswer</w:t>
      </w:r>
      <w:r w:rsidR="00A85169" w:rsidRPr="00684FCB">
        <w:rPr>
          <w:iCs/>
          <w:szCs w:val="22"/>
        </w:rPr>
        <w:t>,</w:t>
      </w:r>
      <w:r w:rsidR="00E01DAB" w:rsidRPr="00684FCB">
        <w:rPr>
          <w:iCs/>
          <w:szCs w:val="22"/>
        </w:rPr>
        <w:t>”</w:t>
      </w:r>
      <w:r w:rsidR="00D3109E" w:rsidRPr="00684FCB">
        <w:rPr>
          <w:iCs/>
          <w:szCs w:val="22"/>
        </w:rPr>
        <w:t xml:space="preserve"> or </w:t>
      </w:r>
      <w:r w:rsidR="00E01DAB" w:rsidRPr="00684FCB">
        <w:rPr>
          <w:iCs/>
          <w:szCs w:val="22"/>
        </w:rPr>
        <w:t>“</w:t>
      </w:r>
      <w:r w:rsidR="00A85169" w:rsidRPr="00684FCB">
        <w:rPr>
          <w:iCs/>
          <w:szCs w:val="22"/>
        </w:rPr>
        <w:t>u</w:t>
      </w:r>
      <w:r w:rsidR="00D3109E" w:rsidRPr="00684FCB">
        <w:rPr>
          <w:iCs/>
          <w:szCs w:val="22"/>
        </w:rPr>
        <w:t xml:space="preserve">nassigned </w:t>
      </w:r>
      <w:r w:rsidR="00A85169" w:rsidRPr="00684FCB">
        <w:rPr>
          <w:iCs/>
          <w:szCs w:val="22"/>
        </w:rPr>
        <w:t>n</w:t>
      </w:r>
      <w:r w:rsidR="00D3109E" w:rsidRPr="00684FCB">
        <w:rPr>
          <w:iCs/>
          <w:szCs w:val="22"/>
        </w:rPr>
        <w:t>umber.</w:t>
      </w:r>
      <w:r w:rsidR="00E01DAB" w:rsidRPr="00684FCB">
        <w:rPr>
          <w:iCs/>
          <w:szCs w:val="22"/>
        </w:rPr>
        <w:t>”</w:t>
      </w:r>
      <w:r w:rsidR="007620BF" w:rsidRPr="00684FCB">
        <w:rPr>
          <w:iCs/>
          <w:szCs w:val="22"/>
        </w:rPr>
        <w:t xml:space="preserve"> </w:t>
      </w:r>
      <w:r w:rsidR="00D3109E" w:rsidRPr="00684FCB">
        <w:rPr>
          <w:i/>
          <w:iCs/>
          <w:szCs w:val="22"/>
        </w:rPr>
        <w:t xml:space="preserve"> </w:t>
      </w:r>
      <w:r w:rsidR="003B4D43" w:rsidRPr="00684FCB">
        <w:rPr>
          <w:szCs w:val="22"/>
        </w:rPr>
        <w:t xml:space="preserve">The </w:t>
      </w:r>
      <w:r w:rsidR="003B4D43" w:rsidRPr="00684FCB">
        <w:rPr>
          <w:i/>
          <w:szCs w:val="22"/>
        </w:rPr>
        <w:t xml:space="preserve">Rural Call Completion Order </w:t>
      </w:r>
      <w:r w:rsidR="00347F9A" w:rsidRPr="00684FCB">
        <w:rPr>
          <w:szCs w:val="22"/>
        </w:rPr>
        <w:t>defines</w:t>
      </w:r>
      <w:r w:rsidR="003B4D43" w:rsidRPr="00684FCB">
        <w:rPr>
          <w:szCs w:val="22"/>
        </w:rPr>
        <w:t xml:space="preserve"> “answered call</w:t>
      </w:r>
      <w:r w:rsidR="001758F5" w:rsidRPr="00684FCB">
        <w:rPr>
          <w:szCs w:val="22"/>
        </w:rPr>
        <w:t>”</w:t>
      </w:r>
      <w:r w:rsidR="003B4D43" w:rsidRPr="00684FCB">
        <w:rPr>
          <w:szCs w:val="22"/>
        </w:rPr>
        <w:t xml:space="preserve"> as</w:t>
      </w:r>
    </w:p>
    <w:p w:rsidR="003B4D43" w:rsidRPr="00684FCB" w:rsidRDefault="00E84C87" w:rsidP="0001436C">
      <w:pPr>
        <w:spacing w:after="120"/>
        <w:ind w:left="720" w:right="720"/>
        <w:rPr>
          <w:szCs w:val="22"/>
        </w:rPr>
      </w:pPr>
      <w:r w:rsidRPr="00684FCB">
        <w:rPr>
          <w:iCs/>
          <w:szCs w:val="22"/>
        </w:rPr>
        <w:t>a call that was answered by or on behalf of the called party (including calls completed to devices, services or parties that answer the call such as an interactive voice response, answering service, voicemail or call-forwarding system), causing the network to register that the terminating party is prepared to recei</w:t>
      </w:r>
      <w:r w:rsidRPr="00684FCB">
        <w:rPr>
          <w:szCs w:val="22"/>
        </w:rPr>
        <w:t>ve information from the calling user.</w:t>
      </w:r>
      <w:r w:rsidR="00DF707F" w:rsidRPr="00684FCB">
        <w:rPr>
          <w:rStyle w:val="FootnoteReference"/>
          <w:szCs w:val="22"/>
        </w:rPr>
        <w:footnoteReference w:id="3"/>
      </w:r>
      <w:r w:rsidR="006339F9" w:rsidRPr="00684FCB">
        <w:rPr>
          <w:szCs w:val="22"/>
        </w:rPr>
        <w:t xml:space="preserve"> </w:t>
      </w:r>
      <w:r w:rsidR="00DF707F" w:rsidRPr="00684FCB">
        <w:rPr>
          <w:szCs w:val="22"/>
        </w:rPr>
        <w:t xml:space="preserve"> </w:t>
      </w:r>
    </w:p>
    <w:p w:rsidR="006339F9" w:rsidRPr="00684FCB" w:rsidRDefault="00177070" w:rsidP="0001436C">
      <w:pPr>
        <w:spacing w:after="120"/>
        <w:rPr>
          <w:szCs w:val="22"/>
        </w:rPr>
      </w:pPr>
      <w:r w:rsidRPr="00684FCB">
        <w:rPr>
          <w:iCs/>
          <w:szCs w:val="22"/>
        </w:rPr>
        <w:t xml:space="preserve">The Commission </w:t>
      </w:r>
      <w:r w:rsidR="0037601C" w:rsidRPr="00684FCB">
        <w:rPr>
          <w:iCs/>
          <w:szCs w:val="22"/>
        </w:rPr>
        <w:t xml:space="preserve">emphasized </w:t>
      </w:r>
      <w:r w:rsidRPr="00684FCB">
        <w:rPr>
          <w:iCs/>
          <w:szCs w:val="22"/>
        </w:rPr>
        <w:t>that “</w:t>
      </w:r>
      <w:r w:rsidRPr="00684FCB">
        <w:rPr>
          <w:szCs w:val="22"/>
        </w:rPr>
        <w:t>the call answer rate is the data point least susceptible to variations in data reporting or to differences in the quality or accuracy of signaling:  the called party either answered the call or did not answer the call.”</w:t>
      </w:r>
      <w:r w:rsidRPr="00684FCB">
        <w:rPr>
          <w:rStyle w:val="FootnoteReference"/>
          <w:szCs w:val="22"/>
        </w:rPr>
        <w:footnoteReference w:id="4"/>
      </w:r>
      <w:r w:rsidRPr="00684FCB">
        <w:rPr>
          <w:szCs w:val="22"/>
        </w:rPr>
        <w:t xml:space="preserve">  </w:t>
      </w:r>
    </w:p>
    <w:p w:rsidR="001D72DB" w:rsidRPr="00684FCB" w:rsidRDefault="00DF707F" w:rsidP="0001436C">
      <w:pPr>
        <w:spacing w:after="120"/>
        <w:ind w:firstLine="720"/>
        <w:rPr>
          <w:szCs w:val="22"/>
        </w:rPr>
      </w:pPr>
      <w:r w:rsidRPr="00684FCB">
        <w:rPr>
          <w:szCs w:val="22"/>
        </w:rPr>
        <w:lastRenderedPageBreak/>
        <w:t xml:space="preserve">Appendix C of the </w:t>
      </w:r>
      <w:r w:rsidRPr="00684FCB">
        <w:rPr>
          <w:i/>
          <w:szCs w:val="22"/>
        </w:rPr>
        <w:t>Rural Call Completion Order</w:t>
      </w:r>
      <w:r w:rsidRPr="00684FCB">
        <w:rPr>
          <w:szCs w:val="22"/>
        </w:rPr>
        <w:t xml:space="preserve"> provides a </w:t>
      </w:r>
      <w:r w:rsidR="00A115E8" w:rsidRPr="00684FCB">
        <w:rPr>
          <w:szCs w:val="22"/>
        </w:rPr>
        <w:t xml:space="preserve">spreadsheet </w:t>
      </w:r>
      <w:r w:rsidR="00EB2DC9" w:rsidRPr="00684FCB">
        <w:rPr>
          <w:szCs w:val="22"/>
        </w:rPr>
        <w:t xml:space="preserve">that covered providers must use to file the required call completion data </w:t>
      </w:r>
      <w:r w:rsidRPr="00684FCB">
        <w:rPr>
          <w:szCs w:val="22"/>
        </w:rPr>
        <w:t>with the Commission each quarter.</w:t>
      </w:r>
      <w:r w:rsidRPr="00684FCB">
        <w:rPr>
          <w:rStyle w:val="FootnoteReference"/>
          <w:szCs w:val="22"/>
        </w:rPr>
        <w:footnoteReference w:id="5"/>
      </w:r>
      <w:r w:rsidRPr="00684FCB">
        <w:rPr>
          <w:szCs w:val="22"/>
        </w:rPr>
        <w:t xml:space="preserve">  T</w:t>
      </w:r>
      <w:r w:rsidR="00361AF3" w:rsidRPr="00684FCB">
        <w:rPr>
          <w:szCs w:val="22"/>
        </w:rPr>
        <w:t xml:space="preserve">he legend </w:t>
      </w:r>
      <w:r w:rsidR="00EB2DC9" w:rsidRPr="00684FCB">
        <w:rPr>
          <w:szCs w:val="22"/>
        </w:rPr>
        <w:t>accompanying the spreadsheet identifie</w:t>
      </w:r>
      <w:r w:rsidR="002F5E66" w:rsidRPr="00684FCB">
        <w:rPr>
          <w:szCs w:val="22"/>
        </w:rPr>
        <w:t>s</w:t>
      </w:r>
      <w:r w:rsidR="00EB2DC9" w:rsidRPr="00684FCB">
        <w:rPr>
          <w:szCs w:val="22"/>
        </w:rPr>
        <w:t xml:space="preserve"> specific “</w:t>
      </w:r>
      <w:r w:rsidR="00361AF3" w:rsidRPr="00684FCB">
        <w:rPr>
          <w:szCs w:val="22"/>
        </w:rPr>
        <w:t xml:space="preserve">ISUP Cause values and corresponding SIP Response messages” </w:t>
      </w:r>
      <w:r w:rsidR="00EB2DC9" w:rsidRPr="00684FCB">
        <w:rPr>
          <w:szCs w:val="22"/>
        </w:rPr>
        <w:t>for each category of call attempt.</w:t>
      </w:r>
      <w:r w:rsidR="0071052C" w:rsidRPr="00684FCB">
        <w:rPr>
          <w:rStyle w:val="FootnoteReference"/>
          <w:szCs w:val="22"/>
        </w:rPr>
        <w:footnoteReference w:id="6"/>
      </w:r>
      <w:r w:rsidR="0071052C" w:rsidRPr="00684FCB">
        <w:rPr>
          <w:szCs w:val="22"/>
        </w:rPr>
        <w:t xml:space="preserve"> </w:t>
      </w:r>
      <w:r w:rsidR="00EB2DC9" w:rsidRPr="00684FCB">
        <w:rPr>
          <w:szCs w:val="22"/>
        </w:rPr>
        <w:t xml:space="preserve">  </w:t>
      </w:r>
      <w:r w:rsidR="003D4461" w:rsidRPr="00684FCB">
        <w:rPr>
          <w:szCs w:val="22"/>
        </w:rPr>
        <w:t xml:space="preserve">An “answered” call is described in Appendix C as a call </w:t>
      </w:r>
      <w:r w:rsidR="003720A3" w:rsidRPr="00684FCB">
        <w:rPr>
          <w:szCs w:val="22"/>
        </w:rPr>
        <w:t xml:space="preserve">attempt </w:t>
      </w:r>
      <w:r w:rsidR="003D4461" w:rsidRPr="00684FCB">
        <w:rPr>
          <w:szCs w:val="22"/>
        </w:rPr>
        <w:t>“</w:t>
      </w:r>
      <w:r w:rsidR="00361AF3" w:rsidRPr="00684FCB">
        <w:rPr>
          <w:szCs w:val="22"/>
        </w:rPr>
        <w:t>signaled back with ISUP 16 &amp; 31 and SIP BYE &amp; CANCEL.</w:t>
      </w:r>
      <w:r w:rsidR="00DE1D02" w:rsidRPr="00684FCB">
        <w:rPr>
          <w:szCs w:val="22"/>
        </w:rPr>
        <w:t>”</w:t>
      </w:r>
      <w:r w:rsidR="003D4461" w:rsidRPr="00684FCB">
        <w:rPr>
          <w:rStyle w:val="FootnoteReference"/>
          <w:szCs w:val="22"/>
        </w:rPr>
        <w:footnoteReference w:id="7"/>
      </w:r>
      <w:r w:rsidR="00DE1D02" w:rsidRPr="00684FCB">
        <w:rPr>
          <w:szCs w:val="22"/>
        </w:rPr>
        <w:t xml:space="preserve">  </w:t>
      </w:r>
    </w:p>
    <w:p w:rsidR="00161261" w:rsidRPr="00684FCB" w:rsidRDefault="002F5E66" w:rsidP="0001436C">
      <w:pPr>
        <w:spacing w:after="120"/>
        <w:ind w:firstLine="720"/>
        <w:rPr>
          <w:szCs w:val="22"/>
        </w:rPr>
      </w:pPr>
      <w:r w:rsidRPr="00684FCB">
        <w:rPr>
          <w:szCs w:val="22"/>
        </w:rPr>
        <w:t xml:space="preserve">In recent meetings with Commission staff, </w:t>
      </w:r>
      <w:r w:rsidR="00161261" w:rsidRPr="00684FCB">
        <w:rPr>
          <w:szCs w:val="22"/>
        </w:rPr>
        <w:t xml:space="preserve">Level 3 </w:t>
      </w:r>
      <w:r w:rsidR="00347F9A" w:rsidRPr="00684FCB">
        <w:rPr>
          <w:szCs w:val="22"/>
        </w:rPr>
        <w:t xml:space="preserve">and Verizon </w:t>
      </w:r>
      <w:r w:rsidRPr="00684FCB">
        <w:rPr>
          <w:szCs w:val="22"/>
        </w:rPr>
        <w:t>ex</w:t>
      </w:r>
      <w:r w:rsidR="00347F9A" w:rsidRPr="00684FCB">
        <w:rPr>
          <w:szCs w:val="22"/>
        </w:rPr>
        <w:t>plained that release cause code </w:t>
      </w:r>
      <w:r w:rsidRPr="00684FCB">
        <w:rPr>
          <w:szCs w:val="22"/>
        </w:rPr>
        <w:t>16—one of the codes identified in Appendix C as denoting an answered call—is also used to indicate that the calling party has hung up before the called party answered.</w:t>
      </w:r>
      <w:r w:rsidRPr="00684FCB">
        <w:rPr>
          <w:rStyle w:val="FootnoteReference"/>
          <w:szCs w:val="22"/>
        </w:rPr>
        <w:footnoteReference w:id="8"/>
      </w:r>
      <w:r w:rsidR="001340F8" w:rsidRPr="00684FCB">
        <w:rPr>
          <w:szCs w:val="22"/>
        </w:rPr>
        <w:t xml:space="preserve">  </w:t>
      </w:r>
      <w:r w:rsidR="005C3E36" w:rsidRPr="00684FCB">
        <w:rPr>
          <w:szCs w:val="22"/>
        </w:rPr>
        <w:t xml:space="preserve">Level 3 contends that </w:t>
      </w:r>
      <w:r w:rsidR="00743C17" w:rsidRPr="00684FCB">
        <w:rPr>
          <w:szCs w:val="22"/>
        </w:rPr>
        <w:t xml:space="preserve">including </w:t>
      </w:r>
      <w:r w:rsidR="001340F8" w:rsidRPr="00684FCB">
        <w:rPr>
          <w:szCs w:val="22"/>
        </w:rPr>
        <w:t>calling-party hangups as answered calls</w:t>
      </w:r>
      <w:r w:rsidR="005C3E36" w:rsidRPr="00684FCB">
        <w:rPr>
          <w:szCs w:val="22"/>
        </w:rPr>
        <w:t xml:space="preserve"> </w:t>
      </w:r>
      <w:r w:rsidR="001340F8" w:rsidRPr="00684FCB">
        <w:rPr>
          <w:szCs w:val="22"/>
        </w:rPr>
        <w:t>would result in a “much higher” reported call-completion rate</w:t>
      </w:r>
      <w:r w:rsidR="006A3270" w:rsidRPr="00684FCB">
        <w:rPr>
          <w:szCs w:val="22"/>
        </w:rPr>
        <w:t xml:space="preserve"> than a provider would report if it </w:t>
      </w:r>
      <w:r w:rsidR="00A27C94" w:rsidRPr="00684FCB">
        <w:rPr>
          <w:szCs w:val="22"/>
        </w:rPr>
        <w:t>excluded them</w:t>
      </w:r>
      <w:r w:rsidR="001340F8" w:rsidRPr="00684FCB">
        <w:rPr>
          <w:szCs w:val="22"/>
        </w:rPr>
        <w:t>.</w:t>
      </w:r>
      <w:r w:rsidR="001340F8" w:rsidRPr="00684FCB">
        <w:rPr>
          <w:rStyle w:val="FootnoteReference"/>
          <w:szCs w:val="22"/>
        </w:rPr>
        <w:footnoteReference w:id="9"/>
      </w:r>
    </w:p>
    <w:p w:rsidR="005A69D2" w:rsidRPr="00684FCB" w:rsidRDefault="006B60BA" w:rsidP="0001436C">
      <w:pPr>
        <w:spacing w:after="120"/>
        <w:ind w:firstLine="720"/>
        <w:rPr>
          <w:szCs w:val="22"/>
        </w:rPr>
      </w:pPr>
      <w:r w:rsidRPr="00684FCB">
        <w:rPr>
          <w:szCs w:val="22"/>
        </w:rPr>
        <w:t>In this Public Notice</w:t>
      </w:r>
      <w:r w:rsidR="001340F8" w:rsidRPr="00684FCB">
        <w:rPr>
          <w:szCs w:val="22"/>
        </w:rPr>
        <w:t xml:space="preserve">, we </w:t>
      </w:r>
      <w:r w:rsidR="00DE1D02" w:rsidRPr="00684FCB">
        <w:rPr>
          <w:szCs w:val="22"/>
        </w:rPr>
        <w:t>seek comment</w:t>
      </w:r>
      <w:r w:rsidR="005C3E36" w:rsidRPr="00684FCB">
        <w:rPr>
          <w:szCs w:val="22"/>
        </w:rPr>
        <w:t xml:space="preserve"> on this contention and</w:t>
      </w:r>
      <w:r w:rsidR="00DE1D02" w:rsidRPr="00684FCB">
        <w:rPr>
          <w:szCs w:val="22"/>
        </w:rPr>
        <w:t xml:space="preserve"> on </w:t>
      </w:r>
      <w:r w:rsidR="00A115E8" w:rsidRPr="00684FCB">
        <w:rPr>
          <w:szCs w:val="22"/>
        </w:rPr>
        <w:t xml:space="preserve">whether </w:t>
      </w:r>
      <w:r w:rsidR="002B6A9C" w:rsidRPr="00684FCB">
        <w:rPr>
          <w:szCs w:val="22"/>
        </w:rPr>
        <w:t xml:space="preserve">it would assist providers if the Bureau clarified that, as specified in the </w:t>
      </w:r>
      <w:r w:rsidR="002B6A9C" w:rsidRPr="00684FCB">
        <w:rPr>
          <w:i/>
          <w:szCs w:val="22"/>
        </w:rPr>
        <w:t>Order</w:t>
      </w:r>
      <w:r w:rsidR="002B6A9C" w:rsidRPr="00684FCB">
        <w:rPr>
          <w:szCs w:val="22"/>
        </w:rPr>
        <w:t xml:space="preserve">, covered providers should record and report calls as “answered” only to the extent that such calls satisfy the definition of “answered call” that appears in paragraph 72 of the </w:t>
      </w:r>
      <w:r w:rsidR="002B6A9C" w:rsidRPr="00684FCB">
        <w:rPr>
          <w:i/>
          <w:szCs w:val="22"/>
        </w:rPr>
        <w:t>Rural Call Completion Order</w:t>
      </w:r>
      <w:r w:rsidR="002B6A9C" w:rsidRPr="00684FCB">
        <w:rPr>
          <w:rStyle w:val="FootnoteReference"/>
          <w:szCs w:val="22"/>
        </w:rPr>
        <w:t xml:space="preserve"> </w:t>
      </w:r>
      <w:r w:rsidR="002B6A9C" w:rsidRPr="00684FCB">
        <w:rPr>
          <w:rStyle w:val="FootnoteReference"/>
          <w:szCs w:val="22"/>
        </w:rPr>
        <w:footnoteReference w:id="10"/>
      </w:r>
      <w:r w:rsidR="007620BF" w:rsidRPr="00684FCB">
        <w:rPr>
          <w:szCs w:val="22"/>
        </w:rPr>
        <w:t xml:space="preserve">  </w:t>
      </w:r>
      <w:r w:rsidR="00DE1D02" w:rsidRPr="00684FCB">
        <w:rPr>
          <w:szCs w:val="22"/>
        </w:rPr>
        <w:t xml:space="preserve">Appendix C </w:t>
      </w:r>
      <w:r w:rsidR="007D32FC" w:rsidRPr="00684FCB">
        <w:rPr>
          <w:szCs w:val="22"/>
        </w:rPr>
        <w:t>c</w:t>
      </w:r>
      <w:r w:rsidR="00DE1D02" w:rsidRPr="00684FCB">
        <w:rPr>
          <w:szCs w:val="22"/>
        </w:rPr>
        <w:t>ould</w:t>
      </w:r>
      <w:r w:rsidR="00E50A00" w:rsidRPr="00684FCB">
        <w:rPr>
          <w:szCs w:val="22"/>
        </w:rPr>
        <w:t xml:space="preserve"> be</w:t>
      </w:r>
      <w:r w:rsidR="00DE1D02" w:rsidRPr="00684FCB">
        <w:rPr>
          <w:szCs w:val="22"/>
        </w:rPr>
        <w:t xml:space="preserve"> </w:t>
      </w:r>
      <w:r w:rsidR="00523A37" w:rsidRPr="00684FCB">
        <w:rPr>
          <w:szCs w:val="22"/>
        </w:rPr>
        <w:t xml:space="preserve">clarified to </w:t>
      </w:r>
      <w:r w:rsidR="001340F8" w:rsidRPr="00684FCB">
        <w:rPr>
          <w:szCs w:val="22"/>
        </w:rPr>
        <w:t>eliminate</w:t>
      </w:r>
      <w:r w:rsidR="0088454A" w:rsidRPr="00684FCB">
        <w:rPr>
          <w:szCs w:val="22"/>
        </w:rPr>
        <w:t xml:space="preserve"> any basis for interpreting it inconsistently </w:t>
      </w:r>
      <w:r w:rsidR="00523A37" w:rsidRPr="00684FCB">
        <w:rPr>
          <w:szCs w:val="22"/>
        </w:rPr>
        <w:t xml:space="preserve">with the definition of “answered call” in the </w:t>
      </w:r>
      <w:r w:rsidR="00523A37" w:rsidRPr="00684FCB">
        <w:rPr>
          <w:i/>
          <w:szCs w:val="22"/>
        </w:rPr>
        <w:t>Order</w:t>
      </w:r>
      <w:r w:rsidR="00523A37" w:rsidRPr="00684FCB">
        <w:rPr>
          <w:szCs w:val="22"/>
        </w:rPr>
        <w:t>.</w:t>
      </w:r>
      <w:r w:rsidR="00743C17" w:rsidRPr="00684FCB">
        <w:rPr>
          <w:szCs w:val="22"/>
        </w:rPr>
        <w:t xml:space="preserve">  If </w:t>
      </w:r>
      <w:r w:rsidR="00523A37" w:rsidRPr="00684FCB">
        <w:rPr>
          <w:szCs w:val="22"/>
        </w:rPr>
        <w:t>so</w:t>
      </w:r>
      <w:r w:rsidR="00DE1D02" w:rsidRPr="00684FCB">
        <w:rPr>
          <w:szCs w:val="22"/>
        </w:rPr>
        <w:t xml:space="preserve">, should </w:t>
      </w:r>
      <w:r w:rsidR="00DE192C" w:rsidRPr="00684FCB">
        <w:rPr>
          <w:szCs w:val="22"/>
        </w:rPr>
        <w:t xml:space="preserve">the description of “answered call” in </w:t>
      </w:r>
      <w:r w:rsidR="00DE1D02" w:rsidRPr="00684FCB">
        <w:rPr>
          <w:szCs w:val="22"/>
        </w:rPr>
        <w:t>Appendix</w:t>
      </w:r>
      <w:r w:rsidR="001340F8" w:rsidRPr="00684FCB">
        <w:rPr>
          <w:szCs w:val="22"/>
        </w:rPr>
        <w:t> </w:t>
      </w:r>
      <w:r w:rsidR="00DE1D02" w:rsidRPr="00684FCB">
        <w:rPr>
          <w:szCs w:val="22"/>
        </w:rPr>
        <w:t xml:space="preserve">C </w:t>
      </w:r>
      <w:r w:rsidR="00DE192C" w:rsidRPr="00684FCB">
        <w:rPr>
          <w:szCs w:val="22"/>
        </w:rPr>
        <w:t xml:space="preserve">be revised to include </w:t>
      </w:r>
      <w:r w:rsidR="009463DA" w:rsidRPr="00684FCB">
        <w:rPr>
          <w:szCs w:val="22"/>
        </w:rPr>
        <w:t xml:space="preserve">a </w:t>
      </w:r>
      <w:r w:rsidR="00DE192C" w:rsidRPr="00684FCB">
        <w:rPr>
          <w:szCs w:val="22"/>
        </w:rPr>
        <w:t xml:space="preserve">different </w:t>
      </w:r>
      <w:r w:rsidR="009463DA" w:rsidRPr="00684FCB">
        <w:rPr>
          <w:szCs w:val="22"/>
        </w:rPr>
        <w:t>description</w:t>
      </w:r>
      <w:r w:rsidR="00D74AA3" w:rsidRPr="00684FCB">
        <w:rPr>
          <w:szCs w:val="22"/>
        </w:rPr>
        <w:t xml:space="preserve"> (</w:t>
      </w:r>
      <w:r w:rsidR="00247469" w:rsidRPr="00684FCB">
        <w:rPr>
          <w:szCs w:val="22"/>
        </w:rPr>
        <w:t>e.g.</w:t>
      </w:r>
      <w:r w:rsidR="00D74AA3" w:rsidRPr="00684FCB">
        <w:rPr>
          <w:szCs w:val="22"/>
        </w:rPr>
        <w:t>, a different set of release codes)</w:t>
      </w:r>
      <w:r w:rsidR="009463DA" w:rsidRPr="00684FCB">
        <w:rPr>
          <w:szCs w:val="22"/>
        </w:rPr>
        <w:t xml:space="preserve"> of how networks identify answered calls</w:t>
      </w:r>
      <w:r w:rsidR="00DE192C" w:rsidRPr="00684FCB">
        <w:rPr>
          <w:szCs w:val="22"/>
        </w:rPr>
        <w:t>?</w:t>
      </w:r>
      <w:r w:rsidR="00060703" w:rsidRPr="00684FCB">
        <w:rPr>
          <w:rStyle w:val="FootnoteReference"/>
          <w:szCs w:val="22"/>
        </w:rPr>
        <w:footnoteReference w:id="11"/>
      </w:r>
      <w:r w:rsidR="00060703" w:rsidRPr="00684FCB">
        <w:rPr>
          <w:szCs w:val="22"/>
        </w:rPr>
        <w:t xml:space="preserve"> </w:t>
      </w:r>
      <w:r w:rsidR="00582243">
        <w:rPr>
          <w:szCs w:val="22"/>
        </w:rPr>
        <w:t xml:space="preserve"> </w:t>
      </w:r>
      <w:r w:rsidR="00523A37" w:rsidRPr="00684FCB">
        <w:rPr>
          <w:szCs w:val="22"/>
        </w:rPr>
        <w:t xml:space="preserve">Or </w:t>
      </w:r>
      <w:r w:rsidR="00116159" w:rsidRPr="00684FCB">
        <w:rPr>
          <w:szCs w:val="22"/>
        </w:rPr>
        <w:t xml:space="preserve">should the legend in Appendix C simply be deleted, allowing </w:t>
      </w:r>
      <w:r w:rsidR="004829F2" w:rsidRPr="00684FCB">
        <w:rPr>
          <w:szCs w:val="22"/>
        </w:rPr>
        <w:t>each covered provider</w:t>
      </w:r>
      <w:r w:rsidR="00116159" w:rsidRPr="00684FCB">
        <w:rPr>
          <w:szCs w:val="22"/>
        </w:rPr>
        <w:t xml:space="preserve"> to </w:t>
      </w:r>
      <w:r w:rsidR="009463DA" w:rsidRPr="00684FCB">
        <w:rPr>
          <w:szCs w:val="22"/>
        </w:rPr>
        <w:t xml:space="preserve">identify answered calls </w:t>
      </w:r>
      <w:r w:rsidR="004829F2" w:rsidRPr="00684FCB">
        <w:rPr>
          <w:szCs w:val="22"/>
        </w:rPr>
        <w:t xml:space="preserve">in a </w:t>
      </w:r>
      <w:r w:rsidR="009463DA" w:rsidRPr="00684FCB">
        <w:rPr>
          <w:szCs w:val="22"/>
        </w:rPr>
        <w:t xml:space="preserve">manner </w:t>
      </w:r>
      <w:r w:rsidR="004829F2" w:rsidRPr="00684FCB">
        <w:rPr>
          <w:szCs w:val="22"/>
        </w:rPr>
        <w:t xml:space="preserve">consistent </w:t>
      </w:r>
      <w:r w:rsidR="009463DA" w:rsidRPr="00684FCB">
        <w:rPr>
          <w:szCs w:val="22"/>
        </w:rPr>
        <w:t xml:space="preserve">with the definition in the </w:t>
      </w:r>
      <w:r w:rsidR="009463DA" w:rsidRPr="00684FCB">
        <w:rPr>
          <w:i/>
          <w:szCs w:val="22"/>
        </w:rPr>
        <w:t xml:space="preserve">Rural Call Completion Order </w:t>
      </w:r>
      <w:r w:rsidR="009463DA" w:rsidRPr="00684FCB">
        <w:rPr>
          <w:szCs w:val="22"/>
        </w:rPr>
        <w:t xml:space="preserve">and </w:t>
      </w:r>
      <w:r w:rsidR="004829F2" w:rsidRPr="00684FCB">
        <w:rPr>
          <w:szCs w:val="22"/>
        </w:rPr>
        <w:t xml:space="preserve">with industry practice? </w:t>
      </w:r>
    </w:p>
    <w:p w:rsidR="00D66569" w:rsidRPr="00684FCB" w:rsidRDefault="00EB2DC9" w:rsidP="0001436C">
      <w:pPr>
        <w:spacing w:after="120"/>
        <w:ind w:firstLine="720"/>
        <w:rPr>
          <w:color w:val="000000"/>
          <w:szCs w:val="22"/>
        </w:rPr>
      </w:pPr>
      <w:r w:rsidRPr="00684FCB">
        <w:rPr>
          <w:i/>
          <w:szCs w:val="22"/>
          <w:u w:val="single"/>
        </w:rPr>
        <w:t>“</w:t>
      </w:r>
      <w:r w:rsidR="006E52E2" w:rsidRPr="00684FCB">
        <w:rPr>
          <w:i/>
          <w:szCs w:val="22"/>
          <w:u w:val="single"/>
        </w:rPr>
        <w:t>Ring no answer</w:t>
      </w:r>
      <w:r w:rsidRPr="00684FCB">
        <w:rPr>
          <w:i/>
          <w:szCs w:val="22"/>
          <w:u w:val="single"/>
        </w:rPr>
        <w:t>”</w:t>
      </w:r>
      <w:r w:rsidR="006E52E2" w:rsidRPr="00684FCB">
        <w:rPr>
          <w:i/>
          <w:szCs w:val="22"/>
          <w:u w:val="single"/>
        </w:rPr>
        <w:t xml:space="preserve"> call attempts</w:t>
      </w:r>
      <w:r w:rsidR="006E52E2" w:rsidRPr="00684FCB">
        <w:rPr>
          <w:i/>
          <w:szCs w:val="22"/>
        </w:rPr>
        <w:t>.</w:t>
      </w:r>
      <w:r w:rsidR="00D66569" w:rsidRPr="00684FCB">
        <w:rPr>
          <w:szCs w:val="22"/>
        </w:rPr>
        <w:t xml:space="preserve"> </w:t>
      </w:r>
      <w:r w:rsidR="00582243">
        <w:rPr>
          <w:szCs w:val="22"/>
        </w:rPr>
        <w:t xml:space="preserve"> </w:t>
      </w:r>
      <w:r w:rsidR="005A69D2" w:rsidRPr="00684FCB">
        <w:rPr>
          <w:szCs w:val="22"/>
        </w:rPr>
        <w:t xml:space="preserve">The </w:t>
      </w:r>
      <w:r w:rsidR="00A115E8" w:rsidRPr="00684FCB">
        <w:rPr>
          <w:i/>
          <w:szCs w:val="22"/>
        </w:rPr>
        <w:t xml:space="preserve">Rural Call Completion Order </w:t>
      </w:r>
      <w:r w:rsidR="0049742D" w:rsidRPr="00684FCB">
        <w:rPr>
          <w:szCs w:val="22"/>
        </w:rPr>
        <w:t xml:space="preserve">requires covered providers to record and report </w:t>
      </w:r>
      <w:r w:rsidR="005A69D2" w:rsidRPr="00684FCB">
        <w:rPr>
          <w:szCs w:val="22"/>
        </w:rPr>
        <w:t>“</w:t>
      </w:r>
      <w:r w:rsidR="003E2CD0" w:rsidRPr="00684FCB">
        <w:rPr>
          <w:szCs w:val="22"/>
        </w:rPr>
        <w:t>r</w:t>
      </w:r>
      <w:r w:rsidR="005A69D2" w:rsidRPr="00684FCB">
        <w:rPr>
          <w:szCs w:val="22"/>
        </w:rPr>
        <w:t xml:space="preserve">ing </w:t>
      </w:r>
      <w:r w:rsidR="003E2CD0" w:rsidRPr="00684FCB">
        <w:rPr>
          <w:szCs w:val="22"/>
        </w:rPr>
        <w:t>n</w:t>
      </w:r>
      <w:r w:rsidR="005A69D2" w:rsidRPr="00684FCB">
        <w:rPr>
          <w:szCs w:val="22"/>
        </w:rPr>
        <w:t>o</w:t>
      </w:r>
      <w:r w:rsidR="003E2CD0" w:rsidRPr="00684FCB">
        <w:rPr>
          <w:szCs w:val="22"/>
        </w:rPr>
        <w:t xml:space="preserve"> a</w:t>
      </w:r>
      <w:r w:rsidR="005A69D2" w:rsidRPr="00684FCB">
        <w:rPr>
          <w:szCs w:val="22"/>
        </w:rPr>
        <w:t>nswer” call attempts</w:t>
      </w:r>
      <w:r w:rsidR="0049742D" w:rsidRPr="00684FCB">
        <w:rPr>
          <w:szCs w:val="22"/>
        </w:rPr>
        <w:t>, which</w:t>
      </w:r>
      <w:r w:rsidR="00A115E8" w:rsidRPr="00684FCB">
        <w:rPr>
          <w:szCs w:val="22"/>
        </w:rPr>
        <w:t xml:space="preserve"> </w:t>
      </w:r>
      <w:r w:rsidR="005A69D2" w:rsidRPr="00684FCB">
        <w:rPr>
          <w:szCs w:val="22"/>
        </w:rPr>
        <w:t xml:space="preserve">are required </w:t>
      </w:r>
      <w:r w:rsidR="00696BEA" w:rsidRPr="00684FCB">
        <w:rPr>
          <w:szCs w:val="22"/>
        </w:rPr>
        <w:t xml:space="preserve">to </w:t>
      </w:r>
      <w:r w:rsidR="005A69D2" w:rsidRPr="00684FCB">
        <w:rPr>
          <w:szCs w:val="22"/>
        </w:rPr>
        <w:t>calculate the</w:t>
      </w:r>
      <w:r w:rsidR="00D66569" w:rsidRPr="00684FCB">
        <w:rPr>
          <w:szCs w:val="22"/>
        </w:rPr>
        <w:t xml:space="preserve"> </w:t>
      </w:r>
      <w:r w:rsidR="003E2CD0" w:rsidRPr="00684FCB">
        <w:rPr>
          <w:szCs w:val="22"/>
        </w:rPr>
        <w:t>n</w:t>
      </w:r>
      <w:r w:rsidR="00D66569" w:rsidRPr="00684FCB">
        <w:rPr>
          <w:szCs w:val="22"/>
        </w:rPr>
        <w:t xml:space="preserve">etwork </w:t>
      </w:r>
      <w:r w:rsidR="003E2CD0" w:rsidRPr="00684FCB">
        <w:rPr>
          <w:szCs w:val="22"/>
        </w:rPr>
        <w:t>e</w:t>
      </w:r>
      <w:r w:rsidR="00D66569" w:rsidRPr="00684FCB">
        <w:rPr>
          <w:szCs w:val="22"/>
        </w:rPr>
        <w:t xml:space="preserve">ffectiveness </w:t>
      </w:r>
      <w:r w:rsidR="003E2CD0" w:rsidRPr="00684FCB">
        <w:rPr>
          <w:szCs w:val="22"/>
        </w:rPr>
        <w:t>r</w:t>
      </w:r>
      <w:r w:rsidR="00D66569" w:rsidRPr="00684FCB">
        <w:rPr>
          <w:szCs w:val="22"/>
        </w:rPr>
        <w:t>atio (NER)</w:t>
      </w:r>
      <w:r w:rsidR="002D3F01" w:rsidRPr="00684FCB">
        <w:rPr>
          <w:szCs w:val="22"/>
        </w:rPr>
        <w:t>.</w:t>
      </w:r>
      <w:r w:rsidR="0071239A" w:rsidRPr="00684FCB">
        <w:rPr>
          <w:rStyle w:val="FootnoteReference"/>
          <w:szCs w:val="22"/>
        </w:rPr>
        <w:footnoteReference w:id="12"/>
      </w:r>
      <w:r w:rsidR="0071239A" w:rsidRPr="00684FCB">
        <w:rPr>
          <w:szCs w:val="22"/>
        </w:rPr>
        <w:t xml:space="preserve">  </w:t>
      </w:r>
      <w:r w:rsidR="003720A3" w:rsidRPr="00684FCB">
        <w:rPr>
          <w:szCs w:val="22"/>
        </w:rPr>
        <w:t>A “ri</w:t>
      </w:r>
      <w:r w:rsidR="0049742D" w:rsidRPr="00684FCB">
        <w:rPr>
          <w:szCs w:val="22"/>
        </w:rPr>
        <w:t>n</w:t>
      </w:r>
      <w:r w:rsidR="003720A3" w:rsidRPr="00684FCB">
        <w:rPr>
          <w:szCs w:val="22"/>
        </w:rPr>
        <w:t xml:space="preserve">g no answer” call is described in </w:t>
      </w:r>
      <w:r w:rsidR="005A69D2" w:rsidRPr="00684FCB">
        <w:rPr>
          <w:szCs w:val="22"/>
        </w:rPr>
        <w:t>Appendix</w:t>
      </w:r>
      <w:r w:rsidR="0062732D" w:rsidRPr="00684FCB">
        <w:rPr>
          <w:szCs w:val="22"/>
        </w:rPr>
        <w:t> </w:t>
      </w:r>
      <w:r w:rsidR="005A69D2" w:rsidRPr="00684FCB">
        <w:rPr>
          <w:szCs w:val="22"/>
        </w:rPr>
        <w:t xml:space="preserve">C </w:t>
      </w:r>
      <w:r w:rsidR="003720A3" w:rsidRPr="00684FCB">
        <w:rPr>
          <w:szCs w:val="22"/>
        </w:rPr>
        <w:t>as a call attempt that is “</w:t>
      </w:r>
      <w:r w:rsidR="005A69D2" w:rsidRPr="00684FCB">
        <w:rPr>
          <w:color w:val="000000"/>
          <w:szCs w:val="22"/>
        </w:rPr>
        <w:t>signaled back with ISUP 18 &amp; 19 and IP 408 &amp; 480.”</w:t>
      </w:r>
      <w:r w:rsidR="009927BC" w:rsidRPr="00684FCB">
        <w:rPr>
          <w:rStyle w:val="FootnoteReference"/>
          <w:szCs w:val="22"/>
        </w:rPr>
        <w:t xml:space="preserve"> </w:t>
      </w:r>
      <w:r w:rsidR="009927BC" w:rsidRPr="00684FCB">
        <w:rPr>
          <w:rStyle w:val="FootnoteReference"/>
          <w:szCs w:val="22"/>
        </w:rPr>
        <w:footnoteReference w:id="13"/>
      </w:r>
      <w:r w:rsidR="00696BEA" w:rsidRPr="00684FCB">
        <w:rPr>
          <w:color w:val="000000"/>
          <w:szCs w:val="22"/>
        </w:rPr>
        <w:t xml:space="preserve"> </w:t>
      </w:r>
    </w:p>
    <w:p w:rsidR="00D66569" w:rsidRPr="00684FCB" w:rsidRDefault="00696BEA" w:rsidP="0001436C">
      <w:pPr>
        <w:spacing w:after="120"/>
        <w:ind w:firstLine="720"/>
        <w:rPr>
          <w:szCs w:val="22"/>
        </w:rPr>
      </w:pPr>
      <w:r w:rsidRPr="00684FCB">
        <w:rPr>
          <w:szCs w:val="22"/>
        </w:rPr>
        <w:t xml:space="preserve">Level 3 </w:t>
      </w:r>
      <w:r w:rsidR="006A3270" w:rsidRPr="00684FCB">
        <w:rPr>
          <w:szCs w:val="22"/>
        </w:rPr>
        <w:t>assert</w:t>
      </w:r>
      <w:r w:rsidR="005A7A18" w:rsidRPr="00684FCB">
        <w:rPr>
          <w:szCs w:val="22"/>
        </w:rPr>
        <w:t>ed</w:t>
      </w:r>
      <w:r w:rsidR="006A3270" w:rsidRPr="00684FCB">
        <w:rPr>
          <w:szCs w:val="22"/>
        </w:rPr>
        <w:t xml:space="preserve"> </w:t>
      </w:r>
      <w:r w:rsidRPr="00684FCB">
        <w:rPr>
          <w:szCs w:val="22"/>
        </w:rPr>
        <w:t>that</w:t>
      </w:r>
      <w:r w:rsidR="002D3F01" w:rsidRPr="00684FCB">
        <w:rPr>
          <w:szCs w:val="22"/>
        </w:rPr>
        <w:t xml:space="preserve"> </w:t>
      </w:r>
      <w:r w:rsidR="00743C17" w:rsidRPr="00684FCB">
        <w:rPr>
          <w:szCs w:val="22"/>
        </w:rPr>
        <w:t xml:space="preserve">some of </w:t>
      </w:r>
      <w:r w:rsidR="002D3F01" w:rsidRPr="00684FCB">
        <w:rPr>
          <w:szCs w:val="22"/>
        </w:rPr>
        <w:t xml:space="preserve">the criteria in </w:t>
      </w:r>
      <w:r w:rsidRPr="00684FCB">
        <w:rPr>
          <w:szCs w:val="22"/>
        </w:rPr>
        <w:t xml:space="preserve">Appendix C for </w:t>
      </w:r>
      <w:r w:rsidR="003E2CD0" w:rsidRPr="00684FCB">
        <w:rPr>
          <w:szCs w:val="22"/>
        </w:rPr>
        <w:t>“ring no answer”</w:t>
      </w:r>
      <w:r w:rsidRPr="00684FCB">
        <w:rPr>
          <w:szCs w:val="22"/>
        </w:rPr>
        <w:t xml:space="preserve"> call attempts will only capture a very small percentage of the intended call attempts</w:t>
      </w:r>
      <w:r w:rsidR="002D3F01" w:rsidRPr="00684FCB">
        <w:rPr>
          <w:szCs w:val="22"/>
        </w:rPr>
        <w:t>.</w:t>
      </w:r>
      <w:r w:rsidR="002D3F01" w:rsidRPr="00684FCB">
        <w:rPr>
          <w:rStyle w:val="FootnoteReference"/>
          <w:szCs w:val="22"/>
        </w:rPr>
        <w:footnoteReference w:id="14"/>
      </w:r>
      <w:r w:rsidR="002D3F01" w:rsidRPr="00684FCB">
        <w:rPr>
          <w:szCs w:val="22"/>
        </w:rPr>
        <w:t xml:space="preserve">  </w:t>
      </w:r>
      <w:r w:rsidRPr="00684FCB">
        <w:rPr>
          <w:szCs w:val="22"/>
        </w:rPr>
        <w:t xml:space="preserve">Verizon </w:t>
      </w:r>
      <w:r w:rsidR="006C5EF5" w:rsidRPr="00684FCB">
        <w:rPr>
          <w:szCs w:val="22"/>
        </w:rPr>
        <w:t xml:space="preserve">expressed concern </w:t>
      </w:r>
      <w:r w:rsidR="008B4AF2" w:rsidRPr="00684FCB">
        <w:rPr>
          <w:szCs w:val="22"/>
        </w:rPr>
        <w:t xml:space="preserve">about </w:t>
      </w:r>
      <w:r w:rsidR="006C5EF5" w:rsidRPr="00684FCB">
        <w:rPr>
          <w:szCs w:val="22"/>
        </w:rPr>
        <w:t>using call signaling data to identify “ring no answer” calls</w:t>
      </w:r>
      <w:r w:rsidR="008B4AF2" w:rsidRPr="00684FCB">
        <w:rPr>
          <w:szCs w:val="22"/>
        </w:rPr>
        <w:t xml:space="preserve"> at all</w:t>
      </w:r>
      <w:r w:rsidRPr="00684FCB">
        <w:rPr>
          <w:szCs w:val="22"/>
        </w:rPr>
        <w:t>.</w:t>
      </w:r>
      <w:r w:rsidR="00D66D0B" w:rsidRPr="00684FCB">
        <w:rPr>
          <w:rStyle w:val="FootnoteReference"/>
          <w:szCs w:val="22"/>
        </w:rPr>
        <w:footnoteReference w:id="15"/>
      </w:r>
      <w:r w:rsidR="00347F9A" w:rsidRPr="00684FCB">
        <w:rPr>
          <w:szCs w:val="22"/>
        </w:rPr>
        <w:t xml:space="preserve">  </w:t>
      </w:r>
      <w:r w:rsidR="002D3F01" w:rsidRPr="00684FCB">
        <w:rPr>
          <w:szCs w:val="22"/>
        </w:rPr>
        <w:t>W</w:t>
      </w:r>
      <w:r w:rsidRPr="00684FCB">
        <w:rPr>
          <w:szCs w:val="22"/>
        </w:rPr>
        <w:t xml:space="preserve">e </w:t>
      </w:r>
      <w:r w:rsidR="002D3F01" w:rsidRPr="00684FCB">
        <w:rPr>
          <w:szCs w:val="22"/>
        </w:rPr>
        <w:t xml:space="preserve">therefore </w:t>
      </w:r>
      <w:r w:rsidRPr="00684FCB">
        <w:rPr>
          <w:szCs w:val="22"/>
        </w:rPr>
        <w:t xml:space="preserve">seek comment on </w:t>
      </w:r>
      <w:r w:rsidR="00A72C4F" w:rsidRPr="00684FCB">
        <w:rPr>
          <w:szCs w:val="22"/>
        </w:rPr>
        <w:t xml:space="preserve">whether </w:t>
      </w:r>
      <w:r w:rsidR="008B4AF2" w:rsidRPr="00684FCB">
        <w:rPr>
          <w:szCs w:val="22"/>
        </w:rPr>
        <w:t xml:space="preserve">the description of “ring no answer” call attempts in </w:t>
      </w:r>
      <w:r w:rsidRPr="00684FCB">
        <w:rPr>
          <w:szCs w:val="22"/>
        </w:rPr>
        <w:t xml:space="preserve">Appendix C should be </w:t>
      </w:r>
      <w:r w:rsidR="008B4AF2" w:rsidRPr="00684FCB">
        <w:rPr>
          <w:szCs w:val="22"/>
        </w:rPr>
        <w:t xml:space="preserve">revised to provide clearer guidance to covered providers, and if so, how.  Alternatively, should the </w:t>
      </w:r>
      <w:r w:rsidR="00E8740E" w:rsidRPr="00684FCB">
        <w:rPr>
          <w:szCs w:val="22"/>
        </w:rPr>
        <w:t xml:space="preserve">legend in Appendix C be deleted, allowing each covered provider to interpret the required call attempt categories in a </w:t>
      </w:r>
      <w:r w:rsidR="008B4AF2" w:rsidRPr="00684FCB">
        <w:rPr>
          <w:szCs w:val="22"/>
        </w:rPr>
        <w:t xml:space="preserve">manner </w:t>
      </w:r>
      <w:r w:rsidR="00E8740E" w:rsidRPr="00684FCB">
        <w:rPr>
          <w:szCs w:val="22"/>
        </w:rPr>
        <w:t>consistent with industry practice</w:t>
      </w:r>
      <w:r w:rsidR="008B4AF2" w:rsidRPr="00684FCB">
        <w:rPr>
          <w:szCs w:val="22"/>
        </w:rPr>
        <w:t xml:space="preserve"> and with the Commission’s stated intent in the </w:t>
      </w:r>
      <w:r w:rsidR="008B4AF2" w:rsidRPr="00684FCB">
        <w:rPr>
          <w:i/>
          <w:szCs w:val="22"/>
        </w:rPr>
        <w:t>Rural Call Completion Order</w:t>
      </w:r>
      <w:r w:rsidR="008B4AF2" w:rsidRPr="00684FCB">
        <w:rPr>
          <w:szCs w:val="22"/>
        </w:rPr>
        <w:t>?</w:t>
      </w:r>
    </w:p>
    <w:p w:rsidR="0037457D" w:rsidRPr="00684FCB" w:rsidRDefault="00EF7C9F" w:rsidP="0001436C">
      <w:pPr>
        <w:spacing w:after="120"/>
        <w:ind w:firstLine="720"/>
        <w:rPr>
          <w:szCs w:val="22"/>
        </w:rPr>
      </w:pPr>
      <w:r w:rsidRPr="00684FCB">
        <w:rPr>
          <w:szCs w:val="22"/>
        </w:rPr>
        <w:t>I</w:t>
      </w:r>
      <w:r w:rsidR="0037457D" w:rsidRPr="00684FCB">
        <w:rPr>
          <w:szCs w:val="22"/>
        </w:rPr>
        <w:t xml:space="preserve">nterested parties may file </w:t>
      </w:r>
      <w:r w:rsidRPr="00684FCB">
        <w:rPr>
          <w:szCs w:val="22"/>
        </w:rPr>
        <w:t>comments on or before the date indicated on the first page of this document.  Comments should</w:t>
      </w:r>
      <w:r w:rsidR="0037457D" w:rsidRPr="00684FCB">
        <w:rPr>
          <w:szCs w:val="22"/>
        </w:rPr>
        <w:t xml:space="preserve"> reference </w:t>
      </w:r>
      <w:r w:rsidR="0037457D" w:rsidRPr="00684FCB">
        <w:rPr>
          <w:rFonts w:eastAsia="ヒラギノ角ゴ Pro W3"/>
          <w:szCs w:val="22"/>
        </w:rPr>
        <w:t xml:space="preserve">WC Docket </w:t>
      </w:r>
      <w:r w:rsidR="00347F9A" w:rsidRPr="00684FCB">
        <w:rPr>
          <w:rFonts w:eastAsia="ヒラギノ角ゴ Pro W3"/>
          <w:szCs w:val="22"/>
        </w:rPr>
        <w:t xml:space="preserve">No. </w:t>
      </w:r>
      <w:r w:rsidRPr="00684FCB">
        <w:rPr>
          <w:rFonts w:eastAsia="ヒラギノ角ゴ Pro W3"/>
          <w:szCs w:val="22"/>
        </w:rPr>
        <w:t>13-39</w:t>
      </w:r>
      <w:r w:rsidR="0037457D" w:rsidRPr="00684FCB">
        <w:rPr>
          <w:szCs w:val="22"/>
        </w:rPr>
        <w:t>.  Comments may be filed using the Commission’s Electronic Comment Filing System (ECFS) or by filing paper copies.</w:t>
      </w:r>
      <w:r w:rsidR="0037457D" w:rsidRPr="00684FCB">
        <w:rPr>
          <w:rStyle w:val="FootnoteReference1"/>
          <w:sz w:val="22"/>
          <w:szCs w:val="22"/>
        </w:rPr>
        <w:footnoteReference w:id="16"/>
      </w:r>
      <w:r w:rsidR="0037457D" w:rsidRPr="00684FCB">
        <w:rPr>
          <w:szCs w:val="22"/>
        </w:rPr>
        <w:t xml:space="preserve">  </w:t>
      </w:r>
    </w:p>
    <w:p w:rsidR="0037457D" w:rsidRPr="00684FCB" w:rsidRDefault="0037457D" w:rsidP="0001436C">
      <w:pPr>
        <w:numPr>
          <w:ilvl w:val="0"/>
          <w:numId w:val="20"/>
        </w:numPr>
        <w:tabs>
          <w:tab w:val="clear" w:pos="360"/>
          <w:tab w:val="num" w:pos="720"/>
        </w:tabs>
        <w:ind w:left="720" w:hanging="360"/>
        <w:rPr>
          <w:rFonts w:eastAsia="ヒラギノ角ゴ Pro W3"/>
          <w:color w:val="000000"/>
          <w:szCs w:val="22"/>
        </w:rPr>
      </w:pPr>
      <w:r w:rsidRPr="00684FCB">
        <w:rPr>
          <w:rFonts w:eastAsia="ヒラギノ角ゴ Pro W3"/>
          <w:szCs w:val="22"/>
        </w:rPr>
        <w:t>Electronic Filers:</w:t>
      </w:r>
      <w:r w:rsidRPr="00684FCB">
        <w:rPr>
          <w:szCs w:val="22"/>
        </w:rPr>
        <w:t xml:space="preserve">  Comments may be filed electronically using the Internet by accessing the ECFS:  </w:t>
      </w:r>
      <w:hyperlink r:id="rId14" w:history="1">
        <w:r w:rsidRPr="00684FCB">
          <w:rPr>
            <w:rStyle w:val="Hyperlink1"/>
            <w:sz w:val="22"/>
            <w:szCs w:val="22"/>
          </w:rPr>
          <w:t>http://fjallfoss.fcc.gov/ecfs2/</w:t>
        </w:r>
      </w:hyperlink>
      <w:r w:rsidRPr="00684FCB">
        <w:rPr>
          <w:szCs w:val="22"/>
        </w:rPr>
        <w:t xml:space="preserve">.  </w:t>
      </w:r>
    </w:p>
    <w:p w:rsidR="0037457D" w:rsidRPr="00684FCB" w:rsidRDefault="0037457D" w:rsidP="0001436C">
      <w:pPr>
        <w:rPr>
          <w:szCs w:val="22"/>
        </w:rPr>
      </w:pPr>
    </w:p>
    <w:p w:rsidR="0037457D" w:rsidRPr="00684FCB" w:rsidRDefault="0037457D" w:rsidP="0001436C">
      <w:pPr>
        <w:numPr>
          <w:ilvl w:val="0"/>
          <w:numId w:val="20"/>
        </w:numPr>
        <w:tabs>
          <w:tab w:val="clear" w:pos="360"/>
          <w:tab w:val="num" w:pos="720"/>
        </w:tabs>
        <w:ind w:left="720" w:hanging="360"/>
        <w:rPr>
          <w:rFonts w:eastAsia="ヒラギノ角ゴ Pro W3"/>
          <w:color w:val="000000"/>
          <w:szCs w:val="22"/>
        </w:rPr>
      </w:pPr>
      <w:r w:rsidRPr="00684FCB">
        <w:rPr>
          <w:rFonts w:eastAsia="ヒラギノ角ゴ Pro W3"/>
          <w:szCs w:val="22"/>
        </w:rPr>
        <w:t>Paper Filers:</w:t>
      </w:r>
      <w:r w:rsidRPr="00684FCB">
        <w:rPr>
          <w:szCs w:val="22"/>
        </w:rP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7457D" w:rsidRPr="00684FCB" w:rsidRDefault="0037457D" w:rsidP="0001436C">
      <w:pPr>
        <w:rPr>
          <w:szCs w:val="22"/>
        </w:rPr>
      </w:pPr>
    </w:p>
    <w:p w:rsidR="0037457D" w:rsidRPr="00684FCB" w:rsidRDefault="0037457D" w:rsidP="0001436C">
      <w:pPr>
        <w:ind w:left="720"/>
        <w:rPr>
          <w:szCs w:val="22"/>
        </w:rPr>
      </w:pPr>
      <w:r w:rsidRPr="00684FC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7457D" w:rsidRPr="00684FCB" w:rsidRDefault="0037457D" w:rsidP="0001436C">
      <w:pPr>
        <w:rPr>
          <w:szCs w:val="22"/>
        </w:rPr>
      </w:pPr>
    </w:p>
    <w:p w:rsidR="0037457D" w:rsidRPr="00684FCB" w:rsidRDefault="0037457D" w:rsidP="0001436C">
      <w:pPr>
        <w:numPr>
          <w:ilvl w:val="0"/>
          <w:numId w:val="21"/>
        </w:numPr>
        <w:tabs>
          <w:tab w:val="num" w:pos="1440"/>
        </w:tabs>
        <w:ind w:left="1440"/>
        <w:rPr>
          <w:rFonts w:eastAsia="ヒラギノ角ゴ Pro W3"/>
          <w:color w:val="000000"/>
          <w:szCs w:val="22"/>
        </w:rPr>
      </w:pPr>
      <w:r w:rsidRPr="00684FCB">
        <w:rPr>
          <w:szCs w:val="22"/>
        </w:rPr>
        <w:t>All hand-delivered or messenger-delivered paper filings for the Commission’s Secretary must be delivered to FCC Headquarters at 445 12</w:t>
      </w:r>
      <w:r w:rsidRPr="00684FCB">
        <w:rPr>
          <w:szCs w:val="22"/>
          <w:vertAlign w:val="superscript"/>
        </w:rPr>
        <w:t>th</w:t>
      </w:r>
      <w:r w:rsidRPr="00684FCB">
        <w:rPr>
          <w:szCs w:val="22"/>
        </w:rPr>
        <w:t xml:space="preserve"> St., SW, Room TW-A325, Washington, DC 20554.  The filing hours are 8:00 a.m. to 7:00 p.m.  All hand deliveries must be held together with rubber bands or fasteners.  Any envelopes and boxes must be disposed of </w:t>
      </w:r>
      <w:r w:rsidRPr="00684FCB">
        <w:rPr>
          <w:i/>
          <w:szCs w:val="22"/>
        </w:rPr>
        <w:t>before</w:t>
      </w:r>
      <w:r w:rsidRPr="00684FCB">
        <w:rPr>
          <w:szCs w:val="22"/>
        </w:rPr>
        <w:t xml:space="preserve"> entering the building.  </w:t>
      </w:r>
    </w:p>
    <w:p w:rsidR="0037457D" w:rsidRPr="00684FCB" w:rsidRDefault="0037457D" w:rsidP="0001436C">
      <w:pPr>
        <w:ind w:left="1080"/>
        <w:rPr>
          <w:szCs w:val="22"/>
        </w:rPr>
      </w:pPr>
    </w:p>
    <w:p w:rsidR="0037457D" w:rsidRPr="00684FCB" w:rsidRDefault="0037457D" w:rsidP="0001436C">
      <w:pPr>
        <w:numPr>
          <w:ilvl w:val="0"/>
          <w:numId w:val="21"/>
        </w:numPr>
        <w:tabs>
          <w:tab w:val="num" w:pos="1440"/>
        </w:tabs>
        <w:ind w:left="1440"/>
        <w:rPr>
          <w:rFonts w:eastAsia="ヒラギノ角ゴ Pro W3"/>
          <w:color w:val="000000"/>
          <w:szCs w:val="22"/>
        </w:rPr>
      </w:pPr>
      <w:r w:rsidRPr="00684FCB">
        <w:rPr>
          <w:szCs w:val="22"/>
        </w:rPr>
        <w:t>Commercial overnight mail (other than U.S. Postal Service Express Mail and Priority Mail) must be sent to 9300 East Hampton Drive, Capitol Heights, MD 20743.</w:t>
      </w:r>
    </w:p>
    <w:p w:rsidR="0037457D" w:rsidRPr="00684FCB" w:rsidRDefault="0037457D" w:rsidP="0001436C">
      <w:pPr>
        <w:rPr>
          <w:szCs w:val="22"/>
        </w:rPr>
      </w:pPr>
    </w:p>
    <w:p w:rsidR="0037457D" w:rsidRPr="00684FCB" w:rsidRDefault="0037457D" w:rsidP="0001436C">
      <w:pPr>
        <w:numPr>
          <w:ilvl w:val="0"/>
          <w:numId w:val="21"/>
        </w:numPr>
        <w:tabs>
          <w:tab w:val="num" w:pos="1440"/>
        </w:tabs>
        <w:ind w:left="1440"/>
        <w:rPr>
          <w:rFonts w:eastAsia="ヒラギノ角ゴ Pro W3"/>
          <w:color w:val="000000"/>
          <w:szCs w:val="22"/>
        </w:rPr>
      </w:pPr>
      <w:r w:rsidRPr="00684FCB">
        <w:rPr>
          <w:szCs w:val="22"/>
        </w:rPr>
        <w:t>U.S. Postal Service first-class, Express, and Priority mail must be addressed to 445 12</w:t>
      </w:r>
      <w:r w:rsidRPr="00684FCB">
        <w:rPr>
          <w:szCs w:val="22"/>
          <w:vertAlign w:val="superscript"/>
        </w:rPr>
        <w:t>th</w:t>
      </w:r>
      <w:r w:rsidRPr="00684FCB">
        <w:rPr>
          <w:szCs w:val="22"/>
        </w:rPr>
        <w:t xml:space="preserve"> Street, SW, Washington DC  20554.</w:t>
      </w:r>
    </w:p>
    <w:p w:rsidR="0037457D" w:rsidRPr="00684FCB" w:rsidRDefault="0037457D" w:rsidP="0001436C">
      <w:pPr>
        <w:rPr>
          <w:szCs w:val="22"/>
        </w:rPr>
      </w:pPr>
    </w:p>
    <w:p w:rsidR="0037457D" w:rsidRPr="00684FCB" w:rsidRDefault="0037457D" w:rsidP="0001436C">
      <w:pPr>
        <w:numPr>
          <w:ilvl w:val="0"/>
          <w:numId w:val="20"/>
        </w:numPr>
        <w:tabs>
          <w:tab w:val="clear" w:pos="360"/>
          <w:tab w:val="num" w:pos="720"/>
        </w:tabs>
        <w:ind w:left="720" w:hanging="360"/>
        <w:rPr>
          <w:rFonts w:eastAsia="ヒラギノ角ゴ Pro W3"/>
          <w:color w:val="000000"/>
          <w:szCs w:val="22"/>
        </w:rPr>
      </w:pPr>
      <w:r w:rsidRPr="00684FCB">
        <w:rPr>
          <w:rFonts w:eastAsia="ヒラギノ角ゴ Pro W3"/>
          <w:szCs w:val="22"/>
        </w:rPr>
        <w:t>People with Disabilities:</w:t>
      </w:r>
      <w:r w:rsidRPr="00684FCB">
        <w:rPr>
          <w:szCs w:val="22"/>
        </w:rPr>
        <w:t xml:space="preserve">  To request materials in accessible formats for people with disabilities (braille, large print, electronic files, audio format), send an e-mail to </w:t>
      </w:r>
      <w:hyperlink r:id="rId15" w:history="1">
        <w:r w:rsidRPr="00684FCB">
          <w:rPr>
            <w:rStyle w:val="Hyperlink1"/>
            <w:sz w:val="22"/>
            <w:szCs w:val="22"/>
          </w:rPr>
          <w:t>fcc504@fcc.gov</w:t>
        </w:r>
      </w:hyperlink>
      <w:r w:rsidRPr="00684FCB">
        <w:rPr>
          <w:szCs w:val="22"/>
        </w:rPr>
        <w:t xml:space="preserve"> or call the Consumer &amp; Governmental Affairs Bureau at 202-418-0530 (voice), 202-418-0432 (tty).</w:t>
      </w:r>
    </w:p>
    <w:p w:rsidR="0037457D" w:rsidRPr="00684FCB" w:rsidRDefault="0037457D" w:rsidP="0001436C">
      <w:pPr>
        <w:ind w:left="360"/>
        <w:rPr>
          <w:szCs w:val="22"/>
        </w:rPr>
      </w:pPr>
    </w:p>
    <w:p w:rsidR="0037457D" w:rsidRPr="00684FCB" w:rsidRDefault="0037457D" w:rsidP="0001436C">
      <w:pPr>
        <w:rPr>
          <w:szCs w:val="22"/>
        </w:rPr>
      </w:pPr>
      <w:r w:rsidRPr="00684FCB">
        <w:rPr>
          <w:rFonts w:eastAsia="ヒラギノ角ゴ Pro W3"/>
          <w:szCs w:val="22"/>
        </w:rPr>
        <w:tab/>
      </w:r>
      <w:r w:rsidRPr="00684FCB">
        <w:rPr>
          <w:szCs w:val="22"/>
        </w:rPr>
        <w:t>Th</w:t>
      </w:r>
      <w:r w:rsidR="00EF7C9F" w:rsidRPr="00684FCB">
        <w:rPr>
          <w:szCs w:val="22"/>
        </w:rPr>
        <w:t>is</w:t>
      </w:r>
      <w:r w:rsidRPr="00684FCB">
        <w:rPr>
          <w:szCs w:val="22"/>
        </w:rPr>
        <w:t xml:space="preserve"> </w:t>
      </w:r>
      <w:r w:rsidR="00EF7C9F" w:rsidRPr="00684FCB">
        <w:rPr>
          <w:szCs w:val="22"/>
        </w:rPr>
        <w:t xml:space="preserve">matter </w:t>
      </w:r>
      <w:r w:rsidRPr="00684FCB">
        <w:rPr>
          <w:szCs w:val="22"/>
        </w:rPr>
        <w:t xml:space="preserve">shall be treated as a “permit-but-disclose” proceeding in accordance with the Commission’s </w:t>
      </w:r>
      <w:r w:rsidRPr="00684FCB">
        <w:rPr>
          <w:rFonts w:eastAsia="ヒラギノ角ゴ Pro W3"/>
          <w:szCs w:val="22"/>
        </w:rPr>
        <w:t xml:space="preserve">ex parte </w:t>
      </w:r>
      <w:r w:rsidRPr="00684FCB">
        <w:rPr>
          <w:szCs w:val="22"/>
        </w:rPr>
        <w:t>rules.</w:t>
      </w:r>
      <w:r w:rsidRPr="00684FCB">
        <w:rPr>
          <w:rStyle w:val="FootnoteReference1"/>
          <w:sz w:val="22"/>
          <w:szCs w:val="22"/>
        </w:rPr>
        <w:footnoteReference w:id="17"/>
      </w:r>
      <w:r w:rsidRPr="00684FCB">
        <w:rPr>
          <w:szCs w:val="22"/>
        </w:rPr>
        <w:t xml:space="preserve">  Persons making </w:t>
      </w:r>
      <w:r w:rsidRPr="00684FCB">
        <w:rPr>
          <w:rFonts w:eastAsia="ヒラギノ角ゴ Pro W3"/>
          <w:szCs w:val="22"/>
        </w:rPr>
        <w:t xml:space="preserve">ex parte </w:t>
      </w:r>
      <w:r w:rsidRPr="00684FC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84FCB">
        <w:rPr>
          <w:rFonts w:eastAsia="ヒラギノ角ゴ Pro W3"/>
          <w:szCs w:val="22"/>
        </w:rPr>
        <w:t xml:space="preserve">ex parte </w:t>
      </w:r>
      <w:r w:rsidRPr="00684FCB">
        <w:rPr>
          <w:szCs w:val="22"/>
        </w:rPr>
        <w:t xml:space="preserve">presentations are reminded that memoranda summarizing the presentation must (1) list all persons attending or otherwise participating in the meeting at which the </w:t>
      </w:r>
      <w:r w:rsidRPr="00684FCB">
        <w:rPr>
          <w:rFonts w:eastAsia="ヒラギノ角ゴ Pro W3"/>
          <w:szCs w:val="22"/>
        </w:rPr>
        <w:t xml:space="preserve">ex parte </w:t>
      </w:r>
      <w:r w:rsidRPr="00684FC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84FCB">
        <w:rPr>
          <w:rFonts w:eastAsia="ヒラギノ角ゴ Pro W3"/>
          <w:szCs w:val="22"/>
        </w:rPr>
        <w:t xml:space="preserve">ex parte </w:t>
      </w:r>
      <w:r w:rsidRPr="00684FCB">
        <w:rPr>
          <w:szCs w:val="22"/>
        </w:rPr>
        <w:t xml:space="preserve">meetings are deemed to be written </w:t>
      </w:r>
      <w:r w:rsidRPr="00684FCB">
        <w:rPr>
          <w:rFonts w:eastAsia="ヒラギノ角ゴ Pro W3"/>
          <w:szCs w:val="22"/>
        </w:rPr>
        <w:t>ex parte</w:t>
      </w:r>
      <w:r w:rsidRPr="00684FCB">
        <w:rPr>
          <w:szCs w:val="22"/>
        </w:rPr>
        <w:t xml:space="preserve"> presentations and must be filed consistent with rule 1.1206(b).  In proceedings governed by rule 1.49(f) or for which the Commission has made available a method of electronic filing, written </w:t>
      </w:r>
      <w:r w:rsidRPr="00684FCB">
        <w:rPr>
          <w:rFonts w:eastAsia="ヒラギノ角ゴ Pro W3"/>
          <w:szCs w:val="22"/>
        </w:rPr>
        <w:t xml:space="preserve">ex parte </w:t>
      </w:r>
      <w:r w:rsidRPr="00684FCB">
        <w:rPr>
          <w:szCs w:val="22"/>
        </w:rPr>
        <w:t xml:space="preserve">presentations and memoranda summarizing oral </w:t>
      </w:r>
      <w:r w:rsidRPr="00684FCB">
        <w:rPr>
          <w:rFonts w:eastAsia="ヒラギノ角ゴ Pro W3"/>
          <w:szCs w:val="22"/>
        </w:rPr>
        <w:t xml:space="preserve">ex parte </w:t>
      </w:r>
      <w:r w:rsidRPr="00684FCB">
        <w:rPr>
          <w:szCs w:val="22"/>
        </w:rPr>
        <w:t>presentations, and all attachments thereto, must be filed through the electronic comment filing system available for that proceeding, and must be filed in their native format (</w:t>
      </w:r>
      <w:r w:rsidRPr="00684FCB">
        <w:rPr>
          <w:rFonts w:eastAsia="ヒラギノ角ゴ Pro W3"/>
          <w:szCs w:val="22"/>
        </w:rPr>
        <w:t>e.g.</w:t>
      </w:r>
      <w:r w:rsidRPr="00684FCB">
        <w:rPr>
          <w:szCs w:val="22"/>
        </w:rPr>
        <w:t xml:space="preserve">, .doc, .xml, .ppt, searchable .pdf).  Participants in this proceeding should familiarize themselves with the Commission’s </w:t>
      </w:r>
      <w:r w:rsidRPr="00684FCB">
        <w:rPr>
          <w:rFonts w:eastAsia="ヒラギノ角ゴ Pro W3"/>
          <w:szCs w:val="22"/>
        </w:rPr>
        <w:t xml:space="preserve">ex parte </w:t>
      </w:r>
      <w:r w:rsidRPr="00684FCB">
        <w:rPr>
          <w:szCs w:val="22"/>
        </w:rPr>
        <w:t>rules.</w:t>
      </w:r>
    </w:p>
    <w:p w:rsidR="0037457D" w:rsidRPr="00684FCB" w:rsidRDefault="0037457D" w:rsidP="0001436C">
      <w:pPr>
        <w:rPr>
          <w:szCs w:val="22"/>
        </w:rPr>
      </w:pPr>
    </w:p>
    <w:p w:rsidR="0037457D" w:rsidRPr="00684FCB" w:rsidRDefault="0037457D" w:rsidP="0001436C">
      <w:pPr>
        <w:spacing w:after="120"/>
        <w:ind w:firstLine="720"/>
        <w:rPr>
          <w:szCs w:val="22"/>
        </w:rPr>
      </w:pPr>
      <w:r w:rsidRPr="00684FCB">
        <w:rPr>
          <w:szCs w:val="22"/>
        </w:rPr>
        <w:t>For further i</w:t>
      </w:r>
      <w:r w:rsidR="006A3469" w:rsidRPr="00684FCB">
        <w:rPr>
          <w:szCs w:val="22"/>
        </w:rPr>
        <w:t>nformation, please contact Gregory Kwan</w:t>
      </w:r>
      <w:r w:rsidRPr="00684FCB">
        <w:rPr>
          <w:szCs w:val="22"/>
        </w:rPr>
        <w:t xml:space="preserve">, </w:t>
      </w:r>
      <w:r w:rsidR="006A3469" w:rsidRPr="00684FCB">
        <w:rPr>
          <w:szCs w:val="22"/>
        </w:rPr>
        <w:t xml:space="preserve">Competition </w:t>
      </w:r>
      <w:r w:rsidRPr="00684FCB">
        <w:rPr>
          <w:szCs w:val="22"/>
        </w:rPr>
        <w:t>Policy Division, Wireline Comp</w:t>
      </w:r>
      <w:r w:rsidR="006A3469" w:rsidRPr="00684FCB">
        <w:rPr>
          <w:szCs w:val="22"/>
        </w:rPr>
        <w:t>etition Bureau at (202) 418-1191</w:t>
      </w:r>
      <w:r w:rsidRPr="00684FCB">
        <w:rPr>
          <w:szCs w:val="22"/>
        </w:rPr>
        <w:t xml:space="preserve"> or </w:t>
      </w:r>
      <w:r w:rsidR="006A3469" w:rsidRPr="00684FCB">
        <w:rPr>
          <w:szCs w:val="22"/>
        </w:rPr>
        <w:t>Gregory.Kwan</w:t>
      </w:r>
      <w:r w:rsidRPr="00684FCB">
        <w:rPr>
          <w:szCs w:val="22"/>
        </w:rPr>
        <w:t>@fcc.gov.</w:t>
      </w:r>
    </w:p>
    <w:sectPr w:rsidR="0037457D" w:rsidRPr="00684FCB">
      <w:footerReference w:type="even" r:id="rId16"/>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05" w:rsidRDefault="00102F05">
      <w:r>
        <w:separator/>
      </w:r>
    </w:p>
  </w:endnote>
  <w:endnote w:type="continuationSeparator" w:id="0">
    <w:p w:rsidR="00102F05" w:rsidRDefault="0010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E1000AEF"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D" w:rsidRDefault="00374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457D" w:rsidRDefault="00374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D" w:rsidRDefault="00374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457D" w:rsidRDefault="00374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D" w:rsidRPr="0051547C" w:rsidRDefault="0037457D">
    <w:pPr>
      <w:pStyle w:val="Footer"/>
      <w:tabs>
        <w:tab w:val="clear" w:pos="4320"/>
        <w:tab w:val="clear" w:pos="8640"/>
        <w:tab w:val="right" w:pos="9270"/>
      </w:tabs>
      <w:jc w:val="both"/>
      <w:rPr>
        <w:sz w:val="20"/>
      </w:rPr>
    </w:pPr>
    <w:r>
      <w:rPr>
        <w:sz w:val="20"/>
      </w:rPr>
      <w:tab/>
    </w:r>
    <w:r>
      <w:rPr>
        <w:sz w:val="20"/>
      </w:rPr>
      <w:tab/>
    </w:r>
    <w:r>
      <w:rPr>
        <w:b/>
        <w:i/>
        <w:sz w:val="20"/>
      </w:rPr>
      <w:t xml:space="preserve"> </w:t>
    </w:r>
    <w:r>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D" w:rsidRDefault="00374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457D" w:rsidRDefault="003745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D" w:rsidRDefault="0037457D" w:rsidP="00614071">
    <w:pPr>
      <w:pStyle w:val="Footer"/>
      <w:framePr w:wrap="around" w:vAnchor="text" w:hAnchor="page" w:x="6084" w:y="173"/>
      <w:rPr>
        <w:rStyle w:val="PageNumber"/>
      </w:rPr>
    </w:pPr>
    <w:r>
      <w:rPr>
        <w:rStyle w:val="PageNumber"/>
      </w:rPr>
      <w:fldChar w:fldCharType="begin"/>
    </w:r>
    <w:r>
      <w:rPr>
        <w:rStyle w:val="PageNumber"/>
      </w:rPr>
      <w:instrText xml:space="preserve">PAGE  </w:instrText>
    </w:r>
    <w:r>
      <w:rPr>
        <w:rStyle w:val="PageNumber"/>
      </w:rPr>
      <w:fldChar w:fldCharType="separate"/>
    </w:r>
    <w:r w:rsidR="0064521C">
      <w:rPr>
        <w:rStyle w:val="PageNumber"/>
        <w:noProof/>
      </w:rPr>
      <w:t>4</w:t>
    </w:r>
    <w:r>
      <w:rPr>
        <w:rStyle w:val="PageNumber"/>
      </w:rPr>
      <w:fldChar w:fldCharType="end"/>
    </w:r>
  </w:p>
  <w:p w:rsidR="00614071" w:rsidRDefault="00614071">
    <w:pPr>
      <w:pStyle w:val="Footer"/>
      <w:tabs>
        <w:tab w:val="clear" w:pos="4320"/>
        <w:tab w:val="clear" w:pos="8640"/>
        <w:tab w:val="center" w:pos="-55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05" w:rsidRDefault="00102F05">
      <w:r>
        <w:separator/>
      </w:r>
    </w:p>
  </w:footnote>
  <w:footnote w:type="continuationSeparator" w:id="0">
    <w:p w:rsidR="00102F05" w:rsidRDefault="00102F05">
      <w:r>
        <w:continuationSeparator/>
      </w:r>
    </w:p>
  </w:footnote>
  <w:footnote w:id="1">
    <w:p w:rsidR="002B6A9C" w:rsidRPr="00326B6E" w:rsidRDefault="002B6A9C" w:rsidP="007B0FBF">
      <w:pPr>
        <w:pStyle w:val="FootnoteText"/>
        <w:spacing w:after="120"/>
        <w:rPr>
          <w:sz w:val="20"/>
        </w:rPr>
      </w:pPr>
      <w:r w:rsidRPr="00326B6E">
        <w:rPr>
          <w:rStyle w:val="FootnoteReference"/>
          <w:sz w:val="20"/>
        </w:rPr>
        <w:footnoteRef/>
      </w:r>
      <w:r w:rsidRPr="00326B6E">
        <w:rPr>
          <w:sz w:val="20"/>
        </w:rPr>
        <w:t xml:space="preserve"> </w:t>
      </w:r>
      <w:r w:rsidRPr="00326B6E">
        <w:rPr>
          <w:i/>
          <w:sz w:val="20"/>
        </w:rPr>
        <w:t>Rural Call Completion</w:t>
      </w:r>
      <w:r w:rsidRPr="00326B6E">
        <w:rPr>
          <w:sz w:val="20"/>
        </w:rPr>
        <w:t>, WC Docket No. 13-39, Report and Order and Further Notice of Proposed Rulemaking, 28 FCC Rcd 16154 (2013) (</w:t>
      </w:r>
      <w:r w:rsidRPr="00326B6E">
        <w:rPr>
          <w:i/>
          <w:sz w:val="20"/>
        </w:rPr>
        <w:t xml:space="preserve">Rural Call Completion Order </w:t>
      </w:r>
      <w:r w:rsidRPr="00326B6E">
        <w:rPr>
          <w:sz w:val="20"/>
        </w:rPr>
        <w:t xml:space="preserve">or </w:t>
      </w:r>
      <w:r w:rsidRPr="00326B6E">
        <w:rPr>
          <w:i/>
          <w:sz w:val="20"/>
        </w:rPr>
        <w:t>Order</w:t>
      </w:r>
      <w:r w:rsidRPr="00326B6E">
        <w:rPr>
          <w:sz w:val="20"/>
        </w:rPr>
        <w:t xml:space="preserve">). </w:t>
      </w:r>
    </w:p>
  </w:footnote>
  <w:footnote w:id="2">
    <w:p w:rsidR="002B6A9C" w:rsidRPr="00326B6E" w:rsidRDefault="002B6A9C" w:rsidP="007B0FBF">
      <w:pPr>
        <w:pStyle w:val="FootnoteText"/>
        <w:spacing w:after="120"/>
        <w:rPr>
          <w:sz w:val="20"/>
        </w:rPr>
      </w:pPr>
      <w:r w:rsidRPr="00326B6E">
        <w:rPr>
          <w:rStyle w:val="FootnoteReference"/>
          <w:sz w:val="20"/>
        </w:rPr>
        <w:footnoteRef/>
      </w:r>
      <w:r w:rsidRPr="00326B6E">
        <w:rPr>
          <w:sz w:val="20"/>
        </w:rPr>
        <w:t xml:space="preserve"> </w:t>
      </w:r>
      <w:r w:rsidRPr="00326B6E">
        <w:rPr>
          <w:i/>
          <w:sz w:val="20"/>
        </w:rPr>
        <w:t>See</w:t>
      </w:r>
      <w:r w:rsidRPr="00326B6E">
        <w:rPr>
          <w:sz w:val="20"/>
        </w:rPr>
        <w:t xml:space="preserve"> </w:t>
      </w:r>
      <w:r w:rsidRPr="00326B6E">
        <w:rPr>
          <w:i/>
          <w:sz w:val="20"/>
        </w:rPr>
        <w:t>id.</w:t>
      </w:r>
      <w:r w:rsidRPr="00326B6E">
        <w:rPr>
          <w:sz w:val="20"/>
        </w:rPr>
        <w:t xml:space="preserve"> at 16184, para. 66 (“[Wireline Competition] Bureau staff will work with providers to ensure that the providers have the tools they need to complete and file the form [in Appendix C] in the least burdensome manner possible.”). </w:t>
      </w:r>
    </w:p>
  </w:footnote>
  <w:footnote w:id="3">
    <w:p w:rsidR="00DF707F" w:rsidRPr="00326B6E" w:rsidRDefault="00DF707F" w:rsidP="007B0FBF">
      <w:pPr>
        <w:pStyle w:val="FootnoteText"/>
        <w:spacing w:after="120"/>
        <w:rPr>
          <w:sz w:val="20"/>
        </w:rPr>
      </w:pPr>
      <w:r w:rsidRPr="00326B6E">
        <w:rPr>
          <w:rStyle w:val="FootnoteReference"/>
          <w:sz w:val="20"/>
        </w:rPr>
        <w:footnoteRef/>
      </w:r>
      <w:r w:rsidRPr="00326B6E">
        <w:rPr>
          <w:sz w:val="20"/>
        </w:rPr>
        <w:t xml:space="preserve"> </w:t>
      </w:r>
      <w:r w:rsidR="00EF5AD2" w:rsidRPr="00326B6E">
        <w:rPr>
          <w:i/>
          <w:sz w:val="20"/>
        </w:rPr>
        <w:t>Id.</w:t>
      </w:r>
      <w:r w:rsidR="00EF5AD2" w:rsidRPr="00326B6E">
        <w:rPr>
          <w:sz w:val="20"/>
        </w:rPr>
        <w:t xml:space="preserve"> at 16187, para. 72.</w:t>
      </w:r>
    </w:p>
  </w:footnote>
  <w:footnote w:id="4">
    <w:p w:rsidR="00177070" w:rsidRPr="00326B6E" w:rsidRDefault="00177070" w:rsidP="007B0FBF">
      <w:pPr>
        <w:pStyle w:val="FootnoteText"/>
        <w:spacing w:after="120"/>
        <w:rPr>
          <w:sz w:val="20"/>
        </w:rPr>
      </w:pPr>
      <w:r w:rsidRPr="00326B6E">
        <w:rPr>
          <w:rStyle w:val="FootnoteReference"/>
          <w:sz w:val="20"/>
        </w:rPr>
        <w:footnoteRef/>
      </w:r>
      <w:r w:rsidRPr="00326B6E">
        <w:rPr>
          <w:sz w:val="20"/>
        </w:rPr>
        <w:t xml:space="preserve"> </w:t>
      </w:r>
      <w:r w:rsidRPr="00326B6E">
        <w:rPr>
          <w:i/>
          <w:sz w:val="20"/>
        </w:rPr>
        <w:t xml:space="preserve">Id. </w:t>
      </w:r>
      <w:r w:rsidRPr="00326B6E">
        <w:rPr>
          <w:sz w:val="20"/>
        </w:rPr>
        <w:t>at 16186, para. 71.</w:t>
      </w:r>
    </w:p>
  </w:footnote>
  <w:footnote w:id="5">
    <w:p w:rsidR="00DF707F" w:rsidRPr="00326B6E" w:rsidRDefault="00DF707F" w:rsidP="007B0FBF">
      <w:pPr>
        <w:pStyle w:val="FootnoteText"/>
        <w:spacing w:after="120"/>
        <w:rPr>
          <w:sz w:val="20"/>
        </w:rPr>
      </w:pPr>
      <w:r w:rsidRPr="00326B6E">
        <w:rPr>
          <w:rStyle w:val="FootnoteReference"/>
          <w:sz w:val="20"/>
        </w:rPr>
        <w:footnoteRef/>
      </w:r>
      <w:r w:rsidRPr="00326B6E">
        <w:rPr>
          <w:sz w:val="20"/>
        </w:rPr>
        <w:t xml:space="preserve"> </w:t>
      </w:r>
      <w:r w:rsidR="00A50E24" w:rsidRPr="00326B6E">
        <w:rPr>
          <w:i/>
          <w:sz w:val="20"/>
        </w:rPr>
        <w:t xml:space="preserve">Id. </w:t>
      </w:r>
      <w:r w:rsidRPr="00326B6E">
        <w:rPr>
          <w:sz w:val="20"/>
        </w:rPr>
        <w:t xml:space="preserve">at 16218, </w:t>
      </w:r>
      <w:r w:rsidR="00EF7C9F" w:rsidRPr="00326B6E">
        <w:rPr>
          <w:sz w:val="20"/>
        </w:rPr>
        <w:t xml:space="preserve">Appx. </w:t>
      </w:r>
      <w:r w:rsidRPr="00326B6E">
        <w:rPr>
          <w:sz w:val="20"/>
        </w:rPr>
        <w:t xml:space="preserve">C.  </w:t>
      </w:r>
    </w:p>
  </w:footnote>
  <w:footnote w:id="6">
    <w:p w:rsidR="0071052C" w:rsidRPr="00326B6E" w:rsidRDefault="0071052C" w:rsidP="007B0FBF">
      <w:pPr>
        <w:pStyle w:val="FootnoteText"/>
        <w:spacing w:after="120"/>
        <w:rPr>
          <w:sz w:val="20"/>
        </w:rPr>
      </w:pPr>
      <w:r w:rsidRPr="00326B6E">
        <w:rPr>
          <w:rStyle w:val="FootnoteReference"/>
          <w:sz w:val="20"/>
        </w:rPr>
        <w:footnoteRef/>
      </w:r>
      <w:r w:rsidRPr="00326B6E">
        <w:rPr>
          <w:sz w:val="20"/>
        </w:rPr>
        <w:t xml:space="preserve"> These terms are release cause codes that are used within the network to identify the outcome of a given call.</w:t>
      </w:r>
    </w:p>
  </w:footnote>
  <w:footnote w:id="7">
    <w:p w:rsidR="003D4461" w:rsidRPr="00326B6E" w:rsidRDefault="003D4461" w:rsidP="007B0FBF">
      <w:pPr>
        <w:pStyle w:val="FootnoteText"/>
        <w:spacing w:after="120"/>
        <w:rPr>
          <w:sz w:val="20"/>
        </w:rPr>
      </w:pPr>
      <w:r w:rsidRPr="00326B6E">
        <w:rPr>
          <w:rStyle w:val="FootnoteReference"/>
          <w:sz w:val="20"/>
        </w:rPr>
        <w:footnoteRef/>
      </w:r>
      <w:r w:rsidRPr="00326B6E">
        <w:rPr>
          <w:sz w:val="20"/>
        </w:rPr>
        <w:t xml:space="preserve"> </w:t>
      </w:r>
      <w:r w:rsidR="00175FEE" w:rsidRPr="00326B6E">
        <w:rPr>
          <w:i/>
          <w:sz w:val="20"/>
        </w:rPr>
        <w:t>Rural Call Completion Order</w:t>
      </w:r>
      <w:r w:rsidR="00175FEE" w:rsidRPr="00326B6E">
        <w:rPr>
          <w:sz w:val="20"/>
        </w:rPr>
        <w:t xml:space="preserve">, 28 FCC Rcd at 16218, Appx. C.  </w:t>
      </w:r>
    </w:p>
  </w:footnote>
  <w:footnote w:id="8">
    <w:p w:rsidR="002F5E66" w:rsidRPr="00326B6E" w:rsidRDefault="002F5E66" w:rsidP="007B0FBF">
      <w:pPr>
        <w:pStyle w:val="FootnoteText"/>
        <w:spacing w:after="120"/>
        <w:rPr>
          <w:sz w:val="20"/>
        </w:rPr>
      </w:pPr>
      <w:r w:rsidRPr="00326B6E">
        <w:rPr>
          <w:rStyle w:val="FootnoteReference"/>
          <w:sz w:val="20"/>
        </w:rPr>
        <w:footnoteRef/>
      </w:r>
      <w:r w:rsidRPr="00326B6E">
        <w:rPr>
          <w:sz w:val="20"/>
        </w:rPr>
        <w:t xml:space="preserve"> </w:t>
      </w:r>
      <w:r w:rsidRPr="00326B6E">
        <w:rPr>
          <w:i/>
          <w:sz w:val="20"/>
        </w:rPr>
        <w:t>See</w:t>
      </w:r>
      <w:r w:rsidRPr="00326B6E">
        <w:rPr>
          <w:sz w:val="20"/>
        </w:rPr>
        <w:t xml:space="preserve"> Letter from Maggie McCready, Vice President, Federal Regulatory Affairs, Verizon, to Marlene H. Dortch, Secretary, FCC, WC Docket No. 13-39 (filed</w:t>
      </w:r>
      <w:r w:rsidR="00667D09" w:rsidRPr="00326B6E">
        <w:rPr>
          <w:sz w:val="20"/>
        </w:rPr>
        <w:t xml:space="preserve"> </w:t>
      </w:r>
      <w:r w:rsidRPr="00326B6E">
        <w:rPr>
          <w:sz w:val="20"/>
        </w:rPr>
        <w:t>Mar. 24, 2014) (Verizon Mar</w:t>
      </w:r>
      <w:r w:rsidR="00667D09" w:rsidRPr="00326B6E">
        <w:rPr>
          <w:sz w:val="20"/>
        </w:rPr>
        <w:t>.</w:t>
      </w:r>
      <w:r w:rsidRPr="00326B6E">
        <w:rPr>
          <w:sz w:val="20"/>
        </w:rPr>
        <w:t xml:space="preserve"> 24, 2014 Ex Parte)</w:t>
      </w:r>
      <w:r w:rsidR="00B11B97" w:rsidRPr="00326B6E">
        <w:rPr>
          <w:sz w:val="20"/>
        </w:rPr>
        <w:t xml:space="preserve">; Letter from Joseph C. Cavender, Vice President, Federal Affairs, Level 3, to Marlene H. Dortch, Secretary, </w:t>
      </w:r>
      <w:r w:rsidR="00BF0CB2">
        <w:rPr>
          <w:sz w:val="20"/>
        </w:rPr>
        <w:t>FCC</w:t>
      </w:r>
      <w:r w:rsidR="00B11B97" w:rsidRPr="00326B6E">
        <w:rPr>
          <w:sz w:val="20"/>
        </w:rPr>
        <w:t>, WC Docket No. 13-39 (filed Jan. 29, 2014) (Level 3 Jan. 29, 2014 Ex Parte)</w:t>
      </w:r>
      <w:r w:rsidRPr="00326B6E">
        <w:rPr>
          <w:sz w:val="20"/>
        </w:rPr>
        <w:t>.</w:t>
      </w:r>
    </w:p>
  </w:footnote>
  <w:footnote w:id="9">
    <w:p w:rsidR="001340F8" w:rsidRPr="00326B6E" w:rsidRDefault="001340F8" w:rsidP="007B0FBF">
      <w:pPr>
        <w:pStyle w:val="FootnoteText"/>
        <w:spacing w:after="120"/>
        <w:rPr>
          <w:sz w:val="20"/>
        </w:rPr>
      </w:pPr>
      <w:r w:rsidRPr="00326B6E">
        <w:rPr>
          <w:rStyle w:val="FootnoteReference"/>
          <w:sz w:val="20"/>
        </w:rPr>
        <w:footnoteRef/>
      </w:r>
      <w:r w:rsidRPr="00326B6E">
        <w:rPr>
          <w:sz w:val="20"/>
        </w:rPr>
        <w:t xml:space="preserve"> </w:t>
      </w:r>
      <w:r w:rsidR="003A0F5D" w:rsidRPr="00326B6E">
        <w:rPr>
          <w:i/>
          <w:sz w:val="20"/>
        </w:rPr>
        <w:t xml:space="preserve">Id. </w:t>
      </w:r>
      <w:r w:rsidR="003A0F5D" w:rsidRPr="00326B6E">
        <w:rPr>
          <w:sz w:val="20"/>
        </w:rPr>
        <w:t xml:space="preserve">at </w:t>
      </w:r>
      <w:r w:rsidRPr="00326B6E">
        <w:rPr>
          <w:sz w:val="20"/>
        </w:rPr>
        <w:t>1.</w:t>
      </w:r>
    </w:p>
  </w:footnote>
  <w:footnote w:id="10">
    <w:p w:rsidR="002B6A9C" w:rsidRPr="00326B6E" w:rsidRDefault="002B6A9C" w:rsidP="007B0FBF">
      <w:pPr>
        <w:pStyle w:val="FootnoteText"/>
        <w:spacing w:after="120"/>
        <w:rPr>
          <w:sz w:val="20"/>
        </w:rPr>
      </w:pPr>
      <w:r w:rsidRPr="00326B6E">
        <w:rPr>
          <w:rStyle w:val="FootnoteReference"/>
          <w:sz w:val="20"/>
        </w:rPr>
        <w:footnoteRef/>
      </w:r>
      <w:r w:rsidRPr="00326B6E">
        <w:rPr>
          <w:sz w:val="20"/>
        </w:rPr>
        <w:t xml:space="preserve"> </w:t>
      </w:r>
      <w:r w:rsidRPr="00326B6E">
        <w:rPr>
          <w:i/>
          <w:sz w:val="20"/>
        </w:rPr>
        <w:t>Rural Call Completion Order</w:t>
      </w:r>
      <w:r w:rsidRPr="00326B6E">
        <w:rPr>
          <w:sz w:val="20"/>
        </w:rPr>
        <w:t>, 28 FCC Rcd at 16187, para. 72.</w:t>
      </w:r>
    </w:p>
  </w:footnote>
  <w:footnote w:id="11">
    <w:p w:rsidR="00060703" w:rsidRPr="00326B6E" w:rsidRDefault="00060703" w:rsidP="007B0FBF">
      <w:pPr>
        <w:pStyle w:val="FootnoteText"/>
        <w:spacing w:after="120"/>
        <w:rPr>
          <w:sz w:val="20"/>
        </w:rPr>
      </w:pPr>
      <w:r w:rsidRPr="00326B6E">
        <w:rPr>
          <w:rStyle w:val="FootnoteReference"/>
          <w:sz w:val="20"/>
        </w:rPr>
        <w:footnoteRef/>
      </w:r>
      <w:r w:rsidRPr="00326B6E">
        <w:rPr>
          <w:sz w:val="20"/>
        </w:rPr>
        <w:t xml:space="preserve"> Level 3, for example, states that it “only considers calls answered where it has received an ISUP Answer message (ANM) or the SIP equivalent.”  Level 3 Jan. 29, 2014 Ex Parte at 1.</w:t>
      </w:r>
    </w:p>
  </w:footnote>
  <w:footnote w:id="12">
    <w:p w:rsidR="0071239A" w:rsidRPr="00326B6E" w:rsidRDefault="0071239A" w:rsidP="007B0FBF">
      <w:pPr>
        <w:pStyle w:val="FootnoteText"/>
        <w:spacing w:after="120"/>
        <w:rPr>
          <w:b/>
          <w:sz w:val="20"/>
        </w:rPr>
      </w:pPr>
      <w:r w:rsidRPr="00326B6E">
        <w:rPr>
          <w:rStyle w:val="FootnoteReference"/>
          <w:sz w:val="20"/>
        </w:rPr>
        <w:footnoteRef/>
      </w:r>
      <w:r w:rsidRPr="00326B6E">
        <w:rPr>
          <w:sz w:val="20"/>
        </w:rPr>
        <w:t xml:space="preserve"> </w:t>
      </w:r>
      <w:r w:rsidR="00582243">
        <w:rPr>
          <w:i/>
          <w:sz w:val="20"/>
        </w:rPr>
        <w:t>Rural Call Completion Order</w:t>
      </w:r>
      <w:r w:rsidR="00582243">
        <w:rPr>
          <w:sz w:val="20"/>
        </w:rPr>
        <w:t>, 28 FCC Rcd</w:t>
      </w:r>
      <w:r w:rsidR="003A0F5D" w:rsidRPr="00326B6E">
        <w:rPr>
          <w:i/>
          <w:sz w:val="20"/>
        </w:rPr>
        <w:t xml:space="preserve"> </w:t>
      </w:r>
      <w:r w:rsidR="003A0F5D" w:rsidRPr="00326B6E">
        <w:rPr>
          <w:sz w:val="20"/>
        </w:rPr>
        <w:t xml:space="preserve">at </w:t>
      </w:r>
      <w:r w:rsidRPr="00326B6E">
        <w:rPr>
          <w:sz w:val="20"/>
        </w:rPr>
        <w:t xml:space="preserve">16185, para. 68. </w:t>
      </w:r>
    </w:p>
  </w:footnote>
  <w:footnote w:id="13">
    <w:p w:rsidR="009927BC" w:rsidRPr="00326B6E" w:rsidRDefault="009927BC" w:rsidP="007B0FBF">
      <w:pPr>
        <w:pStyle w:val="FootnoteText"/>
        <w:spacing w:after="120"/>
        <w:rPr>
          <w:b/>
          <w:sz w:val="20"/>
        </w:rPr>
      </w:pPr>
      <w:r w:rsidRPr="00326B6E">
        <w:rPr>
          <w:rStyle w:val="FootnoteReference"/>
          <w:sz w:val="20"/>
        </w:rPr>
        <w:footnoteRef/>
      </w:r>
      <w:r w:rsidRPr="00326B6E">
        <w:rPr>
          <w:sz w:val="20"/>
        </w:rPr>
        <w:t xml:space="preserve"> </w:t>
      </w:r>
      <w:r w:rsidR="00A50E24" w:rsidRPr="00326B6E">
        <w:rPr>
          <w:i/>
          <w:sz w:val="20"/>
        </w:rPr>
        <w:t xml:space="preserve">Id. </w:t>
      </w:r>
      <w:r w:rsidRPr="00326B6E">
        <w:rPr>
          <w:sz w:val="20"/>
        </w:rPr>
        <w:t>at 16218, Appx. C.</w:t>
      </w:r>
    </w:p>
  </w:footnote>
  <w:footnote w:id="14">
    <w:p w:rsidR="002D3F01" w:rsidRPr="00326B6E" w:rsidRDefault="002D3F01" w:rsidP="007B0FBF">
      <w:pPr>
        <w:pStyle w:val="FootnoteText"/>
        <w:spacing w:after="120"/>
        <w:rPr>
          <w:sz w:val="20"/>
        </w:rPr>
      </w:pPr>
      <w:r w:rsidRPr="00326B6E">
        <w:rPr>
          <w:rStyle w:val="FootnoteReference"/>
          <w:sz w:val="20"/>
        </w:rPr>
        <w:footnoteRef/>
      </w:r>
      <w:r w:rsidRPr="00326B6E">
        <w:rPr>
          <w:sz w:val="20"/>
        </w:rPr>
        <w:t xml:space="preserve"> </w:t>
      </w:r>
      <w:r w:rsidR="00B319E8" w:rsidRPr="00326B6E">
        <w:rPr>
          <w:sz w:val="20"/>
        </w:rPr>
        <w:t>Level 3 Jan. 29, 2014 Ex Parte at 2 (</w:t>
      </w:r>
      <w:r w:rsidR="006A3270" w:rsidRPr="00326B6E">
        <w:rPr>
          <w:sz w:val="20"/>
        </w:rPr>
        <w:t xml:space="preserve">stating that </w:t>
      </w:r>
      <w:r w:rsidR="00A50E24" w:rsidRPr="00326B6E">
        <w:rPr>
          <w:sz w:val="20"/>
        </w:rPr>
        <w:t>“</w:t>
      </w:r>
      <w:r w:rsidR="00B319E8" w:rsidRPr="00326B6E">
        <w:rPr>
          <w:sz w:val="20"/>
        </w:rPr>
        <w:t>release cause codes 18 and 19 are used so infrequently (typically less than 1% of calls), and in Level 3’s experience, only on calls that the terminating LEC disconnects because of excessive ringing, that tracking these codes serves little practical purpose”)</w:t>
      </w:r>
      <w:r w:rsidR="001F6F9C" w:rsidRPr="00326B6E">
        <w:rPr>
          <w:sz w:val="20"/>
        </w:rPr>
        <w:t>.</w:t>
      </w:r>
    </w:p>
  </w:footnote>
  <w:footnote w:id="15">
    <w:p w:rsidR="00D66D0B" w:rsidRPr="00326B6E" w:rsidRDefault="00D66D0B" w:rsidP="007B0FBF">
      <w:pPr>
        <w:pStyle w:val="FootnoteText"/>
        <w:spacing w:after="120"/>
        <w:rPr>
          <w:sz w:val="20"/>
        </w:rPr>
      </w:pPr>
      <w:r w:rsidRPr="00326B6E">
        <w:rPr>
          <w:rStyle w:val="FootnoteReference"/>
          <w:sz w:val="20"/>
        </w:rPr>
        <w:footnoteRef/>
      </w:r>
      <w:r w:rsidR="00B319E8" w:rsidRPr="00326B6E">
        <w:rPr>
          <w:sz w:val="20"/>
        </w:rPr>
        <w:t xml:space="preserve"> Verizon Mar</w:t>
      </w:r>
      <w:r w:rsidR="004B2B1E" w:rsidRPr="00326B6E">
        <w:rPr>
          <w:sz w:val="20"/>
        </w:rPr>
        <w:t>.</w:t>
      </w:r>
      <w:r w:rsidR="00B319E8" w:rsidRPr="00326B6E">
        <w:rPr>
          <w:sz w:val="20"/>
        </w:rPr>
        <w:t xml:space="preserve"> 24, 2014 Ex Parte</w:t>
      </w:r>
      <w:r w:rsidR="006F33CE" w:rsidRPr="00326B6E">
        <w:rPr>
          <w:sz w:val="20"/>
        </w:rPr>
        <w:t xml:space="preserve"> at </w:t>
      </w:r>
      <w:r w:rsidR="00B319E8" w:rsidRPr="00326B6E">
        <w:rPr>
          <w:sz w:val="20"/>
        </w:rPr>
        <w:t>1 (</w:t>
      </w:r>
      <w:r w:rsidR="006F33CE" w:rsidRPr="00326B6E">
        <w:rPr>
          <w:sz w:val="20"/>
        </w:rPr>
        <w:t xml:space="preserve">stating that </w:t>
      </w:r>
      <w:r w:rsidR="00B319E8" w:rsidRPr="00326B6E">
        <w:rPr>
          <w:sz w:val="20"/>
        </w:rPr>
        <w:t>“call signaling data, even when combined with switch or conversation duration measures, cannot distinguish between calls where the caller heard ringing before hanging up and calls where the caller listened to an announcement</w:t>
      </w:r>
      <w:r w:rsidR="00A7525A" w:rsidRPr="00326B6E">
        <w:rPr>
          <w:sz w:val="20"/>
        </w:rPr>
        <w:t xml:space="preserve"> </w:t>
      </w:r>
      <w:r w:rsidR="00B319E8" w:rsidRPr="00326B6E">
        <w:rPr>
          <w:sz w:val="20"/>
        </w:rPr>
        <w:t>or other recording from the terminating LEC before hanging up</w:t>
      </w:r>
      <w:r w:rsidR="00A7525A" w:rsidRPr="00326B6E">
        <w:rPr>
          <w:sz w:val="20"/>
        </w:rPr>
        <w:t>”).</w:t>
      </w:r>
    </w:p>
  </w:footnote>
  <w:footnote w:id="16">
    <w:p w:rsidR="0037457D" w:rsidRPr="00326B6E" w:rsidRDefault="0037457D" w:rsidP="007B0FBF">
      <w:pPr>
        <w:spacing w:after="120"/>
        <w:rPr>
          <w:sz w:val="20"/>
          <w:lang w:bidi="x-none"/>
        </w:rPr>
      </w:pPr>
      <w:r w:rsidRPr="00326B6E">
        <w:rPr>
          <w:rStyle w:val="FootnoteReference1"/>
        </w:rPr>
        <w:footnoteRef/>
      </w:r>
      <w:r w:rsidRPr="00326B6E">
        <w:rPr>
          <w:sz w:val="20"/>
        </w:rPr>
        <w:t xml:space="preserve"> </w:t>
      </w:r>
      <w:r w:rsidRPr="0051547C">
        <w:rPr>
          <w:rFonts w:eastAsia="ヒラギノ角ゴ Pro W3"/>
          <w:i/>
          <w:sz w:val="20"/>
        </w:rPr>
        <w:t>See Electronic Filing of Documents in Rulemaking Proceedings</w:t>
      </w:r>
      <w:r w:rsidRPr="00326B6E">
        <w:rPr>
          <w:sz w:val="20"/>
        </w:rPr>
        <w:t>, 63 FR 24121 (1999).</w:t>
      </w:r>
    </w:p>
  </w:footnote>
  <w:footnote w:id="17">
    <w:p w:rsidR="0037457D" w:rsidRPr="00326B6E" w:rsidRDefault="0037457D" w:rsidP="007B0FBF">
      <w:pPr>
        <w:pStyle w:val="FootnoteText"/>
        <w:spacing w:after="120"/>
        <w:rPr>
          <w:sz w:val="20"/>
          <w:lang w:bidi="x-none"/>
        </w:rPr>
      </w:pPr>
      <w:r w:rsidRPr="00326B6E">
        <w:rPr>
          <w:rStyle w:val="FootnoteReference1"/>
        </w:rPr>
        <w:footnoteRef/>
      </w:r>
      <w:r w:rsidRPr="00326B6E">
        <w:rPr>
          <w:sz w:val="20"/>
          <w:lang w:val="fr-FR"/>
        </w:rPr>
        <w:t xml:space="preserve"> 47 C.F.R. §§ 1.1200 </w:t>
      </w:r>
      <w:r w:rsidRPr="0051547C">
        <w:rPr>
          <w:rFonts w:eastAsia="ヒラギノ角ゴ Pro W3"/>
          <w:i/>
          <w:sz w:val="20"/>
          <w:lang w:val="fr-FR"/>
        </w:rPr>
        <w:t>et seq</w:t>
      </w:r>
      <w:r w:rsidRPr="00326B6E">
        <w:rPr>
          <w:rFonts w:eastAsia="ヒラギノ角ゴ Pro W3"/>
          <w:sz w:val="2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02" w:rsidRDefault="00E65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02" w:rsidRDefault="00E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D" w:rsidRPr="00D8123C" w:rsidRDefault="0064521C">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57D" w:rsidRDefault="0037457D">
                          <w:pPr>
                            <w:rPr>
                              <w:rFonts w:ascii="Arial" w:hAnsi="Arial"/>
                              <w:b/>
                            </w:rPr>
                          </w:pPr>
                          <w:r>
                            <w:rPr>
                              <w:rFonts w:ascii="Arial" w:hAnsi="Arial"/>
                              <w:b/>
                            </w:rPr>
                            <w:t>Federal Communications Commission</w:t>
                          </w:r>
                        </w:p>
                        <w:p w:rsidR="0037457D" w:rsidRDefault="00374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457D" w:rsidRDefault="003745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37457D" w:rsidRDefault="0037457D">
                    <w:pPr>
                      <w:rPr>
                        <w:rFonts w:ascii="Arial" w:hAnsi="Arial"/>
                        <w:b/>
                      </w:rPr>
                    </w:pPr>
                    <w:r>
                      <w:rPr>
                        <w:rFonts w:ascii="Arial" w:hAnsi="Arial"/>
                        <w:b/>
                      </w:rPr>
                      <w:t>Federal Communications Commission</w:t>
                    </w:r>
                  </w:p>
                  <w:p w:rsidR="0037457D" w:rsidRDefault="00374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457D" w:rsidRDefault="0037457D">
                    <w:pPr>
                      <w:rPr>
                        <w:rFonts w:ascii="Arial" w:hAnsi="Arial"/>
                        <w:sz w:val="24"/>
                      </w:rPr>
                    </w:pPr>
                    <w:r>
                      <w:rPr>
                        <w:rFonts w:ascii="Arial" w:hAnsi="Arial"/>
                        <w:b/>
                      </w:rPr>
                      <w:t>Washington, D.C. 20554</w:t>
                    </w:r>
                  </w:p>
                </w:txbxContent>
              </v:textbox>
            </v:shape>
          </w:pict>
        </mc:Fallback>
      </mc:AlternateContent>
    </w:r>
    <w:r w:rsidR="0037457D" w:rsidRPr="00D8123C">
      <w:rPr>
        <w:rFonts w:ascii="Arial" w:hAnsi="Arial" w:cs="Arial"/>
        <w:b/>
        <w:kern w:val="28"/>
        <w:sz w:val="96"/>
      </w:rPr>
      <w:t>PUBLIC NOTICE</w:t>
    </w:r>
  </w:p>
  <w:p w:rsidR="0037457D" w:rsidRPr="00326B6E" w:rsidRDefault="0064521C" w:rsidP="00326B6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57D" w:rsidRDefault="0037457D">
                          <w:pPr>
                            <w:spacing w:before="40"/>
                            <w:jc w:val="right"/>
                            <w:rPr>
                              <w:rFonts w:ascii="Arial" w:hAnsi="Arial"/>
                              <w:b/>
                              <w:sz w:val="16"/>
                            </w:rPr>
                          </w:pPr>
                          <w:r>
                            <w:rPr>
                              <w:rFonts w:ascii="Arial" w:hAnsi="Arial"/>
                              <w:b/>
                              <w:sz w:val="16"/>
                            </w:rPr>
                            <w:t>News Media Information 202 / 418-0500</w:t>
                          </w:r>
                        </w:p>
                        <w:p w:rsidR="0037457D" w:rsidRDefault="0037457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7457D" w:rsidRDefault="0037457D">
                          <w:pPr>
                            <w:jc w:val="right"/>
                            <w:rPr>
                              <w:rFonts w:ascii="Arial" w:hAnsi="Arial"/>
                              <w:b/>
                              <w:sz w:val="16"/>
                            </w:rPr>
                          </w:pPr>
                          <w:r>
                            <w:rPr>
                              <w:rFonts w:ascii="Arial" w:hAnsi="Arial"/>
                              <w:b/>
                              <w:sz w:val="16"/>
                            </w:rPr>
                            <w:t>TTY: 1-888-835-5322</w:t>
                          </w:r>
                        </w:p>
                        <w:p w:rsidR="0037457D" w:rsidRDefault="003745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37457D" w:rsidRDefault="0037457D">
                    <w:pPr>
                      <w:spacing w:before="40"/>
                      <w:jc w:val="right"/>
                      <w:rPr>
                        <w:rFonts w:ascii="Arial" w:hAnsi="Arial"/>
                        <w:b/>
                        <w:sz w:val="16"/>
                      </w:rPr>
                    </w:pPr>
                    <w:r>
                      <w:rPr>
                        <w:rFonts w:ascii="Arial" w:hAnsi="Arial"/>
                        <w:b/>
                        <w:sz w:val="16"/>
                      </w:rPr>
                      <w:t>News Media Information 202 / 418-0500</w:t>
                    </w:r>
                  </w:p>
                  <w:p w:rsidR="0037457D" w:rsidRDefault="0037457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7457D" w:rsidRDefault="0037457D">
                    <w:pPr>
                      <w:jc w:val="right"/>
                      <w:rPr>
                        <w:rFonts w:ascii="Arial" w:hAnsi="Arial"/>
                        <w:b/>
                        <w:sz w:val="16"/>
                      </w:rPr>
                    </w:pPr>
                    <w:r>
                      <w:rPr>
                        <w:rFonts w:ascii="Arial" w:hAnsi="Arial"/>
                        <w:b/>
                        <w:sz w:val="16"/>
                      </w:rPr>
                      <w:t>TTY: 1-888-835-5322</w:t>
                    </w:r>
                  </w:p>
                  <w:p w:rsidR="0037457D" w:rsidRDefault="0037457D">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D" w:rsidRDefault="006452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57D" w:rsidRDefault="0037457D">
                          <w:pPr>
                            <w:rPr>
                              <w:rFonts w:ascii="Arial" w:hAnsi="Arial"/>
                              <w:b/>
                            </w:rPr>
                          </w:pPr>
                          <w:r>
                            <w:rPr>
                              <w:rFonts w:ascii="Arial" w:hAnsi="Arial"/>
                              <w:b/>
                            </w:rPr>
                            <w:t>Federal Communications Commission</w:t>
                          </w:r>
                        </w:p>
                        <w:p w:rsidR="0037457D" w:rsidRDefault="00374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457D" w:rsidRDefault="003745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37457D" w:rsidRDefault="0037457D">
                    <w:pPr>
                      <w:rPr>
                        <w:rFonts w:ascii="Arial" w:hAnsi="Arial"/>
                        <w:b/>
                      </w:rPr>
                    </w:pPr>
                    <w:r>
                      <w:rPr>
                        <w:rFonts w:ascii="Arial" w:hAnsi="Arial"/>
                        <w:b/>
                      </w:rPr>
                      <w:t>Federal Communications Commission</w:t>
                    </w:r>
                  </w:p>
                  <w:p w:rsidR="0037457D" w:rsidRDefault="00374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457D" w:rsidRDefault="0037457D">
                    <w:pPr>
                      <w:rPr>
                        <w:rFonts w:ascii="Arial" w:hAnsi="Arial"/>
                        <w:sz w:val="24"/>
                      </w:rPr>
                    </w:pPr>
                    <w:r>
                      <w:rPr>
                        <w:rFonts w:ascii="Arial" w:hAnsi="Arial"/>
                        <w:b/>
                      </w:rPr>
                      <w:t>Washington, D.C. 20554</w:t>
                    </w:r>
                  </w:p>
                </w:txbxContent>
              </v:textbox>
            </v:shape>
          </w:pict>
        </mc:Fallback>
      </mc:AlternateContent>
    </w:r>
    <w:r w:rsidR="0037457D">
      <w:rPr>
        <w:rFonts w:ascii="News Gothic MT" w:hAnsi="News Gothic MT"/>
        <w:b/>
        <w:kern w:val="28"/>
        <w:sz w:val="96"/>
      </w:rPr>
      <w:t>PUBLIC NOTICE</w:t>
    </w:r>
  </w:p>
  <w:p w:rsidR="0037457D" w:rsidRDefault="006452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57D" w:rsidRDefault="0037457D">
                          <w:pPr>
                            <w:spacing w:before="40"/>
                            <w:jc w:val="right"/>
                            <w:rPr>
                              <w:rFonts w:ascii="Arial" w:hAnsi="Arial"/>
                              <w:b/>
                              <w:sz w:val="16"/>
                            </w:rPr>
                          </w:pPr>
                          <w:r>
                            <w:rPr>
                              <w:rFonts w:ascii="Arial" w:hAnsi="Arial"/>
                              <w:b/>
                              <w:sz w:val="16"/>
                            </w:rPr>
                            <w:t>News Media Information 202 / 418-0500</w:t>
                          </w:r>
                        </w:p>
                        <w:p w:rsidR="0037457D" w:rsidRDefault="0037457D">
                          <w:pPr>
                            <w:jc w:val="right"/>
                            <w:rPr>
                              <w:rFonts w:ascii="Arial" w:hAnsi="Arial"/>
                              <w:b/>
                              <w:sz w:val="16"/>
                            </w:rPr>
                          </w:pPr>
                          <w:r>
                            <w:rPr>
                              <w:rFonts w:ascii="Arial" w:hAnsi="Arial"/>
                              <w:b/>
                              <w:sz w:val="16"/>
                            </w:rPr>
                            <w:tab/>
                            <w:t>Internet: http://www.fcc.gov</w:t>
                          </w:r>
                        </w:p>
                        <w:p w:rsidR="0037457D" w:rsidRDefault="0037457D">
                          <w:pPr>
                            <w:jc w:val="right"/>
                            <w:rPr>
                              <w:rFonts w:ascii="Arial" w:hAnsi="Arial"/>
                              <w:b/>
                              <w:sz w:val="16"/>
                            </w:rPr>
                          </w:pPr>
                          <w:r>
                            <w:rPr>
                              <w:rFonts w:ascii="Arial" w:hAnsi="Arial"/>
                              <w:b/>
                              <w:sz w:val="16"/>
                            </w:rPr>
                            <w:t>TTY: 1-888-835-5322</w:t>
                          </w:r>
                        </w:p>
                        <w:p w:rsidR="0037457D" w:rsidRDefault="003745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37457D" w:rsidRDefault="0037457D">
                    <w:pPr>
                      <w:spacing w:before="40"/>
                      <w:jc w:val="right"/>
                      <w:rPr>
                        <w:rFonts w:ascii="Arial" w:hAnsi="Arial"/>
                        <w:b/>
                        <w:sz w:val="16"/>
                      </w:rPr>
                    </w:pPr>
                    <w:r>
                      <w:rPr>
                        <w:rFonts w:ascii="Arial" w:hAnsi="Arial"/>
                        <w:b/>
                        <w:sz w:val="16"/>
                      </w:rPr>
                      <w:t>News Media Information 202 / 418-0500</w:t>
                    </w:r>
                  </w:p>
                  <w:p w:rsidR="0037457D" w:rsidRDefault="0037457D">
                    <w:pPr>
                      <w:jc w:val="right"/>
                      <w:rPr>
                        <w:rFonts w:ascii="Arial" w:hAnsi="Arial"/>
                        <w:b/>
                        <w:sz w:val="16"/>
                      </w:rPr>
                    </w:pPr>
                    <w:r>
                      <w:rPr>
                        <w:rFonts w:ascii="Arial" w:hAnsi="Arial"/>
                        <w:b/>
                        <w:sz w:val="16"/>
                      </w:rPr>
                      <w:tab/>
                      <w:t>Internet: http://www.fcc.gov</w:t>
                    </w:r>
                  </w:p>
                  <w:p w:rsidR="0037457D" w:rsidRDefault="0037457D">
                    <w:pPr>
                      <w:jc w:val="right"/>
                      <w:rPr>
                        <w:rFonts w:ascii="Arial" w:hAnsi="Arial"/>
                        <w:b/>
                        <w:sz w:val="16"/>
                      </w:rPr>
                    </w:pPr>
                    <w:r>
                      <w:rPr>
                        <w:rFonts w:ascii="Arial" w:hAnsi="Arial"/>
                        <w:b/>
                        <w:sz w:val="16"/>
                      </w:rPr>
                      <w:t>TTY: 1-888-835-5322</w:t>
                    </w:r>
                  </w:p>
                  <w:p w:rsidR="0037457D" w:rsidRDefault="0037457D">
                    <w:pPr>
                      <w:jc w:val="right"/>
                    </w:pPr>
                  </w:p>
                </w:txbxContent>
              </v:textbox>
            </v:shape>
          </w:pict>
        </mc:Fallback>
      </mc:AlternateContent>
    </w:r>
  </w:p>
  <w:p w:rsidR="0037457D" w:rsidRDefault="0037457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00000005"/>
    <w:multiLevelType w:val="multilevel"/>
    <w:tmpl w:val="894EE877"/>
    <w:lvl w:ilvl="0">
      <w:start w:val="1"/>
      <w:numFmt w:val="decimal"/>
      <w:isLgl/>
      <w:suff w:val="nothing"/>
      <w:lvlText w:val="(%1)"/>
      <w:lvlJc w:val="left"/>
      <w:pPr>
        <w:ind w:left="0" w:firstLine="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decimal"/>
      <w:isLgl/>
      <w:lvlText w:val="("/>
      <w:lvlJc w:val="left"/>
      <w:pPr>
        <w:tabs>
          <w:tab w:val="num" w:pos="360"/>
        </w:tabs>
        <w:ind w:left="360" w:firstLine="0"/>
      </w:pPr>
      <w:rPr>
        <w:rFonts w:hint="default"/>
        <w:color w:val="000000"/>
        <w:position w:val="0"/>
        <w:sz w:val="22"/>
      </w:rPr>
    </w:lvl>
    <w:lvl w:ilvl="3">
      <w:start w:val="1"/>
      <w:numFmt w:val="decimal"/>
      <w:isLgl/>
      <w:lvlText w:val="("/>
      <w:lvlJc w:val="left"/>
      <w:pPr>
        <w:tabs>
          <w:tab w:val="num" w:pos="360"/>
        </w:tabs>
        <w:ind w:left="360" w:firstLine="0"/>
      </w:pPr>
      <w:rPr>
        <w:rFonts w:hint="default"/>
        <w:color w:val="000000"/>
        <w:position w:val="0"/>
        <w:sz w:val="22"/>
      </w:rPr>
    </w:lvl>
    <w:lvl w:ilvl="4">
      <w:start w:val="1"/>
      <w:numFmt w:val="decimal"/>
      <w:isLgl/>
      <w:lvlText w:val="("/>
      <w:lvlJc w:val="left"/>
      <w:pPr>
        <w:tabs>
          <w:tab w:val="num" w:pos="360"/>
        </w:tabs>
        <w:ind w:left="360" w:firstLine="0"/>
      </w:pPr>
      <w:rPr>
        <w:rFonts w:hint="default"/>
        <w:color w:val="000000"/>
        <w:position w:val="0"/>
        <w:sz w:val="22"/>
      </w:rPr>
    </w:lvl>
    <w:lvl w:ilvl="5">
      <w:start w:val="1"/>
      <w:numFmt w:val="decimal"/>
      <w:isLgl/>
      <w:lvlText w:val="("/>
      <w:lvlJc w:val="left"/>
      <w:pPr>
        <w:tabs>
          <w:tab w:val="num" w:pos="360"/>
        </w:tabs>
        <w:ind w:left="360" w:firstLine="0"/>
      </w:pPr>
      <w:rPr>
        <w:rFonts w:hint="default"/>
        <w:color w:val="000000"/>
        <w:position w:val="0"/>
        <w:sz w:val="22"/>
      </w:rPr>
    </w:lvl>
    <w:lvl w:ilvl="6">
      <w:start w:val="1"/>
      <w:numFmt w:val="decimal"/>
      <w:isLgl/>
      <w:lvlText w:val="("/>
      <w:lvlJc w:val="left"/>
      <w:pPr>
        <w:tabs>
          <w:tab w:val="num" w:pos="360"/>
        </w:tabs>
        <w:ind w:left="360" w:firstLine="0"/>
      </w:pPr>
      <w:rPr>
        <w:rFonts w:hint="default"/>
        <w:color w:val="000000"/>
        <w:position w:val="0"/>
        <w:sz w:val="22"/>
      </w:rPr>
    </w:lvl>
    <w:lvl w:ilvl="7">
      <w:start w:val="1"/>
      <w:numFmt w:val="decimal"/>
      <w:isLgl/>
      <w:lvlText w:val="("/>
      <w:lvlJc w:val="left"/>
      <w:pPr>
        <w:tabs>
          <w:tab w:val="num" w:pos="360"/>
        </w:tabs>
        <w:ind w:left="360" w:firstLine="0"/>
      </w:pPr>
      <w:rPr>
        <w:rFonts w:hint="default"/>
        <w:color w:val="000000"/>
        <w:position w:val="0"/>
        <w:sz w:val="22"/>
      </w:rPr>
    </w:lvl>
    <w:lvl w:ilvl="8">
      <w:start w:val="1"/>
      <w:numFmt w:val="decimal"/>
      <w:isLgl/>
      <w:lvlText w:val="("/>
      <w:lvlJc w:val="left"/>
      <w:pPr>
        <w:tabs>
          <w:tab w:val="num" w:pos="360"/>
        </w:tabs>
        <w:ind w:left="360" w:firstLine="0"/>
      </w:pPr>
      <w:rPr>
        <w:rFonts w:hint="default"/>
        <w:color w:val="000000"/>
        <w:position w:val="0"/>
        <w:sz w:val="22"/>
      </w:rPr>
    </w:lvl>
  </w:abstractNum>
  <w:abstractNum w:abstractNumId="5">
    <w:nsid w:val="05357658"/>
    <w:multiLevelType w:val="hybridMultilevel"/>
    <w:tmpl w:val="A59E262C"/>
    <w:lvl w:ilvl="0" w:tplc="A784DF2C">
      <w:start w:val="1"/>
      <w:numFmt w:val="bullet"/>
      <w:lvlText w:val=""/>
      <w:lvlJc w:val="left"/>
      <w:pPr>
        <w:tabs>
          <w:tab w:val="num" w:pos="720"/>
        </w:tabs>
        <w:ind w:left="720" w:hanging="360"/>
      </w:pPr>
      <w:rPr>
        <w:rFonts w:ascii="Wingdings" w:hAnsi="Wingdings" w:hint="default"/>
      </w:rPr>
    </w:lvl>
    <w:lvl w:ilvl="1" w:tplc="46883F24">
      <w:start w:val="1"/>
      <w:numFmt w:val="decimal"/>
      <w:lvlText w:val="(%2)"/>
      <w:lvlJc w:val="left"/>
      <w:pPr>
        <w:tabs>
          <w:tab w:val="num" w:pos="1440"/>
        </w:tabs>
        <w:ind w:left="1440" w:hanging="360"/>
      </w:pPr>
      <w:rPr>
        <w:rFonts w:hint="default"/>
      </w:rPr>
    </w:lvl>
    <w:lvl w:ilvl="2" w:tplc="BBD68808">
      <w:start w:val="1"/>
      <w:numFmt w:val="lowerRoman"/>
      <w:lvlText w:val="%3."/>
      <w:lvlJc w:val="right"/>
      <w:pPr>
        <w:tabs>
          <w:tab w:val="num" w:pos="2160"/>
        </w:tabs>
        <w:ind w:left="2160" w:hanging="180"/>
      </w:pPr>
    </w:lvl>
    <w:lvl w:ilvl="3" w:tplc="39109BFE" w:tentative="1">
      <w:start w:val="1"/>
      <w:numFmt w:val="decimal"/>
      <w:lvlText w:val="%4."/>
      <w:lvlJc w:val="left"/>
      <w:pPr>
        <w:tabs>
          <w:tab w:val="num" w:pos="2880"/>
        </w:tabs>
        <w:ind w:left="2880" w:hanging="360"/>
      </w:pPr>
    </w:lvl>
    <w:lvl w:ilvl="4" w:tplc="F6968A2E" w:tentative="1">
      <w:start w:val="1"/>
      <w:numFmt w:val="lowerLetter"/>
      <w:lvlText w:val="%5."/>
      <w:lvlJc w:val="left"/>
      <w:pPr>
        <w:tabs>
          <w:tab w:val="num" w:pos="3600"/>
        </w:tabs>
        <w:ind w:left="3600" w:hanging="360"/>
      </w:pPr>
    </w:lvl>
    <w:lvl w:ilvl="5" w:tplc="81B22302" w:tentative="1">
      <w:start w:val="1"/>
      <w:numFmt w:val="lowerRoman"/>
      <w:lvlText w:val="%6."/>
      <w:lvlJc w:val="right"/>
      <w:pPr>
        <w:tabs>
          <w:tab w:val="num" w:pos="4320"/>
        </w:tabs>
        <w:ind w:left="4320" w:hanging="180"/>
      </w:pPr>
    </w:lvl>
    <w:lvl w:ilvl="6" w:tplc="6274928C" w:tentative="1">
      <w:start w:val="1"/>
      <w:numFmt w:val="decimal"/>
      <w:lvlText w:val="%7."/>
      <w:lvlJc w:val="left"/>
      <w:pPr>
        <w:tabs>
          <w:tab w:val="num" w:pos="5040"/>
        </w:tabs>
        <w:ind w:left="5040" w:hanging="360"/>
      </w:pPr>
    </w:lvl>
    <w:lvl w:ilvl="7" w:tplc="9C722D44" w:tentative="1">
      <w:start w:val="1"/>
      <w:numFmt w:val="lowerLetter"/>
      <w:lvlText w:val="%8."/>
      <w:lvlJc w:val="left"/>
      <w:pPr>
        <w:tabs>
          <w:tab w:val="num" w:pos="5760"/>
        </w:tabs>
        <w:ind w:left="5760" w:hanging="360"/>
      </w:pPr>
    </w:lvl>
    <w:lvl w:ilvl="8" w:tplc="CDEE98A4" w:tentative="1">
      <w:start w:val="1"/>
      <w:numFmt w:val="lowerRoman"/>
      <w:lvlText w:val="%9."/>
      <w:lvlJc w:val="right"/>
      <w:pPr>
        <w:tabs>
          <w:tab w:val="num" w:pos="6480"/>
        </w:tabs>
        <w:ind w:left="6480" w:hanging="180"/>
      </w:pPr>
    </w:lvl>
  </w:abstractNum>
  <w:abstractNum w:abstractNumId="6">
    <w:nsid w:val="0C8152AB"/>
    <w:multiLevelType w:val="hybridMultilevel"/>
    <w:tmpl w:val="506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D971DE"/>
    <w:multiLevelType w:val="hybridMultilevel"/>
    <w:tmpl w:val="163A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1">
    <w:nsid w:val="4E6D011F"/>
    <w:multiLevelType w:val="hybridMultilevel"/>
    <w:tmpl w:val="7AE4F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E225D9"/>
    <w:multiLevelType w:val="hybridMultilevel"/>
    <w:tmpl w:val="6F56B5B2"/>
    <w:lvl w:ilvl="0" w:tplc="D83E801A">
      <w:start w:val="1"/>
      <w:numFmt w:val="bullet"/>
      <w:lvlText w:val=""/>
      <w:lvlJc w:val="left"/>
      <w:pPr>
        <w:tabs>
          <w:tab w:val="num" w:pos="720"/>
        </w:tabs>
        <w:ind w:left="720" w:hanging="360"/>
      </w:pPr>
      <w:rPr>
        <w:rFonts w:ascii="Wingdings" w:hAnsi="Wingdings" w:hint="default"/>
      </w:rPr>
    </w:lvl>
    <w:lvl w:ilvl="1" w:tplc="FE082E92">
      <w:start w:val="1"/>
      <w:numFmt w:val="bullet"/>
      <w:lvlText w:val="o"/>
      <w:lvlJc w:val="left"/>
      <w:pPr>
        <w:tabs>
          <w:tab w:val="num" w:pos="720"/>
        </w:tabs>
        <w:ind w:left="720" w:hanging="360"/>
      </w:pPr>
      <w:rPr>
        <w:rFonts w:ascii="Courier New" w:hAnsi="Courier New" w:cs="Courier New" w:hint="default"/>
      </w:rPr>
    </w:lvl>
    <w:lvl w:ilvl="2" w:tplc="213EA762">
      <w:start w:val="1"/>
      <w:numFmt w:val="bullet"/>
      <w:lvlText w:val=""/>
      <w:lvlJc w:val="left"/>
      <w:pPr>
        <w:tabs>
          <w:tab w:val="num" w:pos="1440"/>
        </w:tabs>
        <w:ind w:left="1440" w:hanging="360"/>
      </w:pPr>
      <w:rPr>
        <w:rFonts w:ascii="Wingdings" w:hAnsi="Wingdings" w:hint="default"/>
      </w:rPr>
    </w:lvl>
    <w:lvl w:ilvl="3" w:tplc="F70649AC" w:tentative="1">
      <w:start w:val="1"/>
      <w:numFmt w:val="bullet"/>
      <w:lvlText w:val=""/>
      <w:lvlJc w:val="left"/>
      <w:pPr>
        <w:tabs>
          <w:tab w:val="num" w:pos="2160"/>
        </w:tabs>
        <w:ind w:left="2160" w:hanging="360"/>
      </w:pPr>
      <w:rPr>
        <w:rFonts w:ascii="Symbol" w:hAnsi="Symbol" w:hint="default"/>
      </w:rPr>
    </w:lvl>
    <w:lvl w:ilvl="4" w:tplc="A27C0312" w:tentative="1">
      <w:start w:val="1"/>
      <w:numFmt w:val="bullet"/>
      <w:lvlText w:val="o"/>
      <w:lvlJc w:val="left"/>
      <w:pPr>
        <w:tabs>
          <w:tab w:val="num" w:pos="2880"/>
        </w:tabs>
        <w:ind w:left="2880" w:hanging="360"/>
      </w:pPr>
      <w:rPr>
        <w:rFonts w:ascii="Courier New" w:hAnsi="Courier New" w:cs="Courier New" w:hint="default"/>
      </w:rPr>
    </w:lvl>
    <w:lvl w:ilvl="5" w:tplc="3F9A4A74" w:tentative="1">
      <w:start w:val="1"/>
      <w:numFmt w:val="bullet"/>
      <w:lvlText w:val=""/>
      <w:lvlJc w:val="left"/>
      <w:pPr>
        <w:tabs>
          <w:tab w:val="num" w:pos="3600"/>
        </w:tabs>
        <w:ind w:left="3600" w:hanging="360"/>
      </w:pPr>
      <w:rPr>
        <w:rFonts w:ascii="Wingdings" w:hAnsi="Wingdings" w:hint="default"/>
      </w:rPr>
    </w:lvl>
    <w:lvl w:ilvl="6" w:tplc="9EE2CBAE" w:tentative="1">
      <w:start w:val="1"/>
      <w:numFmt w:val="bullet"/>
      <w:lvlText w:val=""/>
      <w:lvlJc w:val="left"/>
      <w:pPr>
        <w:tabs>
          <w:tab w:val="num" w:pos="4320"/>
        </w:tabs>
        <w:ind w:left="4320" w:hanging="360"/>
      </w:pPr>
      <w:rPr>
        <w:rFonts w:ascii="Symbol" w:hAnsi="Symbol" w:hint="default"/>
      </w:rPr>
    </w:lvl>
    <w:lvl w:ilvl="7" w:tplc="6268A87E" w:tentative="1">
      <w:start w:val="1"/>
      <w:numFmt w:val="bullet"/>
      <w:lvlText w:val="o"/>
      <w:lvlJc w:val="left"/>
      <w:pPr>
        <w:tabs>
          <w:tab w:val="num" w:pos="5040"/>
        </w:tabs>
        <w:ind w:left="5040" w:hanging="360"/>
      </w:pPr>
      <w:rPr>
        <w:rFonts w:ascii="Courier New" w:hAnsi="Courier New" w:cs="Courier New" w:hint="default"/>
      </w:rPr>
    </w:lvl>
    <w:lvl w:ilvl="8" w:tplc="714C0266" w:tentative="1">
      <w:start w:val="1"/>
      <w:numFmt w:val="bullet"/>
      <w:lvlText w:val=""/>
      <w:lvlJc w:val="left"/>
      <w:pPr>
        <w:tabs>
          <w:tab w:val="num" w:pos="5760"/>
        </w:tabs>
        <w:ind w:left="576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391286"/>
    <w:multiLevelType w:val="hybridMultilevel"/>
    <w:tmpl w:val="A072DFF6"/>
    <w:lvl w:ilvl="0" w:tplc="8E0E13D6">
      <w:start w:val="1"/>
      <w:numFmt w:val="bullet"/>
      <w:lvlText w:val=""/>
      <w:lvlJc w:val="left"/>
      <w:pPr>
        <w:tabs>
          <w:tab w:val="num" w:pos="720"/>
        </w:tabs>
        <w:ind w:left="720" w:hanging="360"/>
      </w:pPr>
      <w:rPr>
        <w:rFonts w:ascii="Wingdings" w:hAnsi="Wingdings" w:hint="default"/>
      </w:rPr>
    </w:lvl>
    <w:lvl w:ilvl="1" w:tplc="530A0D1C" w:tentative="1">
      <w:start w:val="1"/>
      <w:numFmt w:val="bullet"/>
      <w:lvlText w:val="o"/>
      <w:lvlJc w:val="left"/>
      <w:pPr>
        <w:tabs>
          <w:tab w:val="num" w:pos="1440"/>
        </w:tabs>
        <w:ind w:left="1440" w:hanging="360"/>
      </w:pPr>
      <w:rPr>
        <w:rFonts w:ascii="Courier New" w:hAnsi="Courier New" w:cs="Courier New" w:hint="default"/>
      </w:rPr>
    </w:lvl>
    <w:lvl w:ilvl="2" w:tplc="3D241A54" w:tentative="1">
      <w:start w:val="1"/>
      <w:numFmt w:val="bullet"/>
      <w:lvlText w:val=""/>
      <w:lvlJc w:val="left"/>
      <w:pPr>
        <w:tabs>
          <w:tab w:val="num" w:pos="2160"/>
        </w:tabs>
        <w:ind w:left="2160" w:hanging="360"/>
      </w:pPr>
      <w:rPr>
        <w:rFonts w:ascii="Wingdings" w:hAnsi="Wingdings" w:hint="default"/>
      </w:rPr>
    </w:lvl>
    <w:lvl w:ilvl="3" w:tplc="4C026C66" w:tentative="1">
      <w:start w:val="1"/>
      <w:numFmt w:val="bullet"/>
      <w:lvlText w:val=""/>
      <w:lvlJc w:val="left"/>
      <w:pPr>
        <w:tabs>
          <w:tab w:val="num" w:pos="2880"/>
        </w:tabs>
        <w:ind w:left="2880" w:hanging="360"/>
      </w:pPr>
      <w:rPr>
        <w:rFonts w:ascii="Symbol" w:hAnsi="Symbol" w:hint="default"/>
      </w:rPr>
    </w:lvl>
    <w:lvl w:ilvl="4" w:tplc="258CE040" w:tentative="1">
      <w:start w:val="1"/>
      <w:numFmt w:val="bullet"/>
      <w:lvlText w:val="o"/>
      <w:lvlJc w:val="left"/>
      <w:pPr>
        <w:tabs>
          <w:tab w:val="num" w:pos="3600"/>
        </w:tabs>
        <w:ind w:left="3600" w:hanging="360"/>
      </w:pPr>
      <w:rPr>
        <w:rFonts w:ascii="Courier New" w:hAnsi="Courier New" w:cs="Courier New" w:hint="default"/>
      </w:rPr>
    </w:lvl>
    <w:lvl w:ilvl="5" w:tplc="8BE42318" w:tentative="1">
      <w:start w:val="1"/>
      <w:numFmt w:val="bullet"/>
      <w:lvlText w:val=""/>
      <w:lvlJc w:val="left"/>
      <w:pPr>
        <w:tabs>
          <w:tab w:val="num" w:pos="4320"/>
        </w:tabs>
        <w:ind w:left="4320" w:hanging="360"/>
      </w:pPr>
      <w:rPr>
        <w:rFonts w:ascii="Wingdings" w:hAnsi="Wingdings" w:hint="default"/>
      </w:rPr>
    </w:lvl>
    <w:lvl w:ilvl="6" w:tplc="95BE3972" w:tentative="1">
      <w:start w:val="1"/>
      <w:numFmt w:val="bullet"/>
      <w:lvlText w:val=""/>
      <w:lvlJc w:val="left"/>
      <w:pPr>
        <w:tabs>
          <w:tab w:val="num" w:pos="5040"/>
        </w:tabs>
        <w:ind w:left="5040" w:hanging="360"/>
      </w:pPr>
      <w:rPr>
        <w:rFonts w:ascii="Symbol" w:hAnsi="Symbol" w:hint="default"/>
      </w:rPr>
    </w:lvl>
    <w:lvl w:ilvl="7" w:tplc="3D2292CA" w:tentative="1">
      <w:start w:val="1"/>
      <w:numFmt w:val="bullet"/>
      <w:lvlText w:val="o"/>
      <w:lvlJc w:val="left"/>
      <w:pPr>
        <w:tabs>
          <w:tab w:val="num" w:pos="5760"/>
        </w:tabs>
        <w:ind w:left="5760" w:hanging="360"/>
      </w:pPr>
      <w:rPr>
        <w:rFonts w:ascii="Courier New" w:hAnsi="Courier New" w:cs="Courier New" w:hint="default"/>
      </w:rPr>
    </w:lvl>
    <w:lvl w:ilvl="8" w:tplc="C8A0190A" w:tentative="1">
      <w:start w:val="1"/>
      <w:numFmt w:val="bullet"/>
      <w:lvlText w:val=""/>
      <w:lvlJc w:val="left"/>
      <w:pPr>
        <w:tabs>
          <w:tab w:val="num" w:pos="6480"/>
        </w:tabs>
        <w:ind w:left="6480" w:hanging="360"/>
      </w:pPr>
      <w:rPr>
        <w:rFonts w:ascii="Wingdings" w:hAnsi="Wingdings" w:hint="default"/>
      </w:rPr>
    </w:lvl>
  </w:abstractNum>
  <w:abstractNum w:abstractNumId="1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5"/>
  </w:num>
  <w:num w:numId="2">
    <w:abstractNumId w:val="14"/>
  </w:num>
  <w:num w:numId="3">
    <w:abstractNumId w:val="16"/>
  </w:num>
  <w:num w:numId="4">
    <w:abstractNumId w:val="8"/>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9"/>
  </w:num>
  <w:num w:numId="13">
    <w:abstractNumId w:val="17"/>
  </w:num>
  <w:num w:numId="14">
    <w:abstractNumId w:val="10"/>
  </w:num>
  <w:num w:numId="15">
    <w:abstractNumId w:val="12"/>
  </w:num>
  <w:num w:numId="16">
    <w:abstractNumId w:val="5"/>
  </w:num>
  <w:num w:numId="17">
    <w:abstractNumId w:val="19"/>
  </w:num>
  <w:num w:numId="18">
    <w:abstractNumId w:val="18"/>
  </w:num>
  <w:num w:numId="19">
    <w:abstractNumId w:val="6"/>
  </w:num>
  <w:num w:numId="20">
    <w:abstractNumId w:val="0"/>
  </w:num>
  <w:num w:numId="21">
    <w:abstractNumId w:val="1"/>
  </w:num>
  <w:num w:numId="22">
    <w:abstractNumId w:val="2"/>
  </w:num>
  <w:num w:numId="23">
    <w:abstractNumId w:val="3"/>
  </w:num>
  <w:num w:numId="24">
    <w:abstractNumId w:val="4"/>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69"/>
    <w:rsid w:val="0001436C"/>
    <w:rsid w:val="0001781E"/>
    <w:rsid w:val="0003775A"/>
    <w:rsid w:val="000454AD"/>
    <w:rsid w:val="00060703"/>
    <w:rsid w:val="000616E1"/>
    <w:rsid w:val="000A54E2"/>
    <w:rsid w:val="000B29B1"/>
    <w:rsid w:val="000C1453"/>
    <w:rsid w:val="000C5F22"/>
    <w:rsid w:val="00102F05"/>
    <w:rsid w:val="00106220"/>
    <w:rsid w:val="00116159"/>
    <w:rsid w:val="001340F8"/>
    <w:rsid w:val="00135A5B"/>
    <w:rsid w:val="001379A9"/>
    <w:rsid w:val="00151075"/>
    <w:rsid w:val="00161261"/>
    <w:rsid w:val="001616DD"/>
    <w:rsid w:val="001758F5"/>
    <w:rsid w:val="00175FEE"/>
    <w:rsid w:val="00177070"/>
    <w:rsid w:val="001B002A"/>
    <w:rsid w:val="001D3313"/>
    <w:rsid w:val="001D72DB"/>
    <w:rsid w:val="001D7787"/>
    <w:rsid w:val="001F16C9"/>
    <w:rsid w:val="001F6F9C"/>
    <w:rsid w:val="002368EA"/>
    <w:rsid w:val="00247469"/>
    <w:rsid w:val="002B6A9C"/>
    <w:rsid w:val="002C74CE"/>
    <w:rsid w:val="002D3F01"/>
    <w:rsid w:val="002E6327"/>
    <w:rsid w:val="002F1DBF"/>
    <w:rsid w:val="002F5E66"/>
    <w:rsid w:val="00300A85"/>
    <w:rsid w:val="00316F93"/>
    <w:rsid w:val="00326B6E"/>
    <w:rsid w:val="00335DA9"/>
    <w:rsid w:val="00347F9A"/>
    <w:rsid w:val="00361AF3"/>
    <w:rsid w:val="003720A3"/>
    <w:rsid w:val="0037457D"/>
    <w:rsid w:val="0037601C"/>
    <w:rsid w:val="00397865"/>
    <w:rsid w:val="003A0F5D"/>
    <w:rsid w:val="003B0797"/>
    <w:rsid w:val="003B4D43"/>
    <w:rsid w:val="003B7E0B"/>
    <w:rsid w:val="003D4461"/>
    <w:rsid w:val="003D6E3E"/>
    <w:rsid w:val="003E2CD0"/>
    <w:rsid w:val="004268BF"/>
    <w:rsid w:val="004524DB"/>
    <w:rsid w:val="00463E15"/>
    <w:rsid w:val="004829F2"/>
    <w:rsid w:val="00493BED"/>
    <w:rsid w:val="00496910"/>
    <w:rsid w:val="0049742D"/>
    <w:rsid w:val="004B2B1E"/>
    <w:rsid w:val="004B2F75"/>
    <w:rsid w:val="004D07C3"/>
    <w:rsid w:val="004E0A70"/>
    <w:rsid w:val="004E4B4A"/>
    <w:rsid w:val="004F06DA"/>
    <w:rsid w:val="004F6DBB"/>
    <w:rsid w:val="00505F88"/>
    <w:rsid w:val="0051547C"/>
    <w:rsid w:val="0051625F"/>
    <w:rsid w:val="00523A37"/>
    <w:rsid w:val="00582243"/>
    <w:rsid w:val="005954AA"/>
    <w:rsid w:val="005A69D2"/>
    <w:rsid w:val="005A7A18"/>
    <w:rsid w:val="005B22A5"/>
    <w:rsid w:val="005C3E36"/>
    <w:rsid w:val="005E724C"/>
    <w:rsid w:val="00614071"/>
    <w:rsid w:val="006151B9"/>
    <w:rsid w:val="0062732D"/>
    <w:rsid w:val="006339F9"/>
    <w:rsid w:val="0063671F"/>
    <w:rsid w:val="0063716E"/>
    <w:rsid w:val="0064521C"/>
    <w:rsid w:val="00667C4C"/>
    <w:rsid w:val="00667D09"/>
    <w:rsid w:val="00684FCB"/>
    <w:rsid w:val="006878C6"/>
    <w:rsid w:val="00696BEA"/>
    <w:rsid w:val="00697E93"/>
    <w:rsid w:val="006A3270"/>
    <w:rsid w:val="006A3469"/>
    <w:rsid w:val="006A471B"/>
    <w:rsid w:val="006B60BA"/>
    <w:rsid w:val="006C5EF5"/>
    <w:rsid w:val="006E4CF3"/>
    <w:rsid w:val="006E52E2"/>
    <w:rsid w:val="006F33CE"/>
    <w:rsid w:val="0071052C"/>
    <w:rsid w:val="0071239A"/>
    <w:rsid w:val="0071430C"/>
    <w:rsid w:val="00743C17"/>
    <w:rsid w:val="00750333"/>
    <w:rsid w:val="0075197E"/>
    <w:rsid w:val="007620BF"/>
    <w:rsid w:val="00763A05"/>
    <w:rsid w:val="00765A5E"/>
    <w:rsid w:val="00765ADB"/>
    <w:rsid w:val="007A37D3"/>
    <w:rsid w:val="007A7E31"/>
    <w:rsid w:val="007B0FBF"/>
    <w:rsid w:val="007C1289"/>
    <w:rsid w:val="007C420D"/>
    <w:rsid w:val="007D32FC"/>
    <w:rsid w:val="0080530A"/>
    <w:rsid w:val="008521B2"/>
    <w:rsid w:val="00864461"/>
    <w:rsid w:val="0087005E"/>
    <w:rsid w:val="008736D5"/>
    <w:rsid w:val="0088454A"/>
    <w:rsid w:val="008B4AF2"/>
    <w:rsid w:val="008C142F"/>
    <w:rsid w:val="008C6081"/>
    <w:rsid w:val="008D6612"/>
    <w:rsid w:val="008D7403"/>
    <w:rsid w:val="00903334"/>
    <w:rsid w:val="00946164"/>
    <w:rsid w:val="009463DA"/>
    <w:rsid w:val="00957674"/>
    <w:rsid w:val="009679DA"/>
    <w:rsid w:val="00986A3C"/>
    <w:rsid w:val="009927BC"/>
    <w:rsid w:val="00992BC1"/>
    <w:rsid w:val="009B658A"/>
    <w:rsid w:val="009D759B"/>
    <w:rsid w:val="009F3081"/>
    <w:rsid w:val="009F5F30"/>
    <w:rsid w:val="009F66FF"/>
    <w:rsid w:val="00A02AE6"/>
    <w:rsid w:val="00A115E8"/>
    <w:rsid w:val="00A13911"/>
    <w:rsid w:val="00A27C94"/>
    <w:rsid w:val="00A4446A"/>
    <w:rsid w:val="00A50E24"/>
    <w:rsid w:val="00A5171C"/>
    <w:rsid w:val="00A72C4F"/>
    <w:rsid w:val="00A7525A"/>
    <w:rsid w:val="00A85169"/>
    <w:rsid w:val="00AB37D2"/>
    <w:rsid w:val="00B03027"/>
    <w:rsid w:val="00B074A5"/>
    <w:rsid w:val="00B11B97"/>
    <w:rsid w:val="00B2583D"/>
    <w:rsid w:val="00B2652B"/>
    <w:rsid w:val="00B319E8"/>
    <w:rsid w:val="00B976C8"/>
    <w:rsid w:val="00BD4BB7"/>
    <w:rsid w:val="00BF01C0"/>
    <w:rsid w:val="00BF0CB2"/>
    <w:rsid w:val="00C2695A"/>
    <w:rsid w:val="00C304EA"/>
    <w:rsid w:val="00C42A51"/>
    <w:rsid w:val="00C44BA9"/>
    <w:rsid w:val="00C63FE3"/>
    <w:rsid w:val="00C8660D"/>
    <w:rsid w:val="00CA0567"/>
    <w:rsid w:val="00CB4EA2"/>
    <w:rsid w:val="00CB5888"/>
    <w:rsid w:val="00CC6F68"/>
    <w:rsid w:val="00CF5BE5"/>
    <w:rsid w:val="00D01205"/>
    <w:rsid w:val="00D02239"/>
    <w:rsid w:val="00D06895"/>
    <w:rsid w:val="00D0720E"/>
    <w:rsid w:val="00D2704A"/>
    <w:rsid w:val="00D3109E"/>
    <w:rsid w:val="00D465D5"/>
    <w:rsid w:val="00D66569"/>
    <w:rsid w:val="00D66D0B"/>
    <w:rsid w:val="00D7362D"/>
    <w:rsid w:val="00D74AA3"/>
    <w:rsid w:val="00D8123C"/>
    <w:rsid w:val="00DA7AA2"/>
    <w:rsid w:val="00DC3C5A"/>
    <w:rsid w:val="00DD5825"/>
    <w:rsid w:val="00DE192C"/>
    <w:rsid w:val="00DE1D02"/>
    <w:rsid w:val="00DF707F"/>
    <w:rsid w:val="00E01DAB"/>
    <w:rsid w:val="00E07C4E"/>
    <w:rsid w:val="00E34533"/>
    <w:rsid w:val="00E50A00"/>
    <w:rsid w:val="00E53441"/>
    <w:rsid w:val="00E65602"/>
    <w:rsid w:val="00E6717A"/>
    <w:rsid w:val="00E83204"/>
    <w:rsid w:val="00E84C87"/>
    <w:rsid w:val="00E8740E"/>
    <w:rsid w:val="00E9148B"/>
    <w:rsid w:val="00E9229A"/>
    <w:rsid w:val="00E940A1"/>
    <w:rsid w:val="00EB2DC9"/>
    <w:rsid w:val="00EC4312"/>
    <w:rsid w:val="00ED43E7"/>
    <w:rsid w:val="00EE54A8"/>
    <w:rsid w:val="00EF05C1"/>
    <w:rsid w:val="00EF5AD2"/>
    <w:rsid w:val="00EF7C9F"/>
    <w:rsid w:val="00F17B4D"/>
    <w:rsid w:val="00F540C9"/>
    <w:rsid w:val="00F624D9"/>
    <w:rsid w:val="00F7525E"/>
    <w:rsid w:val="00F8681A"/>
    <w:rsid w:val="00FB0918"/>
    <w:rsid w:val="00FB2E2F"/>
    <w:rsid w:val="00FC5308"/>
    <w:rsid w:val="00FE02B0"/>
    <w:rsid w:val="00FE4340"/>
    <w:rsid w:val="00FE7ABE"/>
    <w:rsid w:val="00F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46A"/>
    <w:rPr>
      <w:sz w:val="22"/>
    </w:rPr>
  </w:style>
  <w:style w:type="paragraph" w:styleId="Heading1">
    <w:name w:val="heading 1"/>
    <w:basedOn w:val="Normal"/>
    <w:next w:val="Normal"/>
    <w:qFormat/>
    <w:rsid w:val="00A4446A"/>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4446A"/>
    <w:pPr>
      <w:keepNext/>
      <w:widowControl w:val="0"/>
      <w:numPr>
        <w:ilvl w:val="1"/>
        <w:numId w:val="2"/>
      </w:numPr>
      <w:spacing w:after="220"/>
      <w:jc w:val="both"/>
      <w:outlineLvl w:val="1"/>
    </w:pPr>
    <w:rPr>
      <w:b/>
    </w:rPr>
  </w:style>
  <w:style w:type="paragraph" w:styleId="Heading3">
    <w:name w:val="heading 3"/>
    <w:basedOn w:val="Normal"/>
    <w:next w:val="Normal"/>
    <w:qFormat/>
    <w:rsid w:val="00A4446A"/>
    <w:pPr>
      <w:keepNext/>
      <w:widowControl w:val="0"/>
      <w:numPr>
        <w:ilvl w:val="2"/>
        <w:numId w:val="2"/>
      </w:numPr>
      <w:spacing w:after="220"/>
      <w:jc w:val="both"/>
      <w:outlineLvl w:val="2"/>
    </w:pPr>
    <w:rPr>
      <w:b/>
    </w:rPr>
  </w:style>
  <w:style w:type="paragraph" w:styleId="Heading4">
    <w:name w:val="heading 4"/>
    <w:basedOn w:val="Normal"/>
    <w:next w:val="Normal"/>
    <w:qFormat/>
    <w:rsid w:val="00A4446A"/>
    <w:pPr>
      <w:keepNext/>
      <w:widowControl w:val="0"/>
      <w:numPr>
        <w:ilvl w:val="3"/>
        <w:numId w:val="2"/>
      </w:numPr>
      <w:spacing w:after="220"/>
      <w:jc w:val="both"/>
      <w:outlineLvl w:val="3"/>
    </w:pPr>
    <w:rPr>
      <w:b/>
    </w:rPr>
  </w:style>
  <w:style w:type="paragraph" w:styleId="Heading5">
    <w:name w:val="heading 5"/>
    <w:basedOn w:val="Normal"/>
    <w:next w:val="Normal"/>
    <w:qFormat/>
    <w:rsid w:val="00A4446A"/>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4446A"/>
    <w:pPr>
      <w:widowControl w:val="0"/>
      <w:numPr>
        <w:ilvl w:val="5"/>
        <w:numId w:val="2"/>
      </w:numPr>
      <w:spacing w:after="220"/>
      <w:jc w:val="both"/>
      <w:outlineLvl w:val="5"/>
    </w:pPr>
    <w:rPr>
      <w:b/>
    </w:rPr>
  </w:style>
  <w:style w:type="paragraph" w:styleId="Heading7">
    <w:name w:val="heading 7"/>
    <w:basedOn w:val="Normal"/>
    <w:next w:val="Normal"/>
    <w:qFormat/>
    <w:rsid w:val="00A4446A"/>
    <w:pPr>
      <w:widowControl w:val="0"/>
      <w:numPr>
        <w:ilvl w:val="7"/>
        <w:numId w:val="2"/>
      </w:numPr>
      <w:spacing w:after="220"/>
      <w:jc w:val="both"/>
      <w:outlineLvl w:val="6"/>
    </w:pPr>
    <w:rPr>
      <w:b/>
    </w:rPr>
  </w:style>
  <w:style w:type="paragraph" w:styleId="Heading8">
    <w:name w:val="heading 8"/>
    <w:basedOn w:val="Normal"/>
    <w:next w:val="Normal"/>
    <w:qFormat/>
    <w:rsid w:val="00A4446A"/>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A4446A"/>
    <w:pPr>
      <w:widowControl w:val="0"/>
      <w:numPr>
        <w:ilvl w:val="8"/>
        <w:numId w:val="2"/>
      </w:numPr>
      <w:spacing w:after="220"/>
      <w:jc w:val="both"/>
      <w:outlineLvl w:val="8"/>
    </w:pPr>
    <w:rPr>
      <w:b/>
    </w:rPr>
  </w:style>
  <w:style w:type="character" w:default="1" w:styleId="DefaultParagraphFont">
    <w:name w:val="Default Paragraph Font"/>
    <w:semiHidden/>
    <w:rsid w:val="00A444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46A"/>
  </w:style>
  <w:style w:type="paragraph" w:styleId="Header">
    <w:name w:val="header"/>
    <w:basedOn w:val="Normal"/>
    <w:rsid w:val="00A4446A"/>
    <w:pPr>
      <w:tabs>
        <w:tab w:val="center" w:pos="4320"/>
        <w:tab w:val="right" w:pos="8640"/>
      </w:tabs>
    </w:pPr>
  </w:style>
  <w:style w:type="paragraph" w:styleId="Footer">
    <w:name w:val="footer"/>
    <w:basedOn w:val="Normal"/>
    <w:link w:val="FooterChar"/>
    <w:rsid w:val="00A4446A"/>
    <w:pPr>
      <w:tabs>
        <w:tab w:val="center" w:pos="4320"/>
        <w:tab w:val="right" w:pos="8640"/>
      </w:tabs>
    </w:pPr>
  </w:style>
  <w:style w:type="character" w:styleId="Hyperlink">
    <w:name w:val="Hyperlink"/>
    <w:rsid w:val="00A4446A"/>
    <w:rPr>
      <w:color w:val="0000FF"/>
      <w:u w:val="single"/>
    </w:rPr>
  </w:style>
  <w:style w:type="paragraph" w:styleId="BlockText">
    <w:name w:val="Block Text"/>
    <w:basedOn w:val="Normal"/>
    <w:rsid w:val="00A4446A"/>
    <w:pPr>
      <w:widowControl w:val="0"/>
      <w:spacing w:after="220"/>
      <w:ind w:left="1440" w:right="1440"/>
      <w:jc w:val="both"/>
    </w:pPr>
  </w:style>
  <w:style w:type="paragraph" w:customStyle="1" w:styleId="Bullet">
    <w:name w:val="Bullet"/>
    <w:basedOn w:val="Normal"/>
    <w:rsid w:val="00A4446A"/>
    <w:pPr>
      <w:widowControl w:val="0"/>
      <w:numPr>
        <w:numId w:val="1"/>
      </w:numPr>
      <w:tabs>
        <w:tab w:val="clear" w:pos="2520"/>
      </w:tabs>
      <w:spacing w:after="220"/>
      <w:ind w:left="2160" w:hanging="720"/>
      <w:jc w:val="both"/>
    </w:pPr>
  </w:style>
  <w:style w:type="paragraph" w:styleId="Caption">
    <w:name w:val="caption"/>
    <w:basedOn w:val="Normal"/>
    <w:next w:val="Normal"/>
    <w:qFormat/>
    <w:rsid w:val="00A4446A"/>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sid w:val="00A4446A"/>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rsid w:val="00A4446A"/>
    <w:pPr>
      <w:tabs>
        <w:tab w:val="left" w:pos="720"/>
      </w:tabs>
      <w:spacing w:after="200"/>
    </w:pPr>
  </w:style>
  <w:style w:type="paragraph" w:customStyle="1" w:styleId="NumberedList">
    <w:name w:val="Numbered List"/>
    <w:basedOn w:val="Normal"/>
    <w:rsid w:val="00A4446A"/>
    <w:pPr>
      <w:numPr>
        <w:numId w:val="11"/>
      </w:numPr>
      <w:tabs>
        <w:tab w:val="clear" w:pos="1080"/>
      </w:tabs>
      <w:spacing w:after="220"/>
      <w:ind w:firstLine="0"/>
    </w:pPr>
  </w:style>
  <w:style w:type="paragraph" w:customStyle="1" w:styleId="Paranum">
    <w:name w:val="Paranum"/>
    <w:basedOn w:val="Normal"/>
    <w:rsid w:val="00A4446A"/>
    <w:pPr>
      <w:widowControl w:val="0"/>
      <w:numPr>
        <w:numId w:val="12"/>
      </w:numPr>
      <w:tabs>
        <w:tab w:val="clear" w:pos="1080"/>
      </w:tabs>
      <w:spacing w:after="220"/>
      <w:jc w:val="both"/>
    </w:pPr>
  </w:style>
  <w:style w:type="paragraph" w:customStyle="1" w:styleId="TableFormat">
    <w:name w:val="Table Format"/>
    <w:basedOn w:val="Normal"/>
    <w:rsid w:val="00A4446A"/>
    <w:pPr>
      <w:widowControl w:val="0"/>
      <w:tabs>
        <w:tab w:val="left" w:pos="5040"/>
      </w:tabs>
      <w:spacing w:after="220"/>
      <w:ind w:left="5040" w:hanging="3600"/>
      <w:jc w:val="both"/>
    </w:pPr>
  </w:style>
  <w:style w:type="paragraph" w:styleId="TOC1">
    <w:name w:val="toc 1"/>
    <w:basedOn w:val="Normal"/>
    <w:next w:val="Normal"/>
    <w:autoRedefine/>
    <w:semiHidden/>
    <w:rsid w:val="00A4446A"/>
    <w:rPr>
      <w:caps/>
    </w:rPr>
  </w:style>
  <w:style w:type="character" w:styleId="FollowedHyperlink">
    <w:name w:val="FollowedHyperlink"/>
    <w:rsid w:val="00A4446A"/>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erChar">
    <w:name w:val="Footer Char"/>
    <w:link w:val="Footer"/>
    <w:rPr>
      <w:sz w:val="22"/>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numbering" w:customStyle="1" w:styleId="List21">
    <w:name w:val="List 21"/>
  </w:style>
  <w:style w:type="character" w:customStyle="1" w:styleId="Hyperlink1">
    <w:name w:val="Hyperlink1"/>
    <w:rPr>
      <w:color w:val="000000"/>
      <w:sz w:val="20"/>
    </w:rPr>
  </w:style>
  <w:style w:type="character" w:customStyle="1" w:styleId="FootnoteReference1">
    <w:name w:val="Footnote Reference1"/>
    <w:rPr>
      <w:color w:val="000000"/>
      <w:sz w:val="20"/>
      <w:vertAlign w:val="superscript"/>
    </w:rPr>
  </w:style>
  <w:style w:type="character" w:customStyle="1" w:styleId="FootnoteReference2">
    <w:name w:val="Footnote Reference2"/>
    <w:rPr>
      <w:color w:val="000000"/>
      <w:sz w:val="20"/>
      <w:vertAlign w:val="superscript"/>
    </w:rPr>
  </w:style>
  <w:style w:type="paragraph" w:styleId="Revision">
    <w:name w:val="Revision"/>
    <w:hidden/>
    <w:uiPriority w:val="99"/>
    <w:semiHidden/>
    <w:rsid w:val="00A7525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46A"/>
    <w:rPr>
      <w:sz w:val="22"/>
    </w:rPr>
  </w:style>
  <w:style w:type="paragraph" w:styleId="Heading1">
    <w:name w:val="heading 1"/>
    <w:basedOn w:val="Normal"/>
    <w:next w:val="Normal"/>
    <w:qFormat/>
    <w:rsid w:val="00A4446A"/>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4446A"/>
    <w:pPr>
      <w:keepNext/>
      <w:widowControl w:val="0"/>
      <w:numPr>
        <w:ilvl w:val="1"/>
        <w:numId w:val="2"/>
      </w:numPr>
      <w:spacing w:after="220"/>
      <w:jc w:val="both"/>
      <w:outlineLvl w:val="1"/>
    </w:pPr>
    <w:rPr>
      <w:b/>
    </w:rPr>
  </w:style>
  <w:style w:type="paragraph" w:styleId="Heading3">
    <w:name w:val="heading 3"/>
    <w:basedOn w:val="Normal"/>
    <w:next w:val="Normal"/>
    <w:qFormat/>
    <w:rsid w:val="00A4446A"/>
    <w:pPr>
      <w:keepNext/>
      <w:widowControl w:val="0"/>
      <w:numPr>
        <w:ilvl w:val="2"/>
        <w:numId w:val="2"/>
      </w:numPr>
      <w:spacing w:after="220"/>
      <w:jc w:val="both"/>
      <w:outlineLvl w:val="2"/>
    </w:pPr>
    <w:rPr>
      <w:b/>
    </w:rPr>
  </w:style>
  <w:style w:type="paragraph" w:styleId="Heading4">
    <w:name w:val="heading 4"/>
    <w:basedOn w:val="Normal"/>
    <w:next w:val="Normal"/>
    <w:qFormat/>
    <w:rsid w:val="00A4446A"/>
    <w:pPr>
      <w:keepNext/>
      <w:widowControl w:val="0"/>
      <w:numPr>
        <w:ilvl w:val="3"/>
        <w:numId w:val="2"/>
      </w:numPr>
      <w:spacing w:after="220"/>
      <w:jc w:val="both"/>
      <w:outlineLvl w:val="3"/>
    </w:pPr>
    <w:rPr>
      <w:b/>
    </w:rPr>
  </w:style>
  <w:style w:type="paragraph" w:styleId="Heading5">
    <w:name w:val="heading 5"/>
    <w:basedOn w:val="Normal"/>
    <w:next w:val="Normal"/>
    <w:qFormat/>
    <w:rsid w:val="00A4446A"/>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4446A"/>
    <w:pPr>
      <w:widowControl w:val="0"/>
      <w:numPr>
        <w:ilvl w:val="5"/>
        <w:numId w:val="2"/>
      </w:numPr>
      <w:spacing w:after="220"/>
      <w:jc w:val="both"/>
      <w:outlineLvl w:val="5"/>
    </w:pPr>
    <w:rPr>
      <w:b/>
    </w:rPr>
  </w:style>
  <w:style w:type="paragraph" w:styleId="Heading7">
    <w:name w:val="heading 7"/>
    <w:basedOn w:val="Normal"/>
    <w:next w:val="Normal"/>
    <w:qFormat/>
    <w:rsid w:val="00A4446A"/>
    <w:pPr>
      <w:widowControl w:val="0"/>
      <w:numPr>
        <w:ilvl w:val="7"/>
        <w:numId w:val="2"/>
      </w:numPr>
      <w:spacing w:after="220"/>
      <w:jc w:val="both"/>
      <w:outlineLvl w:val="6"/>
    </w:pPr>
    <w:rPr>
      <w:b/>
    </w:rPr>
  </w:style>
  <w:style w:type="paragraph" w:styleId="Heading8">
    <w:name w:val="heading 8"/>
    <w:basedOn w:val="Normal"/>
    <w:next w:val="Normal"/>
    <w:qFormat/>
    <w:rsid w:val="00A4446A"/>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A4446A"/>
    <w:pPr>
      <w:widowControl w:val="0"/>
      <w:numPr>
        <w:ilvl w:val="8"/>
        <w:numId w:val="2"/>
      </w:numPr>
      <w:spacing w:after="220"/>
      <w:jc w:val="both"/>
      <w:outlineLvl w:val="8"/>
    </w:pPr>
    <w:rPr>
      <w:b/>
    </w:rPr>
  </w:style>
  <w:style w:type="character" w:default="1" w:styleId="DefaultParagraphFont">
    <w:name w:val="Default Paragraph Font"/>
    <w:semiHidden/>
    <w:rsid w:val="00A444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46A"/>
  </w:style>
  <w:style w:type="paragraph" w:styleId="Header">
    <w:name w:val="header"/>
    <w:basedOn w:val="Normal"/>
    <w:rsid w:val="00A4446A"/>
    <w:pPr>
      <w:tabs>
        <w:tab w:val="center" w:pos="4320"/>
        <w:tab w:val="right" w:pos="8640"/>
      </w:tabs>
    </w:pPr>
  </w:style>
  <w:style w:type="paragraph" w:styleId="Footer">
    <w:name w:val="footer"/>
    <w:basedOn w:val="Normal"/>
    <w:link w:val="FooterChar"/>
    <w:rsid w:val="00A4446A"/>
    <w:pPr>
      <w:tabs>
        <w:tab w:val="center" w:pos="4320"/>
        <w:tab w:val="right" w:pos="8640"/>
      </w:tabs>
    </w:pPr>
  </w:style>
  <w:style w:type="character" w:styleId="Hyperlink">
    <w:name w:val="Hyperlink"/>
    <w:rsid w:val="00A4446A"/>
    <w:rPr>
      <w:color w:val="0000FF"/>
      <w:u w:val="single"/>
    </w:rPr>
  </w:style>
  <w:style w:type="paragraph" w:styleId="BlockText">
    <w:name w:val="Block Text"/>
    <w:basedOn w:val="Normal"/>
    <w:rsid w:val="00A4446A"/>
    <w:pPr>
      <w:widowControl w:val="0"/>
      <w:spacing w:after="220"/>
      <w:ind w:left="1440" w:right="1440"/>
      <w:jc w:val="both"/>
    </w:pPr>
  </w:style>
  <w:style w:type="paragraph" w:customStyle="1" w:styleId="Bullet">
    <w:name w:val="Bullet"/>
    <w:basedOn w:val="Normal"/>
    <w:rsid w:val="00A4446A"/>
    <w:pPr>
      <w:widowControl w:val="0"/>
      <w:numPr>
        <w:numId w:val="1"/>
      </w:numPr>
      <w:tabs>
        <w:tab w:val="clear" w:pos="2520"/>
      </w:tabs>
      <w:spacing w:after="220"/>
      <w:ind w:left="2160" w:hanging="720"/>
      <w:jc w:val="both"/>
    </w:pPr>
  </w:style>
  <w:style w:type="paragraph" w:styleId="Caption">
    <w:name w:val="caption"/>
    <w:basedOn w:val="Normal"/>
    <w:next w:val="Normal"/>
    <w:qFormat/>
    <w:rsid w:val="00A4446A"/>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sid w:val="00A4446A"/>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rsid w:val="00A4446A"/>
    <w:pPr>
      <w:tabs>
        <w:tab w:val="left" w:pos="720"/>
      </w:tabs>
      <w:spacing w:after="200"/>
    </w:pPr>
  </w:style>
  <w:style w:type="paragraph" w:customStyle="1" w:styleId="NumberedList">
    <w:name w:val="Numbered List"/>
    <w:basedOn w:val="Normal"/>
    <w:rsid w:val="00A4446A"/>
    <w:pPr>
      <w:numPr>
        <w:numId w:val="11"/>
      </w:numPr>
      <w:tabs>
        <w:tab w:val="clear" w:pos="1080"/>
      </w:tabs>
      <w:spacing w:after="220"/>
      <w:ind w:firstLine="0"/>
    </w:pPr>
  </w:style>
  <w:style w:type="paragraph" w:customStyle="1" w:styleId="Paranum">
    <w:name w:val="Paranum"/>
    <w:basedOn w:val="Normal"/>
    <w:rsid w:val="00A4446A"/>
    <w:pPr>
      <w:widowControl w:val="0"/>
      <w:numPr>
        <w:numId w:val="12"/>
      </w:numPr>
      <w:tabs>
        <w:tab w:val="clear" w:pos="1080"/>
      </w:tabs>
      <w:spacing w:after="220"/>
      <w:jc w:val="both"/>
    </w:pPr>
  </w:style>
  <w:style w:type="paragraph" w:customStyle="1" w:styleId="TableFormat">
    <w:name w:val="Table Format"/>
    <w:basedOn w:val="Normal"/>
    <w:rsid w:val="00A4446A"/>
    <w:pPr>
      <w:widowControl w:val="0"/>
      <w:tabs>
        <w:tab w:val="left" w:pos="5040"/>
      </w:tabs>
      <w:spacing w:after="220"/>
      <w:ind w:left="5040" w:hanging="3600"/>
      <w:jc w:val="both"/>
    </w:pPr>
  </w:style>
  <w:style w:type="paragraph" w:styleId="TOC1">
    <w:name w:val="toc 1"/>
    <w:basedOn w:val="Normal"/>
    <w:next w:val="Normal"/>
    <w:autoRedefine/>
    <w:semiHidden/>
    <w:rsid w:val="00A4446A"/>
    <w:rPr>
      <w:caps/>
    </w:rPr>
  </w:style>
  <w:style w:type="character" w:styleId="FollowedHyperlink">
    <w:name w:val="FollowedHyperlink"/>
    <w:rsid w:val="00A4446A"/>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erChar">
    <w:name w:val="Footer Char"/>
    <w:link w:val="Footer"/>
    <w:rPr>
      <w:sz w:val="22"/>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numbering" w:customStyle="1" w:styleId="List21">
    <w:name w:val="List 21"/>
  </w:style>
  <w:style w:type="character" w:customStyle="1" w:styleId="Hyperlink1">
    <w:name w:val="Hyperlink1"/>
    <w:rPr>
      <w:color w:val="000000"/>
      <w:sz w:val="20"/>
    </w:rPr>
  </w:style>
  <w:style w:type="character" w:customStyle="1" w:styleId="FootnoteReference1">
    <w:name w:val="Footnote Reference1"/>
    <w:rPr>
      <w:color w:val="000000"/>
      <w:sz w:val="20"/>
      <w:vertAlign w:val="superscript"/>
    </w:rPr>
  </w:style>
  <w:style w:type="character" w:customStyle="1" w:styleId="FootnoteReference2">
    <w:name w:val="Footnote Reference2"/>
    <w:rPr>
      <w:color w:val="000000"/>
      <w:sz w:val="20"/>
      <w:vertAlign w:val="superscript"/>
    </w:rPr>
  </w:style>
  <w:style w:type="paragraph" w:styleId="Revision">
    <w:name w:val="Revision"/>
    <w:hidden/>
    <w:uiPriority w:val="99"/>
    <w:semiHidden/>
    <w:rsid w:val="00A752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8630">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1351</Words>
  <Characters>7355</Characters>
  <Application>Microsoft Office Word</Application>
  <DocSecurity>0</DocSecurity>
  <Lines>113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8744</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2011-07-12T13:05:00Z</cp:lastPrinted>
  <dcterms:created xsi:type="dcterms:W3CDTF">2014-04-21T20:05:00Z</dcterms:created>
  <dcterms:modified xsi:type="dcterms:W3CDTF">2014-04-21T20:05:00Z</dcterms:modified>
  <cp:category> </cp:category>
  <cp:contentStatus> </cp:contentStatus>
</cp:coreProperties>
</file>