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2A" w:rsidRDefault="00447E2A">
      <w:pPr>
        <w:pStyle w:val="Title"/>
        <w:rPr>
          <w:szCs w:val="22"/>
        </w:rPr>
      </w:pPr>
      <w:bookmarkStart w:id="0" w:name="_GoBack"/>
      <w:bookmarkEnd w:id="0"/>
      <w:r>
        <w:rPr>
          <w:szCs w:val="22"/>
        </w:rPr>
        <w:t xml:space="preserve">Before the </w:t>
      </w:r>
    </w:p>
    <w:p w:rsidR="00447E2A" w:rsidRDefault="00447E2A">
      <w:pPr>
        <w:jc w:val="center"/>
        <w:rPr>
          <w:b/>
          <w:bCs/>
        </w:rPr>
      </w:pPr>
      <w:r>
        <w:rPr>
          <w:b/>
          <w:bCs/>
        </w:rPr>
        <w:t>Federal Communications Commission</w:t>
      </w:r>
    </w:p>
    <w:p w:rsidR="00447E2A" w:rsidRDefault="00447E2A">
      <w:pPr>
        <w:jc w:val="center"/>
        <w:rPr>
          <w:b/>
          <w:bCs/>
        </w:rPr>
      </w:pPr>
      <w:r>
        <w:rPr>
          <w:b/>
          <w:bCs/>
        </w:rPr>
        <w:t>Washington, D.C. 20554</w:t>
      </w:r>
    </w:p>
    <w:p w:rsidR="00447E2A" w:rsidRDefault="00447E2A">
      <w:pPr>
        <w:jc w:val="center"/>
        <w:rPr>
          <w:b/>
          <w:bCs/>
        </w:rPr>
      </w:pPr>
    </w:p>
    <w:p w:rsidR="00447E2A" w:rsidRDefault="00447E2A"/>
    <w:p w:rsidR="00447E2A" w:rsidRDefault="00447E2A">
      <w:r>
        <w:t>In the Matter of</w:t>
      </w:r>
      <w:r>
        <w:tab/>
      </w:r>
      <w:r>
        <w:tab/>
      </w:r>
      <w:r>
        <w:tab/>
      </w:r>
      <w:r>
        <w:tab/>
      </w:r>
      <w:r>
        <w:tab/>
        <w:t>)</w:t>
      </w:r>
    </w:p>
    <w:p w:rsidR="00447E2A" w:rsidRDefault="00447E2A">
      <w:r>
        <w:tab/>
      </w:r>
      <w:r>
        <w:tab/>
      </w:r>
      <w:r>
        <w:tab/>
      </w:r>
      <w:r>
        <w:tab/>
      </w:r>
      <w:r>
        <w:tab/>
      </w:r>
      <w:r>
        <w:tab/>
        <w:t>)</w:t>
      </w:r>
      <w:r>
        <w:tab/>
        <w:t xml:space="preserve">               </w:t>
      </w:r>
    </w:p>
    <w:p w:rsidR="00447E2A" w:rsidRDefault="00826338">
      <w:r>
        <w:t xml:space="preserve">Thomas </w:t>
      </w:r>
      <w:r w:rsidR="002C1A5F">
        <w:t>Edward Rogers</w:t>
      </w:r>
      <w:r w:rsidR="002C1A5F">
        <w:tab/>
      </w:r>
      <w:r w:rsidR="002C1A5F">
        <w:tab/>
      </w:r>
      <w:r w:rsidR="002C1A5F">
        <w:tab/>
      </w:r>
      <w:r w:rsidR="002C1A5F">
        <w:tab/>
        <w:t xml:space="preserve">)                        </w:t>
      </w:r>
      <w:r w:rsidR="00447E2A">
        <w:t>File No.: EB-FIELD</w:t>
      </w:r>
      <w:r>
        <w:t>W</w:t>
      </w:r>
      <w:r w:rsidR="00447E2A">
        <w:t>R-13-000</w:t>
      </w:r>
      <w:r>
        <w:t>09096</w:t>
      </w:r>
      <w:r w:rsidR="00447E2A">
        <w:t xml:space="preserve"> </w:t>
      </w:r>
    </w:p>
    <w:p w:rsidR="00447E2A" w:rsidRDefault="00447E2A">
      <w:r>
        <w:tab/>
      </w:r>
      <w:r>
        <w:tab/>
      </w:r>
      <w:r>
        <w:tab/>
      </w:r>
      <w:r>
        <w:tab/>
      </w:r>
      <w:r w:rsidR="00826338">
        <w:tab/>
      </w:r>
      <w:r w:rsidR="00826338">
        <w:tab/>
      </w:r>
      <w:r w:rsidR="002C1A5F">
        <w:t xml:space="preserve">)                        </w:t>
      </w:r>
      <w:r>
        <w:t>Citation No.: C2014</w:t>
      </w:r>
      <w:r w:rsidR="00826338">
        <w:t>3298</w:t>
      </w:r>
      <w:r>
        <w:t>00</w:t>
      </w:r>
      <w:r w:rsidR="00DB3304">
        <w:t>03</w:t>
      </w:r>
    </w:p>
    <w:p w:rsidR="00447E2A" w:rsidRDefault="00826338">
      <w:r>
        <w:t>Woodinville</w:t>
      </w:r>
      <w:r w:rsidR="00447E2A">
        <w:t xml:space="preserve">, </w:t>
      </w:r>
      <w:r>
        <w:t>WA</w:t>
      </w:r>
      <w:r w:rsidR="00447E2A">
        <w:t xml:space="preserve">  </w:t>
      </w:r>
      <w:r w:rsidR="00447E2A">
        <w:tab/>
        <w:t xml:space="preserve"> </w:t>
      </w:r>
      <w:r w:rsidR="00447E2A">
        <w:tab/>
      </w:r>
      <w:r w:rsidR="00447E2A">
        <w:tab/>
      </w:r>
      <w:r w:rsidR="00447E2A">
        <w:tab/>
        <w:t>)</w:t>
      </w:r>
    </w:p>
    <w:p w:rsidR="002C1A5F" w:rsidRDefault="002C1A5F">
      <w:r>
        <w:t xml:space="preserve">                                                                              </w:t>
      </w:r>
    </w:p>
    <w:p w:rsidR="00447E2A" w:rsidRDefault="00447E2A"/>
    <w:p w:rsidR="00447E2A" w:rsidRDefault="00447E2A"/>
    <w:p w:rsidR="00447E2A" w:rsidRDefault="00447E2A">
      <w:pPr>
        <w:pStyle w:val="Heading1"/>
        <w:jc w:val="center"/>
        <w:rPr>
          <w:rFonts w:ascii="Times New Roman" w:hAnsi="Times New Roman" w:cs="Times New Roman"/>
          <w:sz w:val="22"/>
          <w:szCs w:val="22"/>
        </w:rPr>
      </w:pPr>
      <w:r>
        <w:rPr>
          <w:rFonts w:ascii="Times New Roman" w:hAnsi="Times New Roman" w:cs="Times New Roman"/>
          <w:sz w:val="22"/>
          <w:szCs w:val="22"/>
        </w:rPr>
        <w:t>CITATION AND ORDER</w:t>
      </w:r>
    </w:p>
    <w:p w:rsidR="00447E2A" w:rsidRDefault="00447E2A">
      <w:pPr>
        <w:jc w:val="center"/>
      </w:pPr>
    </w:p>
    <w:p w:rsidR="00447E2A" w:rsidRDefault="00447E2A" w:rsidP="002C1A5F">
      <w:pPr>
        <w:tabs>
          <w:tab w:val="left" w:pos="2340"/>
          <w:tab w:val="left" w:pos="2790"/>
        </w:tabs>
        <w:jc w:val="center"/>
        <w:rPr>
          <w:b/>
        </w:rPr>
      </w:pPr>
      <w:r>
        <w:rPr>
          <w:b/>
        </w:rPr>
        <w:t>Incidental Radiator Causing Harmful Interference</w:t>
      </w:r>
    </w:p>
    <w:p w:rsidR="00447E2A" w:rsidRDefault="00447E2A">
      <w:pPr>
        <w:jc w:val="center"/>
        <w:rPr>
          <w:b/>
          <w:bCs/>
        </w:rPr>
      </w:pPr>
    </w:p>
    <w:p w:rsidR="00447E2A" w:rsidRPr="00DB3304" w:rsidRDefault="00447E2A">
      <w:pPr>
        <w:rPr>
          <w:b/>
        </w:rPr>
      </w:pPr>
      <w:r>
        <w:rPr>
          <w:b/>
          <w:bCs/>
        </w:rPr>
        <w:t xml:space="preserve">Adopted:  </w:t>
      </w:r>
      <w:r w:rsidR="00CF272D">
        <w:rPr>
          <w:b/>
          <w:bCs/>
        </w:rPr>
        <w:t>April 23</w:t>
      </w:r>
      <w:r w:rsidR="00DB3304">
        <w:rPr>
          <w:b/>
          <w:bCs/>
        </w:rPr>
        <w:t>, 2014</w:t>
      </w:r>
      <w:r>
        <w:rPr>
          <w:b/>
          <w:bCs/>
        </w:rPr>
        <w:tab/>
      </w:r>
      <w:r>
        <w:rPr>
          <w:b/>
          <w:bCs/>
        </w:rPr>
        <w:tab/>
      </w:r>
      <w:r>
        <w:rPr>
          <w:b/>
          <w:bCs/>
        </w:rPr>
        <w:tab/>
      </w:r>
      <w:r>
        <w:rPr>
          <w:b/>
          <w:bCs/>
        </w:rPr>
        <w:tab/>
      </w:r>
      <w:r>
        <w:rPr>
          <w:b/>
          <w:bCs/>
        </w:rPr>
        <w:tab/>
      </w:r>
      <w:r>
        <w:rPr>
          <w:b/>
          <w:bCs/>
        </w:rPr>
        <w:tab/>
      </w:r>
      <w:r w:rsidRPr="00DB3304">
        <w:rPr>
          <w:b/>
          <w:bCs/>
        </w:rPr>
        <w:t>Released</w:t>
      </w:r>
      <w:r w:rsidRPr="00DB3304">
        <w:rPr>
          <w:b/>
        </w:rPr>
        <w:t xml:space="preserve">:  </w:t>
      </w:r>
      <w:r w:rsidR="00CF272D">
        <w:rPr>
          <w:b/>
        </w:rPr>
        <w:t>April 24</w:t>
      </w:r>
      <w:r w:rsidR="00DB3304" w:rsidRPr="00DB3304">
        <w:rPr>
          <w:b/>
        </w:rPr>
        <w:t>, 2014</w:t>
      </w:r>
    </w:p>
    <w:p w:rsidR="00447E2A" w:rsidRDefault="00447E2A"/>
    <w:p w:rsidR="00447E2A" w:rsidRDefault="00447E2A">
      <w:r>
        <w:t xml:space="preserve">By the </w:t>
      </w:r>
      <w:r w:rsidR="003E526D">
        <w:t>Acting District Director</w:t>
      </w:r>
      <w:r>
        <w:t xml:space="preserve">, </w:t>
      </w:r>
      <w:r w:rsidR="003E526D">
        <w:t>Seattle</w:t>
      </w:r>
      <w:r>
        <w:t xml:space="preserve"> Office, </w:t>
      </w:r>
      <w:r w:rsidR="003E526D">
        <w:t>Western</w:t>
      </w:r>
      <w:r>
        <w:t xml:space="preserve"> Region, Enforcement Bureau:</w:t>
      </w:r>
    </w:p>
    <w:p w:rsidR="00447E2A" w:rsidRDefault="00447E2A"/>
    <w:p w:rsidR="00447E2A" w:rsidRDefault="00447E2A">
      <w:pPr>
        <w:rPr>
          <w:b/>
        </w:rPr>
      </w:pPr>
      <w:r>
        <w:rPr>
          <w:b/>
        </w:rPr>
        <w:t>I.</w:t>
      </w:r>
      <w:r>
        <w:rPr>
          <w:b/>
        </w:rPr>
        <w:tab/>
        <w:t>INTRODUCTION</w:t>
      </w:r>
    </w:p>
    <w:p w:rsidR="00447E2A" w:rsidRDefault="00447E2A">
      <w:pPr>
        <w:rPr>
          <w:b/>
        </w:rPr>
      </w:pPr>
    </w:p>
    <w:p w:rsidR="00AD5D1D" w:rsidRDefault="00900C83" w:rsidP="00184CD7">
      <w:pPr>
        <w:numPr>
          <w:ilvl w:val="0"/>
          <w:numId w:val="14"/>
        </w:numPr>
        <w:tabs>
          <w:tab w:val="num" w:pos="1440"/>
        </w:tabs>
        <w:spacing w:after="120"/>
        <w:ind w:left="0" w:firstLine="720"/>
      </w:pPr>
      <w:r>
        <w:t xml:space="preserve">This </w:t>
      </w:r>
      <w:r w:rsidR="001603BD" w:rsidRPr="001603BD">
        <w:rPr>
          <w:b/>
        </w:rPr>
        <w:t>CITATION AND ORDER</w:t>
      </w:r>
      <w:r w:rsidR="001603BD" w:rsidRPr="001603BD">
        <w:t xml:space="preserve"> (Citation)</w:t>
      </w:r>
      <w:r>
        <w:t xml:space="preserve"> notifies </w:t>
      </w:r>
      <w:r w:rsidR="00184CD7" w:rsidRPr="00184CD7">
        <w:t xml:space="preserve">Thomas Edward Rogers </w:t>
      </w:r>
      <w:r w:rsidR="00184CD7">
        <w:t>(</w:t>
      </w:r>
      <w:r w:rsidR="006D5C2D">
        <w:t>Mr. Roger</w:t>
      </w:r>
      <w:r w:rsidR="00184CD7">
        <w:t>s)</w:t>
      </w:r>
      <w:r w:rsidR="006D5C2D">
        <w:t xml:space="preserve"> of his</w:t>
      </w:r>
      <w:r>
        <w:t xml:space="preserve"> obligation to stop operating devices</w:t>
      </w:r>
      <w:r w:rsidR="00184CD7">
        <w:t xml:space="preserve"> that are</w:t>
      </w:r>
      <w:r>
        <w:t xml:space="preserve"> causing interference </w:t>
      </w:r>
      <w:r w:rsidR="00184CD7">
        <w:t xml:space="preserve">to licensed radio operations </w:t>
      </w:r>
      <w:r>
        <w:t xml:space="preserve">and to comply with federal rules and regulations related to </w:t>
      </w:r>
      <w:r w:rsidR="00AD5D1D">
        <w:t xml:space="preserve">radio frequency </w:t>
      </w:r>
      <w:r>
        <w:t>devices</w:t>
      </w:r>
      <w:r w:rsidR="00184CD7">
        <w:t>.  This</w:t>
      </w:r>
      <w:r>
        <w:t xml:space="preserve"> includ</w:t>
      </w:r>
      <w:r w:rsidR="00184CD7">
        <w:t>es</w:t>
      </w:r>
      <w:r>
        <w:t xml:space="preserve"> consumer and industrial devices such as lighting bal</w:t>
      </w:r>
      <w:r w:rsidR="00AD5D1D">
        <w:t>lasts</w:t>
      </w:r>
      <w:r>
        <w:t xml:space="preserve"> that </w:t>
      </w:r>
      <w:r w:rsidR="00AD5D1D">
        <w:t xml:space="preserve">utilize radio frequencies in their operation.  </w:t>
      </w:r>
      <w:r w:rsidR="00184CD7" w:rsidRPr="00184CD7">
        <w:t>Commission agents have made multiple unsuccessful attempts in writing and via phone calls to contact Mr. Rogers regarding unauthorized and unlicensed radio frequency emissions emanating from his property in Woo</w:t>
      </w:r>
      <w:r w:rsidR="001603BD">
        <w:t>dinville, Washington.</w:t>
      </w:r>
      <w:r w:rsidR="00184CD7" w:rsidRPr="00184CD7">
        <w:t xml:space="preserve">  </w:t>
      </w:r>
      <w:r w:rsidR="00AD5D1D">
        <w:t xml:space="preserve">Failure to take action to resolve the interference may result in severe penalties, including fines of up to $16,000 per day. </w:t>
      </w:r>
    </w:p>
    <w:p w:rsidR="00447E2A" w:rsidRDefault="00447E2A" w:rsidP="00184CD7">
      <w:pPr>
        <w:numPr>
          <w:ilvl w:val="0"/>
          <w:numId w:val="14"/>
        </w:numPr>
        <w:tabs>
          <w:tab w:val="num" w:pos="1440"/>
        </w:tabs>
        <w:spacing w:after="120"/>
        <w:ind w:left="0" w:firstLine="720"/>
      </w:pPr>
      <w:r>
        <w:t>This is an official Citation issued pursuant to Section 503(b)(5) of the Communications Act of 1934, as amended (Communications Act or Act),</w:t>
      </w:r>
      <w:r>
        <w:rPr>
          <w:rStyle w:val="FootnoteReference"/>
          <w:sz w:val="22"/>
        </w:rPr>
        <w:footnoteReference w:id="2"/>
      </w:r>
      <w:r>
        <w:t xml:space="preserve"> to </w:t>
      </w:r>
      <w:r w:rsidR="00826338">
        <w:t>Mr. Rogers</w:t>
      </w:r>
      <w:r>
        <w:t xml:space="preserve">.  Specifically, Mr. </w:t>
      </w:r>
      <w:r w:rsidR="00826338">
        <w:t>Rogers</w:t>
      </w:r>
      <w:r>
        <w:t xml:space="preserve"> is being cited for </w:t>
      </w:r>
      <w:r w:rsidR="00382B0E">
        <w:t>operating incidental radiators that are</w:t>
      </w:r>
      <w:r>
        <w:t xml:space="preserve"> causing harmful interference in violation of Section 15.5(b) of the Commission’s rules (Rules).</w:t>
      </w:r>
      <w:r>
        <w:rPr>
          <w:rStyle w:val="FootnoteReference"/>
          <w:sz w:val="22"/>
        </w:rPr>
        <w:footnoteReference w:id="3"/>
      </w:r>
      <w:r>
        <w:t xml:space="preserve">    </w:t>
      </w:r>
    </w:p>
    <w:p w:rsidR="00184CD7" w:rsidRPr="00184CD7" w:rsidRDefault="00447E2A" w:rsidP="00184CD7">
      <w:pPr>
        <w:numPr>
          <w:ilvl w:val="0"/>
          <w:numId w:val="14"/>
        </w:numPr>
        <w:tabs>
          <w:tab w:val="num" w:pos="1440"/>
        </w:tabs>
        <w:spacing w:after="120"/>
        <w:ind w:left="0" w:firstLine="720"/>
      </w:pPr>
      <w:r w:rsidRPr="00184CD7">
        <w:rPr>
          <w:u w:val="single"/>
        </w:rPr>
        <w:t>Notice of Duty to Comply With Laws:</w:t>
      </w:r>
      <w:r>
        <w:t xml:space="preserve">  Mr. </w:t>
      </w:r>
      <w:r w:rsidR="00826338">
        <w:t>Rogers</w:t>
      </w:r>
      <w:r w:rsidRPr="00184CD7">
        <w:rPr>
          <w:noProof/>
          <w:color w:val="000000"/>
        </w:rPr>
        <w:t xml:space="preserve"> should ensure that he does not utilize the incidental radiators prior to their repair or replacement and should take steps to eliminate all harmful interference.  </w:t>
      </w:r>
      <w:r>
        <w:t xml:space="preserve">Mr. </w:t>
      </w:r>
      <w:r w:rsidR="00826338">
        <w:t>Rogers</w:t>
      </w:r>
      <w:r w:rsidRPr="00184CD7">
        <w:rPr>
          <w:color w:val="000000"/>
        </w:rPr>
        <w:t xml:space="preserve"> </w:t>
      </w:r>
      <w:r w:rsidRPr="00184CD7">
        <w:rPr>
          <w:kern w:val="2"/>
        </w:rPr>
        <w:t>is hereby on notice that if he subsequently engages in any conduct of the type described in this Citation, including any violation of Section 15.5(b) of the Rules, he may be subject to civil penalties, including but not limited to substantial monetary fines (forfeitures) and seizure of equipment.  Such forfeitures may be based on both the conduct that led to this Citation and the conduct following it.</w:t>
      </w:r>
      <w:r>
        <w:rPr>
          <w:rStyle w:val="FootnoteReference"/>
          <w:kern w:val="2"/>
          <w:sz w:val="22"/>
        </w:rPr>
        <w:footnoteReference w:id="4"/>
      </w:r>
      <w:bookmarkStart w:id="1" w:name="_Ref337821764"/>
    </w:p>
    <w:p w:rsidR="00447E2A" w:rsidRDefault="00447E2A" w:rsidP="00184CD7">
      <w:pPr>
        <w:numPr>
          <w:ilvl w:val="0"/>
          <w:numId w:val="14"/>
        </w:numPr>
        <w:tabs>
          <w:tab w:val="num" w:pos="1440"/>
        </w:tabs>
        <w:ind w:left="0" w:firstLine="720"/>
      </w:pPr>
      <w:r w:rsidRPr="00184CD7">
        <w:rPr>
          <w:noProof/>
          <w:u w:val="single"/>
        </w:rPr>
        <w:lastRenderedPageBreak/>
        <w:t>Your Response Required</w:t>
      </w:r>
      <w:r>
        <w:rPr>
          <w:noProof/>
        </w:rPr>
        <w:t>:  Pursuant to Sections 4(i), 4(j), and 403 of the Communications Act,</w:t>
      </w:r>
      <w:r>
        <w:rPr>
          <w:rStyle w:val="FootnoteReference"/>
          <w:noProof/>
          <w:color w:val="000000"/>
          <w:kern w:val="2"/>
          <w:sz w:val="22"/>
        </w:rPr>
        <w:footnoteReference w:id="5"/>
      </w:r>
      <w:r>
        <w:rPr>
          <w:noProof/>
        </w:rPr>
        <w:t xml:space="preserve"> we also direct Mr. </w:t>
      </w:r>
      <w:r w:rsidR="00826338">
        <w:t>Rogers</w:t>
      </w:r>
      <w:r>
        <w:rPr>
          <w:noProof/>
        </w:rPr>
        <w:t xml:space="preserve"> to respond in writing, within thirty (30) calendar days after the release date of this Citation.  The response must state that he has ceased operating the incidental radiators and describe the specific action(s) taken or planned to eliminate all harmful interference</w:t>
      </w:r>
      <w:bookmarkEnd w:id="1"/>
      <w:r w:rsidRPr="00184CD7">
        <w:rPr>
          <w:noProof/>
          <w:color w:val="000000"/>
        </w:rPr>
        <w:t xml:space="preserve">.  The response must be </w:t>
      </w:r>
      <w:r>
        <w:rPr>
          <w:noProof/>
        </w:rPr>
        <w:t>signed under penalty of perjury.</w:t>
      </w:r>
    </w:p>
    <w:p w:rsidR="00447E2A" w:rsidRDefault="00447E2A">
      <w:pPr>
        <w:ind w:left="720"/>
      </w:pPr>
    </w:p>
    <w:p w:rsidR="00447E2A" w:rsidRDefault="00447E2A">
      <w:pPr>
        <w:rPr>
          <w:b/>
        </w:rPr>
      </w:pPr>
      <w:r>
        <w:rPr>
          <w:b/>
        </w:rPr>
        <w:t>II.</w:t>
      </w:r>
      <w:r>
        <w:rPr>
          <w:b/>
        </w:rPr>
        <w:tab/>
        <w:t>BACKGROUND</w:t>
      </w:r>
    </w:p>
    <w:p w:rsidR="00447E2A" w:rsidRDefault="00447E2A">
      <w:pPr>
        <w:rPr>
          <w:b/>
        </w:rPr>
      </w:pPr>
    </w:p>
    <w:p w:rsidR="00447E2A" w:rsidRDefault="00447E2A">
      <w:pPr>
        <w:numPr>
          <w:ilvl w:val="0"/>
          <w:numId w:val="14"/>
        </w:numPr>
        <w:tabs>
          <w:tab w:val="num" w:pos="1440"/>
        </w:tabs>
        <w:ind w:left="0" w:firstLine="720"/>
      </w:pPr>
      <w:r>
        <w:t xml:space="preserve">On </w:t>
      </w:r>
      <w:r w:rsidR="008E24BB">
        <w:t>May 22</w:t>
      </w:r>
      <w:r>
        <w:t xml:space="preserve">, 2013, in response to complaints of interference to licensed </w:t>
      </w:r>
      <w:r w:rsidR="001603BD">
        <w:t>Amateur Radio Service operation</w:t>
      </w:r>
      <w:r>
        <w:t xml:space="preserve">s, an agent from the </w:t>
      </w:r>
      <w:r w:rsidR="001603BD">
        <w:t>Enforcement Bureau’s</w:t>
      </w:r>
      <w:r>
        <w:t xml:space="preserve"> </w:t>
      </w:r>
      <w:r w:rsidR="008E24BB">
        <w:t>Seattle</w:t>
      </w:r>
      <w:r>
        <w:t xml:space="preserve"> Office (</w:t>
      </w:r>
      <w:r w:rsidR="008E24BB">
        <w:t>Seattle</w:t>
      </w:r>
      <w:r>
        <w:t xml:space="preserve"> Office) used direction finding techniques to locate the source of transmissions</w:t>
      </w:r>
      <w:r w:rsidR="003E526D">
        <w:t xml:space="preserve"> radiating</w:t>
      </w:r>
      <w:r>
        <w:t xml:space="preserve"> on </w:t>
      </w:r>
      <w:r w:rsidR="003E526D">
        <w:t>numerous frequencies between 7 and 8</w:t>
      </w:r>
      <w:r>
        <w:t xml:space="preserve"> MHz to </w:t>
      </w:r>
      <w:r w:rsidR="008E24BB">
        <w:t>the residence of Mr. Rogers</w:t>
      </w:r>
      <w:r w:rsidR="006D5C2D">
        <w:t xml:space="preserve"> in</w:t>
      </w:r>
      <w:r>
        <w:t xml:space="preserve"> </w:t>
      </w:r>
      <w:r w:rsidR="008E24BB">
        <w:t>Woodinville</w:t>
      </w:r>
      <w:r>
        <w:t xml:space="preserve">, </w:t>
      </w:r>
      <w:r w:rsidR="008E24BB">
        <w:t>Washington</w:t>
      </w:r>
      <w:r>
        <w:t>.  The agent used a spectrum analyzer</w:t>
      </w:r>
      <w:r w:rsidR="00FF1FB8">
        <w:t>,</w:t>
      </w:r>
      <w:r>
        <w:t xml:space="preserve"> a hand held antenna</w:t>
      </w:r>
      <w:r w:rsidR="00FF1FB8">
        <w:t>,</w:t>
      </w:r>
      <w:r w:rsidR="00ED0ACE">
        <w:t xml:space="preserve"> and the </w:t>
      </w:r>
      <w:r w:rsidR="00115C41">
        <w:t>receiving</w:t>
      </w:r>
      <w:r w:rsidR="00ED0ACE">
        <w:t xml:space="preserve"> equipment in his vehicle</w:t>
      </w:r>
      <w:r>
        <w:t xml:space="preserve"> to confirm that the signals on </w:t>
      </w:r>
      <w:r w:rsidR="009F7DDD">
        <w:t xml:space="preserve">frequencies between </w:t>
      </w:r>
      <w:r w:rsidR="00FF1FB8">
        <w:t xml:space="preserve">7 </w:t>
      </w:r>
      <w:r w:rsidR="009F7DDD">
        <w:t>and</w:t>
      </w:r>
      <w:r w:rsidR="00FF1FB8">
        <w:t xml:space="preserve"> </w:t>
      </w:r>
      <w:r w:rsidR="00ED0ACE">
        <w:t>8</w:t>
      </w:r>
      <w:r w:rsidR="00FF1FB8">
        <w:t xml:space="preserve"> </w:t>
      </w:r>
      <w:r>
        <w:t xml:space="preserve">MHz were emanating from </w:t>
      </w:r>
      <w:r w:rsidR="00ED0ACE">
        <w:t>Mr. Rogers</w:t>
      </w:r>
      <w:r w:rsidR="00FF1FB8">
        <w:t>’</w:t>
      </w:r>
      <w:r w:rsidR="00ED0ACE">
        <w:t xml:space="preserve"> residence</w:t>
      </w:r>
      <w:r>
        <w:t>.</w:t>
      </w:r>
      <w:r w:rsidR="009A0FCE">
        <w:t xml:space="preserve">  </w:t>
      </w:r>
      <w:r w:rsidR="00FA18D7">
        <w:t>On June 17, 2013, an RFI Letter</w:t>
      </w:r>
      <w:r w:rsidR="003B0AEA">
        <w:t xml:space="preserve"> was issued to Mr. Rogers concerning his responsibilities to resolve radio frequency interference issues.</w:t>
      </w:r>
      <w:r w:rsidR="003B0AEA">
        <w:rPr>
          <w:rStyle w:val="FootnoteReference"/>
        </w:rPr>
        <w:footnoteReference w:id="6"/>
      </w:r>
      <w:r w:rsidR="003B0AEA">
        <w:t xml:space="preserve"> </w:t>
      </w:r>
      <w:r w:rsidR="00FA18D7">
        <w:t xml:space="preserve"> Mr. Rogers did not respond to the RFI Letter and t</w:t>
      </w:r>
      <w:r w:rsidR="009A0FCE">
        <w:t xml:space="preserve">he Seattle Office continued to receive complaints of interference.  The Seattle Office issued a Warning </w:t>
      </w:r>
      <w:r w:rsidR="00FA18D7">
        <w:t>L</w:t>
      </w:r>
      <w:r w:rsidR="009A0FCE">
        <w:t>etter</w:t>
      </w:r>
      <w:r w:rsidR="00FA18D7">
        <w:t xml:space="preserve"> </w:t>
      </w:r>
      <w:r w:rsidR="009A0FCE">
        <w:t>to Mr. Rogers on July 25, 2013,</w:t>
      </w:r>
      <w:r w:rsidR="00FA18D7">
        <w:rPr>
          <w:rStyle w:val="FootnoteReference"/>
        </w:rPr>
        <w:footnoteReference w:id="7"/>
      </w:r>
      <w:r w:rsidR="009A0FCE">
        <w:t xml:space="preserve"> and received no response from Mr. Rogers.  </w:t>
      </w:r>
      <w:r w:rsidR="00FF1FB8">
        <w:t>Agents from the Seattle Office</w:t>
      </w:r>
      <w:r>
        <w:t xml:space="preserve"> </w:t>
      </w:r>
      <w:r w:rsidR="00115C41">
        <w:t>returned</w:t>
      </w:r>
      <w:r w:rsidR="00ED0ACE">
        <w:t xml:space="preserve"> to Mr. Rogers</w:t>
      </w:r>
      <w:r w:rsidR="00FA18D7">
        <w:t>’ residence</w:t>
      </w:r>
      <w:r w:rsidR="00ED0ACE">
        <w:t xml:space="preserve"> on October 30, 2013</w:t>
      </w:r>
      <w:r w:rsidR="009A0FCE">
        <w:t>,</w:t>
      </w:r>
      <w:r w:rsidR="00ED0ACE">
        <w:t xml:space="preserve"> and confirmed through the use of </w:t>
      </w:r>
      <w:r w:rsidR="00ED0ACE" w:rsidRPr="00ED0ACE">
        <w:t>direction finding techniques</w:t>
      </w:r>
      <w:r w:rsidR="00ED0ACE">
        <w:t xml:space="preserve"> and the </w:t>
      </w:r>
      <w:r w:rsidR="00115C41">
        <w:t>receiving</w:t>
      </w:r>
      <w:r w:rsidR="00ED0ACE">
        <w:t xml:space="preserve"> equipment in </w:t>
      </w:r>
      <w:r w:rsidR="00FF1FB8">
        <w:t>their</w:t>
      </w:r>
      <w:r w:rsidR="00ED0ACE">
        <w:t xml:space="preserve"> vehicle that the </w:t>
      </w:r>
      <w:r w:rsidR="00FA18D7">
        <w:t>signals</w:t>
      </w:r>
      <w:r w:rsidR="00ED0ACE">
        <w:t xml:space="preserve"> emanating from Mr. Rogers</w:t>
      </w:r>
      <w:r w:rsidR="006D5C2D">
        <w:t>’</w:t>
      </w:r>
      <w:r w:rsidR="00ED0ACE">
        <w:t xml:space="preserve"> residence on </w:t>
      </w:r>
      <w:r w:rsidR="009A0FCE">
        <w:t xml:space="preserve">frequencies between </w:t>
      </w:r>
      <w:r w:rsidR="00FF1FB8">
        <w:t xml:space="preserve">7 </w:t>
      </w:r>
      <w:r w:rsidR="009A0FCE">
        <w:t>and</w:t>
      </w:r>
      <w:r w:rsidR="00FF1FB8">
        <w:t xml:space="preserve"> 8</w:t>
      </w:r>
      <w:r w:rsidR="00ED0ACE">
        <w:t xml:space="preserve"> MHz w</w:t>
      </w:r>
      <w:r w:rsidR="001603BD">
        <w:t>ere</w:t>
      </w:r>
      <w:r w:rsidR="00ED0ACE">
        <w:t xml:space="preserve"> still active, and </w:t>
      </w:r>
      <w:r w:rsidR="00FA18D7">
        <w:t>continued</w:t>
      </w:r>
      <w:r w:rsidR="00ED0ACE">
        <w:t xml:space="preserve"> to cause </w:t>
      </w:r>
      <w:r w:rsidR="00115C41">
        <w:t>interference</w:t>
      </w:r>
      <w:r w:rsidR="00ED0ACE">
        <w:t xml:space="preserve"> to the license</w:t>
      </w:r>
      <w:r w:rsidR="009A0FCE">
        <w:t>d radio service.</w:t>
      </w:r>
    </w:p>
    <w:p w:rsidR="00447E2A" w:rsidRDefault="00447E2A"/>
    <w:p w:rsidR="00447E2A" w:rsidRDefault="00447E2A">
      <w:pPr>
        <w:rPr>
          <w:b/>
        </w:rPr>
      </w:pPr>
      <w:r>
        <w:rPr>
          <w:b/>
        </w:rPr>
        <w:t>III.</w:t>
      </w:r>
      <w:r>
        <w:rPr>
          <w:b/>
        </w:rPr>
        <w:tab/>
        <w:t>APPLICABLE LAWS AND VIOLATIONS</w:t>
      </w:r>
    </w:p>
    <w:p w:rsidR="00447E2A" w:rsidRDefault="00447E2A">
      <w:pPr>
        <w:rPr>
          <w:b/>
        </w:rPr>
      </w:pPr>
    </w:p>
    <w:p w:rsidR="00756AEB" w:rsidRDefault="00447E2A" w:rsidP="00184CD7">
      <w:pPr>
        <w:numPr>
          <w:ilvl w:val="0"/>
          <w:numId w:val="14"/>
        </w:numPr>
        <w:tabs>
          <w:tab w:val="num" w:pos="1440"/>
        </w:tabs>
        <w:spacing w:after="120"/>
        <w:ind w:left="0" w:firstLine="720"/>
      </w:pPr>
      <w:r>
        <w:t>Section 15.5(b) of the Rules states that “[o]peration of an intentional, unintentional, or incidental radiator is subject to the conditions that no harmful interference is caused.”</w:t>
      </w:r>
      <w:r>
        <w:rPr>
          <w:rStyle w:val="FootnoteReference"/>
          <w:sz w:val="22"/>
        </w:rPr>
        <w:footnoteReference w:id="8"/>
      </w:r>
      <w:r>
        <w:t xml:space="preserve">  Section 15.3(m) of the Rules defines harmful interference as “any emission, radiation or induction that . . . seriously degrades, obstructs or repeatedly interrupts a radio communications service operating in accordance with this chapter.”</w:t>
      </w:r>
      <w:r>
        <w:rPr>
          <w:rStyle w:val="FootnoteReference"/>
          <w:sz w:val="22"/>
        </w:rPr>
        <w:footnoteReference w:id="9"/>
      </w:r>
      <w:r>
        <w:t xml:space="preserve">  Section 15.3(n) defines an “incidental radiator” as “[a] device that generates radio frequency energy during the course of its operation although the device is not intentionally designed to generate or emit radio frequency energy.”</w:t>
      </w:r>
      <w:r>
        <w:rPr>
          <w:rStyle w:val="FootnoteReference"/>
          <w:sz w:val="22"/>
        </w:rPr>
        <w:footnoteReference w:id="10"/>
      </w:r>
      <w:r>
        <w:t xml:space="preserve">  Section 15.5(c) of the Rules requires that “[t]he operator of the radio frequency device shall be required to cease operating the device upon notification by a Commission representative that the device is causing harmful interference.”</w:t>
      </w:r>
      <w:r>
        <w:rPr>
          <w:rStyle w:val="FootnoteReference"/>
          <w:sz w:val="22"/>
        </w:rPr>
        <w:footnoteReference w:id="11"/>
      </w:r>
      <w:r>
        <w:t xml:space="preserve">  </w:t>
      </w:r>
    </w:p>
    <w:p w:rsidR="00447E2A" w:rsidRDefault="00447E2A">
      <w:pPr>
        <w:numPr>
          <w:ilvl w:val="0"/>
          <w:numId w:val="14"/>
        </w:numPr>
        <w:tabs>
          <w:tab w:val="num" w:pos="1440"/>
        </w:tabs>
        <w:ind w:left="0" w:firstLine="720"/>
      </w:pPr>
      <w:r>
        <w:lastRenderedPageBreak/>
        <w:t xml:space="preserve">Pursuant to Section 15.5(c) of the Rules, on </w:t>
      </w:r>
      <w:r w:rsidR="00311A11">
        <w:t>June 17</w:t>
      </w:r>
      <w:r>
        <w:t xml:space="preserve">, 2013, Mr. </w:t>
      </w:r>
      <w:r w:rsidR="00311A11">
        <w:t>Rogers</w:t>
      </w:r>
      <w:r>
        <w:t xml:space="preserve"> was notified that incidental radiators</w:t>
      </w:r>
      <w:r w:rsidR="00311A11">
        <w:t xml:space="preserve"> </w:t>
      </w:r>
      <w:r>
        <w:t xml:space="preserve">were causing harmful interference to licensed communications.  Mr. </w:t>
      </w:r>
      <w:r w:rsidR="00311A11">
        <w:t>Rogers did not respond.</w:t>
      </w:r>
      <w:r>
        <w:t xml:space="preserve">  </w:t>
      </w:r>
      <w:r w:rsidR="005412E8">
        <w:t>Mr. Rogers was again notified on July 25, 2013</w:t>
      </w:r>
      <w:r w:rsidR="009A0FCE">
        <w:t>,</w:t>
      </w:r>
      <w:r w:rsidR="005412E8">
        <w:t xml:space="preserve"> that a</w:t>
      </w:r>
      <w:r w:rsidR="00FA18D7">
        <w:t>n</w:t>
      </w:r>
      <w:r w:rsidR="005412E8">
        <w:t xml:space="preserve"> interfering signal on numerous frequencies between 7 and 8 MHz w</w:t>
      </w:r>
      <w:r w:rsidR="0093509A">
        <w:t>as</w:t>
      </w:r>
      <w:r w:rsidR="005412E8">
        <w:t xml:space="preserve"> emanating from his residence</w:t>
      </w:r>
      <w:r w:rsidR="001B377E">
        <w:t>,</w:t>
      </w:r>
      <w:r w:rsidR="005412E8">
        <w:t xml:space="preserve"> and causing interference to licensed radio </w:t>
      </w:r>
      <w:r w:rsidR="001603BD">
        <w:t>operations</w:t>
      </w:r>
      <w:r w:rsidR="005412E8">
        <w:t xml:space="preserve"> in Woodinville, W</w:t>
      </w:r>
      <w:r w:rsidR="00311E73">
        <w:t>ashington</w:t>
      </w:r>
      <w:r w:rsidR="005412E8">
        <w:t>.</w:t>
      </w:r>
      <w:r w:rsidR="001B377E">
        <w:t xml:space="preserve"> </w:t>
      </w:r>
      <w:r w:rsidR="00031481">
        <w:t xml:space="preserve"> </w:t>
      </w:r>
      <w:r w:rsidR="001B377E">
        <w:t xml:space="preserve">Mr. Rogers did not respond. </w:t>
      </w:r>
      <w:r w:rsidR="00031481">
        <w:t xml:space="preserve"> </w:t>
      </w:r>
      <w:r>
        <w:t xml:space="preserve">Based on the foregoing evidence, we find that Mr. </w:t>
      </w:r>
      <w:r w:rsidR="00311A11">
        <w:t>Rogers</w:t>
      </w:r>
      <w:r>
        <w:t xml:space="preserve"> violated Section 15.5(b) of the Rules by operating incidental radiators and causing harmful interference.  Moreover, Mr. </w:t>
      </w:r>
      <w:r w:rsidR="00311A11">
        <w:t>Rogers</w:t>
      </w:r>
      <w:r>
        <w:t xml:space="preserve"> is directed to cease operation of the incidental radiators</w:t>
      </w:r>
      <w:r w:rsidR="00311A11">
        <w:t xml:space="preserve"> </w:t>
      </w:r>
      <w:r>
        <w:t xml:space="preserve">immediately, until the interference can be resolved.  </w:t>
      </w:r>
    </w:p>
    <w:p w:rsidR="00447E2A" w:rsidRDefault="00447E2A">
      <w:pPr>
        <w:rPr>
          <w:b/>
        </w:rPr>
      </w:pPr>
    </w:p>
    <w:p w:rsidR="00447E2A" w:rsidRDefault="00447E2A">
      <w:r>
        <w:rPr>
          <w:b/>
        </w:rPr>
        <w:t>IV.</w:t>
      </w:r>
      <w:r>
        <w:rPr>
          <w:b/>
        </w:rPr>
        <w:tab/>
        <w:t>REQUEST</w:t>
      </w:r>
      <w:r>
        <w:rPr>
          <w:b/>
          <w:color w:val="000000"/>
        </w:rPr>
        <w:t xml:space="preserve"> FOR INFORMATION</w:t>
      </w:r>
    </w:p>
    <w:p w:rsidR="00447E2A" w:rsidRDefault="00447E2A">
      <w:pPr>
        <w:rPr>
          <w:color w:val="000000"/>
        </w:rPr>
      </w:pPr>
    </w:p>
    <w:p w:rsidR="00447E2A" w:rsidRDefault="00447E2A">
      <w:pPr>
        <w:numPr>
          <w:ilvl w:val="0"/>
          <w:numId w:val="14"/>
        </w:numPr>
        <w:tabs>
          <w:tab w:val="num" w:pos="1440"/>
        </w:tabs>
        <w:ind w:left="0" w:firstLine="720"/>
        <w:rPr>
          <w:noProof/>
        </w:rPr>
      </w:pPr>
      <w:r>
        <w:t>Pursuant to Sections 4(i), 4(j), and 403 of the Communications Act,</w:t>
      </w:r>
      <w:bookmarkStart w:id="2" w:name="_ftnref1"/>
      <w:r>
        <w:rPr>
          <w:rStyle w:val="FootnoteReference"/>
          <w:noProof/>
          <w:sz w:val="22"/>
        </w:rPr>
        <w:footnoteReference w:id="12"/>
      </w:r>
      <w:bookmarkEnd w:id="2"/>
      <w:r>
        <w:t xml:space="preserve"> Mr. </w:t>
      </w:r>
      <w:r w:rsidR="00311A11">
        <w:t>Rogers</w:t>
      </w:r>
      <w:r>
        <w:rPr>
          <w:color w:val="000000"/>
        </w:rPr>
        <w:t xml:space="preserve"> </w:t>
      </w:r>
      <w:r>
        <w:t xml:space="preserve">is directed to describe the steps he has taken or plans to take to eliminate the harmful interference caused by his incidental radiators, as well as a timeline for any pending corrective actions, within thirty (30) calendar days after the release date of this Citation.  A failure to respond in writing, or an inadequate, incomplete, or misleading response, may subject Mr. </w:t>
      </w:r>
      <w:r w:rsidR="00B15413">
        <w:t>Rogers</w:t>
      </w:r>
      <w:r>
        <w:t xml:space="preserve"> to additional sanctions.</w:t>
      </w:r>
      <w:bookmarkStart w:id="3" w:name="_ftnref2"/>
      <w:r>
        <w:rPr>
          <w:rStyle w:val="FootnoteReference"/>
          <w:sz w:val="22"/>
        </w:rPr>
        <w:footnoteReference w:id="13"/>
      </w:r>
      <w:bookmarkEnd w:id="3"/>
    </w:p>
    <w:p w:rsidR="00447E2A" w:rsidRDefault="00447E2A">
      <w:pPr>
        <w:ind w:left="720"/>
        <w:rPr>
          <w:noProof/>
        </w:rPr>
      </w:pPr>
    </w:p>
    <w:p w:rsidR="00447E2A" w:rsidRDefault="00447E2A">
      <w:pPr>
        <w:pStyle w:val="ParaNum"/>
        <w:numPr>
          <w:ilvl w:val="0"/>
          <w:numId w:val="0"/>
        </w:numPr>
        <w:tabs>
          <w:tab w:val="clear" w:pos="1440"/>
          <w:tab w:val="left" w:pos="720"/>
        </w:tabs>
        <w:rPr>
          <w:b/>
          <w:kern w:val="2"/>
        </w:rPr>
      </w:pPr>
      <w:r>
        <w:rPr>
          <w:b/>
          <w:kern w:val="2"/>
        </w:rPr>
        <w:t>V.</w:t>
      </w:r>
      <w:r>
        <w:rPr>
          <w:b/>
          <w:kern w:val="2"/>
        </w:rPr>
        <w:tab/>
        <w:t>RESPONDING TO THIS CITATION</w:t>
      </w:r>
    </w:p>
    <w:p w:rsidR="00447E2A" w:rsidRDefault="00447E2A" w:rsidP="00184CD7">
      <w:pPr>
        <w:numPr>
          <w:ilvl w:val="0"/>
          <w:numId w:val="14"/>
        </w:numPr>
        <w:tabs>
          <w:tab w:val="num" w:pos="1440"/>
        </w:tabs>
        <w:spacing w:after="120"/>
        <w:ind w:left="0" w:firstLine="720"/>
      </w:pPr>
      <w:r>
        <w:t xml:space="preserve">In addition to the required written information described in paragraphs </w:t>
      </w:r>
      <w:r w:rsidR="00065FFF">
        <w:t>4</w:t>
      </w:r>
      <w:r>
        <w:t xml:space="preserve"> and </w:t>
      </w:r>
      <w:r w:rsidR="00065FFF">
        <w:t>8</w:t>
      </w:r>
      <w:r>
        <w:t xml:space="preserve">, above, Mr. </w:t>
      </w:r>
      <w:r w:rsidR="00B15413">
        <w:t>Rogers</w:t>
      </w:r>
      <w:r>
        <w:t xml:space="preserve"> may, if he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447E2A" w:rsidRDefault="00447E2A" w:rsidP="00184CD7">
      <w:pPr>
        <w:numPr>
          <w:ilvl w:val="0"/>
          <w:numId w:val="14"/>
        </w:numPr>
        <w:tabs>
          <w:tab w:val="num" w:pos="1440"/>
        </w:tabs>
        <w:spacing w:after="120"/>
        <w:ind w:left="0" w:firstLine="720"/>
      </w:pPr>
      <w:r>
        <w:t xml:space="preserve">If you would like to arrange a teleconference or personal interview, please contact </w:t>
      </w:r>
      <w:r w:rsidR="00FA18D7">
        <w:t>the Seattle Office at</w:t>
      </w:r>
      <w:r>
        <w:t xml:space="preserve"> </w:t>
      </w:r>
      <w:r w:rsidR="00FA18D7">
        <w:t>(425) 820-6271</w:t>
      </w:r>
      <w:r>
        <w:t xml:space="preserve">.  The nearest Commission Field Office is located in </w:t>
      </w:r>
      <w:r w:rsidR="00B15413">
        <w:t>Kirkland</w:t>
      </w:r>
      <w:r>
        <w:t xml:space="preserve">, </w:t>
      </w:r>
      <w:r w:rsidR="00B15413">
        <w:t>Washington</w:t>
      </w:r>
      <w:r>
        <w:t>.  Such teleconference or interview must take place within thirty calendar (30) days of the date of this Citation.  If you would like to submit a written response, including any supporting documentation, you must send the response within thirty (30) calendar days of the date of this Citation to the contact and address provided in paragraph 1</w:t>
      </w:r>
      <w:r w:rsidR="00FA18D7">
        <w:t>1</w:t>
      </w:r>
      <w:r>
        <w:t xml:space="preserve">, below.   </w:t>
      </w:r>
    </w:p>
    <w:p w:rsidR="00447E2A" w:rsidRDefault="00447E2A">
      <w:pPr>
        <w:numPr>
          <w:ilvl w:val="0"/>
          <w:numId w:val="14"/>
        </w:numPr>
        <w:tabs>
          <w:tab w:val="num" w:pos="1440"/>
        </w:tabs>
        <w:ind w:left="0" w:firstLine="720"/>
      </w:pPr>
      <w:r>
        <w:t xml:space="preserve">All written communications, including the information requested in paragraphs </w:t>
      </w:r>
      <w:r w:rsidR="00065FFF">
        <w:t>4</w:t>
      </w:r>
      <w:r>
        <w:t xml:space="preserve"> and </w:t>
      </w:r>
      <w:r w:rsidR="00065FFF">
        <w:t>8</w:t>
      </w:r>
      <w:r>
        <w:t>, above, should be provided to the address below.</w:t>
      </w:r>
    </w:p>
    <w:p w:rsidR="00447E2A" w:rsidRDefault="00447E2A"/>
    <w:p w:rsidR="00447E2A" w:rsidRDefault="00B15413">
      <w:pPr>
        <w:ind w:left="720" w:firstLine="720"/>
        <w:rPr>
          <w:noProof/>
        </w:rPr>
      </w:pPr>
      <w:r>
        <w:rPr>
          <w:noProof/>
        </w:rPr>
        <w:t>Leo Cirbo</w:t>
      </w:r>
    </w:p>
    <w:p w:rsidR="00447E2A" w:rsidRDefault="00447E2A">
      <w:pPr>
        <w:ind w:left="720" w:firstLine="720"/>
        <w:rPr>
          <w:noProof/>
        </w:rPr>
      </w:pPr>
      <w:r>
        <w:rPr>
          <w:noProof/>
        </w:rPr>
        <w:t>Federal Communications Commission</w:t>
      </w:r>
    </w:p>
    <w:p w:rsidR="00447E2A" w:rsidRDefault="00B15413">
      <w:pPr>
        <w:ind w:left="720" w:firstLine="720"/>
        <w:rPr>
          <w:noProof/>
        </w:rPr>
      </w:pPr>
      <w:r>
        <w:rPr>
          <w:noProof/>
        </w:rPr>
        <w:t>Seattle Office</w:t>
      </w:r>
    </w:p>
    <w:p w:rsidR="00447E2A" w:rsidRDefault="00B15413">
      <w:pPr>
        <w:ind w:left="1440"/>
        <w:rPr>
          <w:noProof/>
        </w:rPr>
      </w:pPr>
      <w:r>
        <w:rPr>
          <w:noProof/>
        </w:rPr>
        <w:t>11410 NE 122</w:t>
      </w:r>
      <w:r w:rsidRPr="00B15413">
        <w:rPr>
          <w:noProof/>
          <w:vertAlign w:val="superscript"/>
        </w:rPr>
        <w:t>nd</w:t>
      </w:r>
      <w:r>
        <w:rPr>
          <w:noProof/>
        </w:rPr>
        <w:t xml:space="preserve"> Way, Suite 312</w:t>
      </w:r>
    </w:p>
    <w:p w:rsidR="00447E2A" w:rsidRDefault="00B15413">
      <w:pPr>
        <w:ind w:left="1440"/>
        <w:rPr>
          <w:noProof/>
        </w:rPr>
      </w:pPr>
      <w:r>
        <w:rPr>
          <w:noProof/>
        </w:rPr>
        <w:t>Kirkland, WA 98034</w:t>
      </w:r>
    </w:p>
    <w:p w:rsidR="00447E2A" w:rsidRPr="00C12318" w:rsidRDefault="00447E2A">
      <w:pPr>
        <w:ind w:left="720"/>
        <w:rPr>
          <w:b/>
          <w:noProof/>
        </w:rPr>
      </w:pPr>
      <w:r>
        <w:rPr>
          <w:noProof/>
        </w:rPr>
        <w:tab/>
      </w:r>
      <w:r w:rsidRPr="00C12318">
        <w:rPr>
          <w:b/>
          <w:noProof/>
        </w:rPr>
        <w:t>Re: EB-FIELD</w:t>
      </w:r>
      <w:r w:rsidR="00B15413" w:rsidRPr="00C12318">
        <w:rPr>
          <w:b/>
          <w:noProof/>
        </w:rPr>
        <w:t>W</w:t>
      </w:r>
      <w:r w:rsidRPr="00C12318">
        <w:rPr>
          <w:b/>
          <w:noProof/>
        </w:rPr>
        <w:t>R-13-000</w:t>
      </w:r>
      <w:r w:rsidR="00B15413" w:rsidRPr="00C12318">
        <w:rPr>
          <w:b/>
          <w:noProof/>
        </w:rPr>
        <w:t>09096</w:t>
      </w:r>
      <w:r w:rsidRPr="00C12318">
        <w:rPr>
          <w:b/>
          <w:noProof/>
        </w:rPr>
        <w:t xml:space="preserve"> </w:t>
      </w:r>
    </w:p>
    <w:p w:rsidR="00447E2A" w:rsidRDefault="00447E2A">
      <w:pPr>
        <w:ind w:left="720"/>
      </w:pPr>
    </w:p>
    <w:p w:rsidR="00447E2A" w:rsidRDefault="00447E2A">
      <w:pPr>
        <w:numPr>
          <w:ilvl w:val="0"/>
          <w:numId w:val="14"/>
        </w:numPr>
        <w:tabs>
          <w:tab w:val="num" w:pos="1440"/>
        </w:tabs>
        <w:ind w:left="0" w:firstLine="720"/>
      </w:pPr>
      <w: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t>fcc504@fcc.gov</w:t>
        </w:r>
      </w:hyperlink>
      <w:r>
        <w:t xml:space="preserve"> or call the FCC’s Consumer &amp; Governmental Affairs Bureau:</w:t>
      </w:r>
    </w:p>
    <w:p w:rsidR="00447E2A" w:rsidRDefault="00447E2A"/>
    <w:p w:rsidR="00447E2A" w:rsidRDefault="00447E2A">
      <w:r>
        <w:tab/>
      </w:r>
      <w:r>
        <w:tab/>
        <w:t xml:space="preserve">For sign language interpreters, CART, and other reasonable accommodations: </w:t>
      </w:r>
    </w:p>
    <w:p w:rsidR="00447E2A" w:rsidRDefault="00447E2A">
      <w:pPr>
        <w:ind w:left="720"/>
      </w:pPr>
      <w:r>
        <w:tab/>
        <w:t>202-418-0530 (voice), 202-418-0432 (tty);</w:t>
      </w:r>
    </w:p>
    <w:p w:rsidR="00447E2A" w:rsidRDefault="00447E2A">
      <w:pPr>
        <w:ind w:left="720"/>
      </w:pPr>
      <w:r>
        <w:t xml:space="preserve">  </w:t>
      </w:r>
      <w:r>
        <w:tab/>
      </w:r>
      <w:r>
        <w:tab/>
      </w:r>
    </w:p>
    <w:p w:rsidR="00447E2A" w:rsidRDefault="00447E2A">
      <w:pPr>
        <w:ind w:left="720" w:firstLine="720"/>
      </w:pPr>
      <w:r>
        <w:t xml:space="preserve">For accessible format materials (braille, large print, electronic files, and audio format): </w:t>
      </w:r>
      <w:r>
        <w:tab/>
      </w:r>
      <w:r>
        <w:tab/>
        <w:t xml:space="preserve">202-418-0531 (voice), 202-418-7365 (tty).  </w:t>
      </w:r>
    </w:p>
    <w:p w:rsidR="00447E2A" w:rsidRDefault="00447E2A">
      <w:pPr>
        <w:ind w:left="720" w:firstLine="720"/>
      </w:pPr>
    </w:p>
    <w:p w:rsidR="00447E2A" w:rsidRDefault="00447E2A">
      <w:pPr>
        <w:numPr>
          <w:ilvl w:val="0"/>
          <w:numId w:val="14"/>
        </w:numPr>
        <w:tabs>
          <w:tab w:val="num" w:pos="1440"/>
        </w:tabs>
        <w:ind w:left="0" w:firstLine="720"/>
      </w:pPr>
      <w:r>
        <w:t>Please be advised that it is a violation of Section 1.17 of the Commission’s rules (47 C.F.R. § 1.17) for any person or a staff member of that person to make any false or misleading written or oral statement of fact.  Specifically, no person shall:</w:t>
      </w:r>
    </w:p>
    <w:p w:rsidR="00447E2A" w:rsidRDefault="00447E2A">
      <w:pPr>
        <w:ind w:left="720"/>
      </w:pPr>
    </w:p>
    <w:p w:rsidR="00447E2A" w:rsidRDefault="00447E2A">
      <w:pPr>
        <w:ind w:left="1440"/>
      </w:pPr>
      <w: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447E2A" w:rsidRDefault="00447E2A">
      <w:pPr>
        <w:ind w:left="720"/>
      </w:pPr>
    </w:p>
    <w:p w:rsidR="00447E2A" w:rsidRDefault="00447E2A">
      <w:pPr>
        <w:ind w:left="1440"/>
      </w:pPr>
      <w: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vertAlign w:val="superscript"/>
        </w:rPr>
        <w:footnoteReference w:id="14"/>
      </w:r>
    </w:p>
    <w:p w:rsidR="00447E2A" w:rsidRDefault="00447E2A">
      <w:pPr>
        <w:ind w:left="1440"/>
      </w:pPr>
    </w:p>
    <w:p w:rsidR="00447E2A" w:rsidRDefault="00447E2A" w:rsidP="00184CD7">
      <w:pPr>
        <w:numPr>
          <w:ilvl w:val="0"/>
          <w:numId w:val="14"/>
        </w:numPr>
        <w:tabs>
          <w:tab w:val="num" w:pos="1440"/>
        </w:tabs>
        <w:spacing w:after="120"/>
        <w:ind w:left="0" w:firstLine="720"/>
      </w:pPr>
      <w:r>
        <w:t>Further, the knowing and willful making of any false statement, or the concealment of any material fact, in reply to this Citation is punishable by fine or imprisonment under 18 U.S.C. § 1001.</w:t>
      </w:r>
    </w:p>
    <w:p w:rsidR="00447E2A" w:rsidRDefault="00447E2A" w:rsidP="00184CD7">
      <w:pPr>
        <w:numPr>
          <w:ilvl w:val="0"/>
          <w:numId w:val="14"/>
        </w:numPr>
        <w:tabs>
          <w:tab w:val="num" w:pos="1440"/>
        </w:tabs>
        <w:spacing w:after="120"/>
        <w:ind w:left="0" w:firstLine="720"/>
      </w:pPr>
      <w:r>
        <w:t>If you violate Section 1.17 of the Commission’s rules or the criminal statute referenced above, you may be subject to further legal action, including monetary fines pursuant to Section 503 of the Communications Act.</w:t>
      </w:r>
      <w:r>
        <w:rPr>
          <w:vertAlign w:val="superscript"/>
        </w:rPr>
        <w:footnoteReference w:id="15"/>
      </w:r>
    </w:p>
    <w:p w:rsidR="00447E2A" w:rsidRDefault="00447E2A">
      <w:pPr>
        <w:numPr>
          <w:ilvl w:val="0"/>
          <w:numId w:val="14"/>
        </w:numPr>
        <w:tabs>
          <w:tab w:val="num" w:pos="1440"/>
        </w:tabs>
        <w:ind w:left="0" w:firstLine="720"/>
        <w:rPr>
          <w:kern w:val="2"/>
        </w:rPr>
      </w:pPr>
      <w:r>
        <w:t>Under the Privacy Act of 1974, 5 U.S.C. § 552a(e)(3), we are informing you that the Commission’s staff will</w:t>
      </w:r>
      <w:r>
        <w:rPr>
          <w:kern w:val="2"/>
        </w:rPr>
        <w:t xml:space="preserve">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184CD7" w:rsidRDefault="00184CD7" w:rsidP="00184CD7">
      <w:pPr>
        <w:rPr>
          <w:kern w:val="2"/>
        </w:rPr>
      </w:pPr>
    </w:p>
    <w:p w:rsidR="00447E2A" w:rsidRDefault="00447E2A">
      <w:pPr>
        <w:spacing w:after="220"/>
        <w:rPr>
          <w:b/>
          <w:kern w:val="2"/>
          <w:u w:val="single"/>
        </w:rPr>
      </w:pPr>
      <w:r>
        <w:rPr>
          <w:b/>
          <w:kern w:val="2"/>
        </w:rPr>
        <w:t>VI.</w:t>
      </w:r>
      <w:r>
        <w:rPr>
          <w:b/>
          <w:kern w:val="2"/>
        </w:rPr>
        <w:tab/>
        <w:t>FUTURE VIOLATIONS</w:t>
      </w:r>
    </w:p>
    <w:p w:rsidR="00447E2A" w:rsidRDefault="00447E2A">
      <w:pPr>
        <w:numPr>
          <w:ilvl w:val="0"/>
          <w:numId w:val="14"/>
        </w:numPr>
        <w:tabs>
          <w:tab w:val="num" w:pos="1440"/>
        </w:tabs>
        <w:ind w:left="0" w:firstLine="720"/>
        <w:rPr>
          <w:kern w:val="2"/>
        </w:rPr>
      </w:pPr>
      <w:r>
        <w:rPr>
          <w:kern w:val="2"/>
        </w:rPr>
        <w:t xml:space="preserve">If, after </w:t>
      </w:r>
      <w:r>
        <w:t>receipt</w:t>
      </w:r>
      <w:r>
        <w:rPr>
          <w:kern w:val="2"/>
        </w:rPr>
        <w:t xml:space="preserve"> of this Citation</w:t>
      </w:r>
      <w:r>
        <w:t xml:space="preserve"> </w:t>
      </w:r>
      <w:r>
        <w:rPr>
          <w:kern w:val="2"/>
        </w:rPr>
        <w:t xml:space="preserve">Mr. </w:t>
      </w:r>
      <w:r w:rsidR="00B15413">
        <w:rPr>
          <w:kern w:val="2"/>
        </w:rPr>
        <w:t>Rogers</w:t>
      </w:r>
      <w:r>
        <w:rPr>
          <w:kern w:val="2"/>
        </w:rPr>
        <w:t xml:space="preserve"> again violates Section 15.5(b) of the Rules by engaging in conduct of the type described herein, the Commission may impose monetary forfeitures not to exceed $16,000 </w:t>
      </w:r>
      <w:r>
        <w:t>for each such violation or each day of a continuing violation, and up to $112,500 for any single act or failure to act.</w:t>
      </w:r>
      <w:r>
        <w:rPr>
          <w:vertAlign w:val="superscript"/>
        </w:rPr>
        <w:footnoteReference w:id="16"/>
      </w:r>
      <w:r>
        <w:t xml:space="preserve">  For instance, the Commission could impose separate forfeitures for each day on which his incidental radiators cause harmful interference.  Further, as discussed above, such forfeitures may be based on both the conduct that led to the Citation and the conduct following it.</w:t>
      </w:r>
      <w:r>
        <w:rPr>
          <w:rStyle w:val="FootnoteReference"/>
          <w:sz w:val="22"/>
        </w:rPr>
        <w:footnoteReference w:id="17"/>
      </w:r>
      <w:r>
        <w:t xml:space="preserve">  In addition, violations of the Communications Act or the Rules also can result in seizure of equipment through </w:t>
      </w:r>
      <w:r>
        <w:rPr>
          <w:i/>
        </w:rPr>
        <w:t>in rem</w:t>
      </w:r>
      <w:r>
        <w:t xml:space="preserve"> forfeiture actions,</w:t>
      </w:r>
      <w:r>
        <w:rPr>
          <w:rStyle w:val="FootnoteReference"/>
          <w:sz w:val="22"/>
        </w:rPr>
        <w:footnoteReference w:id="18"/>
      </w:r>
      <w:r>
        <w:t xml:space="preserve"> as well as criminal sanctions, including imprisonment.</w:t>
      </w:r>
      <w:r>
        <w:rPr>
          <w:rStyle w:val="FootnoteReference"/>
          <w:sz w:val="22"/>
        </w:rPr>
        <w:footnoteReference w:id="19"/>
      </w:r>
      <w:r>
        <w:rPr>
          <w:kern w:val="2"/>
        </w:rPr>
        <w:t xml:space="preserve">  </w:t>
      </w:r>
    </w:p>
    <w:p w:rsidR="00447E2A" w:rsidRDefault="00447E2A">
      <w:pPr>
        <w:ind w:left="720"/>
        <w:rPr>
          <w:kern w:val="2"/>
        </w:rPr>
      </w:pPr>
    </w:p>
    <w:p w:rsidR="00447E2A" w:rsidRDefault="00447E2A">
      <w:pPr>
        <w:keepNext/>
        <w:spacing w:after="220"/>
        <w:rPr>
          <w:b/>
          <w:kern w:val="2"/>
        </w:rPr>
      </w:pPr>
      <w:r>
        <w:rPr>
          <w:b/>
          <w:kern w:val="2"/>
        </w:rPr>
        <w:t>VII.</w:t>
      </w:r>
      <w:r>
        <w:rPr>
          <w:b/>
          <w:kern w:val="2"/>
        </w:rPr>
        <w:tab/>
        <w:t>ORDERING CLAUSES</w:t>
      </w:r>
    </w:p>
    <w:p w:rsidR="00447E2A" w:rsidRDefault="00447E2A" w:rsidP="00184CD7">
      <w:pPr>
        <w:numPr>
          <w:ilvl w:val="0"/>
          <w:numId w:val="14"/>
        </w:numPr>
        <w:tabs>
          <w:tab w:val="num" w:pos="1440"/>
        </w:tabs>
        <w:spacing w:after="120"/>
        <w:ind w:left="0" w:firstLine="720"/>
        <w:rPr>
          <w:kern w:val="2"/>
        </w:rPr>
      </w:pPr>
      <w:r>
        <w:rPr>
          <w:b/>
          <w:kern w:val="2"/>
        </w:rPr>
        <w:t>IT</w:t>
      </w:r>
      <w:r>
        <w:rPr>
          <w:noProof/>
          <w:kern w:val="2"/>
        </w:rPr>
        <w:t xml:space="preserve"> </w:t>
      </w:r>
      <w:r>
        <w:rPr>
          <w:b/>
          <w:kern w:val="2"/>
        </w:rPr>
        <w:t>IS ORDERED</w:t>
      </w:r>
      <w:r>
        <w:rPr>
          <w:kern w:val="2"/>
        </w:rPr>
        <w:t xml:space="preserve"> that, pursuant to Sections 4(i), 4(j), and 403 of the Communications Act, </w:t>
      </w:r>
      <w:r w:rsidR="00FA1926">
        <w:rPr>
          <w:kern w:val="2"/>
        </w:rPr>
        <w:t>Thomas Edward Rogers</w:t>
      </w:r>
      <w:r>
        <w:rPr>
          <w:kern w:val="2"/>
        </w:rPr>
        <w:t xml:space="preserve"> must provide the written information requested in paragraphs </w:t>
      </w:r>
      <w:r w:rsidR="00065FFF">
        <w:rPr>
          <w:kern w:val="2"/>
        </w:rPr>
        <w:t>4</w:t>
      </w:r>
      <w:r>
        <w:rPr>
          <w:kern w:val="2"/>
        </w:rPr>
        <w:t xml:space="preserve"> and </w:t>
      </w:r>
      <w:r w:rsidR="00065FFF">
        <w:rPr>
          <w:kern w:val="2"/>
        </w:rPr>
        <w:t>8</w:t>
      </w:r>
      <w:r>
        <w:rPr>
          <w:kern w:val="2"/>
        </w:rPr>
        <w:t xml:space="preserve">, above.  The response to the request for information must be provided in writing, signed under penalty of perjury by Mr. </w:t>
      </w:r>
      <w:r w:rsidR="00FA1926">
        <w:rPr>
          <w:kern w:val="2"/>
        </w:rPr>
        <w:t>Rogers</w:t>
      </w:r>
      <w:r>
        <w:rPr>
          <w:kern w:val="2"/>
        </w:rPr>
        <w:t xml:space="preserve"> verifying the truth and accuracy of the information and representations provided in the written response, and must be received by the FCC within thirty (30) calendar days after the release date of this Citation and Order.</w:t>
      </w:r>
    </w:p>
    <w:p w:rsidR="00447E2A" w:rsidRDefault="00447E2A">
      <w:pPr>
        <w:numPr>
          <w:ilvl w:val="0"/>
          <w:numId w:val="14"/>
        </w:numPr>
        <w:tabs>
          <w:tab w:val="num" w:pos="1440"/>
        </w:tabs>
        <w:ind w:left="0" w:firstLine="720"/>
        <w:rPr>
          <w:kern w:val="2"/>
        </w:rPr>
      </w:pPr>
      <w:r>
        <w:rPr>
          <w:b/>
          <w:kern w:val="2"/>
        </w:rPr>
        <w:t>IT IS</w:t>
      </w:r>
      <w:r>
        <w:rPr>
          <w:b/>
          <w:bCs/>
          <w:noProof/>
          <w:color w:val="000000"/>
        </w:rPr>
        <w:t xml:space="preserve"> FURTHER ORDERED </w:t>
      </w:r>
      <w:r>
        <w:rPr>
          <w:noProof/>
          <w:color w:val="000000"/>
        </w:rPr>
        <w:t xml:space="preserve">that a copy of this Citation and Order shall be sent both by First Class U.S. Mail and Certified Mail, Return Receipt Requested, to </w:t>
      </w:r>
      <w:r w:rsidR="00FA1926">
        <w:rPr>
          <w:noProof/>
          <w:color w:val="000000"/>
        </w:rPr>
        <w:t>Thomas Edward Rogers</w:t>
      </w:r>
      <w:r>
        <w:rPr>
          <w:noProof/>
          <w:color w:val="000000"/>
        </w:rPr>
        <w:t xml:space="preserve">, </w:t>
      </w:r>
      <w:r w:rsidR="009A0FCE">
        <w:rPr>
          <w:noProof/>
          <w:color w:val="000000"/>
        </w:rPr>
        <w:t>at his residence</w:t>
      </w:r>
      <w:r>
        <w:rPr>
          <w:noProof/>
          <w:color w:val="000000"/>
        </w:rPr>
        <w:t>.</w:t>
      </w:r>
    </w:p>
    <w:p w:rsidR="00447E2A" w:rsidRDefault="00447E2A">
      <w:pPr>
        <w:rPr>
          <w:b/>
          <w:bCs/>
          <w:color w:val="000000"/>
        </w:rPr>
      </w:pPr>
    </w:p>
    <w:p w:rsidR="00065FFF" w:rsidRDefault="00065FFF">
      <w:pPr>
        <w:rPr>
          <w:b/>
          <w:bCs/>
          <w:color w:val="000000"/>
        </w:rPr>
      </w:pPr>
    </w:p>
    <w:p w:rsidR="00065FFF" w:rsidRDefault="00065FFF">
      <w:pPr>
        <w:rPr>
          <w:b/>
          <w:bCs/>
          <w:color w:val="000000"/>
        </w:rPr>
      </w:pPr>
    </w:p>
    <w:p w:rsidR="00447E2A" w:rsidRDefault="00447E2A">
      <w:pPr>
        <w:ind w:left="3600"/>
        <w:rPr>
          <w:b/>
          <w:bCs/>
          <w:color w:val="000000"/>
        </w:rPr>
      </w:pPr>
      <w:r>
        <w:rPr>
          <w:b/>
          <w:bCs/>
          <w:color w:val="000000"/>
        </w:rPr>
        <w:t>FEDERAL COMMUNICATIONS COMMISSION</w:t>
      </w:r>
    </w:p>
    <w:p w:rsidR="00447E2A" w:rsidRDefault="00447E2A">
      <w:pPr>
        <w:ind w:left="3600"/>
        <w:rPr>
          <w:b/>
          <w:bCs/>
          <w:color w:val="000000"/>
        </w:rPr>
      </w:pPr>
    </w:p>
    <w:p w:rsidR="00447E2A" w:rsidRDefault="00447E2A">
      <w:pPr>
        <w:ind w:left="3600"/>
        <w:rPr>
          <w:b/>
          <w:bCs/>
          <w:color w:val="000000"/>
        </w:rPr>
      </w:pPr>
    </w:p>
    <w:p w:rsidR="00447E2A" w:rsidRDefault="00447E2A">
      <w:pPr>
        <w:ind w:left="3600"/>
        <w:rPr>
          <w:b/>
          <w:bCs/>
          <w:color w:val="000000"/>
        </w:rPr>
      </w:pPr>
    </w:p>
    <w:p w:rsidR="00447E2A" w:rsidRDefault="00447E2A">
      <w:pPr>
        <w:ind w:left="3600"/>
        <w:rPr>
          <w:b/>
          <w:bCs/>
          <w:color w:val="000000"/>
        </w:rPr>
      </w:pPr>
    </w:p>
    <w:p w:rsidR="00447E2A" w:rsidRDefault="00B15413">
      <w:pPr>
        <w:ind w:left="3600"/>
      </w:pPr>
      <w:r>
        <w:t>Leo Cirbo</w:t>
      </w:r>
    </w:p>
    <w:p w:rsidR="00065FFF" w:rsidRDefault="00B15413">
      <w:pPr>
        <w:ind w:left="3600"/>
      </w:pPr>
      <w:r>
        <w:t xml:space="preserve">Acting </w:t>
      </w:r>
      <w:r w:rsidR="00115C41">
        <w:t>District</w:t>
      </w:r>
      <w:r>
        <w:t xml:space="preserve"> Director</w:t>
      </w:r>
    </w:p>
    <w:p w:rsidR="00447E2A" w:rsidRDefault="00115C41">
      <w:pPr>
        <w:ind w:left="3600"/>
      </w:pPr>
      <w:r>
        <w:t>Seattle</w:t>
      </w:r>
      <w:r w:rsidR="00447E2A">
        <w:t xml:space="preserve"> Office</w:t>
      </w:r>
    </w:p>
    <w:p w:rsidR="00447E2A" w:rsidRDefault="00B15413">
      <w:pPr>
        <w:ind w:left="3600"/>
      </w:pPr>
      <w:r>
        <w:t>Western</w:t>
      </w:r>
      <w:r w:rsidR="00447E2A">
        <w:t xml:space="preserve"> Region</w:t>
      </w:r>
    </w:p>
    <w:p w:rsidR="00447E2A" w:rsidRDefault="00447E2A">
      <w:pPr>
        <w:ind w:left="3600"/>
      </w:pPr>
      <w:r>
        <w:t>Enforcement Bureau</w:t>
      </w:r>
    </w:p>
    <w:p w:rsidR="00065FFF" w:rsidRDefault="00065FFF">
      <w:pPr>
        <w:ind w:left="3600"/>
      </w:pPr>
    </w:p>
    <w:p w:rsidR="00065FFF" w:rsidRDefault="00065FFF">
      <w:pPr>
        <w:ind w:left="3600"/>
        <w:rPr>
          <w:b/>
          <w:bCs/>
        </w:rPr>
      </w:pPr>
    </w:p>
    <w:p w:rsidR="00447E2A" w:rsidRDefault="00447E2A"/>
    <w:p w:rsidR="001C2B45" w:rsidRDefault="001C2B45"/>
    <w:sectPr w:rsidR="001C2B4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2A" w:rsidRDefault="00730F2A">
      <w:r>
        <w:separator/>
      </w:r>
    </w:p>
  </w:endnote>
  <w:endnote w:type="continuationSeparator" w:id="0">
    <w:p w:rsidR="00730F2A" w:rsidRDefault="00730F2A">
      <w:r>
        <w:continuationSeparator/>
      </w:r>
    </w:p>
  </w:endnote>
  <w:endnote w:type="continuationNotice" w:id="1">
    <w:p w:rsidR="00730F2A" w:rsidRDefault="00730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E8" w:rsidRDefault="00541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2E8" w:rsidRDefault="00541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E8" w:rsidRDefault="00541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1FD">
      <w:rPr>
        <w:rStyle w:val="PageNumber"/>
        <w:noProof/>
      </w:rPr>
      <w:t>2</w:t>
    </w:r>
    <w:r>
      <w:rPr>
        <w:rStyle w:val="PageNumber"/>
      </w:rPr>
      <w:fldChar w:fldCharType="end"/>
    </w:r>
  </w:p>
  <w:p w:rsidR="005412E8" w:rsidRDefault="00541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23" w:rsidRDefault="00D7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2A" w:rsidRDefault="00730F2A">
      <w:r>
        <w:separator/>
      </w:r>
    </w:p>
  </w:footnote>
  <w:footnote w:type="continuationSeparator" w:id="0">
    <w:p w:rsidR="00730F2A" w:rsidRDefault="00730F2A">
      <w:r>
        <w:continuationSeparator/>
      </w:r>
    </w:p>
  </w:footnote>
  <w:footnote w:type="continuationNotice" w:id="1">
    <w:p w:rsidR="00730F2A" w:rsidRDefault="00730F2A"/>
  </w:footnote>
  <w:footnote w:id="2">
    <w:p w:rsidR="005412E8" w:rsidRDefault="005412E8">
      <w:pPr>
        <w:pStyle w:val="FootnoteText"/>
        <w:spacing w:after="120"/>
        <w:ind w:firstLine="0"/>
        <w:jc w:val="left"/>
        <w:rPr>
          <w:sz w:val="20"/>
          <w:szCs w:val="20"/>
        </w:rPr>
      </w:pPr>
      <w:r>
        <w:rPr>
          <w:rStyle w:val="FootnoteReference"/>
          <w:szCs w:val="20"/>
        </w:rPr>
        <w:footnoteRef/>
      </w:r>
      <w:r>
        <w:rPr>
          <w:sz w:val="20"/>
          <w:szCs w:val="20"/>
        </w:rPr>
        <w:t xml:space="preserve"> 47 U.S.C. § 503(b)(5).</w:t>
      </w:r>
    </w:p>
  </w:footnote>
  <w:footnote w:id="3">
    <w:p w:rsidR="005412E8" w:rsidRDefault="005412E8">
      <w:pPr>
        <w:pStyle w:val="FootnoteText"/>
        <w:spacing w:after="120"/>
        <w:ind w:firstLine="0"/>
        <w:jc w:val="left"/>
        <w:rPr>
          <w:sz w:val="20"/>
          <w:szCs w:val="20"/>
        </w:rPr>
      </w:pPr>
      <w:r>
        <w:rPr>
          <w:rStyle w:val="FootnoteReference"/>
          <w:szCs w:val="20"/>
        </w:rPr>
        <w:footnoteRef/>
      </w:r>
      <w:r>
        <w:rPr>
          <w:sz w:val="20"/>
          <w:szCs w:val="20"/>
        </w:rPr>
        <w:t xml:space="preserve"> 47 C.F.R. § 15.5(b)</w:t>
      </w:r>
      <w:r>
        <w:rPr>
          <w:color w:val="000000"/>
          <w:sz w:val="20"/>
          <w:szCs w:val="20"/>
        </w:rPr>
        <w:t>.</w:t>
      </w:r>
    </w:p>
  </w:footnote>
  <w:footnote w:id="4">
    <w:p w:rsidR="005412E8" w:rsidRDefault="005412E8">
      <w:pPr>
        <w:pStyle w:val="FootnoteText"/>
        <w:spacing w:after="120"/>
        <w:ind w:firstLine="0"/>
        <w:jc w:val="left"/>
        <w:rPr>
          <w:sz w:val="20"/>
          <w:szCs w:val="20"/>
        </w:rPr>
      </w:pPr>
      <w:r>
        <w:rPr>
          <w:rStyle w:val="FootnoteReference"/>
          <w:kern w:val="20"/>
          <w:szCs w:val="20"/>
        </w:rPr>
        <w:footnoteRef/>
      </w:r>
      <w:r>
        <w:rPr>
          <w:kern w:val="20"/>
          <w:sz w:val="20"/>
          <w:szCs w:val="20"/>
        </w:rPr>
        <w:t xml:space="preserve"> </w:t>
      </w:r>
      <w:r>
        <w:rPr>
          <w:i/>
          <w:kern w:val="20"/>
          <w:sz w:val="20"/>
          <w:szCs w:val="20"/>
        </w:rPr>
        <w:t>See</w:t>
      </w:r>
      <w:r>
        <w:rPr>
          <w:kern w:val="20"/>
          <w:sz w:val="20"/>
          <w:szCs w:val="20"/>
        </w:rPr>
        <w:t xml:space="preserve"> 47 U.S.C § 503(b)(5).  </w:t>
      </w:r>
      <w:r>
        <w:rPr>
          <w:i/>
          <w:iCs/>
          <w:kern w:val="20"/>
          <w:sz w:val="20"/>
          <w:szCs w:val="20"/>
        </w:rPr>
        <w:t>See also</w:t>
      </w:r>
      <w:r>
        <w:rPr>
          <w:iCs/>
          <w:kern w:val="20"/>
          <w:sz w:val="20"/>
          <w:szCs w:val="20"/>
        </w:rPr>
        <w:t xml:space="preserve"> </w:t>
      </w:r>
      <w:r>
        <w:rPr>
          <w:kern w:val="20"/>
          <w:sz w:val="20"/>
          <w:szCs w:val="20"/>
        </w:rPr>
        <w:t>S. Rep. No. 95-580, 95th Cong., 1st Sess. at 9 (1977) (if a person or entity that has been issued a citation by the Commission thereafter engages in the conduct for which the citation of violation was sent, the subsequent notice of apparent liability “</w:t>
      </w:r>
      <w:r>
        <w:rPr>
          <w:i/>
          <w:kern w:val="20"/>
          <w:sz w:val="20"/>
          <w:szCs w:val="20"/>
        </w:rPr>
        <w:t>would attach not only for the conduct occurring subsequently but also for the conduct for which the citation was originally sent</w:t>
      </w:r>
      <w:r>
        <w:rPr>
          <w:kern w:val="20"/>
          <w:sz w:val="20"/>
          <w:szCs w:val="20"/>
        </w:rPr>
        <w:t>”) (emphasis added).</w:t>
      </w:r>
    </w:p>
  </w:footnote>
  <w:footnote w:id="5">
    <w:p w:rsidR="005412E8" w:rsidRDefault="005412E8">
      <w:pPr>
        <w:pStyle w:val="FootnoteText"/>
        <w:spacing w:after="120"/>
        <w:ind w:firstLine="0"/>
        <w:rPr>
          <w:sz w:val="20"/>
          <w:szCs w:val="20"/>
        </w:rPr>
      </w:pPr>
      <w:r>
        <w:rPr>
          <w:rStyle w:val="FootnoteReference"/>
          <w:kern w:val="20"/>
          <w:szCs w:val="20"/>
        </w:rPr>
        <w:footnoteRef/>
      </w:r>
      <w:r>
        <w:rPr>
          <w:kern w:val="20"/>
          <w:sz w:val="20"/>
          <w:szCs w:val="20"/>
        </w:rPr>
        <w:t xml:space="preserve"> 47 U.S.C. §§ 154(i), 154(j), 403.</w:t>
      </w:r>
    </w:p>
  </w:footnote>
  <w:footnote w:id="6">
    <w:p w:rsidR="003B0AEA" w:rsidRPr="00C12318" w:rsidRDefault="003B0AEA" w:rsidP="00C12318">
      <w:pPr>
        <w:pStyle w:val="FootnoteText"/>
        <w:ind w:firstLine="0"/>
        <w:rPr>
          <w:sz w:val="20"/>
          <w:szCs w:val="20"/>
        </w:rPr>
      </w:pPr>
      <w:r>
        <w:rPr>
          <w:rStyle w:val="FootnoteReference"/>
        </w:rPr>
        <w:footnoteRef/>
      </w:r>
      <w:r>
        <w:t xml:space="preserve"> </w:t>
      </w:r>
      <w:r w:rsidRPr="00C12318">
        <w:rPr>
          <w:i/>
          <w:sz w:val="20"/>
          <w:szCs w:val="20"/>
        </w:rPr>
        <w:t>See</w:t>
      </w:r>
      <w:r w:rsidRPr="00C12318">
        <w:rPr>
          <w:sz w:val="20"/>
          <w:szCs w:val="20"/>
        </w:rPr>
        <w:t xml:space="preserve"> </w:t>
      </w:r>
      <w:r w:rsidR="00FA18D7">
        <w:rPr>
          <w:sz w:val="20"/>
          <w:szCs w:val="20"/>
        </w:rPr>
        <w:t xml:space="preserve">Radio Frequency Interference </w:t>
      </w:r>
      <w:r w:rsidRPr="00C12318">
        <w:rPr>
          <w:sz w:val="20"/>
          <w:szCs w:val="20"/>
        </w:rPr>
        <w:t>Letter from Laura L. Smith, Special Counsel, Enforcement Bureau, to Thomas Rogers (Jun. 17, 2013) (On file in EB-FIELDWR-13-00009096)</w:t>
      </w:r>
      <w:r w:rsidR="00FA18D7">
        <w:rPr>
          <w:sz w:val="20"/>
          <w:szCs w:val="20"/>
        </w:rPr>
        <w:t xml:space="preserve"> (RFI Letter)</w:t>
      </w:r>
      <w:r w:rsidRPr="00C12318">
        <w:rPr>
          <w:sz w:val="20"/>
          <w:szCs w:val="20"/>
        </w:rPr>
        <w:t>.</w:t>
      </w:r>
      <w:r>
        <w:rPr>
          <w:sz w:val="20"/>
          <w:szCs w:val="20"/>
        </w:rPr>
        <w:t xml:space="preserve"> </w:t>
      </w:r>
    </w:p>
  </w:footnote>
  <w:footnote w:id="7">
    <w:p w:rsidR="00FA18D7" w:rsidRPr="00C12318" w:rsidRDefault="00FA18D7" w:rsidP="00C12318">
      <w:pPr>
        <w:pStyle w:val="FootnoteText"/>
        <w:ind w:firstLine="0"/>
        <w:jc w:val="left"/>
        <w:rPr>
          <w:sz w:val="20"/>
          <w:szCs w:val="20"/>
        </w:rPr>
      </w:pPr>
      <w:r>
        <w:rPr>
          <w:rStyle w:val="FootnoteReference"/>
        </w:rPr>
        <w:footnoteRef/>
      </w:r>
      <w:r>
        <w:t xml:space="preserve"> </w:t>
      </w:r>
      <w:r w:rsidRPr="00C12318">
        <w:rPr>
          <w:i/>
          <w:sz w:val="20"/>
          <w:szCs w:val="20"/>
        </w:rPr>
        <w:t xml:space="preserve">See </w:t>
      </w:r>
      <w:r w:rsidRPr="00C12318">
        <w:rPr>
          <w:sz w:val="20"/>
          <w:szCs w:val="20"/>
        </w:rPr>
        <w:t xml:space="preserve">Warning Letter from Leo Cirbo, Acting District Director, Seattle Office, Western </w:t>
      </w:r>
      <w:r>
        <w:rPr>
          <w:sz w:val="20"/>
          <w:szCs w:val="20"/>
        </w:rPr>
        <w:t>R</w:t>
      </w:r>
      <w:r w:rsidRPr="00C12318">
        <w:rPr>
          <w:sz w:val="20"/>
          <w:szCs w:val="20"/>
        </w:rPr>
        <w:t xml:space="preserve">egion, Enforcement Bureau to Thomas Rogers </w:t>
      </w:r>
      <w:r w:rsidRPr="00065FFF">
        <w:rPr>
          <w:sz w:val="20"/>
          <w:szCs w:val="20"/>
        </w:rPr>
        <w:t>(Ju</w:t>
      </w:r>
      <w:r>
        <w:rPr>
          <w:sz w:val="20"/>
          <w:szCs w:val="20"/>
        </w:rPr>
        <w:t>l</w:t>
      </w:r>
      <w:r w:rsidRPr="00065FFF">
        <w:rPr>
          <w:sz w:val="20"/>
          <w:szCs w:val="20"/>
        </w:rPr>
        <w:t xml:space="preserve">. </w:t>
      </w:r>
      <w:r>
        <w:rPr>
          <w:sz w:val="20"/>
          <w:szCs w:val="20"/>
        </w:rPr>
        <w:t>25</w:t>
      </w:r>
      <w:r w:rsidRPr="00065FFF">
        <w:rPr>
          <w:sz w:val="20"/>
          <w:szCs w:val="20"/>
        </w:rPr>
        <w:t>, 2013) (On file in EB-FIELDWR-13-00009096) (Warning Letter).</w:t>
      </w:r>
    </w:p>
  </w:footnote>
  <w:footnote w:id="8">
    <w:p w:rsidR="005412E8" w:rsidRDefault="005412E8">
      <w:pPr>
        <w:pStyle w:val="FootnoteText"/>
        <w:spacing w:after="120"/>
        <w:ind w:firstLine="0"/>
        <w:jc w:val="left"/>
        <w:rPr>
          <w:sz w:val="20"/>
          <w:szCs w:val="20"/>
        </w:rPr>
      </w:pPr>
      <w:r>
        <w:rPr>
          <w:rStyle w:val="FootnoteReference"/>
          <w:szCs w:val="20"/>
        </w:rPr>
        <w:footnoteRef/>
      </w:r>
      <w:r>
        <w:rPr>
          <w:sz w:val="20"/>
          <w:szCs w:val="20"/>
        </w:rPr>
        <w:t xml:space="preserve"> 47 C.F.R. § 15.5(b)</w:t>
      </w:r>
      <w:r>
        <w:rPr>
          <w:color w:val="000000"/>
          <w:sz w:val="20"/>
          <w:szCs w:val="20"/>
        </w:rPr>
        <w:t>.</w:t>
      </w:r>
      <w:r>
        <w:rPr>
          <w:sz w:val="20"/>
          <w:szCs w:val="20"/>
        </w:rPr>
        <w:t xml:space="preserve"> </w:t>
      </w:r>
    </w:p>
  </w:footnote>
  <w:footnote w:id="9">
    <w:p w:rsidR="005412E8" w:rsidRDefault="005412E8">
      <w:pPr>
        <w:pStyle w:val="FootnoteText"/>
        <w:spacing w:after="120"/>
        <w:ind w:firstLine="0"/>
        <w:jc w:val="left"/>
        <w:rPr>
          <w:sz w:val="20"/>
          <w:szCs w:val="20"/>
        </w:rPr>
      </w:pPr>
      <w:r>
        <w:rPr>
          <w:rStyle w:val="FootnoteReference"/>
          <w:szCs w:val="20"/>
        </w:rPr>
        <w:footnoteRef/>
      </w:r>
      <w:r>
        <w:rPr>
          <w:sz w:val="20"/>
          <w:szCs w:val="20"/>
        </w:rPr>
        <w:t xml:space="preserve"> 47 C.F.R. § 15.3(m).</w:t>
      </w:r>
    </w:p>
  </w:footnote>
  <w:footnote w:id="10">
    <w:p w:rsidR="005412E8" w:rsidRDefault="005412E8">
      <w:pPr>
        <w:pStyle w:val="FootnoteText"/>
        <w:spacing w:after="120"/>
        <w:ind w:firstLine="0"/>
        <w:jc w:val="left"/>
        <w:rPr>
          <w:sz w:val="20"/>
          <w:szCs w:val="20"/>
        </w:rPr>
      </w:pPr>
      <w:r>
        <w:rPr>
          <w:rStyle w:val="FootnoteReference"/>
          <w:szCs w:val="20"/>
        </w:rPr>
        <w:footnoteRef/>
      </w:r>
      <w:r>
        <w:rPr>
          <w:sz w:val="20"/>
          <w:szCs w:val="20"/>
        </w:rPr>
        <w:t xml:space="preserve"> 47 C.F.R. § 15.3(n).  Under this definition, light fixtures</w:t>
      </w:r>
      <w:r w:rsidR="009F7DDD">
        <w:rPr>
          <w:sz w:val="20"/>
          <w:szCs w:val="20"/>
        </w:rPr>
        <w:t>, such as the ones</w:t>
      </w:r>
      <w:r w:rsidR="006D5C2D">
        <w:rPr>
          <w:sz w:val="20"/>
          <w:szCs w:val="20"/>
        </w:rPr>
        <w:t xml:space="preserve"> apparently</w:t>
      </w:r>
      <w:r w:rsidR="009F7DDD">
        <w:rPr>
          <w:sz w:val="20"/>
          <w:szCs w:val="20"/>
        </w:rPr>
        <w:t xml:space="preserve"> used by Mr. Rogers</w:t>
      </w:r>
      <w:r>
        <w:rPr>
          <w:sz w:val="20"/>
          <w:szCs w:val="20"/>
        </w:rPr>
        <w:t>, are incidental radiators.</w:t>
      </w:r>
      <w:r>
        <w:t xml:space="preserve"> </w:t>
      </w:r>
    </w:p>
  </w:footnote>
  <w:footnote w:id="11">
    <w:p w:rsidR="005412E8" w:rsidRDefault="005412E8">
      <w:pPr>
        <w:pStyle w:val="FootnoteText"/>
        <w:spacing w:after="120"/>
        <w:ind w:firstLine="0"/>
        <w:jc w:val="left"/>
        <w:rPr>
          <w:sz w:val="20"/>
          <w:szCs w:val="20"/>
        </w:rPr>
      </w:pPr>
      <w:r>
        <w:rPr>
          <w:rStyle w:val="FootnoteReference"/>
          <w:szCs w:val="20"/>
        </w:rPr>
        <w:footnoteRef/>
      </w:r>
      <w:r>
        <w:rPr>
          <w:sz w:val="20"/>
          <w:szCs w:val="20"/>
        </w:rPr>
        <w:t xml:space="preserve"> 47 C.F.R. § 15.5(c)</w:t>
      </w:r>
      <w:r>
        <w:rPr>
          <w:color w:val="000000"/>
          <w:sz w:val="20"/>
          <w:szCs w:val="20"/>
        </w:rPr>
        <w:t>.</w:t>
      </w:r>
    </w:p>
  </w:footnote>
  <w:footnote w:id="12">
    <w:p w:rsidR="005412E8" w:rsidRDefault="005412E8">
      <w:pPr>
        <w:pStyle w:val="FootnoteText"/>
        <w:spacing w:after="120"/>
        <w:ind w:firstLine="0"/>
        <w:rPr>
          <w:sz w:val="20"/>
          <w:szCs w:val="20"/>
        </w:rPr>
      </w:pPr>
      <w:r>
        <w:rPr>
          <w:rStyle w:val="FootnoteReference"/>
          <w:szCs w:val="20"/>
        </w:rPr>
        <w:footnoteRef/>
      </w:r>
      <w:r>
        <w:rPr>
          <w:sz w:val="20"/>
          <w:szCs w:val="20"/>
        </w:rPr>
        <w:t xml:space="preserve"> 47 U.S.C. §§ 154(i), 154(j), 403.</w:t>
      </w:r>
    </w:p>
  </w:footnote>
  <w:footnote w:id="13">
    <w:p w:rsidR="005412E8" w:rsidRDefault="005412E8">
      <w:pPr>
        <w:pStyle w:val="FootnoteText"/>
        <w:spacing w:after="120"/>
        <w:ind w:firstLine="0"/>
        <w:jc w:val="left"/>
        <w:rPr>
          <w:sz w:val="20"/>
          <w:szCs w:val="20"/>
        </w:rPr>
      </w:pPr>
      <w:r>
        <w:rPr>
          <w:rStyle w:val="FootnoteReference"/>
          <w:szCs w:val="20"/>
        </w:rPr>
        <w:footnoteRef/>
      </w:r>
      <w:r>
        <w:rPr>
          <w:sz w:val="20"/>
          <w:szCs w:val="20"/>
        </w:rPr>
        <w:t xml:space="preserve"> </w:t>
      </w:r>
      <w:r>
        <w:rPr>
          <w:i/>
          <w:iCs/>
          <w:sz w:val="20"/>
          <w:szCs w:val="20"/>
        </w:rPr>
        <w:t>See, e.g.</w:t>
      </w:r>
      <w:r>
        <w:rPr>
          <w:sz w:val="20"/>
          <w:szCs w:val="20"/>
        </w:rPr>
        <w:t>,</w:t>
      </w:r>
      <w:r>
        <w:rPr>
          <w:i/>
          <w:iCs/>
          <w:sz w:val="20"/>
          <w:szCs w:val="20"/>
        </w:rPr>
        <w:t xml:space="preserve"> SBC Communications, Inc</w:t>
      </w:r>
      <w:r>
        <w:rPr>
          <w:sz w:val="20"/>
          <w:szCs w:val="20"/>
        </w:rPr>
        <w:t>.</w:t>
      </w:r>
      <w:r>
        <w:rPr>
          <w:iCs/>
          <w:sz w:val="20"/>
          <w:szCs w:val="20"/>
        </w:rPr>
        <w:t>,</w:t>
      </w:r>
      <w:r>
        <w:rPr>
          <w:i/>
          <w:iCs/>
          <w:sz w:val="20"/>
          <w:szCs w:val="20"/>
        </w:rPr>
        <w:t xml:space="preserve"> </w:t>
      </w:r>
      <w:r>
        <w:rPr>
          <w:sz w:val="20"/>
          <w:szCs w:val="20"/>
        </w:rPr>
        <w:t xml:space="preserve">Forfeiture Order, 17 FCC Rcd 7589, 7599–7600, paras. 23–28 (2002) (imposing $100,000 forfeiture for egregious and intentional misconduct, </w:t>
      </w:r>
      <w:r>
        <w:rPr>
          <w:i/>
          <w:iCs/>
          <w:sz w:val="20"/>
          <w:szCs w:val="20"/>
        </w:rPr>
        <w:t>i.e</w:t>
      </w:r>
      <w:r>
        <w:rPr>
          <w:sz w:val="20"/>
          <w:szCs w:val="20"/>
        </w:rPr>
        <w:t xml:space="preserve">., refusing to attest to truthfulness and accuracy of responses to a Letter of Inquiry (LOI)); </w:t>
      </w:r>
      <w:r>
        <w:rPr>
          <w:i/>
          <w:iCs/>
          <w:sz w:val="20"/>
          <w:szCs w:val="20"/>
        </w:rPr>
        <w:t>Connect Paging, Inc. d/b/a Get A Phone</w:t>
      </w:r>
      <w:r>
        <w:rPr>
          <w:sz w:val="20"/>
          <w:szCs w:val="20"/>
        </w:rPr>
        <w:t xml:space="preserve">, Forfeiture Order, 22 FCC Rcd 15146 (Enf. Bur. 2007) (imposing $4,000 forfeiture for failure to respond to an LOI); </w:t>
      </w:r>
      <w:r>
        <w:rPr>
          <w:i/>
          <w:iCs/>
          <w:sz w:val="20"/>
          <w:szCs w:val="20"/>
        </w:rPr>
        <w:t>BigZoo.Com Corporation</w:t>
      </w:r>
      <w:r>
        <w:rPr>
          <w:sz w:val="20"/>
          <w:szCs w:val="20"/>
        </w:rPr>
        <w:t xml:space="preserve">, Order of Forfeiture, 20 FCC Rcd 3954 (Enf. Bur. 2005) (imposing $20,000 forfeiture for failure to respond to a USF LOI); </w:t>
      </w:r>
      <w:r>
        <w:rPr>
          <w:i/>
          <w:iCs/>
          <w:sz w:val="20"/>
          <w:szCs w:val="20"/>
        </w:rPr>
        <w:t>Donald W. Kaminski, Jr</w:t>
      </w:r>
      <w:r>
        <w:rPr>
          <w:sz w:val="20"/>
          <w:szCs w:val="20"/>
        </w:rPr>
        <w:t xml:space="preserve">., Forfeiture Order, 18 FCC Rcd 26065 (Enf. Bur. 2003) (imposing $4,000 forfeiture for failure to respond to an LOI).  </w:t>
      </w:r>
      <w:r>
        <w:rPr>
          <w:i/>
          <w:sz w:val="20"/>
          <w:szCs w:val="20"/>
        </w:rPr>
        <w:t>See also</w:t>
      </w:r>
      <w:r>
        <w:rPr>
          <w:sz w:val="20"/>
          <w:szCs w:val="20"/>
        </w:rPr>
        <w:t xml:space="preserve"> </w:t>
      </w:r>
      <w:r>
        <w:rPr>
          <w:i/>
          <w:iCs/>
          <w:sz w:val="20"/>
          <w:szCs w:val="20"/>
        </w:rPr>
        <w:t>World Communications Satellite Systems, Inc</w:t>
      </w:r>
      <w:r>
        <w:rPr>
          <w:sz w:val="20"/>
          <w:szCs w:val="20"/>
        </w:rPr>
        <w:t xml:space="preserve">., Notice of Apparent Liability for Forfeiture, 18 FCC Rcd 18545 (Enf. Bur. 2003) (proposing $10,000 forfeiture for a non-responsive reply to an LOI); </w:t>
      </w:r>
      <w:r>
        <w:rPr>
          <w:i/>
          <w:iCs/>
          <w:sz w:val="20"/>
          <w:szCs w:val="20"/>
        </w:rPr>
        <w:t xml:space="preserve">Digital Antenna, Inc., </w:t>
      </w:r>
      <w:smartTag w:uri="urn:schemas-microsoft-com:office:smarttags" w:element="address">
        <w:r>
          <w:rPr>
            <w:i/>
            <w:iCs/>
            <w:sz w:val="20"/>
            <w:szCs w:val="20"/>
          </w:rPr>
          <w:t>Sunrise</w:t>
        </w:r>
      </w:smartTag>
      <w:r>
        <w:rPr>
          <w:i/>
          <w:iCs/>
          <w:sz w:val="20"/>
          <w:szCs w:val="20"/>
        </w:rPr>
        <w:t xml:space="preserve">, </w:t>
      </w:r>
      <w:smartTag w:uri="urn:schemas-microsoft-com:office:smarttags" w:element="Street">
        <w:smartTag w:uri="urn:schemas-microsoft-com:office:smarttags" w:element="State">
          <w:r>
            <w:rPr>
              <w:i/>
              <w:iCs/>
              <w:sz w:val="20"/>
              <w:szCs w:val="20"/>
            </w:rPr>
            <w:t>Florida</w:t>
          </w:r>
        </w:smartTag>
      </w:smartTag>
      <w:r>
        <w:rPr>
          <w:sz w:val="20"/>
          <w:szCs w:val="20"/>
        </w:rPr>
        <w:t>, Notice of Apparent Liability for Forfeiture, 23 FCC Rcd 7600 (Enf. Bur. 2007) (proposing $11,000 forfeiture for failure to provide complete responses to an LOI).</w:t>
      </w:r>
    </w:p>
  </w:footnote>
  <w:footnote w:id="14">
    <w:p w:rsidR="005412E8" w:rsidRDefault="005412E8">
      <w:pPr>
        <w:pStyle w:val="FootnoteText"/>
        <w:spacing w:after="120"/>
        <w:ind w:firstLine="0"/>
        <w:rPr>
          <w:sz w:val="20"/>
          <w:szCs w:val="20"/>
        </w:rPr>
      </w:pPr>
      <w:r>
        <w:rPr>
          <w:rStyle w:val="FootnoteReference"/>
          <w:kern w:val="20"/>
          <w:szCs w:val="20"/>
        </w:rPr>
        <w:footnoteRef/>
      </w:r>
      <w:r>
        <w:rPr>
          <w:kern w:val="20"/>
          <w:sz w:val="20"/>
          <w:szCs w:val="20"/>
        </w:rPr>
        <w:t xml:space="preserve"> 47 C.F.R. § 1.17.</w:t>
      </w:r>
    </w:p>
  </w:footnote>
  <w:footnote w:id="15">
    <w:p w:rsidR="005412E8" w:rsidRDefault="005412E8">
      <w:pPr>
        <w:pStyle w:val="FootnoteText"/>
        <w:spacing w:after="120"/>
        <w:ind w:firstLine="0"/>
        <w:rPr>
          <w:sz w:val="20"/>
          <w:szCs w:val="20"/>
        </w:rPr>
      </w:pPr>
      <w:r>
        <w:rPr>
          <w:rStyle w:val="FootnoteReference"/>
          <w:szCs w:val="20"/>
        </w:rPr>
        <w:footnoteRef/>
      </w:r>
      <w:r>
        <w:rPr>
          <w:sz w:val="20"/>
          <w:szCs w:val="20"/>
        </w:rPr>
        <w:t xml:space="preserve"> 47 U.S.C. § 503.</w:t>
      </w:r>
    </w:p>
  </w:footnote>
  <w:footnote w:id="16">
    <w:p w:rsidR="005412E8" w:rsidRDefault="005412E8">
      <w:pPr>
        <w:pStyle w:val="FootnoteText"/>
        <w:spacing w:after="120"/>
        <w:ind w:firstLine="0"/>
        <w:jc w:val="lef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47 U.S.C. §§ 401, 501, 503; 47 C.F.R. § 1.80(b)(7).  This amount is subject to further adjustment for inflation (</w:t>
      </w:r>
      <w:r>
        <w:rPr>
          <w:i/>
          <w:sz w:val="20"/>
          <w:szCs w:val="20"/>
        </w:rPr>
        <w:t xml:space="preserve">see </w:t>
      </w:r>
      <w:r>
        <w:rPr>
          <w:sz w:val="20"/>
          <w:szCs w:val="20"/>
        </w:rPr>
        <w:t xml:space="preserve">47 C.F.R. § 1.80(b)(9)), and the forfeiture amount applicable to any violation will be determined based on the statutory amount designated at the time of the violation.    </w:t>
      </w:r>
    </w:p>
  </w:footnote>
  <w:footnote w:id="17">
    <w:p w:rsidR="005412E8" w:rsidRDefault="005412E8">
      <w:pPr>
        <w:pStyle w:val="FootnoteText"/>
        <w:spacing w:after="120"/>
        <w:ind w:firstLine="0"/>
        <w:rPr>
          <w:sz w:val="20"/>
          <w:szCs w:val="20"/>
        </w:rPr>
      </w:pPr>
      <w:r>
        <w:rPr>
          <w:rStyle w:val="FootnoteReference"/>
          <w:szCs w:val="20"/>
        </w:rPr>
        <w:footnoteRef/>
      </w:r>
      <w:r>
        <w:rPr>
          <w:sz w:val="20"/>
          <w:szCs w:val="20"/>
        </w:rPr>
        <w:t xml:space="preserve"> </w:t>
      </w:r>
      <w:r>
        <w:rPr>
          <w:i/>
          <w:sz w:val="20"/>
          <w:szCs w:val="20"/>
        </w:rPr>
        <w:t>See</w:t>
      </w:r>
      <w:r w:rsidR="001912D7">
        <w:rPr>
          <w:sz w:val="20"/>
          <w:szCs w:val="20"/>
        </w:rPr>
        <w:t xml:space="preserve"> paragraph 3</w:t>
      </w:r>
      <w:r>
        <w:rPr>
          <w:sz w:val="20"/>
          <w:szCs w:val="20"/>
        </w:rPr>
        <w:t xml:space="preserve">, </w:t>
      </w:r>
      <w:r>
        <w:rPr>
          <w:i/>
          <w:sz w:val="20"/>
          <w:szCs w:val="20"/>
        </w:rPr>
        <w:t>supra</w:t>
      </w:r>
      <w:r>
        <w:rPr>
          <w:sz w:val="20"/>
          <w:szCs w:val="20"/>
        </w:rPr>
        <w:t xml:space="preserve">.  </w:t>
      </w:r>
    </w:p>
  </w:footnote>
  <w:footnote w:id="18">
    <w:p w:rsidR="005412E8" w:rsidRDefault="005412E8">
      <w:pPr>
        <w:pStyle w:val="FootnoteText"/>
        <w:spacing w:after="120"/>
        <w:ind w:firstLine="0"/>
        <w:rPr>
          <w:sz w:val="20"/>
          <w:szCs w:val="20"/>
        </w:rPr>
      </w:pPr>
      <w:r>
        <w:rPr>
          <w:rStyle w:val="FootnoteReference"/>
          <w:szCs w:val="20"/>
        </w:rPr>
        <w:footnoteRef/>
      </w:r>
      <w:r>
        <w:rPr>
          <w:sz w:val="20"/>
          <w:szCs w:val="20"/>
        </w:rPr>
        <w:t xml:space="preserve"> </w:t>
      </w:r>
      <w:r>
        <w:rPr>
          <w:i/>
          <w:iCs/>
          <w:sz w:val="20"/>
          <w:szCs w:val="20"/>
        </w:rPr>
        <w:t>See</w:t>
      </w:r>
      <w:r>
        <w:rPr>
          <w:sz w:val="20"/>
          <w:szCs w:val="20"/>
        </w:rPr>
        <w:t xml:space="preserve"> 47 U.S.C. § 510.</w:t>
      </w:r>
    </w:p>
  </w:footnote>
  <w:footnote w:id="19">
    <w:p w:rsidR="005412E8" w:rsidRDefault="005412E8">
      <w:pPr>
        <w:pStyle w:val="FootnoteText"/>
        <w:spacing w:after="120"/>
        <w:ind w:firstLine="0"/>
      </w:pPr>
      <w:r>
        <w:rPr>
          <w:rStyle w:val="FootnoteReference"/>
          <w:szCs w:val="20"/>
        </w:rPr>
        <w:footnoteRef/>
      </w:r>
      <w:r>
        <w:rPr>
          <w:sz w:val="20"/>
          <w:szCs w:val="20"/>
        </w:rPr>
        <w:t xml:space="preserve"> </w:t>
      </w:r>
      <w:r>
        <w:rPr>
          <w:i/>
          <w:iCs/>
          <w:sz w:val="20"/>
          <w:szCs w:val="20"/>
        </w:rPr>
        <w:t xml:space="preserve">See </w:t>
      </w:r>
      <w:r>
        <w:rPr>
          <w:sz w:val="20"/>
          <w:szCs w:val="2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23" w:rsidRDefault="00D74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E8" w:rsidRDefault="005412E8">
    <w:pPr>
      <w:tabs>
        <w:tab w:val="center" w:pos="4680"/>
        <w:tab w:val="right" w:pos="9360"/>
      </w:tabs>
      <w:suppressAutoHyphens/>
      <w:spacing w:line="227" w:lineRule="auto"/>
      <w:jc w:val="both"/>
      <w:rPr>
        <w:b/>
      </w:rPr>
    </w:pPr>
    <w:r>
      <w:rPr>
        <w:b/>
      </w:rPr>
      <w:tab/>
      <w:t>Federal Communications Commission</w:t>
    </w:r>
    <w:r>
      <w:rPr>
        <w:b/>
      </w:rPr>
      <w:tab/>
      <w:t>DA 1</w:t>
    </w:r>
    <w:r w:rsidR="009F7DDD">
      <w:rPr>
        <w:b/>
      </w:rPr>
      <w:t>4</w:t>
    </w:r>
    <w:r>
      <w:rPr>
        <w:b/>
      </w:rPr>
      <w:t>-</w:t>
    </w:r>
    <w:r w:rsidR="00143D1C">
      <w:rPr>
        <w:b/>
      </w:rPr>
      <w:t>536</w:t>
    </w:r>
  </w:p>
  <w:p w:rsidR="005412E8" w:rsidRDefault="00641546">
    <w:pPr>
      <w:pStyle w:val="Header"/>
      <w:jc w:val="both"/>
      <w:rPr>
        <w:b/>
      </w:rPr>
    </w:pPr>
    <w:r>
      <w:rPr>
        <w:noProof/>
      </w:rPr>
      <mc:AlternateContent>
        <mc:Choice Requires="wps">
          <w:drawing>
            <wp:anchor distT="0" distB="0" distL="114300" distR="114300" simplePos="0" relativeHeight="251657216" behindDoc="1" locked="0" layoutInCell="0" allowOverlap="1" wp14:anchorId="77218F8A" wp14:editId="5D8CA65B">
              <wp:simplePos x="0" y="0"/>
              <wp:positionH relativeFrom="margin">
                <wp:posOffset>0</wp:posOffset>
              </wp:positionH>
              <wp:positionV relativeFrom="paragraph">
                <wp:posOffset>-8890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5412E8" w:rsidRDefault="00541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jjewIAAAQ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" o:allowincell="f" fillcolor="black" stroked="f" strokeweight=".05pt">
              <v:textbox>
                <w:txbxContent>
                  <w:p w:rsidR="005412E8" w:rsidRDefault="005412E8"/>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E8" w:rsidRDefault="005412E8">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w:t>
    </w:r>
    <w:r w:rsidR="009F7DDD">
      <w:rPr>
        <w:b/>
        <w:spacing w:val="-2"/>
      </w:rPr>
      <w:t>4</w:t>
    </w:r>
    <w:r>
      <w:rPr>
        <w:b/>
        <w:spacing w:val="-2"/>
      </w:rPr>
      <w:t>-</w:t>
    </w:r>
    <w:r w:rsidR="00143D1C">
      <w:rPr>
        <w:b/>
        <w:spacing w:val="-2"/>
      </w:rPr>
      <w:t>536</w:t>
    </w:r>
    <w:r>
      <w:rPr>
        <w:b/>
        <w:spacing w:val="-2"/>
      </w:rPr>
      <w:t xml:space="preserve"> </w:t>
    </w:r>
  </w:p>
  <w:p w:rsidR="005412E8" w:rsidRDefault="00641546">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5412E8" w:rsidRDefault="00541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rsidR="005412E8" w:rsidRDefault="005412E8"/>
                </w:txbxContent>
              </v:textbox>
              <w10:wrap anchorx="margin"/>
            </v:rect>
          </w:pict>
        </mc:Fallback>
      </mc:AlternateContent>
    </w:r>
  </w:p>
  <w:p w:rsidR="005412E8" w:rsidRDefault="005412E8">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771"/>
    <w:multiLevelType w:val="hybridMultilevel"/>
    <w:tmpl w:val="BA642CD4"/>
    <w:lvl w:ilvl="0" w:tplc="0088E31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9D6B92"/>
    <w:multiLevelType w:val="hybridMultilevel"/>
    <w:tmpl w:val="FA7AD044"/>
    <w:lvl w:ilvl="0" w:tplc="0409000F">
      <w:start w:val="1"/>
      <w:numFmt w:val="decimal"/>
      <w:lvlText w:val="%1."/>
      <w:lvlJc w:val="left"/>
      <w:pPr>
        <w:tabs>
          <w:tab w:val="num" w:pos="8820"/>
        </w:tabs>
        <w:ind w:left="88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CCD7CCE"/>
    <w:multiLevelType w:val="hybridMultilevel"/>
    <w:tmpl w:val="3DB6DD78"/>
    <w:lvl w:ilvl="0" w:tplc="36049E4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7152EA"/>
    <w:multiLevelType w:val="hybridMultilevel"/>
    <w:tmpl w:val="041AB9C4"/>
    <w:lvl w:ilvl="0" w:tplc="FE629DB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7">
    <w:nsid w:val="3D0F1B3D"/>
    <w:multiLevelType w:val="singleLevel"/>
    <w:tmpl w:val="FBEE92A4"/>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F8B779C"/>
    <w:multiLevelType w:val="hybridMultilevel"/>
    <w:tmpl w:val="6D12AA5C"/>
    <w:lvl w:ilvl="0" w:tplc="BF06F2FC">
      <w:start w:val="4010"/>
      <w:numFmt w:val="decimal"/>
      <w:lvlText w:val="%1"/>
      <w:lvlJc w:val="left"/>
      <w:pPr>
        <w:ind w:left="1920" w:hanging="48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10">
    <w:nsid w:val="432817C4"/>
    <w:multiLevelType w:val="singleLevel"/>
    <w:tmpl w:val="C2CC7D36"/>
    <w:lvl w:ilvl="0">
      <w:start w:val="1"/>
      <w:numFmt w:val="decimal"/>
      <w:lvlText w:val="%1."/>
      <w:lvlJc w:val="left"/>
      <w:pPr>
        <w:tabs>
          <w:tab w:val="num" w:pos="1080"/>
        </w:tabs>
        <w:ind w:firstLine="720"/>
      </w:pPr>
      <w:rPr>
        <w:rFonts w:ascii="Times New Roman" w:hAnsi="Times New Roman" w:cs="Times New Roman" w:hint="default"/>
        <w:b w:val="0"/>
        <w:i w:val="0"/>
        <w:sz w:val="22"/>
        <w:szCs w:val="22"/>
      </w:rPr>
    </w:lvl>
  </w:abstractNum>
  <w:abstractNum w:abstractNumId="11">
    <w:nsid w:val="43F97807"/>
    <w:multiLevelType w:val="hybridMultilevel"/>
    <w:tmpl w:val="B746841E"/>
    <w:lvl w:ilvl="0" w:tplc="6DB890C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EFD0AA7"/>
    <w:multiLevelType w:val="multilevel"/>
    <w:tmpl w:val="9D540AD4"/>
    <w:lvl w:ilvl="0">
      <w:start w:val="202"/>
      <w:numFmt w:val="decimal"/>
      <w:lvlText w:val="%1"/>
      <w:lvlJc w:val="left"/>
      <w:pPr>
        <w:ind w:left="1350" w:hanging="1350"/>
      </w:pPr>
      <w:rPr>
        <w:rFonts w:cs="Times New Roman" w:hint="default"/>
      </w:rPr>
    </w:lvl>
    <w:lvl w:ilvl="1">
      <w:start w:val="418"/>
      <w:numFmt w:val="decimal"/>
      <w:lvlText w:val="%1-%2"/>
      <w:lvlJc w:val="left"/>
      <w:pPr>
        <w:ind w:left="1710" w:hanging="1350"/>
      </w:pPr>
      <w:rPr>
        <w:rFonts w:cs="Times New Roman" w:hint="default"/>
      </w:rPr>
    </w:lvl>
    <w:lvl w:ilvl="2">
      <w:start w:val="530"/>
      <w:numFmt w:val="decimalZero"/>
      <w:lvlText w:val="%1-%2-%3"/>
      <w:lvlJc w:val="left"/>
      <w:pPr>
        <w:ind w:left="2070" w:hanging="1350"/>
      </w:pPr>
      <w:rPr>
        <w:rFonts w:cs="Times New Roman" w:hint="default"/>
      </w:rPr>
    </w:lvl>
    <w:lvl w:ilvl="3">
      <w:start w:val="1"/>
      <w:numFmt w:val="decimal"/>
      <w:lvlText w:val="%1-%2-%3.%4"/>
      <w:lvlJc w:val="left"/>
      <w:pPr>
        <w:ind w:left="2430" w:hanging="1350"/>
      </w:pPr>
      <w:rPr>
        <w:rFonts w:cs="Times New Roman" w:hint="default"/>
      </w:rPr>
    </w:lvl>
    <w:lvl w:ilvl="4">
      <w:start w:val="1"/>
      <w:numFmt w:val="decimal"/>
      <w:lvlText w:val="%1-%2-%3.%4.%5"/>
      <w:lvlJc w:val="left"/>
      <w:pPr>
        <w:ind w:left="2790" w:hanging="1350"/>
      </w:pPr>
      <w:rPr>
        <w:rFonts w:cs="Times New Roman" w:hint="default"/>
      </w:rPr>
    </w:lvl>
    <w:lvl w:ilvl="5">
      <w:start w:val="1"/>
      <w:numFmt w:val="decimal"/>
      <w:lvlText w:val="%1-%2-%3.%4.%5.%6"/>
      <w:lvlJc w:val="left"/>
      <w:pPr>
        <w:ind w:left="3150" w:hanging="135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1182925"/>
    <w:multiLevelType w:val="singleLevel"/>
    <w:tmpl w:val="D5A8460C"/>
    <w:lvl w:ilvl="0">
      <w:start w:val="1"/>
      <w:numFmt w:val="decimal"/>
      <w:lvlText w:val="%1."/>
      <w:lvlJc w:val="left"/>
      <w:pPr>
        <w:tabs>
          <w:tab w:val="num" w:pos="1080"/>
        </w:tabs>
        <w:ind w:firstLine="720"/>
      </w:pPr>
      <w:rPr>
        <w:rFonts w:cs="Times New Roman"/>
        <w:b w:val="0"/>
      </w:rPr>
    </w:lvl>
  </w:abstractNum>
  <w:abstractNum w:abstractNumId="15">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1F050A5"/>
    <w:multiLevelType w:val="hybridMultilevel"/>
    <w:tmpl w:val="D8ACC16E"/>
    <w:lvl w:ilvl="0" w:tplc="F2EA93E2">
      <w:start w:val="15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E5C6F81"/>
    <w:multiLevelType w:val="hybridMultilevel"/>
    <w:tmpl w:val="F0E4DE98"/>
    <w:lvl w:ilvl="0" w:tplc="CABAE556">
      <w:start w:val="1"/>
      <w:numFmt w:val="decimal"/>
      <w:lvlText w:val="%1."/>
      <w:lvlJc w:val="left"/>
      <w:pPr>
        <w:tabs>
          <w:tab w:val="num" w:pos="1080"/>
        </w:tabs>
        <w:ind w:firstLine="720"/>
      </w:pPr>
      <w:rPr>
        <w:rFonts w:ascii="Times New Roman" w:hAnsi="Times New Roman" w:cs="Times New Roman" w:hint="default"/>
        <w:b w:val="0"/>
        <w:i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0"/>
  </w:num>
  <w:num w:numId="2">
    <w:abstractNumId w:val="7"/>
  </w:num>
  <w:num w:numId="3">
    <w:abstractNumId w:val="4"/>
  </w:num>
  <w:num w:numId="4">
    <w:abstractNumId w:val="15"/>
  </w:num>
  <w:num w:numId="5">
    <w:abstractNumId w:val="3"/>
  </w:num>
  <w:num w:numId="6">
    <w:abstractNumId w:val="6"/>
  </w:num>
  <w:num w:numId="7">
    <w:abstractNumId w:val="1"/>
  </w:num>
  <w:num w:numId="8">
    <w:abstractNumId w:val="17"/>
  </w:num>
  <w:num w:numId="9">
    <w:abstractNumId w:val="14"/>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2"/>
  </w:num>
  <w:num w:numId="15">
    <w:abstractNumId w:val="0"/>
  </w:num>
  <w:num w:numId="16">
    <w:abstractNumId w:val="8"/>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2C"/>
    <w:rsid w:val="00031481"/>
    <w:rsid w:val="00065FFF"/>
    <w:rsid w:val="00115C41"/>
    <w:rsid w:val="00134AA8"/>
    <w:rsid w:val="00143D1C"/>
    <w:rsid w:val="001603BD"/>
    <w:rsid w:val="00184CD7"/>
    <w:rsid w:val="001912D7"/>
    <w:rsid w:val="001B377E"/>
    <w:rsid w:val="001C2B45"/>
    <w:rsid w:val="00214062"/>
    <w:rsid w:val="002C1A5F"/>
    <w:rsid w:val="00311A11"/>
    <w:rsid w:val="00311E73"/>
    <w:rsid w:val="00356C59"/>
    <w:rsid w:val="003709F7"/>
    <w:rsid w:val="00382B0E"/>
    <w:rsid w:val="003B0AEA"/>
    <w:rsid w:val="003E526D"/>
    <w:rsid w:val="00447E2A"/>
    <w:rsid w:val="004907D6"/>
    <w:rsid w:val="0050070F"/>
    <w:rsid w:val="005412E8"/>
    <w:rsid w:val="005F4352"/>
    <w:rsid w:val="0062509D"/>
    <w:rsid w:val="00641546"/>
    <w:rsid w:val="006D5C2D"/>
    <w:rsid w:val="00730F2A"/>
    <w:rsid w:val="00756AEB"/>
    <w:rsid w:val="00795FD2"/>
    <w:rsid w:val="007C3B58"/>
    <w:rsid w:val="00826338"/>
    <w:rsid w:val="00865AB4"/>
    <w:rsid w:val="008831FD"/>
    <w:rsid w:val="0089280D"/>
    <w:rsid w:val="008E24BB"/>
    <w:rsid w:val="008F78C0"/>
    <w:rsid w:val="00900C83"/>
    <w:rsid w:val="0090392E"/>
    <w:rsid w:val="0093509A"/>
    <w:rsid w:val="00983BA1"/>
    <w:rsid w:val="009A0FCE"/>
    <w:rsid w:val="009F7DDD"/>
    <w:rsid w:val="00A20B2C"/>
    <w:rsid w:val="00AB2B5F"/>
    <w:rsid w:val="00AD5847"/>
    <w:rsid w:val="00AD5D1D"/>
    <w:rsid w:val="00B15413"/>
    <w:rsid w:val="00B3141C"/>
    <w:rsid w:val="00B33E26"/>
    <w:rsid w:val="00B92D86"/>
    <w:rsid w:val="00BD4458"/>
    <w:rsid w:val="00BF793A"/>
    <w:rsid w:val="00C12318"/>
    <w:rsid w:val="00C162D7"/>
    <w:rsid w:val="00CA72AF"/>
    <w:rsid w:val="00CF272D"/>
    <w:rsid w:val="00D505F3"/>
    <w:rsid w:val="00D74A23"/>
    <w:rsid w:val="00DB3304"/>
    <w:rsid w:val="00DC712C"/>
    <w:rsid w:val="00E837CD"/>
    <w:rsid w:val="00ED0390"/>
    <w:rsid w:val="00ED0ACE"/>
    <w:rsid w:val="00EF662F"/>
    <w:rsid w:val="00FA18D7"/>
    <w:rsid w:val="00FA1926"/>
    <w:rsid w:val="00FD6CE8"/>
    <w:rsid w:val="00FF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footnote reference" w:locked="1"/>
    <w:lsdException w:name="annotation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200"/>
      <w:ind w:firstLine="360"/>
      <w:jc w:val="both"/>
    </w:p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num" w:pos="1440"/>
      </w:tabs>
      <w:spacing w:after="220"/>
    </w:pPr>
    <w:rPr>
      <w:lang w:eastAsia="zh-TW"/>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Pr>
      <w:snapToGrid w:val="0"/>
      <w:sz w:val="22"/>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customStyle="1" w:styleId="documentbody">
    <w:name w:val="documentbody"/>
    <w:rPr>
      <w:rFonts w:cs="Times New Roman"/>
    </w:rPr>
  </w:style>
  <w:style w:type="character" w:styleId="Hyperlink">
    <w:name w:val="Hyperlink"/>
    <w:rPr>
      <w:color w:val="0000FF"/>
      <w:u w:val="single"/>
    </w:rPr>
  </w:style>
  <w:style w:type="character" w:customStyle="1" w:styleId="searchterm">
    <w:name w:val="searchterm"/>
    <w:rPr>
      <w:rFonts w:cs="Times New Roman"/>
    </w:rPr>
  </w:style>
  <w:style w:type="character" w:customStyle="1" w:styleId="documentbody1">
    <w:name w:val="documentbody1"/>
    <w:rPr>
      <w:rFonts w:ascii="Verdana" w:hAnsi="Verdana"/>
      <w:sz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rPr>
      <w:rFonts w:cs="Times New Roman"/>
    </w:rPr>
  </w:style>
  <w:style w:type="character" w:customStyle="1" w:styleId="pmterms2">
    <w:name w:val="pmterms2"/>
    <w:rPr>
      <w:rFonts w:cs="Times New Roman"/>
    </w:rPr>
  </w:style>
  <w:style w:type="character" w:customStyle="1" w:styleId="rrfootnoteCharChar">
    <w:name w:val="rrfootnote Char Char"/>
    <w:aliases w:val="rrfootnote Char Char Char1 Char,rrfootnote Char1 Char Char,rrfootnote Char Char1"/>
    <w:rPr>
      <w:lang w:val="en-US" w:eastAsia="en-US"/>
    </w:rPr>
  </w:style>
  <w:style w:type="character" w:customStyle="1" w:styleId="rrfootnoteCharCharCharCharChar">
    <w:name w:val="rrfootnote Char Char Char Char Char"/>
    <w:aliases w:val="Footnote Text Char Char Char Char Char Char"/>
    <w:locked/>
    <w:rPr>
      <w:color w:val="000000"/>
      <w:lang w:val="en-US" w:eastAsia="en-US"/>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rPr>
  </w:style>
  <w:style w:type="paragraph" w:styleId="BodyText">
    <w:name w:val="Body Text"/>
    <w:basedOn w:val="Normal"/>
    <w:pPr>
      <w:spacing w:after="120"/>
    </w:pPr>
  </w:style>
  <w:style w:type="character" w:customStyle="1" w:styleId="starpage">
    <w:name w:val="starpage"/>
    <w:rPr>
      <w:rFonts w:cs="Times New Roman"/>
    </w:rPr>
  </w:style>
  <w:style w:type="character" w:styleId="CommentReference">
    <w:name w:val="annotation reference"/>
    <w:uiPriority w:val="99"/>
    <w:semiHidden/>
    <w:rPr>
      <w:sz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paragraph" w:styleId="TOAHeading">
    <w:name w:val="toa heading"/>
    <w:basedOn w:val="Normal"/>
    <w:next w:val="Normal"/>
    <w:pPr>
      <w:widowControl w:val="0"/>
      <w:tabs>
        <w:tab w:val="right" w:pos="9360"/>
      </w:tabs>
      <w:suppressAutoHyphens/>
    </w:pPr>
    <w:rPr>
      <w:kern w:val="28"/>
      <w:szCs w:val="20"/>
    </w:rPr>
  </w:style>
  <w:style w:type="character" w:customStyle="1" w:styleId="FootnoteCharacters">
    <w:name w:val="Footnote Characters"/>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lang w:val="x-none" w:eastAsia="ar-SA" w:bidi="ar-SA"/>
    </w:rPr>
  </w:style>
  <w:style w:type="character" w:customStyle="1" w:styleId="ParaNumChar">
    <w:name w:val="ParaNum Char"/>
    <w:link w:val="ParaNum"/>
    <w:locked/>
    <w:rPr>
      <w:sz w:val="22"/>
    </w:rPr>
  </w:style>
  <w:style w:type="paragraph" w:styleId="Revision">
    <w:name w:val="Revision"/>
    <w:hidden/>
    <w:semiHidden/>
    <w:rPr>
      <w:sz w:val="22"/>
      <w:szCs w:val="22"/>
    </w:rPr>
  </w:style>
  <w:style w:type="paragraph" w:styleId="Title">
    <w:name w:val="Title"/>
    <w:basedOn w:val="Normal"/>
    <w:link w:val="TitleChar"/>
    <w:qFormat/>
    <w:pPr>
      <w:jc w:val="center"/>
    </w:pPr>
    <w:rPr>
      <w:b/>
      <w:bCs/>
      <w:szCs w:val="24"/>
    </w:rPr>
  </w:style>
  <w:style w:type="character" w:customStyle="1" w:styleId="TitleChar">
    <w:name w:val="Title Char"/>
    <w:link w:val="Title"/>
    <w:locked/>
    <w:rPr>
      <w:rFonts w:cs="Times New Roman"/>
      <w:b/>
      <w:bCs/>
      <w:sz w:val="24"/>
      <w:szCs w:val="24"/>
    </w:rPr>
  </w:style>
  <w:style w:type="character" w:customStyle="1" w:styleId="CommentTextChar">
    <w:name w:val="Comment Text Char"/>
    <w:link w:val="CommentText"/>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footnote reference" w:locked="1"/>
    <w:lsdException w:name="annotation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200"/>
      <w:ind w:firstLine="360"/>
      <w:jc w:val="both"/>
    </w:p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num" w:pos="1440"/>
      </w:tabs>
      <w:spacing w:after="220"/>
    </w:pPr>
    <w:rPr>
      <w:lang w:eastAsia="zh-TW"/>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Pr>
      <w:snapToGrid w:val="0"/>
      <w:sz w:val="22"/>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customStyle="1" w:styleId="documentbody">
    <w:name w:val="documentbody"/>
    <w:rPr>
      <w:rFonts w:cs="Times New Roman"/>
    </w:rPr>
  </w:style>
  <w:style w:type="character" w:styleId="Hyperlink">
    <w:name w:val="Hyperlink"/>
    <w:rPr>
      <w:color w:val="0000FF"/>
      <w:u w:val="single"/>
    </w:rPr>
  </w:style>
  <w:style w:type="character" w:customStyle="1" w:styleId="searchterm">
    <w:name w:val="searchterm"/>
    <w:rPr>
      <w:rFonts w:cs="Times New Roman"/>
    </w:rPr>
  </w:style>
  <w:style w:type="character" w:customStyle="1" w:styleId="documentbody1">
    <w:name w:val="documentbody1"/>
    <w:rPr>
      <w:rFonts w:ascii="Verdana" w:hAnsi="Verdana"/>
      <w:sz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rPr>
      <w:rFonts w:cs="Times New Roman"/>
    </w:rPr>
  </w:style>
  <w:style w:type="character" w:customStyle="1" w:styleId="pmterms2">
    <w:name w:val="pmterms2"/>
    <w:rPr>
      <w:rFonts w:cs="Times New Roman"/>
    </w:rPr>
  </w:style>
  <w:style w:type="character" w:customStyle="1" w:styleId="rrfootnoteCharChar">
    <w:name w:val="rrfootnote Char Char"/>
    <w:aliases w:val="rrfootnote Char Char Char1 Char,rrfootnote Char1 Char Char,rrfootnote Char Char1"/>
    <w:rPr>
      <w:lang w:val="en-US" w:eastAsia="en-US"/>
    </w:rPr>
  </w:style>
  <w:style w:type="character" w:customStyle="1" w:styleId="rrfootnoteCharCharCharCharChar">
    <w:name w:val="rrfootnote Char Char Char Char Char"/>
    <w:aliases w:val="Footnote Text Char Char Char Char Char Char"/>
    <w:locked/>
    <w:rPr>
      <w:color w:val="000000"/>
      <w:lang w:val="en-US" w:eastAsia="en-US"/>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rPr>
  </w:style>
  <w:style w:type="paragraph" w:styleId="BodyText">
    <w:name w:val="Body Text"/>
    <w:basedOn w:val="Normal"/>
    <w:pPr>
      <w:spacing w:after="120"/>
    </w:pPr>
  </w:style>
  <w:style w:type="character" w:customStyle="1" w:styleId="starpage">
    <w:name w:val="starpage"/>
    <w:rPr>
      <w:rFonts w:cs="Times New Roman"/>
    </w:rPr>
  </w:style>
  <w:style w:type="character" w:styleId="CommentReference">
    <w:name w:val="annotation reference"/>
    <w:uiPriority w:val="99"/>
    <w:semiHidden/>
    <w:rPr>
      <w:sz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paragraph" w:styleId="TOAHeading">
    <w:name w:val="toa heading"/>
    <w:basedOn w:val="Normal"/>
    <w:next w:val="Normal"/>
    <w:pPr>
      <w:widowControl w:val="0"/>
      <w:tabs>
        <w:tab w:val="right" w:pos="9360"/>
      </w:tabs>
      <w:suppressAutoHyphens/>
    </w:pPr>
    <w:rPr>
      <w:kern w:val="28"/>
      <w:szCs w:val="20"/>
    </w:rPr>
  </w:style>
  <w:style w:type="character" w:customStyle="1" w:styleId="FootnoteCharacters">
    <w:name w:val="Footnote Characters"/>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lang w:val="x-none" w:eastAsia="ar-SA" w:bidi="ar-SA"/>
    </w:rPr>
  </w:style>
  <w:style w:type="character" w:customStyle="1" w:styleId="ParaNumChar">
    <w:name w:val="ParaNum Char"/>
    <w:link w:val="ParaNum"/>
    <w:locked/>
    <w:rPr>
      <w:sz w:val="22"/>
    </w:rPr>
  </w:style>
  <w:style w:type="paragraph" w:styleId="Revision">
    <w:name w:val="Revision"/>
    <w:hidden/>
    <w:semiHidden/>
    <w:rPr>
      <w:sz w:val="22"/>
      <w:szCs w:val="22"/>
    </w:rPr>
  </w:style>
  <w:style w:type="paragraph" w:styleId="Title">
    <w:name w:val="Title"/>
    <w:basedOn w:val="Normal"/>
    <w:link w:val="TitleChar"/>
    <w:qFormat/>
    <w:pPr>
      <w:jc w:val="center"/>
    </w:pPr>
    <w:rPr>
      <w:b/>
      <w:bCs/>
      <w:szCs w:val="24"/>
    </w:rPr>
  </w:style>
  <w:style w:type="character" w:customStyle="1" w:styleId="TitleChar">
    <w:name w:val="Title Char"/>
    <w:link w:val="Title"/>
    <w:locked/>
    <w:rPr>
      <w:rFonts w:cs="Times New Roman"/>
      <w:b/>
      <w:bCs/>
      <w:sz w:val="24"/>
      <w:szCs w:val="24"/>
    </w:rPr>
  </w:style>
  <w:style w:type="character" w:customStyle="1" w:styleId="CommentTextChar">
    <w:name w:val="Comment Text Char"/>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720"/>
          <w:marTop w:val="100"/>
          <w:marBottom w:val="100"/>
          <w:divBdr>
            <w:top w:val="none" w:sz="0" w:space="0" w:color="auto"/>
            <w:left w:val="none" w:sz="0" w:space="0" w:color="auto"/>
            <w:bottom w:val="none" w:sz="0" w:space="0" w:color="auto"/>
            <w:right w:val="none" w:sz="0" w:space="0" w:color="auto"/>
          </w:divBdr>
        </w:div>
        <w:div w:id="10">
          <w:marLeft w:val="720"/>
          <w:marRight w:val="72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9707</Characters>
  <Application>Microsoft Office Word</Application>
  <DocSecurity>0</DocSecurity>
  <Lines>186</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11672</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2013-06-26T17:43:00Z</cp:lastPrinted>
  <dcterms:created xsi:type="dcterms:W3CDTF">2014-04-24T02:09:00Z</dcterms:created>
  <dcterms:modified xsi:type="dcterms:W3CDTF">2014-04-24T02:09:00Z</dcterms:modified>
  <cp:category> </cp:category>
  <cp:contentStatus> </cp:contentStatus>
</cp:coreProperties>
</file>