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1E68FC" w:rsidRPr="001E68FC">
        <w:rPr>
          <w:b/>
          <w:sz w:val="24"/>
        </w:rPr>
        <w:t xml:space="preserve"> 14-</w:t>
      </w:r>
      <w:r w:rsidR="00CB4290">
        <w:rPr>
          <w:b/>
          <w:sz w:val="24"/>
        </w:rPr>
        <w:t>556</w:t>
      </w:r>
    </w:p>
    <w:p w:rsidR="000F69DF" w:rsidRPr="001E68FC" w:rsidRDefault="0079324D">
      <w:pPr>
        <w:spacing w:before="60"/>
        <w:jc w:val="right"/>
        <w:rPr>
          <w:b/>
          <w:sz w:val="24"/>
        </w:rPr>
      </w:pPr>
      <w:r>
        <w:rPr>
          <w:b/>
          <w:sz w:val="24"/>
        </w:rPr>
        <w:t>April 25</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79324D">
        <w:rPr>
          <w:b/>
          <w:caps/>
          <w:szCs w:val="22"/>
        </w:rPr>
        <w:t>s</w:t>
      </w:r>
      <w:r>
        <w:rPr>
          <w:b/>
          <w:caps/>
          <w:szCs w:val="22"/>
        </w:rPr>
        <w:t xml:space="preserve">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9324D">
        <w:rPr>
          <w:szCs w:val="22"/>
        </w:rPr>
        <w:t xml:space="preserve">  May 9</w:t>
      </w:r>
      <w:r>
        <w:rPr>
          <w:szCs w:val="22"/>
        </w:rPr>
        <w:t>, 2014</w:t>
      </w:r>
    </w:p>
    <w:p w:rsidR="000F69DF" w:rsidRPr="00997FAC" w:rsidRDefault="001E68FC" w:rsidP="00997FAC">
      <w:pPr>
        <w:rPr>
          <w:b/>
        </w:rPr>
      </w:pPr>
      <w:r>
        <w:rPr>
          <w:b/>
        </w:rPr>
        <w:t>Reply Comment Date</w:t>
      </w:r>
      <w:r>
        <w:t xml:space="preserve">:  </w:t>
      </w:r>
      <w:r w:rsidR="0079324D">
        <w:rPr>
          <w:b/>
        </w:rPr>
        <w:t>May 16</w:t>
      </w:r>
      <w:r>
        <w:t xml:space="preserve">, </w:t>
      </w:r>
      <w:r>
        <w:rPr>
          <w:b/>
        </w:rPr>
        <w:t>2014</w:t>
      </w:r>
    </w:p>
    <w:p w:rsidR="001E68FC" w:rsidRDefault="001E68FC">
      <w:pPr>
        <w:spacing w:before="120" w:after="240"/>
        <w:rPr>
          <w:szCs w:val="22"/>
        </w:rPr>
      </w:pPr>
      <w:r>
        <w:rPr>
          <w:sz w:val="24"/>
        </w:rPr>
        <w:tab/>
      </w:r>
      <w:r w:rsidR="008675B7">
        <w:rPr>
          <w:szCs w:val="22"/>
        </w:rPr>
        <w:t xml:space="preserve">Three petitions have </w:t>
      </w:r>
      <w:r w:rsidR="003967FF">
        <w:rPr>
          <w:szCs w:val="22"/>
        </w:rPr>
        <w:t xml:space="preserve">recently </w:t>
      </w:r>
      <w:r w:rsidR="008675B7">
        <w:rPr>
          <w:szCs w:val="22"/>
        </w:rPr>
        <w:t>been</w:t>
      </w:r>
      <w:r w:rsidR="00BC51CD" w:rsidRPr="00BC51CD">
        <w:rPr>
          <w:szCs w:val="22"/>
        </w:rPr>
        <w:t xml:space="preserve"> </w:t>
      </w:r>
      <w:r w:rsidR="008675B7">
        <w:rPr>
          <w:szCs w:val="22"/>
        </w:rPr>
        <w:t xml:space="preserve">filed </w:t>
      </w:r>
      <w:r w:rsidRPr="00BC51CD">
        <w:rPr>
          <w:szCs w:val="22"/>
        </w:rPr>
        <w:t>seeking a declaratory ruling and/or waiver concerning section 64.1200(a)(4)(iv) of the Commission’s rules, which requires fax advertisements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8675B7">
        <w:rPr>
          <w:szCs w:val="22"/>
        </w:rPr>
        <w:t>Notice, we seek comment on these</w:t>
      </w:r>
      <w:r w:rsidR="00BC51CD" w:rsidRPr="00BC51CD">
        <w:rPr>
          <w:szCs w:val="22"/>
        </w:rPr>
        <w:t>s</w:t>
      </w:r>
      <w:r w:rsidRPr="00BC51CD">
        <w:rPr>
          <w:szCs w:val="22"/>
        </w:rPr>
        <w:t xml:space="preserve"> petition as described below.  </w:t>
      </w:r>
    </w:p>
    <w:p w:rsidR="00BC51CD" w:rsidRDefault="00BC51CD">
      <w:pPr>
        <w:spacing w:before="120" w:after="240"/>
        <w:rPr>
          <w:szCs w:val="22"/>
        </w:rPr>
      </w:pPr>
      <w:r>
        <w:rPr>
          <w:szCs w:val="22"/>
        </w:rPr>
        <w:tab/>
      </w:r>
      <w:r w:rsidR="008675B7">
        <w:rPr>
          <w:szCs w:val="22"/>
        </w:rPr>
        <w:t>The petitioners</w:t>
      </w:r>
      <w:r>
        <w:rPr>
          <w:szCs w:val="22"/>
        </w:rPr>
        <w:t xml:space="preserve"> seek a declaratory ruling clarifying that section 64.1200(a)(4)(iv) of the Commission’s rules does not apply to fax advertisements sent </w:t>
      </w:r>
      <w:r w:rsidR="008675B7">
        <w:rPr>
          <w:szCs w:val="22"/>
        </w:rPr>
        <w:t>with the prior express</w:t>
      </w:r>
      <w:r>
        <w:rPr>
          <w:szCs w:val="22"/>
        </w:rPr>
        <w:t xml:space="preserve"> permission of the recipient because such faxes constitute “solicited”</w:t>
      </w:r>
      <w:r w:rsidR="00DA3FCE">
        <w:rPr>
          <w:szCs w:val="22"/>
        </w:rPr>
        <w:t xml:space="preserve"> faxes that </w:t>
      </w:r>
      <w:r w:rsidR="008675B7">
        <w:rPr>
          <w:szCs w:val="22"/>
        </w:rPr>
        <w:t>they</w:t>
      </w:r>
      <w:r w:rsidR="0047489A">
        <w:rPr>
          <w:szCs w:val="22"/>
        </w:rPr>
        <w:t xml:space="preserve"> argue</w:t>
      </w:r>
      <w:r w:rsidR="00170DCF">
        <w:rPr>
          <w:szCs w:val="22"/>
        </w:rPr>
        <w:t xml:space="preserve"> </w:t>
      </w:r>
      <w:r w:rsidR="00FF363A">
        <w:rPr>
          <w:szCs w:val="22"/>
        </w:rPr>
        <w:t>can</w:t>
      </w:r>
      <w:r w:rsidR="00DA3FCE">
        <w:rPr>
          <w:szCs w:val="22"/>
        </w:rPr>
        <w:t>no</w:t>
      </w:r>
      <w:r w:rsidR="00FF363A">
        <w:rPr>
          <w:szCs w:val="22"/>
        </w:rPr>
        <w:t xml:space="preserve">t be </w:t>
      </w:r>
      <w:r w:rsidR="00DA3FCE">
        <w:rPr>
          <w:szCs w:val="22"/>
        </w:rPr>
        <w:t>required to include opt-out notices.</w:t>
      </w:r>
      <w:r w:rsidR="00DA3FCE">
        <w:rPr>
          <w:rStyle w:val="FootnoteReference"/>
          <w:szCs w:val="22"/>
        </w:rPr>
        <w:footnoteReference w:id="2"/>
      </w:r>
      <w:r w:rsidR="00170DCF">
        <w:rPr>
          <w:szCs w:val="22"/>
        </w:rPr>
        <w:t xml:space="preserve">  </w:t>
      </w:r>
      <w:r w:rsidR="008675B7">
        <w:rPr>
          <w:szCs w:val="22"/>
        </w:rPr>
        <w:t>Alternatively, the petitioners</w:t>
      </w:r>
      <w:r w:rsidR="00DA3FCE">
        <w:rPr>
          <w:szCs w:val="22"/>
        </w:rPr>
        <w:t xml:space="preserve"> request that the Commission clarify that the statutory basis for this rule is not section 227 of the Communications Act, as amended.</w:t>
      </w:r>
      <w:r w:rsidR="00DA3FCE">
        <w:rPr>
          <w:rStyle w:val="FootnoteReference"/>
          <w:szCs w:val="22"/>
        </w:rPr>
        <w:footnoteReference w:id="3"/>
      </w:r>
      <w:r w:rsidR="00732B25">
        <w:rPr>
          <w:szCs w:val="22"/>
        </w:rPr>
        <w:t xml:space="preserve">  Should the Commission decline </w:t>
      </w:r>
      <w:r w:rsidR="00FF363A">
        <w:rPr>
          <w:szCs w:val="22"/>
        </w:rPr>
        <w:t>these</w:t>
      </w:r>
      <w:r w:rsidR="00732B25">
        <w:rPr>
          <w:szCs w:val="22"/>
        </w:rPr>
        <w:t xml:space="preserve"> </w:t>
      </w:r>
      <w:r w:rsidR="00DA3FCE">
        <w:rPr>
          <w:szCs w:val="22"/>
        </w:rPr>
        <w:t>request</w:t>
      </w:r>
      <w:r w:rsidR="00997FAC">
        <w:rPr>
          <w:szCs w:val="22"/>
        </w:rPr>
        <w:t>s</w:t>
      </w:r>
      <w:r w:rsidR="00DA3FCE">
        <w:rPr>
          <w:szCs w:val="22"/>
        </w:rPr>
        <w:t xml:space="preserve"> for declaratory ruling,</w:t>
      </w:r>
      <w:r w:rsidR="00170DCF">
        <w:rPr>
          <w:szCs w:val="22"/>
        </w:rPr>
        <w:t xml:space="preserve"> </w:t>
      </w:r>
      <w:r w:rsidR="008675B7">
        <w:rPr>
          <w:szCs w:val="22"/>
        </w:rPr>
        <w:t>the petitioners</w:t>
      </w:r>
      <w:r w:rsidR="00DA3FCE">
        <w:rPr>
          <w:szCs w:val="22"/>
        </w:rPr>
        <w:t xml:space="preserve"> seek a retroactive waiver for fax advertisements sent where prior express consent has been obtained from the recipient.</w:t>
      </w:r>
      <w:r w:rsidR="00DA3FCE">
        <w:rPr>
          <w:rStyle w:val="FootnoteReference"/>
          <w:szCs w:val="22"/>
        </w:rPr>
        <w:footnoteReference w:id="4"/>
      </w:r>
      <w:r w:rsidR="00170DCF">
        <w:rPr>
          <w:szCs w:val="22"/>
        </w:rPr>
        <w:t xml:space="preserve"> </w:t>
      </w:r>
      <w:r w:rsidR="00DA3FCE">
        <w:rPr>
          <w:szCs w:val="22"/>
        </w:rPr>
        <w:t xml:space="preserve"> </w:t>
      </w:r>
      <w:r w:rsidR="006D0730">
        <w:rPr>
          <w:szCs w:val="22"/>
        </w:rPr>
        <w:t xml:space="preserve">In support of this request, </w:t>
      </w:r>
      <w:r w:rsidR="00257984">
        <w:rPr>
          <w:szCs w:val="22"/>
        </w:rPr>
        <w:t>Best Buy</w:t>
      </w:r>
      <w:r w:rsidR="0047489A">
        <w:rPr>
          <w:szCs w:val="22"/>
        </w:rPr>
        <w:t xml:space="preserve"> co</w:t>
      </w:r>
      <w:r w:rsidR="006D0730">
        <w:rPr>
          <w:szCs w:val="22"/>
        </w:rPr>
        <w:t>ntends that strict compliance with section 64.1200(a)(4)(iv) with respect to solicited faxes would be “inequitable, unduly burdensome, and contrary to the public interest.”</w:t>
      </w:r>
      <w:r w:rsidR="006D0730">
        <w:rPr>
          <w:rStyle w:val="FootnoteReference"/>
          <w:szCs w:val="22"/>
        </w:rPr>
        <w:footnoteReference w:id="5"/>
      </w:r>
      <w:r w:rsidR="00DA3FCE">
        <w:rPr>
          <w:szCs w:val="22"/>
        </w:rPr>
        <w:t xml:space="preserve"> </w:t>
      </w:r>
      <w:r w:rsidR="00257984">
        <w:rPr>
          <w:szCs w:val="22"/>
        </w:rPr>
        <w:t xml:space="preserve"> Magna contends that a waiver is </w:t>
      </w:r>
      <w:r w:rsidR="00257984">
        <w:rPr>
          <w:szCs w:val="22"/>
        </w:rPr>
        <w:lastRenderedPageBreak/>
        <w:t>in the public in</w:t>
      </w:r>
      <w:r w:rsidR="0010035E">
        <w:rPr>
          <w:szCs w:val="22"/>
        </w:rPr>
        <w:t>terest because the faxes it sent</w:t>
      </w:r>
      <w:r w:rsidR="00257984">
        <w:rPr>
          <w:szCs w:val="22"/>
        </w:rPr>
        <w:t xml:space="preserve"> “caused no harm to its recipi</w:t>
      </w:r>
      <w:r w:rsidR="0010035E">
        <w:rPr>
          <w:szCs w:val="22"/>
        </w:rPr>
        <w:t>ents</w:t>
      </w:r>
      <w:r w:rsidR="00257984">
        <w:rPr>
          <w:szCs w:val="22"/>
        </w:rPr>
        <w:t>.</w:t>
      </w:r>
      <w:r w:rsidR="0010035E">
        <w:rPr>
          <w:szCs w:val="22"/>
        </w:rPr>
        <w:t>”</w:t>
      </w:r>
      <w:r w:rsidR="00257984">
        <w:rPr>
          <w:rStyle w:val="FootnoteReference"/>
          <w:szCs w:val="22"/>
        </w:rPr>
        <w:footnoteReference w:id="6"/>
      </w:r>
      <w:r w:rsidR="00997FAC">
        <w:rPr>
          <w:szCs w:val="22"/>
        </w:rPr>
        <w:t xml:space="preserve">  Ma</w:t>
      </w:r>
      <w:r w:rsidR="008069C5">
        <w:rPr>
          <w:szCs w:val="22"/>
        </w:rPr>
        <w:t>simo contends that “a limited waiver with respect to solicited faxe</w:t>
      </w:r>
      <w:r w:rsidR="0010035E">
        <w:rPr>
          <w:szCs w:val="22"/>
        </w:rPr>
        <w:t>s. . .</w:t>
      </w:r>
      <w:r w:rsidR="003967FF">
        <w:rPr>
          <w:szCs w:val="22"/>
        </w:rPr>
        <w:t xml:space="preserve"> </w:t>
      </w:r>
      <w:r w:rsidR="008069C5">
        <w:rPr>
          <w:szCs w:val="22"/>
        </w:rPr>
        <w:t xml:space="preserve">would serve the public interest by avoiding </w:t>
      </w:r>
      <w:r w:rsidR="00752DFE">
        <w:rPr>
          <w:szCs w:val="22"/>
        </w:rPr>
        <w:t xml:space="preserve">an </w:t>
      </w:r>
      <w:r w:rsidR="008069C5">
        <w:rPr>
          <w:szCs w:val="22"/>
        </w:rPr>
        <w:t xml:space="preserve">abuse of the private right of action created by </w:t>
      </w:r>
      <w:r w:rsidR="00AD561B">
        <w:rPr>
          <w:szCs w:val="22"/>
        </w:rPr>
        <w:t xml:space="preserve">the </w:t>
      </w:r>
      <w:r w:rsidR="008069C5">
        <w:rPr>
          <w:szCs w:val="22"/>
        </w:rPr>
        <w:t>TCPA, thus preventing the imposition of penalties plainly disproportionate to any possible harms purportedly caused by Masimo’s consensual communications.”</w:t>
      </w:r>
      <w:r w:rsidR="008069C5">
        <w:rPr>
          <w:rStyle w:val="FootnoteReference"/>
          <w:szCs w:val="22"/>
        </w:rPr>
        <w:footnoteReference w:id="7"/>
      </w:r>
    </w:p>
    <w:p w:rsidR="00F716C5" w:rsidRPr="00BC51CD" w:rsidRDefault="00F716C5">
      <w:pPr>
        <w:spacing w:before="120" w:after="240"/>
        <w:rPr>
          <w:szCs w:val="22"/>
        </w:rPr>
      </w:pPr>
      <w:r>
        <w:rPr>
          <w:szCs w:val="22"/>
        </w:rPr>
        <w:tab/>
      </w:r>
      <w:r w:rsidR="00C2369C" w:rsidRPr="00C2369C">
        <w:rPr>
          <w:szCs w:val="22"/>
        </w:rPr>
        <w:t>We note that the Commission has recently sought comment on several related petitions that raise similar issue</w:t>
      </w:r>
      <w:r w:rsidR="0047489A">
        <w:rPr>
          <w:szCs w:val="22"/>
        </w:rPr>
        <w:t>s to those set forth in these Petitions</w:t>
      </w:r>
      <w:r w:rsidR="00C2369C">
        <w:rPr>
          <w:szCs w:val="22"/>
        </w:rPr>
        <w:t>.</w:t>
      </w:r>
      <w:r w:rsidR="00C2369C">
        <w:rPr>
          <w:rStyle w:val="FootnoteReference"/>
          <w:szCs w:val="22"/>
        </w:rPr>
        <w:footnoteReference w:id="8"/>
      </w:r>
      <w:r w:rsidR="00C2369C">
        <w:rPr>
          <w:szCs w:val="22"/>
        </w:rPr>
        <w:t xml:space="preserve"> </w:t>
      </w:r>
      <w:r w:rsidR="00C2369C" w:rsidRPr="00C2369C">
        <w:rPr>
          <w:szCs w:val="22"/>
        </w:rPr>
        <w:t xml:space="preserve"> As a result, commenters need not refile comments alrea</w:t>
      </w:r>
      <w:r w:rsidR="0047489A">
        <w:rPr>
          <w:szCs w:val="22"/>
        </w:rPr>
        <w:t>dy submitted in response to those</w:t>
      </w:r>
      <w:r w:rsidR="00C2369C" w:rsidRPr="00C2369C">
        <w:rPr>
          <w:szCs w:val="22"/>
        </w:rPr>
        <w:t xml:space="preserve"> </w:t>
      </w:r>
      <w:r w:rsidR="0047489A">
        <w:rPr>
          <w:szCs w:val="22"/>
        </w:rPr>
        <w:t xml:space="preserve">prior </w:t>
      </w:r>
      <w:r w:rsidR="00C2369C" w:rsidRPr="00C2369C">
        <w:rPr>
          <w:szCs w:val="22"/>
        </w:rPr>
        <w:t>Public Notice</w:t>
      </w:r>
      <w:r w:rsidR="0047489A">
        <w:rPr>
          <w:szCs w:val="22"/>
        </w:rPr>
        <w:t>s</w:t>
      </w:r>
      <w:r w:rsidR="00C2369C">
        <w:rPr>
          <w:szCs w:val="22"/>
        </w:rPr>
        <w:t xml:space="preserve"> </w:t>
      </w:r>
      <w:r w:rsidR="006D0730">
        <w:rPr>
          <w:szCs w:val="22"/>
        </w:rPr>
        <w:t>for consideration in this matter</w:t>
      </w:r>
      <w:r>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9"/>
      </w:r>
      <w:r w:rsidRPr="001E68FC">
        <w:t xml:space="preserve">  Persons making </w:t>
      </w:r>
      <w:r w:rsidRPr="001E68FC">
        <w:rPr>
          <w:i/>
        </w:rPr>
        <w:t xml:space="preserve">ex parte </w:t>
      </w:r>
      <w:r w:rsidRPr="001E68FC">
        <w:t xml:space="preserve">presentations must file a </w:t>
      </w:r>
      <w:r w:rsidRPr="001E68FC">
        <w:lastRenderedPageBreak/>
        <w:t xml:space="preserve">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P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1E68FC" w:rsidRPr="001E68FC" w:rsidRDefault="001E68FC" w:rsidP="001E68FC">
      <w:pPr>
        <w:rPr>
          <w:szCs w:val="22"/>
        </w:rPr>
      </w:pPr>
    </w:p>
    <w:p w:rsidR="001E68FC" w:rsidRPr="001E68FC" w:rsidRDefault="001E68FC" w:rsidP="001E68FC">
      <w:pPr>
        <w:jc w:val="center"/>
        <w:rPr>
          <w:b/>
          <w:sz w:val="24"/>
          <w:szCs w:val="24"/>
        </w:rPr>
      </w:pPr>
      <w:r w:rsidRPr="001E68FC">
        <w:rPr>
          <w:b/>
          <w:sz w:val="24"/>
          <w:szCs w:val="24"/>
        </w:rPr>
        <w:t>-FCC-</w:t>
      </w:r>
    </w:p>
    <w:p w:rsidR="006878EA" w:rsidRDefault="006878EA">
      <w:pPr>
        <w:spacing w:before="120" w:after="240"/>
        <w:rPr>
          <w:sz w:val="24"/>
        </w:rPr>
      </w:pPr>
    </w:p>
    <w:sectPr w:rsidR="006878E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B4" w:rsidRDefault="007252B4">
      <w:r>
        <w:separator/>
      </w:r>
    </w:p>
  </w:endnote>
  <w:endnote w:type="continuationSeparator" w:id="0">
    <w:p w:rsidR="007252B4" w:rsidRDefault="007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6" w:rsidRDefault="0095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6" w:rsidRDefault="00955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6" w:rsidRDefault="0095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B4" w:rsidRDefault="007252B4">
      <w:r>
        <w:separator/>
      </w:r>
    </w:p>
  </w:footnote>
  <w:footnote w:type="continuationSeparator" w:id="0">
    <w:p w:rsidR="007252B4" w:rsidRDefault="007252B4">
      <w:r>
        <w:continuationSeparator/>
      </w:r>
    </w:p>
  </w:footnote>
  <w:footnote w:id="1">
    <w:p w:rsidR="00997FAC" w:rsidRDefault="00997FAC" w:rsidP="001E68FC">
      <w:pPr>
        <w:rPr>
          <w:sz w:val="20"/>
        </w:rPr>
      </w:pPr>
      <w:r w:rsidRPr="00D04F67">
        <w:rPr>
          <w:rStyle w:val="FootnoteReference"/>
          <w:sz w:val="20"/>
        </w:rPr>
        <w:footnoteRef/>
      </w:r>
      <w:r w:rsidRPr="00D04F67">
        <w:rPr>
          <w:sz w:val="20"/>
        </w:rPr>
        <w:t xml:space="preserve"> </w:t>
      </w:r>
      <w:r>
        <w:rPr>
          <w:i/>
          <w:sz w:val="20"/>
        </w:rPr>
        <w:t>See Petition of Magna Chek, Inc. for Declaratory Ruling and/or Waiver,</w:t>
      </w:r>
      <w:r>
        <w:rPr>
          <w:sz w:val="20"/>
        </w:rPr>
        <w:t xml:space="preserve"> CG Docket Nos. 02-278, 05-338 (filed Mar. 28, 2014) (Magna Petition); </w:t>
      </w:r>
      <w:r>
        <w:rPr>
          <w:i/>
          <w:sz w:val="20"/>
        </w:rPr>
        <w:t xml:space="preserve">Petition </w:t>
      </w:r>
      <w:r w:rsidRPr="00D04F67">
        <w:rPr>
          <w:i/>
          <w:sz w:val="20"/>
        </w:rPr>
        <w:t xml:space="preserve"> for Declaratory Ruling and/or Wai</w:t>
      </w:r>
      <w:r>
        <w:rPr>
          <w:i/>
          <w:sz w:val="20"/>
        </w:rPr>
        <w:t>ver of Masimo Corporation</w:t>
      </w:r>
      <w:r w:rsidRPr="00D04F67">
        <w:rPr>
          <w:sz w:val="20"/>
        </w:rPr>
        <w:t>, CG Docket Nos. 02-278, 05-338 (filed</w:t>
      </w:r>
      <w:r>
        <w:rPr>
          <w:sz w:val="20"/>
        </w:rPr>
        <w:t xml:space="preserve"> Apr. 1, 2014) (Masimo Petition)</w:t>
      </w:r>
      <w:r w:rsidRPr="00D04F67">
        <w:rPr>
          <w:sz w:val="20"/>
        </w:rPr>
        <w:t xml:space="preserve">; </w:t>
      </w:r>
      <w:r>
        <w:rPr>
          <w:i/>
          <w:sz w:val="20"/>
        </w:rPr>
        <w:t>Petition of Best Buy Builders, Inc. for Declaratory Ruling and/or Waiver</w:t>
      </w:r>
      <w:r>
        <w:rPr>
          <w:sz w:val="20"/>
        </w:rPr>
        <w:t>, CG Docket No. 05-338 (filed Apr. 7, 2014) (Best Buy Petition) (collectively “Petitions”);</w:t>
      </w:r>
      <w:r>
        <w:rPr>
          <w:i/>
          <w:sz w:val="20"/>
        </w:rPr>
        <w:t xml:space="preserve"> </w:t>
      </w:r>
      <w:r w:rsidRPr="00D04F67">
        <w:rPr>
          <w:i/>
          <w:sz w:val="20"/>
        </w:rPr>
        <w:t>see also</w:t>
      </w:r>
      <w:r w:rsidRPr="00D04F67">
        <w:rPr>
          <w:sz w:val="20"/>
        </w:rPr>
        <w:t xml:space="preserve"> </w:t>
      </w:r>
      <w:r>
        <w:rPr>
          <w:sz w:val="20"/>
        </w:rPr>
        <w:t xml:space="preserve">47 C.F.R. § 64.1200(a)(4)(iv). </w:t>
      </w:r>
    </w:p>
    <w:p w:rsidR="00997FAC" w:rsidRPr="00D04F67" w:rsidRDefault="00997FAC" w:rsidP="001E68FC">
      <w:pPr>
        <w:rPr>
          <w:sz w:val="20"/>
        </w:rPr>
      </w:pPr>
    </w:p>
  </w:footnote>
  <w:footnote w:id="2">
    <w:p w:rsidR="00997FAC" w:rsidRPr="00D04F67" w:rsidRDefault="00997FAC">
      <w:pPr>
        <w:pStyle w:val="FootnoteText"/>
        <w:rPr>
          <w:sz w:val="20"/>
        </w:rPr>
      </w:pPr>
      <w:r w:rsidRPr="00D04F67">
        <w:rPr>
          <w:rStyle w:val="FootnoteReference"/>
          <w:sz w:val="20"/>
        </w:rPr>
        <w:footnoteRef/>
      </w:r>
      <w:r w:rsidRPr="00D04F67">
        <w:rPr>
          <w:sz w:val="20"/>
        </w:rPr>
        <w:t xml:space="preserve"> </w:t>
      </w:r>
      <w:r>
        <w:rPr>
          <w:i/>
          <w:sz w:val="20"/>
        </w:rPr>
        <w:t xml:space="preserve">See </w:t>
      </w:r>
      <w:r>
        <w:rPr>
          <w:sz w:val="20"/>
        </w:rPr>
        <w:t>Best Buy Petition at 6-8; Magna Petition at 3-8; Masimo Petition at 6-8 (suggesting that even if the rule were interpreted to require opt-out notices that the faxes it sends are in “substantial compliance” with that requirement)</w:t>
      </w:r>
      <w:r w:rsidRPr="00D04F67">
        <w:rPr>
          <w:sz w:val="20"/>
        </w:rPr>
        <w:t>.</w:t>
      </w:r>
    </w:p>
  </w:footnote>
  <w:footnote w:id="3">
    <w:p w:rsidR="00997FAC" w:rsidRPr="00D04F67" w:rsidRDefault="00997FAC">
      <w:pPr>
        <w:pStyle w:val="FootnoteText"/>
        <w:rPr>
          <w:sz w:val="20"/>
        </w:rPr>
      </w:pPr>
      <w:r w:rsidRPr="00D04F67">
        <w:rPr>
          <w:rStyle w:val="FootnoteReference"/>
          <w:sz w:val="20"/>
        </w:rPr>
        <w:footnoteRef/>
      </w:r>
      <w:r w:rsidRPr="00D04F67">
        <w:rPr>
          <w:sz w:val="20"/>
        </w:rPr>
        <w:t xml:space="preserve"> </w:t>
      </w:r>
      <w:r>
        <w:rPr>
          <w:sz w:val="20"/>
        </w:rPr>
        <w:t>Best Buy Petition at 10-11; Magna Petition at 8; Masimo Petition at 10-13</w:t>
      </w:r>
      <w:r w:rsidRPr="00D04F67">
        <w:rPr>
          <w:sz w:val="20"/>
        </w:rPr>
        <w:t>.</w:t>
      </w:r>
    </w:p>
  </w:footnote>
  <w:footnote w:id="4">
    <w:p w:rsidR="00997FAC" w:rsidRPr="00D04F67" w:rsidRDefault="00997FAC">
      <w:pPr>
        <w:pStyle w:val="FootnoteText"/>
        <w:rPr>
          <w:sz w:val="20"/>
        </w:rPr>
      </w:pPr>
      <w:r w:rsidRPr="00D04F67">
        <w:rPr>
          <w:rStyle w:val="FootnoteReference"/>
          <w:sz w:val="20"/>
        </w:rPr>
        <w:footnoteRef/>
      </w:r>
      <w:r w:rsidRPr="00D04F67">
        <w:rPr>
          <w:sz w:val="20"/>
        </w:rPr>
        <w:t xml:space="preserve"> </w:t>
      </w:r>
      <w:r>
        <w:rPr>
          <w:sz w:val="20"/>
        </w:rPr>
        <w:t>Best Buy Petition at 11-12; Magna Petition at 9-12; Masimo Petition at 13-18</w:t>
      </w:r>
      <w:r w:rsidRPr="00D04F67">
        <w:rPr>
          <w:sz w:val="20"/>
        </w:rPr>
        <w:t>.</w:t>
      </w:r>
    </w:p>
  </w:footnote>
  <w:footnote w:id="5">
    <w:p w:rsidR="00997FAC" w:rsidRPr="00D04F67" w:rsidRDefault="00997FAC">
      <w:pPr>
        <w:pStyle w:val="FootnoteText"/>
        <w:rPr>
          <w:sz w:val="20"/>
        </w:rPr>
      </w:pPr>
      <w:r w:rsidRPr="00D04F67">
        <w:rPr>
          <w:rStyle w:val="FootnoteReference"/>
          <w:sz w:val="20"/>
        </w:rPr>
        <w:footnoteRef/>
      </w:r>
      <w:r w:rsidRPr="00D04F67">
        <w:rPr>
          <w:sz w:val="20"/>
        </w:rPr>
        <w:t xml:space="preserve"> </w:t>
      </w:r>
      <w:r>
        <w:rPr>
          <w:i/>
          <w:sz w:val="20"/>
        </w:rPr>
        <w:t xml:space="preserve">See </w:t>
      </w:r>
      <w:r>
        <w:rPr>
          <w:sz w:val="20"/>
        </w:rPr>
        <w:t>Best Buy Petition at 12</w:t>
      </w:r>
      <w:r w:rsidRPr="00D04F67">
        <w:rPr>
          <w:sz w:val="20"/>
        </w:rPr>
        <w:t>.</w:t>
      </w:r>
    </w:p>
  </w:footnote>
  <w:footnote w:id="6">
    <w:p w:rsidR="00997FAC" w:rsidRPr="00257984" w:rsidRDefault="00997FAC">
      <w:pPr>
        <w:pStyle w:val="FootnoteText"/>
        <w:rPr>
          <w:sz w:val="20"/>
        </w:rPr>
      </w:pPr>
      <w:r w:rsidRPr="00257984">
        <w:rPr>
          <w:rStyle w:val="FootnoteReference"/>
          <w:sz w:val="20"/>
        </w:rPr>
        <w:footnoteRef/>
      </w:r>
      <w:r w:rsidRPr="00257984">
        <w:rPr>
          <w:sz w:val="20"/>
        </w:rPr>
        <w:t xml:space="preserve"> </w:t>
      </w:r>
      <w:r w:rsidRPr="00257984">
        <w:rPr>
          <w:i/>
          <w:sz w:val="20"/>
        </w:rPr>
        <w:t>See</w:t>
      </w:r>
      <w:r w:rsidRPr="00257984">
        <w:rPr>
          <w:sz w:val="20"/>
        </w:rPr>
        <w:t xml:space="preserve"> Magna Petition at 11</w:t>
      </w:r>
      <w:r>
        <w:rPr>
          <w:sz w:val="20"/>
        </w:rPr>
        <w:t xml:space="preserve"> (also contending “the public will greatly benefit from the prevention of litigation against companies such as Magna Chek and the other petitioners”)</w:t>
      </w:r>
      <w:r w:rsidRPr="00257984">
        <w:rPr>
          <w:sz w:val="20"/>
        </w:rPr>
        <w:t>.</w:t>
      </w:r>
    </w:p>
  </w:footnote>
  <w:footnote w:id="7">
    <w:p w:rsidR="00997FAC" w:rsidRPr="008069C5" w:rsidRDefault="00997FAC">
      <w:pPr>
        <w:pStyle w:val="FootnoteText"/>
        <w:rPr>
          <w:sz w:val="20"/>
        </w:rPr>
      </w:pPr>
      <w:r w:rsidRPr="008069C5">
        <w:rPr>
          <w:rStyle w:val="FootnoteReference"/>
          <w:sz w:val="20"/>
        </w:rPr>
        <w:footnoteRef/>
      </w:r>
      <w:r w:rsidRPr="008069C5">
        <w:rPr>
          <w:sz w:val="20"/>
        </w:rPr>
        <w:t xml:space="preserve"> </w:t>
      </w:r>
      <w:r w:rsidRPr="008069C5">
        <w:rPr>
          <w:i/>
          <w:sz w:val="20"/>
        </w:rPr>
        <w:t xml:space="preserve">See </w:t>
      </w:r>
      <w:r w:rsidRPr="008069C5">
        <w:rPr>
          <w:sz w:val="20"/>
        </w:rPr>
        <w:t>Masimo Petition at 11.</w:t>
      </w:r>
    </w:p>
  </w:footnote>
  <w:footnote w:id="8">
    <w:p w:rsidR="00997FAC" w:rsidRPr="0047489A" w:rsidRDefault="00997FAC" w:rsidP="00C2369C">
      <w:pPr>
        <w:pStyle w:val="FootnoteText"/>
        <w:rPr>
          <w:sz w:val="20"/>
        </w:rPr>
      </w:pPr>
      <w:r w:rsidRPr="00D04F67">
        <w:rPr>
          <w:rStyle w:val="FootnoteReference"/>
          <w:sz w:val="20"/>
        </w:rPr>
        <w:footnoteRef/>
      </w:r>
      <w:r w:rsidRPr="00D04F67">
        <w:rPr>
          <w:sz w:val="20"/>
        </w:rPr>
        <w:t xml:space="preserve"> </w:t>
      </w:r>
      <w:r w:rsidRPr="0047489A">
        <w:rPr>
          <w:i/>
          <w:sz w:val="20"/>
        </w:rPr>
        <w:t>See Consumer and Governmental Affairs Bureau Seeks Comment on Petitions Concerning the Commission’s Rule on Opt-Out Notices on Fax Advertisements</w:t>
      </w:r>
      <w:r w:rsidRPr="0047489A">
        <w:rPr>
          <w:sz w:val="20"/>
        </w:rPr>
        <w:t>, CG Docket Nos. 02-278, 05-338, Public</w:t>
      </w:r>
      <w:r w:rsidR="00AD561B">
        <w:rPr>
          <w:sz w:val="20"/>
        </w:rPr>
        <w:t xml:space="preserve"> Notice, DA 14-120 (rel. Jan. 31</w:t>
      </w:r>
      <w:r w:rsidRPr="0047489A">
        <w:rPr>
          <w:sz w:val="20"/>
        </w:rPr>
        <w:t>, 2014);</w:t>
      </w:r>
      <w:r w:rsidRPr="0047489A">
        <w:rPr>
          <w:i/>
          <w:snapToGrid w:val="0"/>
          <w:kern w:val="28"/>
          <w:sz w:val="20"/>
        </w:rPr>
        <w:t xml:space="preserve"> Consumer and Governmental Affairs Bureau Seeks Comment on Crown Mortgage Company Petition Concerning the Commission’s Rule on Opt-Out Notices on Fax Advertisements</w:t>
      </w:r>
      <w:r w:rsidRPr="0047489A">
        <w:rPr>
          <w:snapToGrid w:val="0"/>
          <w:kern w:val="28"/>
          <w:sz w:val="20"/>
        </w:rPr>
        <w:t>, CG Docket Nos 02-278, 05-338, Publ</w:t>
      </w:r>
      <w:r>
        <w:rPr>
          <w:snapToGrid w:val="0"/>
          <w:kern w:val="28"/>
          <w:sz w:val="20"/>
        </w:rPr>
        <w:t>ic Notice, DA 14-416 (rel. Mar.</w:t>
      </w:r>
      <w:r w:rsidRPr="0047489A">
        <w:rPr>
          <w:snapToGrid w:val="0"/>
          <w:kern w:val="28"/>
          <w:sz w:val="20"/>
        </w:rPr>
        <w:t xml:space="preserve"> 28, 2014)</w:t>
      </w:r>
      <w:r>
        <w:rPr>
          <w:snapToGrid w:val="0"/>
          <w:kern w:val="28"/>
          <w:sz w:val="20"/>
        </w:rPr>
        <w:t>.</w:t>
      </w:r>
    </w:p>
  </w:footnote>
  <w:footnote w:id="9">
    <w:p w:rsidR="00997FAC" w:rsidRPr="00D04F67" w:rsidRDefault="00997FAC"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997FAC" w:rsidRPr="00D04F67" w:rsidRDefault="00997FAC"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6" w:rsidRDefault="0095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26" w:rsidRDefault="00955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AC" w:rsidRDefault="00997FA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C284E5" wp14:editId="47712806">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B19380F" wp14:editId="7188750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FAC" w:rsidRDefault="00997FAC">
                          <w:pPr>
                            <w:rPr>
                              <w:rFonts w:ascii="Arial" w:hAnsi="Arial"/>
                              <w:b/>
                            </w:rPr>
                          </w:pPr>
                          <w:r>
                            <w:rPr>
                              <w:rFonts w:ascii="Arial" w:hAnsi="Arial"/>
                              <w:b/>
                            </w:rPr>
                            <w:t>Federal Communications Commission</w:t>
                          </w:r>
                        </w:p>
                        <w:p w:rsidR="00997FAC" w:rsidRDefault="00997FA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7FAC" w:rsidRDefault="00997FA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716C5" w:rsidRDefault="00F716C5">
                    <w:pPr>
                      <w:rPr>
                        <w:rFonts w:ascii="Arial" w:hAnsi="Arial"/>
                        <w:b/>
                      </w:rPr>
                    </w:pPr>
                    <w:r>
                      <w:rPr>
                        <w:rFonts w:ascii="Arial" w:hAnsi="Arial"/>
                        <w:b/>
                      </w:rPr>
                      <w:t>Federal Communications Commission</w:t>
                    </w:r>
                  </w:p>
                  <w:p w:rsidR="00F716C5" w:rsidRDefault="00F716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716C5" w:rsidRDefault="00F716C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7FAC" w:rsidRDefault="00997FA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FEAF17" wp14:editId="378FD08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33EEC30" wp14:editId="3FF7A29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FAC" w:rsidRDefault="00997FAC">
                          <w:pPr>
                            <w:spacing w:before="40"/>
                            <w:jc w:val="right"/>
                            <w:rPr>
                              <w:rFonts w:ascii="Arial" w:hAnsi="Arial"/>
                              <w:b/>
                              <w:sz w:val="16"/>
                            </w:rPr>
                          </w:pPr>
                          <w:r>
                            <w:rPr>
                              <w:rFonts w:ascii="Arial" w:hAnsi="Arial"/>
                              <w:b/>
                              <w:sz w:val="16"/>
                            </w:rPr>
                            <w:t>News Media Information 202 / 418-0500</w:t>
                          </w:r>
                        </w:p>
                        <w:p w:rsidR="00997FAC" w:rsidRDefault="00997FA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7FAC" w:rsidRDefault="00997FAC">
                          <w:pPr>
                            <w:jc w:val="right"/>
                            <w:rPr>
                              <w:rFonts w:ascii="Arial" w:hAnsi="Arial"/>
                              <w:b/>
                              <w:sz w:val="16"/>
                            </w:rPr>
                          </w:pPr>
                          <w:r>
                            <w:rPr>
                              <w:rFonts w:ascii="Arial" w:hAnsi="Arial"/>
                              <w:b/>
                              <w:sz w:val="16"/>
                            </w:rPr>
                            <w:t>TTY: 1-888-835-5322</w:t>
                          </w:r>
                        </w:p>
                        <w:p w:rsidR="00997FAC" w:rsidRDefault="00997FA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716C5" w:rsidRDefault="00F716C5">
                    <w:pPr>
                      <w:spacing w:before="40"/>
                      <w:jc w:val="right"/>
                      <w:rPr>
                        <w:rFonts w:ascii="Arial" w:hAnsi="Arial"/>
                        <w:b/>
                        <w:sz w:val="16"/>
                      </w:rPr>
                    </w:pPr>
                    <w:r>
                      <w:rPr>
                        <w:rFonts w:ascii="Arial" w:hAnsi="Arial"/>
                        <w:b/>
                        <w:sz w:val="16"/>
                      </w:rPr>
                      <w:t>News Media Information 202 / 418-0500</w:t>
                    </w:r>
                  </w:p>
                  <w:p w:rsidR="00F716C5" w:rsidRDefault="00F716C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716C5" w:rsidRDefault="00F716C5">
                    <w:pPr>
                      <w:jc w:val="right"/>
                      <w:rPr>
                        <w:rFonts w:ascii="Arial" w:hAnsi="Arial"/>
                        <w:b/>
                        <w:sz w:val="16"/>
                      </w:rPr>
                    </w:pPr>
                    <w:r>
                      <w:rPr>
                        <w:rFonts w:ascii="Arial" w:hAnsi="Arial"/>
                        <w:b/>
                        <w:sz w:val="16"/>
                      </w:rPr>
                      <w:t>TTY: 1-888-835-5322</w:t>
                    </w:r>
                  </w:p>
                  <w:p w:rsidR="00F716C5" w:rsidRDefault="00F716C5">
                    <w:pPr>
                      <w:jc w:val="right"/>
                    </w:pPr>
                  </w:p>
                </w:txbxContent>
              </v:textbox>
            </v:shape>
          </w:pict>
        </mc:Fallback>
      </mc:AlternateContent>
    </w:r>
  </w:p>
  <w:p w:rsidR="00997FAC" w:rsidRDefault="00997FA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B553F"/>
    <w:rsid w:val="000F69DF"/>
    <w:rsid w:val="0010035E"/>
    <w:rsid w:val="00146E01"/>
    <w:rsid w:val="00170DCF"/>
    <w:rsid w:val="001B4F07"/>
    <w:rsid w:val="001E68FC"/>
    <w:rsid w:val="00257984"/>
    <w:rsid w:val="003024F2"/>
    <w:rsid w:val="0037618C"/>
    <w:rsid w:val="003967FF"/>
    <w:rsid w:val="0047489A"/>
    <w:rsid w:val="006823CB"/>
    <w:rsid w:val="006878EA"/>
    <w:rsid w:val="006D0730"/>
    <w:rsid w:val="007252B4"/>
    <w:rsid w:val="00732B25"/>
    <w:rsid w:val="00732D4B"/>
    <w:rsid w:val="00752DFE"/>
    <w:rsid w:val="0079324D"/>
    <w:rsid w:val="007C584A"/>
    <w:rsid w:val="00806515"/>
    <w:rsid w:val="008069C5"/>
    <w:rsid w:val="008675B7"/>
    <w:rsid w:val="00955126"/>
    <w:rsid w:val="00997FAC"/>
    <w:rsid w:val="009C5DC2"/>
    <w:rsid w:val="00A10E54"/>
    <w:rsid w:val="00AD561B"/>
    <w:rsid w:val="00BC491A"/>
    <w:rsid w:val="00BC51CD"/>
    <w:rsid w:val="00C2369C"/>
    <w:rsid w:val="00C92C66"/>
    <w:rsid w:val="00C937A3"/>
    <w:rsid w:val="00CB4290"/>
    <w:rsid w:val="00D04F67"/>
    <w:rsid w:val="00D474D2"/>
    <w:rsid w:val="00DA3FCE"/>
    <w:rsid w:val="00DB28AF"/>
    <w:rsid w:val="00F50E6F"/>
    <w:rsid w:val="00F716C5"/>
    <w:rsid w:val="00F7186E"/>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910</Words>
  <Characters>5197</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6134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2014-04-24T19:47:00Z</cp:lastPrinted>
  <dcterms:created xsi:type="dcterms:W3CDTF">2014-04-24T20:10:00Z</dcterms:created>
  <dcterms:modified xsi:type="dcterms:W3CDTF">2014-04-24T20:10:00Z</dcterms:modified>
  <cp:category> </cp:category>
  <cp:contentStatus> </cp:contentStatus>
</cp:coreProperties>
</file>