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4" w:rsidRDefault="00C519D4">
      <w:pPr>
        <w:widowControl/>
        <w:rPr>
          <w:color w:val="000000"/>
          <w:sz w:val="23"/>
        </w:rPr>
        <w:sectPr w:rsidR="00C519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C519D4" w:rsidRDefault="00C519D4">
      <w:pPr>
        <w:widowControl/>
        <w:suppressAutoHyphens/>
        <w:jc w:val="right"/>
        <w:rPr>
          <w:b/>
          <w:color w:val="000000"/>
        </w:rPr>
      </w:pPr>
      <w:r>
        <w:rPr>
          <w:b/>
          <w:color w:val="000000"/>
        </w:rPr>
        <w:lastRenderedPageBreak/>
        <w:t>DA 1</w:t>
      </w:r>
      <w:r w:rsidR="00662087">
        <w:rPr>
          <w:b/>
          <w:color w:val="000000"/>
        </w:rPr>
        <w:t>4</w:t>
      </w:r>
      <w:r>
        <w:rPr>
          <w:b/>
          <w:color w:val="000000"/>
        </w:rPr>
        <w:t>-</w:t>
      </w:r>
      <w:r w:rsidR="00C54A49">
        <w:rPr>
          <w:b/>
          <w:color w:val="000000"/>
        </w:rPr>
        <w:t>605</w:t>
      </w:r>
    </w:p>
    <w:p w:rsidR="00C519D4" w:rsidRDefault="00C519D4">
      <w:pPr>
        <w:widowControl/>
        <w:suppressAutoHyphens/>
        <w:spacing w:after="240"/>
        <w:jc w:val="right"/>
        <w:rPr>
          <w:b/>
          <w:color w:val="000000"/>
        </w:rPr>
      </w:pPr>
      <w:r>
        <w:rPr>
          <w:b/>
          <w:color w:val="000000"/>
        </w:rPr>
        <w:t xml:space="preserve">Released:  </w:t>
      </w:r>
      <w:r w:rsidR="0051444D">
        <w:rPr>
          <w:b/>
          <w:color w:val="000000"/>
        </w:rPr>
        <w:t>May</w:t>
      </w:r>
      <w:r w:rsidR="00AE5BD8">
        <w:rPr>
          <w:b/>
          <w:color w:val="000000"/>
        </w:rPr>
        <w:t xml:space="preserve"> 2</w:t>
      </w:r>
      <w:r>
        <w:rPr>
          <w:b/>
          <w:color w:val="000000"/>
        </w:rPr>
        <w:t>, 201</w:t>
      </w:r>
      <w:r w:rsidR="00662087">
        <w:rPr>
          <w:b/>
          <w:color w:val="000000"/>
        </w:rPr>
        <w:t>4</w:t>
      </w:r>
    </w:p>
    <w:p w:rsidR="003B0DA1" w:rsidRDefault="009228DB" w:rsidP="003B0DA1">
      <w:pPr>
        <w:widowControl/>
        <w:suppressAutoHyphens/>
        <w:jc w:val="center"/>
        <w:rPr>
          <w:b/>
          <w:szCs w:val="22"/>
        </w:rPr>
      </w:pPr>
      <w:r>
        <w:rPr>
          <w:b/>
          <w:szCs w:val="22"/>
        </w:rPr>
        <w:t>APPLICATION</w:t>
      </w:r>
      <w:r w:rsidR="003B0DA1">
        <w:rPr>
          <w:b/>
          <w:szCs w:val="22"/>
        </w:rPr>
        <w:t xml:space="preserve"> </w:t>
      </w:r>
      <w:r w:rsidR="00516A52">
        <w:rPr>
          <w:b/>
          <w:szCs w:val="22"/>
        </w:rPr>
        <w:t>GRANTED</w:t>
      </w:r>
      <w:r w:rsidR="003B0DA1">
        <w:rPr>
          <w:b/>
          <w:szCs w:val="22"/>
        </w:rPr>
        <w:t xml:space="preserve"> FOR THE TRANSFER OF CONTROL OF </w:t>
      </w:r>
    </w:p>
    <w:p w:rsidR="0011184A" w:rsidRPr="001D3B79" w:rsidRDefault="00AE5BD8" w:rsidP="003B0DA1">
      <w:pPr>
        <w:widowControl/>
        <w:suppressAutoHyphens/>
        <w:jc w:val="center"/>
        <w:rPr>
          <w:b/>
          <w:szCs w:val="22"/>
        </w:rPr>
      </w:pPr>
      <w:r>
        <w:rPr>
          <w:b/>
          <w:szCs w:val="22"/>
        </w:rPr>
        <w:t>OXFORD COUNTY TELEPHONE &amp; TELEGRAPH COMPANY</w:t>
      </w:r>
      <w:r w:rsidR="003B0DA1">
        <w:rPr>
          <w:b/>
          <w:szCs w:val="22"/>
        </w:rPr>
        <w:t xml:space="preserve"> </w:t>
      </w:r>
    </w:p>
    <w:p w:rsidR="00C519D4" w:rsidRPr="001D3B79" w:rsidRDefault="00C519D4">
      <w:pPr>
        <w:widowControl/>
        <w:suppressAutoHyphens/>
        <w:jc w:val="center"/>
        <w:rPr>
          <w:b/>
          <w:color w:val="000000"/>
          <w:szCs w:val="22"/>
        </w:rPr>
      </w:pPr>
    </w:p>
    <w:p w:rsidR="00E00BB1" w:rsidRPr="00E00BB1" w:rsidRDefault="00C519D4" w:rsidP="002031AA">
      <w:pPr>
        <w:widowControl/>
        <w:suppressAutoHyphens/>
        <w:spacing w:after="240"/>
        <w:jc w:val="center"/>
        <w:rPr>
          <w:rFonts w:ascii="Arial" w:hAnsi="Arial" w:cs="Arial"/>
          <w:snapToGrid/>
          <w:kern w:val="0"/>
          <w:szCs w:val="22"/>
        </w:rPr>
      </w:pPr>
      <w:r w:rsidRPr="001D3B79">
        <w:rPr>
          <w:b/>
          <w:color w:val="000000"/>
          <w:szCs w:val="22"/>
        </w:rPr>
        <w:t>WC Docket No. 1</w:t>
      </w:r>
      <w:r w:rsidR="00AE5BD8">
        <w:rPr>
          <w:b/>
          <w:color w:val="000000"/>
          <w:szCs w:val="22"/>
        </w:rPr>
        <w:t>4</w:t>
      </w:r>
      <w:r w:rsidRPr="001D3B79">
        <w:rPr>
          <w:b/>
          <w:color w:val="000000"/>
          <w:szCs w:val="22"/>
        </w:rPr>
        <w:t>-</w:t>
      </w:r>
      <w:r w:rsidR="00AE5BD8">
        <w:rPr>
          <w:b/>
          <w:color w:val="000000"/>
          <w:szCs w:val="22"/>
        </w:rPr>
        <w:t>12</w:t>
      </w:r>
    </w:p>
    <w:p w:rsidR="00C519D4" w:rsidRDefault="001A2900" w:rsidP="008926F3">
      <w:pPr>
        <w:autoSpaceDE w:val="0"/>
        <w:autoSpaceDN w:val="0"/>
        <w:adjustRightInd w:val="0"/>
        <w:ind w:firstLine="720"/>
      </w:pPr>
      <w:r>
        <w:rPr>
          <w:szCs w:val="22"/>
        </w:rPr>
        <w:t>On January 16, 2014, Oxford County Telephone &amp; Telegraph Company (Oxford T&amp;T), Oxford Telephone Company (Oxford), Oxford West Telephone Company (Oxford West), Oxford County Telephone Service Company (Oxford Service), Northeast Competitive Access Providers, LLC (Northeast), and Revolution Networks, LLC (Revolution), (collectively, the Oxford Companies), and Oxford Networks Holdings, Inc. (Oxford Holdings), (collectively, Applicants) filed an application pursuant to section 63.03 of the Commission’s rules</w:t>
      </w:r>
      <w:r>
        <w:rPr>
          <w:rStyle w:val="FootnoteReference"/>
          <w:szCs w:val="22"/>
        </w:rPr>
        <w:footnoteReference w:id="1"/>
      </w:r>
      <w:r>
        <w:rPr>
          <w:szCs w:val="22"/>
        </w:rPr>
        <w:t xml:space="preserve"> to transfer control of Oxford T&amp;T (the direct parent of Oxford, Oxford West and Oxford Service, and the super-majority owner of Northeast and, indirectly, Revolution)</w:t>
      </w:r>
      <w:r>
        <w:rPr>
          <w:rStyle w:val="FootnoteReference"/>
          <w:szCs w:val="22"/>
        </w:rPr>
        <w:footnoteReference w:id="2"/>
      </w:r>
      <w:r>
        <w:rPr>
          <w:szCs w:val="22"/>
        </w:rPr>
        <w:t xml:space="preserve"> to Oxford Holdings.</w:t>
      </w:r>
      <w:r w:rsidR="00CB77F1">
        <w:rPr>
          <w:szCs w:val="22"/>
        </w:rPr>
        <w:t xml:space="preserve"> </w:t>
      </w:r>
      <w:r>
        <w:rPr>
          <w:szCs w:val="22"/>
        </w:rPr>
        <w:t xml:space="preserve"> </w:t>
      </w:r>
      <w:r w:rsidR="008926F3">
        <w:rPr>
          <w:snapToGrid/>
          <w:kern w:val="0"/>
          <w:szCs w:val="22"/>
        </w:rPr>
        <w:t xml:space="preserve">Oxford and its subsidiaries provide incumbent and competitive local exchange services, exchange access services, and interexchange and transport services.  </w:t>
      </w:r>
      <w:r w:rsidR="00431FEE">
        <w:t>The Wireline Com</w:t>
      </w:r>
      <w:r w:rsidR="009228DB">
        <w:t>petition Bureau (</w:t>
      </w:r>
      <w:r w:rsidR="00431FEE">
        <w:t>B</w:t>
      </w:r>
      <w:r w:rsidR="009228DB">
        <w:t>ureau</w:t>
      </w:r>
      <w:r w:rsidR="00431FEE">
        <w:t>) ha</w:t>
      </w:r>
      <w:r w:rsidR="008926F3">
        <w:t>s determined that grant of the Application</w:t>
      </w:r>
      <w:r w:rsidR="00431FEE">
        <w:t xml:space="preserve">, as conditioned, serves the public interest, </w:t>
      </w:r>
      <w:r w:rsidR="00B90FC6">
        <w:t>and accordingly the Application is</w:t>
      </w:r>
      <w:r w:rsidR="00431FEE">
        <w:t xml:space="preserve"> granted with the conditions stated herein.</w:t>
      </w:r>
    </w:p>
    <w:p w:rsidR="008926F3" w:rsidRPr="008926F3" w:rsidRDefault="008926F3" w:rsidP="008926F3">
      <w:pPr>
        <w:autoSpaceDE w:val="0"/>
        <w:autoSpaceDN w:val="0"/>
        <w:adjustRightInd w:val="0"/>
        <w:ind w:firstLine="720"/>
      </w:pPr>
    </w:p>
    <w:p w:rsidR="000F6F61" w:rsidRDefault="001E2194" w:rsidP="00B07540">
      <w:pPr>
        <w:ind w:firstLine="720"/>
        <w:jc w:val="left"/>
        <w:rPr>
          <w:szCs w:val="22"/>
        </w:rPr>
      </w:pPr>
      <w:r>
        <w:t xml:space="preserve">On </w:t>
      </w:r>
      <w:r w:rsidR="00D1029A">
        <w:t>April 30</w:t>
      </w:r>
      <w:r>
        <w:t>, 201</w:t>
      </w:r>
      <w:r w:rsidR="00D1029A">
        <w:t>4</w:t>
      </w:r>
      <w:r>
        <w:t xml:space="preserve">, the Department of Justice, including the Federal Bureau of Investigation, with the concurrence of the Department of Homeland Security </w:t>
      </w:r>
      <w:r>
        <w:rPr>
          <w:szCs w:val="24"/>
        </w:rPr>
        <w:t>(collectively, the Executive Branch Agencies)</w:t>
      </w:r>
      <w:r>
        <w:t xml:space="preserve">, </w:t>
      </w:r>
      <w:r w:rsidRPr="001D4F8C">
        <w:rPr>
          <w:szCs w:val="22"/>
        </w:rPr>
        <w:t>submitted a Petition to Adopt Conditions to Authorizations and Licenses (Petition).</w:t>
      </w:r>
      <w:r w:rsidRPr="001D4F8C">
        <w:rPr>
          <w:rStyle w:val="FootnoteReference"/>
          <w:szCs w:val="22"/>
        </w:rPr>
        <w:footnoteReference w:id="3"/>
      </w:r>
      <w:r w:rsidRPr="001D4F8C">
        <w:rPr>
          <w:szCs w:val="22"/>
        </w:rPr>
        <w:t xml:space="preserve">  In the Petition, the Executive Branch Agencies advise the Commission that they have no objection to the Commission granting its consent in this proceeding, provided the Commission conditions the grant on the </w:t>
      </w:r>
      <w:r w:rsidR="00B90FC6">
        <w:rPr>
          <w:szCs w:val="22"/>
        </w:rPr>
        <w:t>commitment</w:t>
      </w:r>
      <w:r w:rsidR="009228DB">
        <w:rPr>
          <w:szCs w:val="22"/>
        </w:rPr>
        <w:t>s</w:t>
      </w:r>
      <w:r w:rsidR="00B90FC6">
        <w:rPr>
          <w:szCs w:val="22"/>
        </w:rPr>
        <w:t xml:space="preserve"> </w:t>
      </w:r>
      <w:r w:rsidR="00482113">
        <w:rPr>
          <w:szCs w:val="22"/>
        </w:rPr>
        <w:t>of Oxford Holdings</w:t>
      </w:r>
      <w:r w:rsidR="00BD28C4">
        <w:rPr>
          <w:szCs w:val="22"/>
        </w:rPr>
        <w:t xml:space="preserve"> </w:t>
      </w:r>
      <w:r w:rsidR="00280C79">
        <w:rPr>
          <w:szCs w:val="22"/>
        </w:rPr>
        <w:t xml:space="preserve">and Oxford T&amp;T </w:t>
      </w:r>
      <w:r w:rsidR="00B90FC6">
        <w:rPr>
          <w:szCs w:val="22"/>
        </w:rPr>
        <w:t xml:space="preserve">to abide by </w:t>
      </w:r>
      <w:r w:rsidRPr="001D4F8C">
        <w:rPr>
          <w:szCs w:val="22"/>
        </w:rPr>
        <w:t xml:space="preserve">the </w:t>
      </w:r>
      <w:r w:rsidR="008926F3">
        <w:rPr>
          <w:szCs w:val="22"/>
        </w:rPr>
        <w:t xml:space="preserve">April </w:t>
      </w:r>
      <w:r w:rsidR="00B90FC6">
        <w:rPr>
          <w:szCs w:val="22"/>
        </w:rPr>
        <w:t xml:space="preserve">28, </w:t>
      </w:r>
      <w:r w:rsidR="008926F3">
        <w:rPr>
          <w:szCs w:val="22"/>
        </w:rPr>
        <w:t>2014</w:t>
      </w:r>
      <w:r w:rsidR="00BD28C4">
        <w:rPr>
          <w:szCs w:val="22"/>
        </w:rPr>
        <w:t xml:space="preserve"> </w:t>
      </w:r>
      <w:r w:rsidR="001E0491">
        <w:rPr>
          <w:szCs w:val="22"/>
        </w:rPr>
        <w:t>Letter of Assurances (</w:t>
      </w:r>
      <w:r w:rsidR="00B90FC6">
        <w:rPr>
          <w:szCs w:val="22"/>
        </w:rPr>
        <w:t>L</w:t>
      </w:r>
      <w:r w:rsidR="001E0491">
        <w:rPr>
          <w:szCs w:val="22"/>
        </w:rPr>
        <w:t>etter of Assurances</w:t>
      </w:r>
      <w:r w:rsidR="00B90FC6">
        <w:rPr>
          <w:szCs w:val="22"/>
        </w:rPr>
        <w:t xml:space="preserve">) </w:t>
      </w:r>
      <w:r w:rsidR="00BD28C4">
        <w:rPr>
          <w:szCs w:val="22"/>
        </w:rPr>
        <w:t>that addresses national security, law enforcement, and public safety concerns</w:t>
      </w:r>
      <w:r w:rsidRPr="001D4F8C">
        <w:rPr>
          <w:szCs w:val="22"/>
        </w:rPr>
        <w:t>.</w:t>
      </w:r>
      <w:r w:rsidRPr="001D4F8C">
        <w:rPr>
          <w:rStyle w:val="FootnoteReference"/>
          <w:szCs w:val="22"/>
        </w:rPr>
        <w:footnoteReference w:id="4"/>
      </w:r>
      <w:r w:rsidRPr="001D4F8C">
        <w:rPr>
          <w:szCs w:val="22"/>
        </w:rPr>
        <w:t xml:space="preserve">  The Executive Branch Agencies filed the </w:t>
      </w:r>
      <w:r w:rsidR="001E0491">
        <w:rPr>
          <w:szCs w:val="22"/>
        </w:rPr>
        <w:t>Letter of Assurances</w:t>
      </w:r>
      <w:r w:rsidRPr="001D4F8C">
        <w:rPr>
          <w:szCs w:val="22"/>
        </w:rPr>
        <w:t xml:space="preserve"> in WC Docket No. 1</w:t>
      </w:r>
      <w:r w:rsidR="008926F3">
        <w:rPr>
          <w:szCs w:val="22"/>
        </w:rPr>
        <w:t>4</w:t>
      </w:r>
      <w:r w:rsidR="00BD28C4">
        <w:rPr>
          <w:szCs w:val="22"/>
        </w:rPr>
        <w:t>-</w:t>
      </w:r>
      <w:r w:rsidR="008926F3">
        <w:rPr>
          <w:szCs w:val="22"/>
        </w:rPr>
        <w:t>1</w:t>
      </w:r>
      <w:r w:rsidR="00BD28C4">
        <w:rPr>
          <w:szCs w:val="22"/>
        </w:rPr>
        <w:t>2</w:t>
      </w:r>
      <w:r w:rsidRPr="001D4F8C">
        <w:rPr>
          <w:szCs w:val="22"/>
        </w:rPr>
        <w:t xml:space="preserve"> on </w:t>
      </w:r>
      <w:r w:rsidR="008926F3">
        <w:rPr>
          <w:szCs w:val="22"/>
        </w:rPr>
        <w:t>Apri</w:t>
      </w:r>
      <w:r w:rsidR="00B90FC6">
        <w:rPr>
          <w:szCs w:val="22"/>
        </w:rPr>
        <w:t>l 30</w:t>
      </w:r>
      <w:r w:rsidR="008926F3">
        <w:rPr>
          <w:szCs w:val="22"/>
        </w:rPr>
        <w:t xml:space="preserve">, </w:t>
      </w:r>
      <w:r w:rsidR="008926F3">
        <w:rPr>
          <w:szCs w:val="22"/>
        </w:rPr>
        <w:lastRenderedPageBreak/>
        <w:t>2014</w:t>
      </w:r>
      <w:r>
        <w:rPr>
          <w:szCs w:val="22"/>
        </w:rPr>
        <w:t>.</w:t>
      </w:r>
      <w:r w:rsidR="00BD28C4" w:rsidRPr="001D3B79">
        <w:rPr>
          <w:rStyle w:val="FootnoteReference"/>
          <w:szCs w:val="22"/>
        </w:rPr>
        <w:footnoteReference w:id="5"/>
      </w:r>
      <w:r w:rsidRPr="00890BF0">
        <w:rPr>
          <w:szCs w:val="22"/>
        </w:rPr>
        <w:t xml:space="preserve"> </w:t>
      </w:r>
      <w:r>
        <w:rPr>
          <w:szCs w:val="22"/>
        </w:rPr>
        <w:t xml:space="preserve"> </w:t>
      </w:r>
    </w:p>
    <w:p w:rsidR="001D3B79" w:rsidRPr="001D3B79" w:rsidRDefault="001D3B79">
      <w:pPr>
        <w:ind w:firstLine="720"/>
        <w:jc w:val="left"/>
        <w:rPr>
          <w:color w:val="000000"/>
          <w:szCs w:val="22"/>
        </w:rPr>
      </w:pPr>
    </w:p>
    <w:p w:rsidR="005D65C6" w:rsidRDefault="005D65C6" w:rsidP="005D65C6">
      <w:pPr>
        <w:ind w:firstLine="720"/>
        <w:jc w:val="left"/>
        <w:rPr>
          <w:color w:val="000000"/>
          <w:szCs w:val="22"/>
        </w:rPr>
      </w:pPr>
      <w:bookmarkStart w:id="1" w:name="FN[FN8]"/>
      <w:bookmarkStart w:id="2" w:name="sp_999_1"/>
      <w:bookmarkStart w:id="3" w:name="SDU_1"/>
      <w:bookmarkStart w:id="4" w:name="SearchTerm"/>
      <w:bookmarkEnd w:id="1"/>
      <w:bookmarkEnd w:id="2"/>
      <w:bookmarkEnd w:id="3"/>
      <w:r w:rsidRPr="001D3B79">
        <w:rPr>
          <w:color w:val="000000"/>
          <w:szCs w:val="22"/>
        </w:rPr>
        <w:t>Consistent with Commission precedent, the Bureau</w:t>
      </w:r>
      <w:r>
        <w:rPr>
          <w:color w:val="000000"/>
          <w:szCs w:val="22"/>
        </w:rPr>
        <w:t xml:space="preserve"> accord</w:t>
      </w:r>
      <w:r w:rsidR="009228DB">
        <w:rPr>
          <w:color w:val="000000"/>
          <w:szCs w:val="22"/>
        </w:rPr>
        <w:t>s</w:t>
      </w:r>
      <w:r>
        <w:rPr>
          <w:color w:val="000000"/>
          <w:szCs w:val="22"/>
        </w:rPr>
        <w:t xml:space="preserve"> </w:t>
      </w:r>
      <w:r w:rsidRPr="001D3B79">
        <w:rPr>
          <w:color w:val="000000"/>
          <w:szCs w:val="22"/>
        </w:rPr>
        <w:t>the appropriate level of deference to the Executive Branch Agencies' expertise on national security and law enforcement issues</w:t>
      </w:r>
      <w:bookmarkStart w:id="5" w:name="FN[FN9]"/>
      <w:bookmarkEnd w:id="5"/>
      <w:r w:rsidR="00A053DD">
        <w:rPr>
          <w:color w:val="000000"/>
          <w:szCs w:val="22"/>
        </w:rPr>
        <w:t>.</w:t>
      </w:r>
      <w:r w:rsidRPr="001D3B79">
        <w:rPr>
          <w:rStyle w:val="FootnoteReference"/>
          <w:szCs w:val="22"/>
        </w:rPr>
        <w:t xml:space="preserve"> </w:t>
      </w:r>
      <w:r w:rsidRPr="001D3B79">
        <w:rPr>
          <w:rStyle w:val="FootnoteReference"/>
          <w:szCs w:val="22"/>
        </w:rPr>
        <w:footnoteReference w:id="6"/>
      </w:r>
      <w:r>
        <w:rPr>
          <w:rStyle w:val="FootnoteReference"/>
          <w:szCs w:val="22"/>
        </w:rPr>
        <w:t xml:space="preserve"> </w:t>
      </w:r>
      <w:r w:rsidR="00A053DD">
        <w:rPr>
          <w:rStyle w:val="FootnoteReference"/>
          <w:szCs w:val="22"/>
        </w:rPr>
        <w:t xml:space="preserve"> </w:t>
      </w:r>
      <w:r w:rsidR="00A053DD">
        <w:rPr>
          <w:szCs w:val="22"/>
        </w:rPr>
        <w:t>T</w:t>
      </w:r>
      <w:r w:rsidR="000F6F61" w:rsidRPr="001D3B79">
        <w:rPr>
          <w:color w:val="000000"/>
          <w:szCs w:val="22"/>
        </w:rPr>
        <w:t>he Bur</w:t>
      </w:r>
      <w:r w:rsidR="00B27B33" w:rsidRPr="001D3B79">
        <w:rPr>
          <w:color w:val="000000"/>
          <w:szCs w:val="22"/>
        </w:rPr>
        <w:t>eau</w:t>
      </w:r>
      <w:r>
        <w:rPr>
          <w:color w:val="000000"/>
          <w:szCs w:val="22"/>
        </w:rPr>
        <w:t xml:space="preserve"> find</w:t>
      </w:r>
      <w:r w:rsidR="009228DB">
        <w:rPr>
          <w:color w:val="000000"/>
          <w:szCs w:val="22"/>
        </w:rPr>
        <w:t>s</w:t>
      </w:r>
      <w:r w:rsidR="00B27B33" w:rsidRPr="001D3B79">
        <w:rPr>
          <w:color w:val="000000"/>
          <w:szCs w:val="22"/>
        </w:rPr>
        <w:t>, upon consideration of</w:t>
      </w:r>
      <w:r w:rsidR="00193AD9">
        <w:rPr>
          <w:color w:val="000000"/>
          <w:szCs w:val="22"/>
        </w:rPr>
        <w:t xml:space="preserve"> the record, that grant of the A</w:t>
      </w:r>
      <w:r w:rsidR="00B27B33" w:rsidRPr="001D3B79">
        <w:rPr>
          <w:color w:val="000000"/>
          <w:szCs w:val="22"/>
        </w:rPr>
        <w:t>pplication, subject to compliance with the</w:t>
      </w:r>
      <w:r w:rsidR="001D3B79">
        <w:rPr>
          <w:color w:val="000000"/>
          <w:szCs w:val="22"/>
        </w:rPr>
        <w:t xml:space="preserve"> </w:t>
      </w:r>
      <w:r w:rsidR="001E0491">
        <w:rPr>
          <w:szCs w:val="22"/>
        </w:rPr>
        <w:t>Letter of Assurances</w:t>
      </w:r>
      <w:r w:rsidR="001E0491">
        <w:rPr>
          <w:color w:val="000000"/>
          <w:szCs w:val="22"/>
        </w:rPr>
        <w:t xml:space="preserve"> </w:t>
      </w:r>
      <w:bookmarkEnd w:id="4"/>
      <w:r w:rsidR="00B07540">
        <w:rPr>
          <w:color w:val="000000"/>
          <w:szCs w:val="22"/>
        </w:rPr>
        <w:t>with the Executive Branch Agencies</w:t>
      </w:r>
      <w:r w:rsidR="00BD7F40">
        <w:rPr>
          <w:color w:val="000000"/>
          <w:szCs w:val="22"/>
        </w:rPr>
        <w:t xml:space="preserve">, </w:t>
      </w:r>
      <w:r w:rsidR="00B27B33" w:rsidRPr="001D3B79">
        <w:rPr>
          <w:color w:val="000000"/>
          <w:szCs w:val="22"/>
        </w:rPr>
        <w:t>will serve the public interest, convenience, and necessity.</w:t>
      </w:r>
      <w:r>
        <w:rPr>
          <w:rStyle w:val="FootnoteReference"/>
          <w:szCs w:val="22"/>
        </w:rPr>
        <w:footnoteReference w:id="7"/>
      </w:r>
      <w:r>
        <w:rPr>
          <w:color w:val="000000"/>
          <w:szCs w:val="22"/>
        </w:rPr>
        <w:t xml:space="preserve"> </w:t>
      </w:r>
      <w:r w:rsidR="00B07540">
        <w:rPr>
          <w:color w:val="000000"/>
          <w:szCs w:val="22"/>
        </w:rPr>
        <w:t xml:space="preserve"> </w:t>
      </w:r>
    </w:p>
    <w:p w:rsidR="005D65C6" w:rsidRDefault="005D65C6" w:rsidP="005D65C6">
      <w:pPr>
        <w:ind w:firstLine="720"/>
        <w:jc w:val="left"/>
        <w:rPr>
          <w:color w:val="000000"/>
          <w:szCs w:val="22"/>
        </w:rPr>
      </w:pPr>
    </w:p>
    <w:p w:rsidR="000F6F61" w:rsidRPr="001D3B79" w:rsidRDefault="000F6F61" w:rsidP="005D65C6">
      <w:pPr>
        <w:ind w:firstLine="720"/>
        <w:jc w:val="left"/>
        <w:rPr>
          <w:color w:val="000000"/>
          <w:szCs w:val="22"/>
        </w:rPr>
      </w:pPr>
      <w:r w:rsidRPr="001D3B79">
        <w:rPr>
          <w:color w:val="000000"/>
          <w:szCs w:val="22"/>
        </w:rPr>
        <w:t xml:space="preserve">Therefore, pursuant to </w:t>
      </w:r>
      <w:r w:rsidR="001D3B79">
        <w:rPr>
          <w:color w:val="000000"/>
          <w:szCs w:val="22"/>
        </w:rPr>
        <w:t>section 214 o</w:t>
      </w:r>
      <w:r w:rsidRPr="001D3B79">
        <w:rPr>
          <w:color w:val="000000"/>
          <w:szCs w:val="22"/>
        </w:rPr>
        <w:t xml:space="preserve">f the </w:t>
      </w:r>
      <w:r w:rsidR="00193AD9">
        <w:rPr>
          <w:color w:val="000000"/>
          <w:szCs w:val="22"/>
        </w:rPr>
        <w:t>A</w:t>
      </w:r>
      <w:r w:rsidRPr="001D3B79">
        <w:rPr>
          <w:color w:val="000000"/>
          <w:szCs w:val="22"/>
        </w:rPr>
        <w:t>ct</w:t>
      </w:r>
      <w:r w:rsidR="00193AD9">
        <w:rPr>
          <w:color w:val="000000"/>
          <w:szCs w:val="22"/>
        </w:rPr>
        <w:t xml:space="preserve">, </w:t>
      </w:r>
      <w:r w:rsidR="001D3B79">
        <w:rPr>
          <w:color w:val="000000"/>
          <w:szCs w:val="22"/>
        </w:rPr>
        <w:t>47 U.S.C. § 214</w:t>
      </w:r>
      <w:r w:rsidRPr="001D3B79">
        <w:rPr>
          <w:color w:val="000000"/>
          <w:szCs w:val="22"/>
        </w:rPr>
        <w:t xml:space="preserve"> and section</w:t>
      </w:r>
      <w:r w:rsidR="00193AD9">
        <w:rPr>
          <w:color w:val="000000"/>
          <w:szCs w:val="22"/>
        </w:rPr>
        <w:t>s</w:t>
      </w:r>
      <w:r w:rsidRPr="001D3B79">
        <w:rPr>
          <w:color w:val="000000"/>
          <w:szCs w:val="22"/>
        </w:rPr>
        <w:t xml:space="preserve"> </w:t>
      </w:r>
      <w:r w:rsidR="00EB7B82">
        <w:rPr>
          <w:color w:val="000000"/>
          <w:szCs w:val="22"/>
        </w:rPr>
        <w:t xml:space="preserve">0.91, and </w:t>
      </w:r>
      <w:r w:rsidRPr="001D3B79">
        <w:rPr>
          <w:color w:val="000000"/>
          <w:szCs w:val="22"/>
        </w:rPr>
        <w:t>0.291 of the Commission's rules,</w:t>
      </w:r>
      <w:bookmarkStart w:id="6" w:name="FN[FN10]"/>
      <w:bookmarkEnd w:id="6"/>
      <w:r w:rsidRPr="001D3B79">
        <w:rPr>
          <w:color w:val="000000"/>
          <w:szCs w:val="22"/>
        </w:rPr>
        <w:t xml:space="preserve"> 47 C.F.R. §</w:t>
      </w:r>
      <w:r w:rsidR="00193AD9">
        <w:rPr>
          <w:color w:val="000000"/>
          <w:szCs w:val="22"/>
        </w:rPr>
        <w:t>§</w:t>
      </w:r>
      <w:r w:rsidRPr="001D3B79">
        <w:rPr>
          <w:color w:val="000000"/>
          <w:szCs w:val="22"/>
        </w:rPr>
        <w:t xml:space="preserve"> </w:t>
      </w:r>
      <w:r w:rsidR="00EB7B82">
        <w:rPr>
          <w:color w:val="000000"/>
          <w:szCs w:val="22"/>
        </w:rPr>
        <w:t xml:space="preserve">0.91, </w:t>
      </w:r>
      <w:r w:rsidRPr="001D3B79">
        <w:rPr>
          <w:color w:val="000000"/>
          <w:szCs w:val="22"/>
        </w:rPr>
        <w:t>0.291,</w:t>
      </w:r>
      <w:r w:rsidR="00193AD9">
        <w:rPr>
          <w:color w:val="000000"/>
          <w:szCs w:val="22"/>
        </w:rPr>
        <w:t xml:space="preserve"> </w:t>
      </w:r>
      <w:r w:rsidRPr="001D3B79">
        <w:rPr>
          <w:color w:val="000000"/>
          <w:szCs w:val="22"/>
        </w:rPr>
        <w:t xml:space="preserve"> the Bureau</w:t>
      </w:r>
      <w:r w:rsidR="005D65C6">
        <w:rPr>
          <w:color w:val="000000"/>
          <w:szCs w:val="22"/>
        </w:rPr>
        <w:t xml:space="preserve"> hereby grant</w:t>
      </w:r>
      <w:r w:rsidR="00332A75">
        <w:rPr>
          <w:color w:val="000000"/>
          <w:szCs w:val="22"/>
        </w:rPr>
        <w:t>s</w:t>
      </w:r>
      <w:r w:rsidR="00B96B1D">
        <w:rPr>
          <w:color w:val="000000"/>
          <w:szCs w:val="22"/>
        </w:rPr>
        <w:t xml:space="preserve"> the A</w:t>
      </w:r>
      <w:r w:rsidRPr="001D3B79">
        <w:rPr>
          <w:color w:val="000000"/>
          <w:szCs w:val="22"/>
        </w:rPr>
        <w:t>pplication discussed in this Public Notice</w:t>
      </w:r>
      <w:r w:rsidR="006A1653">
        <w:rPr>
          <w:color w:val="000000"/>
          <w:szCs w:val="22"/>
        </w:rPr>
        <w:t xml:space="preserve"> subject to compliance with the </w:t>
      </w:r>
      <w:r w:rsidR="001E0491">
        <w:rPr>
          <w:szCs w:val="22"/>
        </w:rPr>
        <w:t>Letter of Assurances</w:t>
      </w:r>
      <w:r w:rsidR="001E0491">
        <w:rPr>
          <w:color w:val="000000"/>
          <w:szCs w:val="22"/>
        </w:rPr>
        <w:t xml:space="preserve"> </w:t>
      </w:r>
      <w:r w:rsidR="006A1653">
        <w:rPr>
          <w:color w:val="000000"/>
          <w:szCs w:val="22"/>
        </w:rPr>
        <w:t>described above</w:t>
      </w:r>
      <w:r w:rsidRPr="001D3B79">
        <w:rPr>
          <w:color w:val="000000"/>
          <w:szCs w:val="22"/>
        </w:rPr>
        <w:t>.</w:t>
      </w:r>
      <w:r w:rsidR="00EB7B82">
        <w:rPr>
          <w:color w:val="000000"/>
          <w:szCs w:val="22"/>
        </w:rPr>
        <w:t xml:space="preserve">  </w:t>
      </w:r>
      <w:r w:rsidR="00EB7B82">
        <w:t xml:space="preserve">A failure to comply with and/or remain in compliance with any of the provisions of the </w:t>
      </w:r>
      <w:r w:rsidR="001E0491">
        <w:t>Letter of Assurances</w:t>
      </w:r>
      <w:r w:rsidR="00EB7B82">
        <w:t xml:space="preserve"> shall constitute a failure to meet a condition of this authorization and thus grounds for declaring the </w:t>
      </w:r>
      <w:r w:rsidR="00FD2C22">
        <w:t xml:space="preserve">underlying </w:t>
      </w:r>
      <w:r w:rsidR="00EB7B82">
        <w:t>authorization</w:t>
      </w:r>
      <w:r w:rsidR="00FD2C22">
        <w:t>s</w:t>
      </w:r>
      <w:r w:rsidR="00EB7B82">
        <w:t xml:space="preserve"> terminated without further action on the part of the Commission.  Failure to meet a condition of this authorization may also result in monetary sanctions or other enforcement action by the Commission. </w:t>
      </w:r>
    </w:p>
    <w:p w:rsidR="000F6F61" w:rsidRPr="001D3B79" w:rsidRDefault="000F6F61" w:rsidP="000F6F61">
      <w:pPr>
        <w:ind w:firstLine="720"/>
        <w:jc w:val="left"/>
        <w:rPr>
          <w:color w:val="000000"/>
          <w:szCs w:val="22"/>
        </w:rPr>
      </w:pPr>
    </w:p>
    <w:p w:rsidR="002031AA" w:rsidRDefault="000F6F61" w:rsidP="000F6F61">
      <w:pPr>
        <w:ind w:firstLine="720"/>
        <w:jc w:val="left"/>
        <w:rPr>
          <w:color w:val="000000"/>
          <w:szCs w:val="22"/>
        </w:rPr>
      </w:pPr>
      <w:r w:rsidRPr="001D3B79">
        <w:rPr>
          <w:color w:val="000000"/>
          <w:szCs w:val="22"/>
        </w:rPr>
        <w:t>Pursuant to section 1.103 of the Commission's rules, 47 C.F.R. § 1.103, the grant is effective upon release of this Public Notice.</w:t>
      </w:r>
      <w:bookmarkStart w:id="7" w:name="FN[FN11]"/>
      <w:bookmarkEnd w:id="7"/>
      <w:r w:rsidRPr="001D3B79">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8" w:name="FN[FN12]"/>
      <w:bookmarkEnd w:id="8"/>
    </w:p>
    <w:p w:rsidR="002031AA" w:rsidRPr="002031AA" w:rsidRDefault="002031AA" w:rsidP="002031AA">
      <w:pPr>
        <w:widowControl/>
        <w:jc w:val="left"/>
        <w:rPr>
          <w:snapToGrid/>
          <w:color w:val="000000"/>
          <w:kern w:val="0"/>
          <w:szCs w:val="22"/>
        </w:rPr>
      </w:pPr>
    </w:p>
    <w:p w:rsidR="000F6F61" w:rsidRPr="001D3B79" w:rsidRDefault="000F6F61" w:rsidP="000F6F61">
      <w:pPr>
        <w:ind w:firstLine="720"/>
        <w:jc w:val="left"/>
        <w:rPr>
          <w:color w:val="000000"/>
          <w:szCs w:val="22"/>
        </w:rPr>
      </w:pPr>
      <w:bookmarkStart w:id="9" w:name="sp_999_2"/>
      <w:bookmarkStart w:id="10" w:name="SDU_2"/>
      <w:bookmarkEnd w:id="9"/>
      <w:bookmarkEnd w:id="10"/>
    </w:p>
    <w:p w:rsidR="00C519D4" w:rsidRDefault="000F6F61" w:rsidP="001D3B79">
      <w:pPr>
        <w:ind w:firstLine="720"/>
        <w:jc w:val="left"/>
        <w:rPr>
          <w:color w:val="000000"/>
          <w:szCs w:val="22"/>
        </w:rPr>
      </w:pPr>
      <w:r w:rsidRPr="001D3B79">
        <w:rPr>
          <w:color w:val="000000"/>
          <w:szCs w:val="22"/>
        </w:rPr>
        <w:t xml:space="preserve">For further information, please contact </w:t>
      </w:r>
      <w:r w:rsidR="00B90FC6">
        <w:rPr>
          <w:color w:val="000000"/>
          <w:szCs w:val="22"/>
        </w:rPr>
        <w:t>Dennis Johnson</w:t>
      </w:r>
      <w:r w:rsidRPr="001D3B79">
        <w:rPr>
          <w:color w:val="000000"/>
          <w:szCs w:val="22"/>
        </w:rPr>
        <w:t>, Wireline C</w:t>
      </w:r>
      <w:r w:rsidR="001D3B79">
        <w:rPr>
          <w:color w:val="000000"/>
          <w:szCs w:val="22"/>
        </w:rPr>
        <w:t>ompetition Bureau, Competition P</w:t>
      </w:r>
      <w:r w:rsidR="00B90FC6">
        <w:rPr>
          <w:color w:val="000000"/>
          <w:szCs w:val="22"/>
        </w:rPr>
        <w:t>olicy Division, (202) 418-0809</w:t>
      </w:r>
      <w:r w:rsidRPr="001D3B79">
        <w:rPr>
          <w:color w:val="000000"/>
          <w:szCs w:val="22"/>
        </w:rPr>
        <w:t>.</w:t>
      </w:r>
    </w:p>
    <w:sectPr w:rsidR="00C519D4">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5E" w:rsidRDefault="0046465E">
      <w:pPr>
        <w:spacing w:line="20" w:lineRule="exact"/>
      </w:pPr>
    </w:p>
  </w:endnote>
  <w:endnote w:type="continuationSeparator" w:id="0">
    <w:p w:rsidR="0046465E" w:rsidRDefault="0046465E">
      <w:r>
        <w:t xml:space="preserve"> </w:t>
      </w:r>
    </w:p>
  </w:endnote>
  <w:endnote w:type="continuationNotice" w:id="1">
    <w:p w:rsidR="0046465E" w:rsidRDefault="004646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CC" w:rsidRDefault="00C71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13CC" w:rsidRDefault="00C71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CC" w:rsidRDefault="00C71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D2E">
      <w:rPr>
        <w:rStyle w:val="PageNumber"/>
        <w:noProof/>
      </w:rPr>
      <w:t>2</w:t>
    </w:r>
    <w:r>
      <w:rPr>
        <w:rStyle w:val="PageNumber"/>
      </w:rPr>
      <w:fldChar w:fldCharType="end"/>
    </w:r>
  </w:p>
  <w:p w:rsidR="00C713CC" w:rsidRDefault="00C713CC">
    <w:pPr>
      <w:pStyle w:val="Footer"/>
    </w:pPr>
  </w:p>
  <w:p w:rsidR="00C713CC" w:rsidRDefault="00C71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CC" w:rsidRDefault="00C713CC">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5E" w:rsidRDefault="0046465E">
      <w:r>
        <w:separator/>
      </w:r>
    </w:p>
  </w:footnote>
  <w:footnote w:type="continuationSeparator" w:id="0">
    <w:p w:rsidR="0046465E" w:rsidRDefault="0046465E">
      <w:r>
        <w:continuationSeparator/>
      </w:r>
    </w:p>
  </w:footnote>
  <w:footnote w:id="1">
    <w:p w:rsidR="00C713CC" w:rsidRDefault="00C713CC" w:rsidP="001A2900">
      <w:pPr>
        <w:pStyle w:val="FootnoteText"/>
      </w:pPr>
      <w:r>
        <w:rPr>
          <w:rStyle w:val="FootnoteReference"/>
        </w:rPr>
        <w:footnoteRef/>
      </w:r>
      <w:r>
        <w:t xml:space="preserve"> 47 C.F.R § 63.03; </w:t>
      </w:r>
      <w:r>
        <w:rPr>
          <w:i/>
        </w:rPr>
        <w:t xml:space="preserve">see </w:t>
      </w:r>
      <w:r>
        <w:t xml:space="preserve">47 U.S.C. § 214.  </w:t>
      </w:r>
    </w:p>
  </w:footnote>
  <w:footnote w:id="2">
    <w:p w:rsidR="00C713CC" w:rsidRDefault="00C713CC" w:rsidP="001A2900">
      <w:pPr>
        <w:pStyle w:val="FootnoteText"/>
      </w:pPr>
      <w:r>
        <w:rPr>
          <w:rStyle w:val="FootnoteReference"/>
        </w:rPr>
        <w:footnoteRef/>
      </w:r>
      <w:r>
        <w:t xml:space="preserve"> Oxford T&amp;T owns 99% of the membership interest in Northeast; Oxford Service, a wholly-owned subsidiary of Oxford T&amp;T, owns the remaining 1%.  Revolution is a wholly-owned subsidiary of Northeast.  Oxford T&amp;T, Oxford, Oxford West, and Oxford Service are Maine corporations.  Northeast and Revolution are each a limited liability companies organized under the laws of the state of Delaware. </w:t>
      </w:r>
    </w:p>
  </w:footnote>
  <w:footnote w:id="3">
    <w:p w:rsidR="00C713CC" w:rsidRDefault="00C713CC" w:rsidP="001E2194">
      <w:pPr>
        <w:pStyle w:val="FootnoteText"/>
        <w:spacing w:after="120"/>
      </w:pPr>
      <w:r>
        <w:rPr>
          <w:rStyle w:val="FootnoteReference"/>
        </w:rPr>
        <w:footnoteRef/>
      </w:r>
      <w:r>
        <w:t xml:space="preserve"> Petition to Adopt Conditions to Authorizations and Licenses, WC Docket No. 14-12 (filed </w:t>
      </w:r>
      <w:r w:rsidR="00923B0D">
        <w:t>Apr.</w:t>
      </w:r>
      <w:r>
        <w:t xml:space="preserve"> 30, 2014).</w:t>
      </w:r>
    </w:p>
  </w:footnote>
  <w:footnote w:id="4">
    <w:p w:rsidR="00C713CC" w:rsidRPr="00B90FC6" w:rsidRDefault="00C713CC" w:rsidP="001E2194">
      <w:pPr>
        <w:pStyle w:val="FootnoteText"/>
        <w:spacing w:after="120"/>
      </w:pPr>
      <w:r>
        <w:rPr>
          <w:rStyle w:val="FootnoteReference"/>
        </w:rPr>
        <w:footnoteRef/>
      </w:r>
      <w:r>
        <w:t xml:space="preserve"> </w:t>
      </w:r>
      <w:r w:rsidR="001E0491">
        <w:t xml:space="preserve"> </w:t>
      </w:r>
      <w:r w:rsidR="00B90FC6">
        <w:t xml:space="preserve">Letter to John Carlin, Acting Assistant Attorney General, National Security Division, U.S. Department of Justice, from </w:t>
      </w:r>
      <w:r w:rsidR="00072E51">
        <w:t>Thadeus Mocarski, President, Oxford Networks Holdings, Inc., and Craig Gunderson, President and CEO, Oxford County Telephone &amp; Telegraph Company, WC Docket No. 14</w:t>
      </w:r>
      <w:r w:rsidR="00B90FC6">
        <w:t>-</w:t>
      </w:r>
      <w:r w:rsidR="00072E51">
        <w:t>1</w:t>
      </w:r>
      <w:r w:rsidR="00B90FC6">
        <w:t>2 (filed Apr. 30, 2014).</w:t>
      </w:r>
      <w:r w:rsidR="00072E51">
        <w:t xml:space="preserve">  Oxford Holdings and Oxford T&amp;T </w:t>
      </w:r>
      <w:r w:rsidR="009228DB">
        <w:t xml:space="preserve">originally </w:t>
      </w:r>
      <w:r w:rsidR="00072E51">
        <w:t xml:space="preserve">filed the letter with </w:t>
      </w:r>
      <w:r w:rsidR="007D7028">
        <w:t xml:space="preserve">the </w:t>
      </w:r>
      <w:r w:rsidR="00072E51">
        <w:t>Depart</w:t>
      </w:r>
      <w:r w:rsidR="009228DB">
        <w:t>ment of Justice on April 28, 20</w:t>
      </w:r>
      <w:r w:rsidR="007D7028">
        <w:t>1</w:t>
      </w:r>
      <w:r w:rsidR="00072E51">
        <w:t xml:space="preserve">4. </w:t>
      </w:r>
    </w:p>
  </w:footnote>
  <w:footnote w:id="5">
    <w:p w:rsidR="00C713CC" w:rsidRDefault="00C713CC" w:rsidP="00BD28C4">
      <w:pPr>
        <w:pStyle w:val="FootnoteText"/>
      </w:pPr>
      <w:r>
        <w:rPr>
          <w:rStyle w:val="FootnoteReference"/>
        </w:rPr>
        <w:footnoteRef/>
      </w:r>
      <w:r>
        <w:t xml:space="preserve"> </w:t>
      </w:r>
      <w:r w:rsidR="00B90FC6" w:rsidRPr="00B90FC6">
        <w:rPr>
          <w:i/>
        </w:rPr>
        <w:t>Id</w:t>
      </w:r>
      <w:r w:rsidR="00B90FC6">
        <w:t>.</w:t>
      </w:r>
    </w:p>
  </w:footnote>
  <w:footnote w:id="6">
    <w:p w:rsidR="00C713CC" w:rsidRDefault="00C713CC" w:rsidP="005D65C6">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Rules and Policies on Foreign Participation in the U.S. Telecommunications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 w:id="7">
    <w:p w:rsidR="00C713CC" w:rsidRDefault="00C713CC">
      <w:pPr>
        <w:pStyle w:val="FootnoteText"/>
      </w:pPr>
      <w:r>
        <w:rPr>
          <w:rStyle w:val="FootnoteReference"/>
        </w:rPr>
        <w:footnoteRef/>
      </w:r>
      <w:r w:rsidR="00923B0D">
        <w:t xml:space="preserve"> </w:t>
      </w:r>
      <w:r w:rsidR="00332A75">
        <w:rPr>
          <w:i/>
        </w:rPr>
        <w:t>See also</w:t>
      </w:r>
      <w:r w:rsidR="007D7028">
        <w:t xml:space="preserve"> </w:t>
      </w:r>
      <w:r w:rsidR="007D7028" w:rsidRPr="00E815C0">
        <w:rPr>
          <w:i/>
        </w:rPr>
        <w:t>Implementa</w:t>
      </w:r>
      <w:r w:rsidR="00332A75" w:rsidRPr="00E815C0">
        <w:rPr>
          <w:i/>
        </w:rPr>
        <w:t>t</w:t>
      </w:r>
      <w:r w:rsidR="007D7028" w:rsidRPr="00E815C0">
        <w:rPr>
          <w:i/>
        </w:rPr>
        <w:t>i</w:t>
      </w:r>
      <w:r w:rsidR="00332A75" w:rsidRPr="00E815C0">
        <w:rPr>
          <w:i/>
        </w:rPr>
        <w:t>on of Further Streamlining Measures for Domestic Section 214 Authorizations</w:t>
      </w:r>
      <w:r w:rsidR="007D7028">
        <w:t>, CC</w:t>
      </w:r>
      <w:r w:rsidR="00332A75">
        <w:t xml:space="preserve"> Docket No.</w:t>
      </w:r>
      <w:r w:rsidR="007D7028">
        <w:t xml:space="preserve"> 01-150, 17 FCC Rcd 5517, 5531-</w:t>
      </w:r>
      <w:r w:rsidR="00332A75">
        <w:t>32, para. 28 (2002);</w:t>
      </w:r>
      <w:r w:rsidR="00332A75">
        <w:rPr>
          <w:i/>
        </w:rPr>
        <w:t xml:space="preserve"> </w:t>
      </w:r>
      <w:r w:rsidR="00923B0D">
        <w:t xml:space="preserve">47 C.F.R. </w:t>
      </w:r>
      <w:r w:rsidR="008F0F3A">
        <w:t>§ 63.03(b)(1)(ii).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DC" w:rsidRDefault="001D6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DC" w:rsidRDefault="001D6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CC" w:rsidRDefault="00C713CC">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C713CC" w:rsidRPr="00FC365D" w:rsidRDefault="00C713CC">
    <w:pPr>
      <w:suppressAutoHyphens/>
      <w:ind w:firstLine="1080"/>
      <w:rPr>
        <w:rFonts w:ascii="Arial" w:hAnsi="Arial" w:cs="Arial"/>
      </w:rPr>
    </w:pPr>
    <w:r w:rsidRPr="00FC365D">
      <w:rPr>
        <w:rFonts w:ascii="Arial" w:hAnsi="Arial" w:cs="Arial"/>
        <w:b/>
        <w:sz w:val="96"/>
      </w:rPr>
      <w:t>PUBLIC NOTICE</w:t>
    </w:r>
  </w:p>
  <w:p w:rsidR="00C713CC" w:rsidRDefault="00C713CC">
    <w:pPr>
      <w:suppressAutoHyphens/>
      <w:rPr>
        <w:rFonts w:ascii="Arial Narrow" w:hAnsi="Arial Narrow"/>
      </w:rPr>
    </w:pPr>
  </w:p>
  <w:p w:rsidR="00C713CC" w:rsidRDefault="00C713C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713CC" w:rsidRDefault="00C71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" o:allowincell="f" filled="f" stroked="f">
              <v:textbox>
                <w:txbxContent>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713CC" w:rsidRDefault="00C713CC"/>
                </w:txbxContent>
              </v:textbox>
            </v:shape>
          </w:pict>
        </mc:Fallback>
      </mc:AlternateContent>
    </w:r>
    <w:r>
      <w:rPr>
        <w:rFonts w:ascii="Arial Narrow" w:hAnsi="Arial Narrow"/>
        <w:b/>
      </w:rPr>
      <w:tab/>
    </w:r>
    <w:r>
      <w:rPr>
        <w:rFonts w:ascii="Arial Narrow" w:hAnsi="Arial Narrow"/>
        <w:b/>
      </w:rPr>
      <w:tab/>
      <w:t>Federal Communications Commission</w:t>
    </w:r>
  </w:p>
  <w:p w:rsidR="00C713CC" w:rsidRDefault="00C713C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C713CC" w:rsidRDefault="00C713C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713CC" w:rsidRDefault="00C713CC">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713CC" w:rsidRDefault="00C7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1B"/>
    <w:multiLevelType w:val="hybridMultilevel"/>
    <w:tmpl w:val="BE08B4F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2867871"/>
    <w:multiLevelType w:val="hybridMultilevel"/>
    <w:tmpl w:val="BF0CE232"/>
    <w:lvl w:ilvl="0" w:tplc="DBDAB39C">
      <w:start w:val="1"/>
      <w:numFmt w:val="decimal"/>
      <w:lvlText w:val="%1."/>
      <w:lvlJc w:val="left"/>
      <w:pPr>
        <w:tabs>
          <w:tab w:val="num" w:pos="720"/>
        </w:tabs>
        <w:ind w:left="720" w:hanging="360"/>
      </w:pPr>
    </w:lvl>
    <w:lvl w:ilvl="1" w:tplc="DE201A04" w:tentative="1">
      <w:start w:val="1"/>
      <w:numFmt w:val="lowerLetter"/>
      <w:lvlText w:val="%2."/>
      <w:lvlJc w:val="left"/>
      <w:pPr>
        <w:tabs>
          <w:tab w:val="num" w:pos="1440"/>
        </w:tabs>
        <w:ind w:left="1440" w:hanging="360"/>
      </w:pPr>
    </w:lvl>
    <w:lvl w:ilvl="2" w:tplc="8FAE8102" w:tentative="1">
      <w:start w:val="1"/>
      <w:numFmt w:val="lowerRoman"/>
      <w:lvlText w:val="%3."/>
      <w:lvlJc w:val="right"/>
      <w:pPr>
        <w:tabs>
          <w:tab w:val="num" w:pos="2160"/>
        </w:tabs>
        <w:ind w:left="2160" w:hanging="180"/>
      </w:pPr>
    </w:lvl>
    <w:lvl w:ilvl="3" w:tplc="8EF4A986" w:tentative="1">
      <w:start w:val="1"/>
      <w:numFmt w:val="decimal"/>
      <w:lvlText w:val="%4."/>
      <w:lvlJc w:val="left"/>
      <w:pPr>
        <w:tabs>
          <w:tab w:val="num" w:pos="2880"/>
        </w:tabs>
        <w:ind w:left="2880" w:hanging="360"/>
      </w:pPr>
    </w:lvl>
    <w:lvl w:ilvl="4" w:tplc="F7425F02" w:tentative="1">
      <w:start w:val="1"/>
      <w:numFmt w:val="lowerLetter"/>
      <w:lvlText w:val="%5."/>
      <w:lvlJc w:val="left"/>
      <w:pPr>
        <w:tabs>
          <w:tab w:val="num" w:pos="3600"/>
        </w:tabs>
        <w:ind w:left="3600" w:hanging="360"/>
      </w:pPr>
    </w:lvl>
    <w:lvl w:ilvl="5" w:tplc="22E6122E" w:tentative="1">
      <w:start w:val="1"/>
      <w:numFmt w:val="lowerRoman"/>
      <w:lvlText w:val="%6."/>
      <w:lvlJc w:val="right"/>
      <w:pPr>
        <w:tabs>
          <w:tab w:val="num" w:pos="4320"/>
        </w:tabs>
        <w:ind w:left="4320" w:hanging="180"/>
      </w:pPr>
    </w:lvl>
    <w:lvl w:ilvl="6" w:tplc="C72436B8" w:tentative="1">
      <w:start w:val="1"/>
      <w:numFmt w:val="decimal"/>
      <w:lvlText w:val="%7."/>
      <w:lvlJc w:val="left"/>
      <w:pPr>
        <w:tabs>
          <w:tab w:val="num" w:pos="5040"/>
        </w:tabs>
        <w:ind w:left="5040" w:hanging="360"/>
      </w:pPr>
    </w:lvl>
    <w:lvl w:ilvl="7" w:tplc="B5C610A4" w:tentative="1">
      <w:start w:val="1"/>
      <w:numFmt w:val="lowerLetter"/>
      <w:lvlText w:val="%8."/>
      <w:lvlJc w:val="left"/>
      <w:pPr>
        <w:tabs>
          <w:tab w:val="num" w:pos="5760"/>
        </w:tabs>
        <w:ind w:left="5760" w:hanging="360"/>
      </w:pPr>
    </w:lvl>
    <w:lvl w:ilvl="8" w:tplc="DB3879EE" w:tentative="1">
      <w:start w:val="1"/>
      <w:numFmt w:val="lowerRoman"/>
      <w:lvlText w:val="%9."/>
      <w:lvlJc w:val="right"/>
      <w:pPr>
        <w:tabs>
          <w:tab w:val="num" w:pos="6480"/>
        </w:tabs>
        <w:ind w:left="6480" w:hanging="180"/>
      </w:pPr>
    </w:lvl>
  </w:abstractNum>
  <w:abstractNum w:abstractNumId="3">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44120"/>
    <w:multiLevelType w:val="hybridMultilevel"/>
    <w:tmpl w:val="BE929A28"/>
    <w:lvl w:ilvl="0" w:tplc="736EA00C">
      <w:start w:val="1"/>
      <w:numFmt w:val="decimal"/>
      <w:lvlText w:val="%1."/>
      <w:lvlJc w:val="left"/>
      <w:pPr>
        <w:ind w:left="171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60F0118"/>
    <w:multiLevelType w:val="hybridMultilevel"/>
    <w:tmpl w:val="7EB0ADD2"/>
    <w:lvl w:ilvl="0" w:tplc="97CCE210">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E2D6667"/>
    <w:multiLevelType w:val="hybridMultilevel"/>
    <w:tmpl w:val="55006EB2"/>
    <w:lvl w:ilvl="0" w:tplc="2C4A7FEA">
      <w:start w:val="1"/>
      <w:numFmt w:val="decimal"/>
      <w:lvlText w:val="%1."/>
      <w:lvlJc w:val="left"/>
      <w:pPr>
        <w:tabs>
          <w:tab w:val="num" w:pos="630"/>
        </w:tabs>
        <w:ind w:left="630" w:hanging="360"/>
      </w:pPr>
      <w:rPr>
        <w:b w:val="0"/>
      </w:rPr>
    </w:lvl>
    <w:lvl w:ilvl="1" w:tplc="987E7D9E" w:tentative="1">
      <w:start w:val="1"/>
      <w:numFmt w:val="lowerLetter"/>
      <w:lvlText w:val="%2."/>
      <w:lvlJc w:val="left"/>
      <w:pPr>
        <w:tabs>
          <w:tab w:val="num" w:pos="1350"/>
        </w:tabs>
        <w:ind w:left="1350" w:hanging="360"/>
      </w:pPr>
    </w:lvl>
    <w:lvl w:ilvl="2" w:tplc="BD9E0870" w:tentative="1">
      <w:start w:val="1"/>
      <w:numFmt w:val="lowerRoman"/>
      <w:lvlText w:val="%3."/>
      <w:lvlJc w:val="right"/>
      <w:pPr>
        <w:tabs>
          <w:tab w:val="num" w:pos="2070"/>
        </w:tabs>
        <w:ind w:left="2070" w:hanging="180"/>
      </w:pPr>
    </w:lvl>
    <w:lvl w:ilvl="3" w:tplc="348C48A8" w:tentative="1">
      <w:start w:val="1"/>
      <w:numFmt w:val="decimal"/>
      <w:lvlText w:val="%4."/>
      <w:lvlJc w:val="left"/>
      <w:pPr>
        <w:tabs>
          <w:tab w:val="num" w:pos="2790"/>
        </w:tabs>
        <w:ind w:left="2790" w:hanging="360"/>
      </w:pPr>
    </w:lvl>
    <w:lvl w:ilvl="4" w:tplc="EA86B0F6" w:tentative="1">
      <w:start w:val="1"/>
      <w:numFmt w:val="lowerLetter"/>
      <w:lvlText w:val="%5."/>
      <w:lvlJc w:val="left"/>
      <w:pPr>
        <w:tabs>
          <w:tab w:val="num" w:pos="3510"/>
        </w:tabs>
        <w:ind w:left="3510" w:hanging="360"/>
      </w:pPr>
    </w:lvl>
    <w:lvl w:ilvl="5" w:tplc="699AD8BA" w:tentative="1">
      <w:start w:val="1"/>
      <w:numFmt w:val="lowerRoman"/>
      <w:lvlText w:val="%6."/>
      <w:lvlJc w:val="right"/>
      <w:pPr>
        <w:tabs>
          <w:tab w:val="num" w:pos="4230"/>
        </w:tabs>
        <w:ind w:left="4230" w:hanging="180"/>
      </w:pPr>
    </w:lvl>
    <w:lvl w:ilvl="6" w:tplc="F14C9690" w:tentative="1">
      <w:start w:val="1"/>
      <w:numFmt w:val="decimal"/>
      <w:lvlText w:val="%7."/>
      <w:lvlJc w:val="left"/>
      <w:pPr>
        <w:tabs>
          <w:tab w:val="num" w:pos="4950"/>
        </w:tabs>
        <w:ind w:left="4950" w:hanging="360"/>
      </w:pPr>
    </w:lvl>
    <w:lvl w:ilvl="7" w:tplc="91A61AEA" w:tentative="1">
      <w:start w:val="1"/>
      <w:numFmt w:val="lowerLetter"/>
      <w:lvlText w:val="%8."/>
      <w:lvlJc w:val="left"/>
      <w:pPr>
        <w:tabs>
          <w:tab w:val="num" w:pos="5670"/>
        </w:tabs>
        <w:ind w:left="5670" w:hanging="360"/>
      </w:pPr>
    </w:lvl>
    <w:lvl w:ilvl="8" w:tplc="FF3C4CCA" w:tentative="1">
      <w:start w:val="1"/>
      <w:numFmt w:val="lowerRoman"/>
      <w:lvlText w:val="%9."/>
      <w:lvlJc w:val="right"/>
      <w:pPr>
        <w:tabs>
          <w:tab w:val="num" w:pos="6390"/>
        </w:tabs>
        <w:ind w:left="6390" w:hanging="18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B597F9D"/>
    <w:multiLevelType w:val="hybridMultilevel"/>
    <w:tmpl w:val="EA183FBE"/>
    <w:lvl w:ilvl="0" w:tplc="661A727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73DF0DF6"/>
    <w:multiLevelType w:val="hybridMultilevel"/>
    <w:tmpl w:val="79902C04"/>
    <w:lvl w:ilvl="0" w:tplc="01129018">
      <w:start w:val="1"/>
      <w:numFmt w:val="decimal"/>
      <w:lvlText w:val="%1."/>
      <w:lvlJc w:val="left"/>
      <w:pPr>
        <w:tabs>
          <w:tab w:val="num" w:pos="360"/>
        </w:tabs>
        <w:ind w:left="360" w:hanging="360"/>
      </w:pPr>
    </w:lvl>
    <w:lvl w:ilvl="1" w:tplc="73D89BFE" w:tentative="1">
      <w:start w:val="1"/>
      <w:numFmt w:val="lowerLetter"/>
      <w:lvlText w:val="%2."/>
      <w:lvlJc w:val="left"/>
      <w:pPr>
        <w:tabs>
          <w:tab w:val="num" w:pos="1080"/>
        </w:tabs>
        <w:ind w:left="1080" w:hanging="360"/>
      </w:pPr>
    </w:lvl>
    <w:lvl w:ilvl="2" w:tplc="F1889638" w:tentative="1">
      <w:start w:val="1"/>
      <w:numFmt w:val="lowerRoman"/>
      <w:lvlText w:val="%3."/>
      <w:lvlJc w:val="right"/>
      <w:pPr>
        <w:tabs>
          <w:tab w:val="num" w:pos="1800"/>
        </w:tabs>
        <w:ind w:left="1800" w:hanging="180"/>
      </w:pPr>
    </w:lvl>
    <w:lvl w:ilvl="3" w:tplc="7F2C260C" w:tentative="1">
      <w:start w:val="1"/>
      <w:numFmt w:val="decimal"/>
      <w:lvlText w:val="%4."/>
      <w:lvlJc w:val="left"/>
      <w:pPr>
        <w:tabs>
          <w:tab w:val="num" w:pos="2520"/>
        </w:tabs>
        <w:ind w:left="2520" w:hanging="360"/>
      </w:pPr>
    </w:lvl>
    <w:lvl w:ilvl="4" w:tplc="21B45D70" w:tentative="1">
      <w:start w:val="1"/>
      <w:numFmt w:val="lowerLetter"/>
      <w:lvlText w:val="%5."/>
      <w:lvlJc w:val="left"/>
      <w:pPr>
        <w:tabs>
          <w:tab w:val="num" w:pos="3240"/>
        </w:tabs>
        <w:ind w:left="3240" w:hanging="360"/>
      </w:pPr>
    </w:lvl>
    <w:lvl w:ilvl="5" w:tplc="E56E6646" w:tentative="1">
      <w:start w:val="1"/>
      <w:numFmt w:val="lowerRoman"/>
      <w:lvlText w:val="%6."/>
      <w:lvlJc w:val="right"/>
      <w:pPr>
        <w:tabs>
          <w:tab w:val="num" w:pos="3960"/>
        </w:tabs>
        <w:ind w:left="3960" w:hanging="180"/>
      </w:pPr>
    </w:lvl>
    <w:lvl w:ilvl="6" w:tplc="E6BA1B54" w:tentative="1">
      <w:start w:val="1"/>
      <w:numFmt w:val="decimal"/>
      <w:lvlText w:val="%7."/>
      <w:lvlJc w:val="left"/>
      <w:pPr>
        <w:tabs>
          <w:tab w:val="num" w:pos="4680"/>
        </w:tabs>
        <w:ind w:left="4680" w:hanging="360"/>
      </w:pPr>
    </w:lvl>
    <w:lvl w:ilvl="7" w:tplc="BEB48A40" w:tentative="1">
      <w:start w:val="1"/>
      <w:numFmt w:val="lowerLetter"/>
      <w:lvlText w:val="%8."/>
      <w:lvlJc w:val="left"/>
      <w:pPr>
        <w:tabs>
          <w:tab w:val="num" w:pos="5400"/>
        </w:tabs>
        <w:ind w:left="5400" w:hanging="360"/>
      </w:pPr>
    </w:lvl>
    <w:lvl w:ilvl="8" w:tplc="29BEE896" w:tentative="1">
      <w:start w:val="1"/>
      <w:numFmt w:val="lowerRoman"/>
      <w:lvlText w:val="%9."/>
      <w:lvlJc w:val="right"/>
      <w:pPr>
        <w:tabs>
          <w:tab w:val="num" w:pos="6120"/>
        </w:tabs>
        <w:ind w:left="6120" w:hanging="180"/>
      </w:pPr>
    </w:lvl>
  </w:abstractNum>
  <w:abstractNum w:abstractNumId="13">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370CEA"/>
    <w:multiLevelType w:val="hybridMultilevel"/>
    <w:tmpl w:val="5338FD5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D8120BC"/>
    <w:multiLevelType w:val="hybridMultilevel"/>
    <w:tmpl w:val="90D00BFA"/>
    <w:lvl w:ilvl="0" w:tplc="661A727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7"/>
  </w:num>
  <w:num w:numId="31">
    <w:abstractNumId w:val="13"/>
  </w:num>
  <w:num w:numId="32">
    <w:abstractNumId w:val="9"/>
  </w:num>
  <w:num w:numId="33">
    <w:abstractNumId w:val="12"/>
  </w:num>
  <w:num w:numId="34">
    <w:abstractNumId w:val="2"/>
  </w:num>
  <w:num w:numId="35">
    <w:abstractNumId w:val="10"/>
  </w:num>
  <w:num w:numId="36">
    <w:abstractNumId w:val="8"/>
  </w:num>
  <w:num w:numId="37">
    <w:abstractNumId w:val="5"/>
  </w:num>
  <w:num w:numId="38">
    <w:abstractNumId w:val="6"/>
  </w:num>
  <w:num w:numId="39">
    <w:abstractNumId w:val="15"/>
  </w:num>
  <w:num w:numId="40">
    <w:abstractNumId w:val="11"/>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4"/>
    <w:rsid w:val="00070AA3"/>
    <w:rsid w:val="00072E51"/>
    <w:rsid w:val="000F6F61"/>
    <w:rsid w:val="0011184A"/>
    <w:rsid w:val="001741A2"/>
    <w:rsid w:val="00193AD9"/>
    <w:rsid w:val="001A2900"/>
    <w:rsid w:val="001D3B79"/>
    <w:rsid w:val="001D60DC"/>
    <w:rsid w:val="001E0491"/>
    <w:rsid w:val="001E2194"/>
    <w:rsid w:val="001F35A7"/>
    <w:rsid w:val="002031AA"/>
    <w:rsid w:val="002332AE"/>
    <w:rsid w:val="0025758D"/>
    <w:rsid w:val="002660CA"/>
    <w:rsid w:val="002713ED"/>
    <w:rsid w:val="00280C79"/>
    <w:rsid w:val="002A190A"/>
    <w:rsid w:val="002F1DB3"/>
    <w:rsid w:val="00332A75"/>
    <w:rsid w:val="00337F45"/>
    <w:rsid w:val="00386CC8"/>
    <w:rsid w:val="003B0DA1"/>
    <w:rsid w:val="003F65D3"/>
    <w:rsid w:val="004307A1"/>
    <w:rsid w:val="00431FEE"/>
    <w:rsid w:val="004329A8"/>
    <w:rsid w:val="0046465E"/>
    <w:rsid w:val="00482113"/>
    <w:rsid w:val="0048479A"/>
    <w:rsid w:val="004A430F"/>
    <w:rsid w:val="004E3E49"/>
    <w:rsid w:val="0051444D"/>
    <w:rsid w:val="00516A52"/>
    <w:rsid w:val="0055115C"/>
    <w:rsid w:val="00582863"/>
    <w:rsid w:val="005A034B"/>
    <w:rsid w:val="005B45F7"/>
    <w:rsid w:val="005C2E3A"/>
    <w:rsid w:val="005C699D"/>
    <w:rsid w:val="005D06B7"/>
    <w:rsid w:val="005D65C6"/>
    <w:rsid w:val="00662087"/>
    <w:rsid w:val="006A1653"/>
    <w:rsid w:val="006E1B37"/>
    <w:rsid w:val="006E676D"/>
    <w:rsid w:val="006F03B1"/>
    <w:rsid w:val="00737A33"/>
    <w:rsid w:val="00790772"/>
    <w:rsid w:val="00792D42"/>
    <w:rsid w:val="007D7028"/>
    <w:rsid w:val="00811DEC"/>
    <w:rsid w:val="008156B7"/>
    <w:rsid w:val="00832582"/>
    <w:rsid w:val="00861A39"/>
    <w:rsid w:val="00882966"/>
    <w:rsid w:val="008926F3"/>
    <w:rsid w:val="008D10DE"/>
    <w:rsid w:val="008F0F3A"/>
    <w:rsid w:val="009228DB"/>
    <w:rsid w:val="00923B0D"/>
    <w:rsid w:val="00976A0D"/>
    <w:rsid w:val="009D575C"/>
    <w:rsid w:val="00A053DD"/>
    <w:rsid w:val="00A54227"/>
    <w:rsid w:val="00AB3613"/>
    <w:rsid w:val="00AC4D23"/>
    <w:rsid w:val="00AE5BD8"/>
    <w:rsid w:val="00B07540"/>
    <w:rsid w:val="00B27B33"/>
    <w:rsid w:val="00B4654A"/>
    <w:rsid w:val="00B62906"/>
    <w:rsid w:val="00B90FC6"/>
    <w:rsid w:val="00B96B1D"/>
    <w:rsid w:val="00BD28C4"/>
    <w:rsid w:val="00BD7F40"/>
    <w:rsid w:val="00C0202D"/>
    <w:rsid w:val="00C17675"/>
    <w:rsid w:val="00C30043"/>
    <w:rsid w:val="00C519D4"/>
    <w:rsid w:val="00C54A49"/>
    <w:rsid w:val="00C713CC"/>
    <w:rsid w:val="00C85D84"/>
    <w:rsid w:val="00CA2B5D"/>
    <w:rsid w:val="00CB77F1"/>
    <w:rsid w:val="00CE1B11"/>
    <w:rsid w:val="00D002F7"/>
    <w:rsid w:val="00D1029A"/>
    <w:rsid w:val="00D2187C"/>
    <w:rsid w:val="00D62A9F"/>
    <w:rsid w:val="00E00BB1"/>
    <w:rsid w:val="00E073A7"/>
    <w:rsid w:val="00E6043D"/>
    <w:rsid w:val="00E60CA9"/>
    <w:rsid w:val="00E65229"/>
    <w:rsid w:val="00E815C0"/>
    <w:rsid w:val="00E90E75"/>
    <w:rsid w:val="00E95A59"/>
    <w:rsid w:val="00EB7B82"/>
    <w:rsid w:val="00ED0D2E"/>
    <w:rsid w:val="00EE199A"/>
    <w:rsid w:val="00F0706E"/>
    <w:rsid w:val="00F10037"/>
    <w:rsid w:val="00F90C6E"/>
    <w:rsid w:val="00FA4A1D"/>
    <w:rsid w:val="00FB2FE2"/>
    <w:rsid w:val="00FC3214"/>
    <w:rsid w:val="00FC365D"/>
    <w:rsid w:val="00FD2C22"/>
    <w:rsid w:val="00F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3095</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3631</CharactersWithSpaces>
  <SharedDoc>false</SharedDoc>
  <HyperlinkBase> </HyperlinkBase>
  <HLinks>
    <vt:vector size="12" baseType="variant">
      <vt:variant>
        <vt:i4>6553695</vt:i4>
      </vt:variant>
      <vt:variant>
        <vt:i4>3</vt:i4>
      </vt:variant>
      <vt:variant>
        <vt:i4>0</vt:i4>
      </vt:variant>
      <vt:variant>
        <vt:i4>5</vt:i4>
      </vt:variant>
      <vt:variant>
        <vt:lpwstr>mailto:fccebaccess@fcc.gov</vt:lpwstr>
      </vt:variant>
      <vt:variant>
        <vt:lpwstr/>
      </vt:variant>
      <vt:variant>
        <vt:i4>6553695</vt:i4>
      </vt:variant>
      <vt:variant>
        <vt:i4>0</vt:i4>
      </vt:variant>
      <vt:variant>
        <vt:i4>0</vt:i4>
      </vt:variant>
      <vt:variant>
        <vt:i4>5</vt:i4>
      </vt:variant>
      <vt:variant>
        <vt:lpwstr>mailto:fccebaccess@fcc.gov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2011-05-23T21:27:00Z</cp:lastPrinted>
  <dcterms:created xsi:type="dcterms:W3CDTF">2014-05-02T18:40:00Z</dcterms:created>
  <dcterms:modified xsi:type="dcterms:W3CDTF">2014-05-02T18:40:00Z</dcterms:modified>
  <cp:category> </cp:category>
  <cp:contentStatus> </cp:contentStatus>
</cp:coreProperties>
</file>