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08B" w:rsidRPr="00B80467" w:rsidRDefault="00BA208B" w:rsidP="00657B74">
      <w:pPr>
        <w:ind w:left="6480" w:firstLine="360"/>
        <w:rPr>
          <w:sz w:val="22"/>
          <w:szCs w:val="22"/>
        </w:rPr>
      </w:pPr>
      <w:bookmarkStart w:id="0" w:name="_GoBack"/>
      <w:bookmarkEnd w:id="0"/>
    </w:p>
    <w:p w:rsidR="00F72C35" w:rsidRPr="00C844AD" w:rsidRDefault="00F72C35" w:rsidP="00F72C35">
      <w:pPr>
        <w:tabs>
          <w:tab w:val="left" w:pos="-1440"/>
          <w:tab w:val="left" w:pos="-720"/>
          <w:tab w:val="left" w:pos="4788"/>
          <w:tab w:val="left" w:pos="5040"/>
          <w:tab w:val="left" w:pos="6480"/>
        </w:tabs>
        <w:suppressAutoHyphens/>
        <w:outlineLvl w:val="0"/>
        <w:rPr>
          <w:b/>
          <w:sz w:val="22"/>
          <w:szCs w:val="22"/>
        </w:rPr>
      </w:pPr>
      <w:r w:rsidRPr="00C844AD">
        <w:rPr>
          <w:b/>
          <w:sz w:val="22"/>
          <w:szCs w:val="22"/>
        </w:rPr>
        <w:tab/>
      </w:r>
      <w:r w:rsidRPr="00C844AD">
        <w:rPr>
          <w:b/>
          <w:sz w:val="22"/>
          <w:szCs w:val="22"/>
        </w:rPr>
        <w:tab/>
      </w:r>
      <w:r w:rsidRPr="00C844AD">
        <w:rPr>
          <w:b/>
          <w:sz w:val="22"/>
          <w:szCs w:val="22"/>
        </w:rPr>
        <w:tab/>
        <w:t>DA 14-</w:t>
      </w:r>
      <w:r w:rsidR="00C844AD" w:rsidRPr="00C844AD">
        <w:rPr>
          <w:b/>
          <w:sz w:val="22"/>
          <w:szCs w:val="22"/>
        </w:rPr>
        <w:t>622</w:t>
      </w:r>
    </w:p>
    <w:p w:rsidR="00F72C35" w:rsidRPr="00B80467" w:rsidRDefault="00F72C35" w:rsidP="00F72C35">
      <w:pPr>
        <w:tabs>
          <w:tab w:val="left" w:pos="-1440"/>
          <w:tab w:val="left" w:pos="-720"/>
          <w:tab w:val="left" w:pos="4788"/>
          <w:tab w:val="left" w:pos="5040"/>
          <w:tab w:val="left" w:pos="6480"/>
        </w:tabs>
        <w:suppressAutoHyphens/>
        <w:outlineLvl w:val="0"/>
        <w:rPr>
          <w:i/>
          <w:sz w:val="22"/>
          <w:szCs w:val="22"/>
        </w:rPr>
      </w:pPr>
      <w:r w:rsidRPr="00B80467">
        <w:rPr>
          <w:sz w:val="22"/>
          <w:szCs w:val="22"/>
        </w:rPr>
        <w:tab/>
      </w:r>
      <w:r w:rsidRPr="00B80467">
        <w:rPr>
          <w:sz w:val="22"/>
          <w:szCs w:val="22"/>
        </w:rPr>
        <w:tab/>
      </w:r>
      <w:r w:rsidRPr="00B80467">
        <w:rPr>
          <w:sz w:val="22"/>
          <w:szCs w:val="22"/>
        </w:rPr>
        <w:tab/>
      </w:r>
      <w:r w:rsidRPr="00B80467">
        <w:rPr>
          <w:i/>
          <w:sz w:val="22"/>
          <w:szCs w:val="22"/>
        </w:rPr>
        <w:t>In Reply Refer to:</w:t>
      </w:r>
    </w:p>
    <w:p w:rsidR="00F72C35" w:rsidRPr="00B80467" w:rsidRDefault="00F72C35" w:rsidP="00F72C35">
      <w:pPr>
        <w:tabs>
          <w:tab w:val="left" w:pos="0"/>
          <w:tab w:val="left" w:pos="6480"/>
        </w:tabs>
        <w:suppressAutoHyphens/>
        <w:outlineLvl w:val="0"/>
        <w:rPr>
          <w:sz w:val="22"/>
          <w:szCs w:val="22"/>
        </w:rPr>
      </w:pPr>
      <w:r w:rsidRPr="00B80467">
        <w:rPr>
          <w:sz w:val="22"/>
          <w:szCs w:val="22"/>
        </w:rPr>
        <w:tab/>
        <w:t>1800B3-HOD</w:t>
      </w:r>
    </w:p>
    <w:p w:rsidR="00BA208B" w:rsidRPr="00B80467" w:rsidRDefault="00F72C35" w:rsidP="00F72C35">
      <w:pPr>
        <w:rPr>
          <w:sz w:val="22"/>
          <w:szCs w:val="22"/>
        </w:rPr>
      </w:pPr>
      <w:r w:rsidRPr="00B80467">
        <w:rPr>
          <w:sz w:val="22"/>
          <w:szCs w:val="22"/>
        </w:rPr>
        <w:tab/>
      </w:r>
      <w:r w:rsidRPr="00B80467">
        <w:rPr>
          <w:sz w:val="22"/>
          <w:szCs w:val="22"/>
        </w:rPr>
        <w:tab/>
      </w:r>
      <w:r w:rsidRPr="00B80467">
        <w:rPr>
          <w:sz w:val="22"/>
          <w:szCs w:val="22"/>
        </w:rPr>
        <w:tab/>
      </w:r>
      <w:r w:rsidRPr="00B80467">
        <w:rPr>
          <w:sz w:val="22"/>
          <w:szCs w:val="22"/>
        </w:rPr>
        <w:tab/>
      </w:r>
      <w:r w:rsidRPr="00B80467">
        <w:rPr>
          <w:sz w:val="22"/>
          <w:szCs w:val="22"/>
        </w:rPr>
        <w:tab/>
      </w:r>
      <w:r w:rsidRPr="00B80467">
        <w:rPr>
          <w:sz w:val="22"/>
          <w:szCs w:val="22"/>
        </w:rPr>
        <w:tab/>
      </w:r>
      <w:r w:rsidRPr="00B80467">
        <w:rPr>
          <w:sz w:val="22"/>
          <w:szCs w:val="22"/>
        </w:rPr>
        <w:tab/>
      </w:r>
      <w:r w:rsidRPr="00B80467">
        <w:rPr>
          <w:sz w:val="22"/>
          <w:szCs w:val="22"/>
        </w:rPr>
        <w:tab/>
      </w:r>
      <w:r w:rsidRPr="00B80467">
        <w:rPr>
          <w:sz w:val="22"/>
          <w:szCs w:val="22"/>
        </w:rPr>
        <w:tab/>
        <w:t>Released:</w:t>
      </w:r>
      <w:r w:rsidRPr="00B80467">
        <w:rPr>
          <w:b/>
          <w:sz w:val="22"/>
          <w:szCs w:val="22"/>
        </w:rPr>
        <w:t xml:space="preserve">  </w:t>
      </w:r>
      <w:r w:rsidRPr="00B80467">
        <w:rPr>
          <w:sz w:val="22"/>
          <w:szCs w:val="22"/>
        </w:rPr>
        <w:t xml:space="preserve">May </w:t>
      </w:r>
      <w:r w:rsidR="00D2148E">
        <w:rPr>
          <w:sz w:val="22"/>
          <w:szCs w:val="22"/>
        </w:rPr>
        <w:t>8</w:t>
      </w:r>
      <w:r w:rsidRPr="00B80467">
        <w:rPr>
          <w:sz w:val="22"/>
          <w:szCs w:val="22"/>
        </w:rPr>
        <w:t>, 2014</w:t>
      </w:r>
    </w:p>
    <w:p w:rsidR="00F72C35" w:rsidRPr="00B80467" w:rsidRDefault="00F72C35" w:rsidP="00F72C35">
      <w:pPr>
        <w:rPr>
          <w:sz w:val="22"/>
          <w:szCs w:val="22"/>
        </w:rPr>
      </w:pPr>
    </w:p>
    <w:p w:rsidR="00BA208B" w:rsidRPr="00B80467" w:rsidRDefault="008E1593" w:rsidP="00657B74">
      <w:pPr>
        <w:rPr>
          <w:sz w:val="22"/>
          <w:szCs w:val="22"/>
        </w:rPr>
      </w:pPr>
      <w:r w:rsidRPr="00B80467">
        <w:rPr>
          <w:sz w:val="22"/>
          <w:szCs w:val="22"/>
        </w:rPr>
        <w:t>Sally A. Buckman</w:t>
      </w:r>
      <w:r w:rsidR="00FD3DB2" w:rsidRPr="00B80467">
        <w:rPr>
          <w:sz w:val="22"/>
          <w:szCs w:val="22"/>
        </w:rPr>
        <w:t>, Esq.</w:t>
      </w:r>
    </w:p>
    <w:p w:rsidR="00486E7E" w:rsidRPr="00B80467" w:rsidRDefault="008E1593" w:rsidP="00657B74">
      <w:pPr>
        <w:rPr>
          <w:sz w:val="22"/>
          <w:szCs w:val="22"/>
        </w:rPr>
      </w:pPr>
      <w:r w:rsidRPr="00B80467">
        <w:rPr>
          <w:sz w:val="22"/>
          <w:szCs w:val="22"/>
        </w:rPr>
        <w:t>Lerman Senter PLLC</w:t>
      </w:r>
    </w:p>
    <w:p w:rsidR="008E1593" w:rsidRPr="00B80467" w:rsidRDefault="008E1593" w:rsidP="00657B74">
      <w:pPr>
        <w:rPr>
          <w:sz w:val="22"/>
          <w:szCs w:val="22"/>
        </w:rPr>
      </w:pPr>
      <w:r w:rsidRPr="00B80467">
        <w:rPr>
          <w:sz w:val="22"/>
          <w:szCs w:val="22"/>
        </w:rPr>
        <w:t>2000 K Street, NW, Suite 600</w:t>
      </w:r>
    </w:p>
    <w:p w:rsidR="00FD3DB2" w:rsidRPr="00B80467" w:rsidRDefault="008E1593" w:rsidP="00657B74">
      <w:pPr>
        <w:rPr>
          <w:sz w:val="22"/>
          <w:szCs w:val="22"/>
        </w:rPr>
      </w:pPr>
      <w:r w:rsidRPr="00B80467">
        <w:rPr>
          <w:sz w:val="22"/>
          <w:szCs w:val="22"/>
        </w:rPr>
        <w:t>Washington, DC 20006</w:t>
      </w:r>
    </w:p>
    <w:p w:rsidR="00BC78E2" w:rsidRPr="00B80467" w:rsidRDefault="00BC78E2" w:rsidP="00657B74">
      <w:pPr>
        <w:rPr>
          <w:sz w:val="22"/>
          <w:szCs w:val="22"/>
        </w:rPr>
      </w:pPr>
    </w:p>
    <w:p w:rsidR="00FD3DB2" w:rsidRPr="00B80467" w:rsidRDefault="008E1593" w:rsidP="00657B74">
      <w:pPr>
        <w:rPr>
          <w:sz w:val="22"/>
          <w:szCs w:val="22"/>
        </w:rPr>
      </w:pPr>
      <w:r w:rsidRPr="00B80467">
        <w:rPr>
          <w:sz w:val="22"/>
          <w:szCs w:val="22"/>
        </w:rPr>
        <w:t>Sue Wilson, Director</w:t>
      </w:r>
    </w:p>
    <w:p w:rsidR="00FD3DB2" w:rsidRPr="00B80467" w:rsidRDefault="008E1593" w:rsidP="00657B74">
      <w:pPr>
        <w:rPr>
          <w:sz w:val="22"/>
          <w:szCs w:val="22"/>
        </w:rPr>
      </w:pPr>
      <w:r w:rsidRPr="00B80467">
        <w:rPr>
          <w:sz w:val="22"/>
          <w:szCs w:val="22"/>
        </w:rPr>
        <w:t>Media Action Center</w:t>
      </w:r>
    </w:p>
    <w:p w:rsidR="008E1593" w:rsidRPr="00B80467" w:rsidRDefault="008E1593" w:rsidP="00657B74">
      <w:pPr>
        <w:rPr>
          <w:sz w:val="22"/>
          <w:szCs w:val="22"/>
        </w:rPr>
      </w:pPr>
      <w:r w:rsidRPr="00B80467">
        <w:rPr>
          <w:sz w:val="22"/>
          <w:szCs w:val="22"/>
        </w:rPr>
        <w:t>4354 Town Center Boulevard, #114-110</w:t>
      </w:r>
    </w:p>
    <w:p w:rsidR="008E1593" w:rsidRPr="00B80467" w:rsidRDefault="008E1593" w:rsidP="00657B74">
      <w:pPr>
        <w:rPr>
          <w:sz w:val="22"/>
          <w:szCs w:val="22"/>
        </w:rPr>
      </w:pPr>
      <w:r w:rsidRPr="00B80467">
        <w:rPr>
          <w:sz w:val="22"/>
          <w:szCs w:val="22"/>
        </w:rPr>
        <w:t>El Dorado Hills, CA 95762</w:t>
      </w:r>
    </w:p>
    <w:p w:rsidR="00FD3DB2" w:rsidRPr="00B80467" w:rsidRDefault="00FD3DB2" w:rsidP="00657B74">
      <w:pPr>
        <w:rPr>
          <w:sz w:val="22"/>
          <w:szCs w:val="22"/>
        </w:rPr>
      </w:pPr>
    </w:p>
    <w:p w:rsidR="00BA208B" w:rsidRPr="00B80467" w:rsidRDefault="00BA208B" w:rsidP="00657B74">
      <w:pPr>
        <w:rPr>
          <w:b/>
          <w:sz w:val="22"/>
          <w:szCs w:val="22"/>
        </w:rPr>
      </w:pPr>
      <w:r w:rsidRPr="00B80467">
        <w:rPr>
          <w:sz w:val="22"/>
          <w:szCs w:val="22"/>
        </w:rPr>
        <w:tab/>
      </w:r>
      <w:r w:rsidRPr="00B80467">
        <w:rPr>
          <w:sz w:val="22"/>
          <w:szCs w:val="22"/>
        </w:rPr>
        <w:tab/>
      </w:r>
      <w:r w:rsidRPr="00B80467">
        <w:rPr>
          <w:sz w:val="22"/>
          <w:szCs w:val="22"/>
        </w:rPr>
        <w:tab/>
      </w:r>
      <w:r w:rsidRPr="00B80467">
        <w:rPr>
          <w:sz w:val="22"/>
          <w:szCs w:val="22"/>
        </w:rPr>
        <w:tab/>
      </w:r>
      <w:r w:rsidRPr="00B80467">
        <w:rPr>
          <w:sz w:val="22"/>
          <w:szCs w:val="22"/>
        </w:rPr>
        <w:tab/>
      </w:r>
      <w:r w:rsidRPr="00B80467">
        <w:rPr>
          <w:sz w:val="22"/>
          <w:szCs w:val="22"/>
        </w:rPr>
        <w:tab/>
        <w:t>In re:</w:t>
      </w:r>
      <w:r w:rsidRPr="00B80467">
        <w:rPr>
          <w:sz w:val="22"/>
          <w:szCs w:val="22"/>
        </w:rPr>
        <w:tab/>
      </w:r>
      <w:r w:rsidR="008E1593" w:rsidRPr="00B80467">
        <w:rPr>
          <w:b/>
          <w:sz w:val="22"/>
          <w:szCs w:val="22"/>
        </w:rPr>
        <w:t>Journal Broadcast Corp.</w:t>
      </w:r>
    </w:p>
    <w:p w:rsidR="00FD3DB2" w:rsidRPr="00B80467" w:rsidRDefault="00BA208B" w:rsidP="00657B74">
      <w:pPr>
        <w:rPr>
          <w:b/>
          <w:sz w:val="22"/>
          <w:szCs w:val="22"/>
        </w:rPr>
      </w:pPr>
      <w:r w:rsidRPr="00B80467">
        <w:rPr>
          <w:b/>
          <w:sz w:val="22"/>
          <w:szCs w:val="22"/>
        </w:rPr>
        <w:tab/>
      </w:r>
      <w:r w:rsidRPr="00B80467">
        <w:rPr>
          <w:b/>
          <w:sz w:val="22"/>
          <w:szCs w:val="22"/>
        </w:rPr>
        <w:tab/>
      </w:r>
      <w:r w:rsidRPr="00B80467">
        <w:rPr>
          <w:b/>
          <w:sz w:val="22"/>
          <w:szCs w:val="22"/>
        </w:rPr>
        <w:tab/>
      </w:r>
      <w:r w:rsidRPr="00B80467">
        <w:rPr>
          <w:b/>
          <w:sz w:val="22"/>
          <w:szCs w:val="22"/>
        </w:rPr>
        <w:tab/>
      </w:r>
      <w:r w:rsidRPr="00B80467">
        <w:rPr>
          <w:b/>
          <w:sz w:val="22"/>
          <w:szCs w:val="22"/>
        </w:rPr>
        <w:tab/>
      </w:r>
      <w:r w:rsidRPr="00B80467">
        <w:rPr>
          <w:b/>
          <w:sz w:val="22"/>
          <w:szCs w:val="22"/>
        </w:rPr>
        <w:tab/>
      </w:r>
      <w:r w:rsidRPr="00B80467">
        <w:rPr>
          <w:b/>
          <w:sz w:val="22"/>
          <w:szCs w:val="22"/>
        </w:rPr>
        <w:tab/>
      </w:r>
    </w:p>
    <w:p w:rsidR="00BA208B" w:rsidRPr="00B80467" w:rsidRDefault="008E1593" w:rsidP="00657B74">
      <w:pPr>
        <w:ind w:left="4320" w:firstLine="720"/>
        <w:rPr>
          <w:sz w:val="22"/>
          <w:szCs w:val="22"/>
        </w:rPr>
      </w:pPr>
      <w:r w:rsidRPr="00B80467">
        <w:rPr>
          <w:sz w:val="22"/>
          <w:szCs w:val="22"/>
        </w:rPr>
        <w:t>WTMJ(AM)</w:t>
      </w:r>
      <w:r w:rsidR="006B607C" w:rsidRPr="00B80467">
        <w:rPr>
          <w:sz w:val="22"/>
          <w:szCs w:val="22"/>
        </w:rPr>
        <w:t xml:space="preserve">, </w:t>
      </w:r>
      <w:r w:rsidRPr="00B80467">
        <w:rPr>
          <w:sz w:val="22"/>
          <w:szCs w:val="22"/>
        </w:rPr>
        <w:t>Milwaukee</w:t>
      </w:r>
      <w:r w:rsidR="00FD3DB2" w:rsidRPr="00B80467">
        <w:rPr>
          <w:sz w:val="22"/>
          <w:szCs w:val="22"/>
        </w:rPr>
        <w:t xml:space="preserve">, </w:t>
      </w:r>
      <w:r w:rsidRPr="00B80467">
        <w:rPr>
          <w:sz w:val="22"/>
          <w:szCs w:val="22"/>
        </w:rPr>
        <w:t>WI</w:t>
      </w:r>
    </w:p>
    <w:p w:rsidR="006B607C" w:rsidRPr="00B80467" w:rsidRDefault="006B607C" w:rsidP="00657B74">
      <w:pPr>
        <w:rPr>
          <w:sz w:val="22"/>
          <w:szCs w:val="22"/>
        </w:rPr>
      </w:pPr>
      <w:r w:rsidRPr="00B80467">
        <w:rPr>
          <w:sz w:val="22"/>
          <w:szCs w:val="22"/>
        </w:rPr>
        <w:tab/>
      </w:r>
      <w:r w:rsidRPr="00B80467">
        <w:rPr>
          <w:sz w:val="22"/>
          <w:szCs w:val="22"/>
        </w:rPr>
        <w:tab/>
      </w:r>
      <w:r w:rsidRPr="00B80467">
        <w:rPr>
          <w:sz w:val="22"/>
          <w:szCs w:val="22"/>
        </w:rPr>
        <w:tab/>
      </w:r>
      <w:r w:rsidRPr="00B80467">
        <w:rPr>
          <w:sz w:val="22"/>
          <w:szCs w:val="22"/>
        </w:rPr>
        <w:tab/>
      </w:r>
      <w:r w:rsidRPr="00B80467">
        <w:rPr>
          <w:sz w:val="22"/>
          <w:szCs w:val="22"/>
        </w:rPr>
        <w:tab/>
      </w:r>
      <w:r w:rsidRPr="00B80467">
        <w:rPr>
          <w:sz w:val="22"/>
          <w:szCs w:val="22"/>
        </w:rPr>
        <w:tab/>
      </w:r>
      <w:r w:rsidRPr="00B80467">
        <w:rPr>
          <w:sz w:val="22"/>
          <w:szCs w:val="22"/>
        </w:rPr>
        <w:tab/>
        <w:t xml:space="preserve">Facility ID No. </w:t>
      </w:r>
      <w:r w:rsidR="008E1593" w:rsidRPr="00B80467">
        <w:rPr>
          <w:sz w:val="22"/>
          <w:szCs w:val="22"/>
        </w:rPr>
        <w:t>74096</w:t>
      </w:r>
    </w:p>
    <w:p w:rsidR="006B607C" w:rsidRPr="00B80467" w:rsidRDefault="006B607C" w:rsidP="00657B74">
      <w:pPr>
        <w:rPr>
          <w:sz w:val="22"/>
          <w:szCs w:val="22"/>
        </w:rPr>
      </w:pPr>
      <w:r w:rsidRPr="00B80467">
        <w:rPr>
          <w:sz w:val="22"/>
          <w:szCs w:val="22"/>
        </w:rPr>
        <w:tab/>
      </w:r>
      <w:r w:rsidRPr="00B80467">
        <w:rPr>
          <w:sz w:val="22"/>
          <w:szCs w:val="22"/>
        </w:rPr>
        <w:tab/>
      </w:r>
      <w:r w:rsidRPr="00B80467">
        <w:rPr>
          <w:sz w:val="22"/>
          <w:szCs w:val="22"/>
        </w:rPr>
        <w:tab/>
      </w:r>
      <w:r w:rsidRPr="00B80467">
        <w:rPr>
          <w:sz w:val="22"/>
          <w:szCs w:val="22"/>
        </w:rPr>
        <w:tab/>
      </w:r>
      <w:r w:rsidRPr="00B80467">
        <w:rPr>
          <w:sz w:val="22"/>
          <w:szCs w:val="22"/>
        </w:rPr>
        <w:tab/>
      </w:r>
      <w:r w:rsidRPr="00B80467">
        <w:rPr>
          <w:sz w:val="22"/>
          <w:szCs w:val="22"/>
        </w:rPr>
        <w:tab/>
      </w:r>
      <w:r w:rsidRPr="00B80467">
        <w:rPr>
          <w:sz w:val="22"/>
          <w:szCs w:val="22"/>
        </w:rPr>
        <w:tab/>
        <w:t xml:space="preserve">File No. </w:t>
      </w:r>
      <w:r w:rsidR="00FD3DB2" w:rsidRPr="00B80467">
        <w:rPr>
          <w:sz w:val="22"/>
          <w:szCs w:val="22"/>
        </w:rPr>
        <w:t>BR-2</w:t>
      </w:r>
      <w:r w:rsidR="008E1593" w:rsidRPr="00B80467">
        <w:rPr>
          <w:sz w:val="22"/>
          <w:szCs w:val="22"/>
        </w:rPr>
        <w:t>0120801ABX</w:t>
      </w:r>
    </w:p>
    <w:p w:rsidR="00FD3DB2" w:rsidRPr="00B80467" w:rsidRDefault="00FD3DB2" w:rsidP="00657B74">
      <w:pPr>
        <w:rPr>
          <w:sz w:val="22"/>
          <w:szCs w:val="22"/>
        </w:rPr>
      </w:pPr>
    </w:p>
    <w:p w:rsidR="005E1C31" w:rsidRPr="00B80467" w:rsidRDefault="00FD3DB2" w:rsidP="00657B74">
      <w:pPr>
        <w:rPr>
          <w:b/>
          <w:sz w:val="22"/>
          <w:szCs w:val="22"/>
        </w:rPr>
      </w:pPr>
      <w:r w:rsidRPr="00B80467">
        <w:rPr>
          <w:sz w:val="22"/>
          <w:szCs w:val="22"/>
        </w:rPr>
        <w:tab/>
      </w:r>
      <w:r w:rsidRPr="00B80467">
        <w:rPr>
          <w:sz w:val="22"/>
          <w:szCs w:val="22"/>
        </w:rPr>
        <w:tab/>
      </w:r>
      <w:r w:rsidRPr="00B80467">
        <w:rPr>
          <w:sz w:val="22"/>
          <w:szCs w:val="22"/>
        </w:rPr>
        <w:tab/>
      </w:r>
      <w:r w:rsidRPr="00B80467">
        <w:rPr>
          <w:sz w:val="22"/>
          <w:szCs w:val="22"/>
        </w:rPr>
        <w:tab/>
      </w:r>
      <w:r w:rsidRPr="00B80467">
        <w:rPr>
          <w:sz w:val="22"/>
          <w:szCs w:val="22"/>
        </w:rPr>
        <w:tab/>
      </w:r>
      <w:r w:rsidRPr="00B80467">
        <w:rPr>
          <w:sz w:val="22"/>
          <w:szCs w:val="22"/>
        </w:rPr>
        <w:tab/>
      </w:r>
      <w:r w:rsidRPr="00B80467">
        <w:rPr>
          <w:sz w:val="22"/>
          <w:szCs w:val="22"/>
        </w:rPr>
        <w:tab/>
      </w:r>
      <w:r w:rsidR="005E1C31" w:rsidRPr="00B80467">
        <w:rPr>
          <w:b/>
          <w:sz w:val="22"/>
          <w:szCs w:val="22"/>
        </w:rPr>
        <w:t xml:space="preserve">Petition </w:t>
      </w:r>
      <w:r w:rsidRPr="00B80467">
        <w:rPr>
          <w:b/>
          <w:sz w:val="22"/>
          <w:szCs w:val="22"/>
        </w:rPr>
        <w:t>to Deny</w:t>
      </w:r>
    </w:p>
    <w:p w:rsidR="006B607C" w:rsidRPr="00B80467" w:rsidRDefault="006B607C" w:rsidP="00657B74">
      <w:pPr>
        <w:rPr>
          <w:sz w:val="22"/>
          <w:szCs w:val="22"/>
        </w:rPr>
      </w:pPr>
    </w:p>
    <w:p w:rsidR="00BA208B" w:rsidRPr="00B80467" w:rsidRDefault="00BA208B" w:rsidP="00657B74">
      <w:pPr>
        <w:rPr>
          <w:sz w:val="22"/>
          <w:szCs w:val="22"/>
        </w:rPr>
      </w:pPr>
      <w:r w:rsidRPr="00B80467">
        <w:rPr>
          <w:sz w:val="22"/>
          <w:szCs w:val="22"/>
        </w:rPr>
        <w:t xml:space="preserve">Dear </w:t>
      </w:r>
      <w:r w:rsidR="008E1593" w:rsidRPr="00B80467">
        <w:rPr>
          <w:sz w:val="22"/>
          <w:szCs w:val="22"/>
        </w:rPr>
        <w:t>Madams</w:t>
      </w:r>
      <w:r w:rsidRPr="00B80467">
        <w:rPr>
          <w:sz w:val="22"/>
          <w:szCs w:val="22"/>
        </w:rPr>
        <w:t>:</w:t>
      </w:r>
    </w:p>
    <w:p w:rsidR="00BA208B" w:rsidRPr="00B80467" w:rsidRDefault="00BA208B" w:rsidP="00657B74">
      <w:pPr>
        <w:rPr>
          <w:sz w:val="22"/>
          <w:szCs w:val="22"/>
        </w:rPr>
      </w:pPr>
    </w:p>
    <w:p w:rsidR="008E1593" w:rsidRPr="00B80467" w:rsidRDefault="00BA208B" w:rsidP="004F0DBB">
      <w:pPr>
        <w:rPr>
          <w:sz w:val="22"/>
          <w:szCs w:val="22"/>
        </w:rPr>
      </w:pPr>
      <w:r w:rsidRPr="00B80467">
        <w:rPr>
          <w:sz w:val="22"/>
          <w:szCs w:val="22"/>
        </w:rPr>
        <w:tab/>
      </w:r>
      <w:r w:rsidR="0051648C" w:rsidRPr="00B80467">
        <w:rPr>
          <w:sz w:val="22"/>
          <w:szCs w:val="22"/>
        </w:rPr>
        <w:t>We</w:t>
      </w:r>
      <w:r w:rsidR="008E1593" w:rsidRPr="00B80467">
        <w:rPr>
          <w:sz w:val="22"/>
          <w:szCs w:val="22"/>
        </w:rPr>
        <w:t xml:space="preserve"> have before us the application</w:t>
      </w:r>
      <w:r w:rsidR="0051648C" w:rsidRPr="00B80467">
        <w:rPr>
          <w:sz w:val="22"/>
          <w:szCs w:val="22"/>
        </w:rPr>
        <w:t xml:space="preserve"> (“Application”) of </w:t>
      </w:r>
      <w:r w:rsidR="008E1593" w:rsidRPr="00B80467">
        <w:rPr>
          <w:sz w:val="22"/>
          <w:szCs w:val="22"/>
        </w:rPr>
        <w:t>Journal Broadcast Corporation</w:t>
      </w:r>
      <w:r w:rsidR="0051648C" w:rsidRPr="00B80467">
        <w:rPr>
          <w:sz w:val="22"/>
          <w:szCs w:val="22"/>
        </w:rPr>
        <w:t xml:space="preserve"> (“</w:t>
      </w:r>
      <w:r w:rsidR="008E1593" w:rsidRPr="00B80467">
        <w:rPr>
          <w:sz w:val="22"/>
          <w:szCs w:val="22"/>
        </w:rPr>
        <w:t>Journal</w:t>
      </w:r>
      <w:r w:rsidR="0051648C" w:rsidRPr="00B80467">
        <w:rPr>
          <w:sz w:val="22"/>
          <w:szCs w:val="22"/>
        </w:rPr>
        <w:t xml:space="preserve">”) for renewal of its license for </w:t>
      </w:r>
      <w:r w:rsidR="008E1593" w:rsidRPr="00B80467">
        <w:rPr>
          <w:sz w:val="22"/>
          <w:szCs w:val="22"/>
        </w:rPr>
        <w:t>WTMJ</w:t>
      </w:r>
      <w:r w:rsidR="0051648C" w:rsidRPr="00B80467">
        <w:rPr>
          <w:sz w:val="22"/>
          <w:szCs w:val="22"/>
        </w:rPr>
        <w:t xml:space="preserve">(AM), </w:t>
      </w:r>
      <w:r w:rsidR="008E1593" w:rsidRPr="00B80467">
        <w:rPr>
          <w:sz w:val="22"/>
          <w:szCs w:val="22"/>
        </w:rPr>
        <w:t>Milwaukee</w:t>
      </w:r>
      <w:r w:rsidR="0051648C" w:rsidRPr="00B80467">
        <w:rPr>
          <w:sz w:val="22"/>
          <w:szCs w:val="22"/>
        </w:rPr>
        <w:t xml:space="preserve">, </w:t>
      </w:r>
      <w:r w:rsidR="008E1593" w:rsidRPr="00B80467">
        <w:rPr>
          <w:sz w:val="22"/>
          <w:szCs w:val="22"/>
        </w:rPr>
        <w:t>Wisconsin (“Station”)</w:t>
      </w:r>
      <w:r w:rsidR="0051648C" w:rsidRPr="00B80467">
        <w:rPr>
          <w:sz w:val="22"/>
          <w:szCs w:val="22"/>
        </w:rPr>
        <w:t xml:space="preserve">.  </w:t>
      </w:r>
      <w:r w:rsidRPr="00B80467">
        <w:rPr>
          <w:sz w:val="22"/>
          <w:szCs w:val="22"/>
        </w:rPr>
        <w:t xml:space="preserve">We </w:t>
      </w:r>
      <w:r w:rsidR="0051648C" w:rsidRPr="00B80467">
        <w:rPr>
          <w:sz w:val="22"/>
          <w:szCs w:val="22"/>
        </w:rPr>
        <w:t xml:space="preserve">also </w:t>
      </w:r>
      <w:r w:rsidRPr="00B80467">
        <w:rPr>
          <w:sz w:val="22"/>
          <w:szCs w:val="22"/>
        </w:rPr>
        <w:t xml:space="preserve">have before </w:t>
      </w:r>
      <w:r w:rsidR="00BF71D2" w:rsidRPr="00B80467">
        <w:rPr>
          <w:sz w:val="22"/>
          <w:szCs w:val="22"/>
        </w:rPr>
        <w:t xml:space="preserve">us a </w:t>
      </w:r>
      <w:r w:rsidR="0051648C" w:rsidRPr="00B80467">
        <w:rPr>
          <w:sz w:val="22"/>
          <w:szCs w:val="22"/>
        </w:rPr>
        <w:t>Petition to Deny</w:t>
      </w:r>
      <w:r w:rsidR="00BF71D2" w:rsidRPr="00B80467">
        <w:rPr>
          <w:sz w:val="22"/>
          <w:szCs w:val="22"/>
        </w:rPr>
        <w:t xml:space="preserve"> </w:t>
      </w:r>
      <w:r w:rsidR="0051648C" w:rsidRPr="00B80467">
        <w:rPr>
          <w:sz w:val="22"/>
          <w:szCs w:val="22"/>
        </w:rPr>
        <w:t xml:space="preserve">(“Petition”) </w:t>
      </w:r>
      <w:r w:rsidR="00BF71D2" w:rsidRPr="00B80467">
        <w:rPr>
          <w:sz w:val="22"/>
          <w:szCs w:val="22"/>
        </w:rPr>
        <w:t>filed by</w:t>
      </w:r>
      <w:r w:rsidR="008E1593" w:rsidRPr="00B80467">
        <w:rPr>
          <w:sz w:val="22"/>
          <w:szCs w:val="22"/>
        </w:rPr>
        <w:t xml:space="preserve"> Media Action Center (“MAC”)</w:t>
      </w:r>
      <w:r w:rsidR="00211C82">
        <w:rPr>
          <w:sz w:val="22"/>
          <w:szCs w:val="22"/>
        </w:rPr>
        <w:t>.</w:t>
      </w:r>
      <w:r w:rsidR="00211C82" w:rsidRPr="00211C82">
        <w:rPr>
          <w:rStyle w:val="FootnoteReference"/>
          <w:sz w:val="22"/>
          <w:szCs w:val="22"/>
        </w:rPr>
        <w:t xml:space="preserve"> </w:t>
      </w:r>
      <w:r w:rsidR="00211C82" w:rsidRPr="00B80467">
        <w:rPr>
          <w:rStyle w:val="FootnoteReference"/>
          <w:sz w:val="22"/>
          <w:szCs w:val="22"/>
        </w:rPr>
        <w:footnoteReference w:id="1"/>
      </w:r>
      <w:r w:rsidR="00211C82" w:rsidRPr="00B80467">
        <w:rPr>
          <w:sz w:val="22"/>
          <w:szCs w:val="22"/>
        </w:rPr>
        <w:t xml:space="preserve">  </w:t>
      </w:r>
      <w:r w:rsidR="00211C82">
        <w:rPr>
          <w:sz w:val="22"/>
          <w:szCs w:val="22"/>
        </w:rPr>
        <w:t>In addition, we have before us a political programming complaint</w:t>
      </w:r>
      <w:r w:rsidR="00890CE6">
        <w:rPr>
          <w:sz w:val="22"/>
          <w:szCs w:val="22"/>
        </w:rPr>
        <w:t xml:space="preserve"> (“Complaint”)</w:t>
      </w:r>
      <w:r w:rsidR="00211C82">
        <w:rPr>
          <w:sz w:val="22"/>
          <w:szCs w:val="22"/>
        </w:rPr>
        <w:t xml:space="preserve"> filed by Sue Wilson on behalf of several individuals (</w:t>
      </w:r>
      <w:r w:rsidR="00B309BE">
        <w:rPr>
          <w:sz w:val="22"/>
          <w:szCs w:val="22"/>
        </w:rPr>
        <w:t>“</w:t>
      </w:r>
      <w:r w:rsidR="00211C82">
        <w:rPr>
          <w:sz w:val="22"/>
          <w:szCs w:val="22"/>
        </w:rPr>
        <w:t>Wilson</w:t>
      </w:r>
      <w:r w:rsidR="00B309BE">
        <w:rPr>
          <w:sz w:val="22"/>
          <w:szCs w:val="22"/>
        </w:rPr>
        <w:t>”</w:t>
      </w:r>
      <w:r w:rsidR="00211C82">
        <w:rPr>
          <w:sz w:val="22"/>
          <w:szCs w:val="22"/>
        </w:rPr>
        <w:t>)</w:t>
      </w:r>
      <w:r w:rsidRPr="00B80467">
        <w:rPr>
          <w:sz w:val="22"/>
          <w:szCs w:val="22"/>
        </w:rPr>
        <w:t>.</w:t>
      </w:r>
      <w:r w:rsidR="00BF71D2" w:rsidRPr="00B80467">
        <w:rPr>
          <w:sz w:val="22"/>
          <w:szCs w:val="22"/>
        </w:rPr>
        <w:t xml:space="preserve"> </w:t>
      </w:r>
      <w:r w:rsidR="00AA2749">
        <w:rPr>
          <w:sz w:val="22"/>
          <w:szCs w:val="22"/>
        </w:rPr>
        <w:t xml:space="preserve"> </w:t>
      </w:r>
      <w:r w:rsidR="00094827" w:rsidRPr="00B80467">
        <w:rPr>
          <w:sz w:val="22"/>
          <w:szCs w:val="22"/>
        </w:rPr>
        <w:t>MAC alleges</w:t>
      </w:r>
      <w:r w:rsidR="00211C82">
        <w:rPr>
          <w:sz w:val="22"/>
          <w:szCs w:val="22"/>
        </w:rPr>
        <w:t xml:space="preserve"> in its Petition and Wilson alleges in </w:t>
      </w:r>
      <w:r w:rsidR="00890CE6">
        <w:rPr>
          <w:sz w:val="22"/>
          <w:szCs w:val="22"/>
        </w:rPr>
        <w:t>the</w:t>
      </w:r>
      <w:r w:rsidR="00211C82">
        <w:rPr>
          <w:sz w:val="22"/>
          <w:szCs w:val="22"/>
        </w:rPr>
        <w:t xml:space="preserve"> </w:t>
      </w:r>
      <w:r w:rsidR="00890CE6">
        <w:rPr>
          <w:sz w:val="22"/>
          <w:szCs w:val="22"/>
        </w:rPr>
        <w:t>C</w:t>
      </w:r>
      <w:r w:rsidR="00211C82">
        <w:rPr>
          <w:sz w:val="22"/>
          <w:szCs w:val="22"/>
        </w:rPr>
        <w:t>omplaint</w:t>
      </w:r>
      <w:r w:rsidR="00094827" w:rsidRPr="00B80467">
        <w:rPr>
          <w:sz w:val="22"/>
          <w:szCs w:val="22"/>
        </w:rPr>
        <w:t xml:space="preserve"> that Journal </w:t>
      </w:r>
      <w:r w:rsidR="00884133" w:rsidRPr="00B80467">
        <w:rPr>
          <w:sz w:val="22"/>
          <w:szCs w:val="22"/>
        </w:rPr>
        <w:t xml:space="preserve"> refused to provide air time </w:t>
      </w:r>
      <w:r w:rsidR="00094827" w:rsidRPr="00B80467">
        <w:rPr>
          <w:sz w:val="22"/>
          <w:szCs w:val="22"/>
        </w:rPr>
        <w:t>on the Station to supporters of</w:t>
      </w:r>
      <w:r w:rsidR="00884133" w:rsidRPr="00B80467">
        <w:rPr>
          <w:sz w:val="22"/>
          <w:szCs w:val="22"/>
        </w:rPr>
        <w:t xml:space="preserve"> Tom Barrett, the Democratic candidate for Governor of Wisconsin, </w:t>
      </w:r>
      <w:r w:rsidR="008447B5" w:rsidRPr="00B80467">
        <w:rPr>
          <w:sz w:val="22"/>
          <w:szCs w:val="22"/>
        </w:rPr>
        <w:t xml:space="preserve">so that they </w:t>
      </w:r>
      <w:r w:rsidR="000F2D96">
        <w:rPr>
          <w:sz w:val="22"/>
          <w:szCs w:val="22"/>
        </w:rPr>
        <w:t xml:space="preserve">could </w:t>
      </w:r>
      <w:r w:rsidR="00884133" w:rsidRPr="00B80467">
        <w:rPr>
          <w:sz w:val="22"/>
          <w:szCs w:val="22"/>
        </w:rPr>
        <w:t xml:space="preserve">respond to statements aired on the </w:t>
      </w:r>
      <w:r w:rsidR="00094827" w:rsidRPr="00B80467">
        <w:rPr>
          <w:sz w:val="22"/>
          <w:szCs w:val="22"/>
        </w:rPr>
        <w:t>S</w:t>
      </w:r>
      <w:r w:rsidR="00884133" w:rsidRPr="00B80467">
        <w:rPr>
          <w:sz w:val="22"/>
          <w:szCs w:val="22"/>
        </w:rPr>
        <w:t xml:space="preserve">tation in support of Scott Walker, the Republican candidate </w:t>
      </w:r>
      <w:r w:rsidR="008447B5" w:rsidRPr="00B80467">
        <w:rPr>
          <w:sz w:val="22"/>
          <w:szCs w:val="22"/>
        </w:rPr>
        <w:t>for that office</w:t>
      </w:r>
      <w:r w:rsidR="00884133" w:rsidRPr="00B80467">
        <w:rPr>
          <w:sz w:val="22"/>
          <w:szCs w:val="22"/>
        </w:rPr>
        <w:t>.</w:t>
      </w:r>
      <w:r w:rsidR="00094827" w:rsidRPr="00B80467">
        <w:rPr>
          <w:rStyle w:val="FootnoteReference"/>
          <w:sz w:val="22"/>
          <w:szCs w:val="22"/>
        </w:rPr>
        <w:footnoteReference w:id="2"/>
      </w:r>
      <w:r w:rsidR="00884133" w:rsidRPr="00B80467">
        <w:rPr>
          <w:sz w:val="22"/>
          <w:szCs w:val="22"/>
        </w:rPr>
        <w:t xml:space="preserve">  MAC </w:t>
      </w:r>
      <w:r w:rsidR="00FF05F7">
        <w:rPr>
          <w:sz w:val="22"/>
          <w:szCs w:val="22"/>
        </w:rPr>
        <w:t xml:space="preserve">and Wilson </w:t>
      </w:r>
      <w:r w:rsidR="00884133" w:rsidRPr="00B80467">
        <w:rPr>
          <w:sz w:val="22"/>
          <w:szCs w:val="22"/>
        </w:rPr>
        <w:t xml:space="preserve">argue that this </w:t>
      </w:r>
      <w:r w:rsidR="008447B5" w:rsidRPr="00B80467">
        <w:rPr>
          <w:sz w:val="22"/>
          <w:szCs w:val="22"/>
        </w:rPr>
        <w:t>refusal</w:t>
      </w:r>
      <w:r w:rsidR="00884133" w:rsidRPr="00B80467">
        <w:rPr>
          <w:sz w:val="22"/>
          <w:szCs w:val="22"/>
        </w:rPr>
        <w:t xml:space="preserve"> violate</w:t>
      </w:r>
      <w:r w:rsidR="008447B5" w:rsidRPr="00B80467">
        <w:rPr>
          <w:sz w:val="22"/>
          <w:szCs w:val="22"/>
        </w:rPr>
        <w:t>d</w:t>
      </w:r>
      <w:r w:rsidR="00884133" w:rsidRPr="00B80467">
        <w:rPr>
          <w:sz w:val="22"/>
          <w:szCs w:val="22"/>
        </w:rPr>
        <w:t xml:space="preserve"> both the </w:t>
      </w:r>
      <w:r w:rsidR="00884133" w:rsidRPr="00E655B3">
        <w:rPr>
          <w:sz w:val="22"/>
          <w:szCs w:val="22"/>
        </w:rPr>
        <w:t>Zapple</w:t>
      </w:r>
      <w:r w:rsidR="00884133" w:rsidRPr="00B80467">
        <w:rPr>
          <w:i/>
          <w:sz w:val="22"/>
          <w:szCs w:val="22"/>
        </w:rPr>
        <w:t xml:space="preserve"> </w:t>
      </w:r>
      <w:r w:rsidR="00884133" w:rsidRPr="00B80467">
        <w:rPr>
          <w:sz w:val="22"/>
          <w:szCs w:val="22"/>
        </w:rPr>
        <w:t>Doctrine and the First Amendment.</w:t>
      </w:r>
      <w:r w:rsidR="00657B74" w:rsidRPr="00B80467">
        <w:rPr>
          <w:rStyle w:val="FootnoteReference"/>
          <w:sz w:val="22"/>
          <w:szCs w:val="22"/>
        </w:rPr>
        <w:footnoteReference w:id="3"/>
      </w:r>
      <w:r w:rsidR="00884133" w:rsidRPr="00B80467">
        <w:rPr>
          <w:sz w:val="22"/>
          <w:szCs w:val="22"/>
        </w:rPr>
        <w:t xml:space="preserve">  </w:t>
      </w:r>
      <w:r w:rsidR="00620CA2">
        <w:rPr>
          <w:sz w:val="22"/>
          <w:szCs w:val="22"/>
        </w:rPr>
        <w:t>MAC</w:t>
      </w:r>
      <w:r w:rsidR="00620CA2" w:rsidRPr="00B80467">
        <w:rPr>
          <w:sz w:val="22"/>
          <w:szCs w:val="22"/>
        </w:rPr>
        <w:t xml:space="preserve"> </w:t>
      </w:r>
      <w:r w:rsidR="00884133" w:rsidRPr="00B80467">
        <w:rPr>
          <w:sz w:val="22"/>
          <w:szCs w:val="22"/>
        </w:rPr>
        <w:t xml:space="preserve">also asserts that Journal lacks the character qualifications </w:t>
      </w:r>
      <w:r w:rsidR="00884133" w:rsidRPr="00B80467">
        <w:rPr>
          <w:sz w:val="22"/>
          <w:szCs w:val="22"/>
        </w:rPr>
        <w:lastRenderedPageBreak/>
        <w:t>necessary to be a Commission licensee.</w:t>
      </w:r>
      <w:r w:rsidR="008447B5" w:rsidRPr="00B80467">
        <w:rPr>
          <w:rStyle w:val="FootnoteReference"/>
          <w:sz w:val="22"/>
          <w:szCs w:val="22"/>
        </w:rPr>
        <w:footnoteReference w:id="4"/>
      </w:r>
      <w:r w:rsidR="004F0DBB" w:rsidRPr="00B80467">
        <w:rPr>
          <w:sz w:val="22"/>
          <w:szCs w:val="22"/>
        </w:rPr>
        <w:t xml:space="preserve">  For the reasons discussed below, we deny the Petition</w:t>
      </w:r>
      <w:r w:rsidR="00AA2749">
        <w:rPr>
          <w:sz w:val="22"/>
          <w:szCs w:val="22"/>
        </w:rPr>
        <w:t xml:space="preserve"> and the Complaint</w:t>
      </w:r>
      <w:r w:rsidR="004F0DBB" w:rsidRPr="00B80467">
        <w:rPr>
          <w:sz w:val="22"/>
          <w:szCs w:val="22"/>
        </w:rPr>
        <w:t xml:space="preserve"> and grant the Application</w:t>
      </w:r>
      <w:r w:rsidR="00211C82">
        <w:rPr>
          <w:sz w:val="22"/>
          <w:szCs w:val="22"/>
        </w:rPr>
        <w:t>.</w:t>
      </w:r>
    </w:p>
    <w:p w:rsidR="00884133" w:rsidRPr="00B80467" w:rsidRDefault="00884133" w:rsidP="00657B74">
      <w:pPr>
        <w:ind w:firstLine="720"/>
        <w:rPr>
          <w:sz w:val="22"/>
          <w:szCs w:val="22"/>
        </w:rPr>
      </w:pPr>
    </w:p>
    <w:p w:rsidR="00657B74" w:rsidRPr="00B80467" w:rsidRDefault="00C02982" w:rsidP="00657B74">
      <w:pPr>
        <w:ind w:firstLine="720"/>
        <w:rPr>
          <w:sz w:val="22"/>
          <w:szCs w:val="22"/>
        </w:rPr>
      </w:pPr>
      <w:r w:rsidRPr="00B80467">
        <w:rPr>
          <w:sz w:val="22"/>
          <w:szCs w:val="22"/>
        </w:rPr>
        <w:t xml:space="preserve">A </w:t>
      </w:r>
      <w:r w:rsidRPr="00B80467">
        <w:rPr>
          <w:rStyle w:val="term1"/>
          <w:b w:val="0"/>
          <w:sz w:val="22"/>
          <w:szCs w:val="22"/>
        </w:rPr>
        <w:t>petition to deny</w:t>
      </w:r>
      <w:r w:rsidRPr="00B80467">
        <w:rPr>
          <w:b/>
          <w:sz w:val="22"/>
          <w:szCs w:val="22"/>
        </w:rPr>
        <w:t xml:space="preserve"> </w:t>
      </w:r>
      <w:r w:rsidRPr="00B80467">
        <w:rPr>
          <w:sz w:val="22"/>
          <w:szCs w:val="22"/>
        </w:rPr>
        <w:t>a</w:t>
      </w:r>
      <w:r w:rsidRPr="00B80467">
        <w:rPr>
          <w:b/>
          <w:sz w:val="22"/>
          <w:szCs w:val="22"/>
        </w:rPr>
        <w:t xml:space="preserve"> </w:t>
      </w:r>
      <w:r w:rsidRPr="00B80467">
        <w:rPr>
          <w:rStyle w:val="term1"/>
          <w:b w:val="0"/>
          <w:sz w:val="22"/>
          <w:szCs w:val="22"/>
        </w:rPr>
        <w:t>renewal</w:t>
      </w:r>
      <w:r w:rsidRPr="00B80467">
        <w:rPr>
          <w:b/>
          <w:sz w:val="22"/>
          <w:szCs w:val="22"/>
        </w:rPr>
        <w:t xml:space="preserve"> </w:t>
      </w:r>
      <w:r w:rsidRPr="00B80467">
        <w:rPr>
          <w:sz w:val="22"/>
          <w:szCs w:val="22"/>
        </w:rPr>
        <w:t>application must, pursuant to Section 309(d) of the Communications Act of 1934, as amended (the "Act"),</w:t>
      </w:r>
      <w:r w:rsidRPr="00B80467">
        <w:rPr>
          <w:rStyle w:val="FootnoteReference"/>
          <w:sz w:val="22"/>
          <w:szCs w:val="22"/>
        </w:rPr>
        <w:footnoteReference w:id="5"/>
      </w:r>
      <w:r w:rsidRPr="00B80467">
        <w:rPr>
          <w:sz w:val="22"/>
          <w:szCs w:val="22"/>
        </w:rPr>
        <w:t xml:space="preserve"> provide properly supported allegations of fact that, if true, would establish a substantial and material question of fact that grant of the application would be </w:t>
      </w:r>
      <w:r w:rsidRPr="00B80467">
        <w:rPr>
          <w:i/>
          <w:iCs/>
          <w:sz w:val="22"/>
          <w:szCs w:val="22"/>
        </w:rPr>
        <w:t>prima facie</w:t>
      </w:r>
      <w:r w:rsidRPr="00B80467">
        <w:rPr>
          <w:sz w:val="22"/>
          <w:szCs w:val="22"/>
        </w:rPr>
        <w:t xml:space="preserve"> inconsistent with Section 309(k) of the Act,</w:t>
      </w:r>
      <w:r w:rsidRPr="00B80467">
        <w:rPr>
          <w:rStyle w:val="FootnoteReference"/>
          <w:sz w:val="22"/>
          <w:szCs w:val="22"/>
        </w:rPr>
        <w:footnoteReference w:id="6"/>
      </w:r>
      <w:r w:rsidRPr="00B80467">
        <w:rPr>
          <w:sz w:val="22"/>
          <w:szCs w:val="22"/>
        </w:rPr>
        <w:t xml:space="preserve"> which governs our evaluation of an application for license renewal.  Specifically, Section 309(k)(1) provides that we are to grant </w:t>
      </w:r>
      <w:r w:rsidR="004F0DBB" w:rsidRPr="00B80467">
        <w:rPr>
          <w:sz w:val="22"/>
          <w:szCs w:val="22"/>
        </w:rPr>
        <w:t>a</w:t>
      </w:r>
      <w:r w:rsidRPr="00B80467">
        <w:rPr>
          <w:sz w:val="22"/>
          <w:szCs w:val="22"/>
        </w:rPr>
        <w:t xml:space="preserve"> renewal application if, upon consideration of the application and pleadings, we find that (1) the station has served the public interest, convenience, and necessity; (2) there have been no serious violations of the Act or the Rules; and (3) there have been no other violations that, taken together, constitute a pattern of abuse.</w:t>
      </w:r>
      <w:r w:rsidRPr="00B80467">
        <w:rPr>
          <w:rStyle w:val="FootnoteReference"/>
          <w:sz w:val="22"/>
          <w:szCs w:val="22"/>
        </w:rPr>
        <w:footnoteReference w:id="7"/>
      </w:r>
      <w:r w:rsidRPr="00B80467">
        <w:rPr>
          <w:sz w:val="22"/>
          <w:szCs w:val="22"/>
        </w:rPr>
        <w:t xml:space="preserve">  If, however, the licensee fails to meet that standard, the Commission may deny the application, after notice and opportunity for a hearing under Section 309(d) of the Act, or grant the application </w:t>
      </w:r>
      <w:r w:rsidR="00B15900" w:rsidRPr="00B80467">
        <w:rPr>
          <w:sz w:val="22"/>
          <w:szCs w:val="22"/>
        </w:rPr>
        <w:t>“</w:t>
      </w:r>
      <w:r w:rsidRPr="00B80467">
        <w:rPr>
          <w:sz w:val="22"/>
          <w:szCs w:val="22"/>
        </w:rPr>
        <w:t>on terms and conditions that are appropriate, including a renewal for a term less than the maximum otherwise permitted.</w:t>
      </w:r>
      <w:r w:rsidR="00B15900" w:rsidRPr="00B80467">
        <w:rPr>
          <w:sz w:val="22"/>
          <w:szCs w:val="22"/>
        </w:rPr>
        <w:t>”</w:t>
      </w:r>
      <w:r w:rsidRPr="00B80467">
        <w:rPr>
          <w:rStyle w:val="FootnoteReference"/>
          <w:sz w:val="22"/>
          <w:szCs w:val="22"/>
        </w:rPr>
        <w:footnoteReference w:id="8"/>
      </w:r>
      <w:r w:rsidRPr="00B80467">
        <w:rPr>
          <w:sz w:val="22"/>
          <w:szCs w:val="22"/>
        </w:rPr>
        <w:t xml:space="preserve"> </w:t>
      </w:r>
    </w:p>
    <w:p w:rsidR="00657B74" w:rsidRPr="00B80467" w:rsidRDefault="00657B74" w:rsidP="00657B74">
      <w:pPr>
        <w:ind w:firstLine="720"/>
        <w:rPr>
          <w:sz w:val="22"/>
          <w:szCs w:val="22"/>
        </w:rPr>
      </w:pPr>
    </w:p>
    <w:p w:rsidR="001D66B8" w:rsidRPr="00B80467" w:rsidRDefault="008E7ABC" w:rsidP="00FC5AF0">
      <w:pPr>
        <w:ind w:firstLine="720"/>
        <w:rPr>
          <w:sz w:val="22"/>
          <w:szCs w:val="22"/>
        </w:rPr>
      </w:pPr>
      <w:r w:rsidRPr="00B80467">
        <w:rPr>
          <w:sz w:val="22"/>
          <w:szCs w:val="22"/>
        </w:rPr>
        <w:t xml:space="preserve">While MAC purports to make </w:t>
      </w:r>
      <w:r w:rsidRPr="00E655B3">
        <w:rPr>
          <w:sz w:val="22"/>
          <w:szCs w:val="22"/>
        </w:rPr>
        <w:t>Zapple</w:t>
      </w:r>
      <w:r w:rsidRPr="00B80467">
        <w:rPr>
          <w:i/>
          <w:sz w:val="22"/>
          <w:szCs w:val="22"/>
        </w:rPr>
        <w:t xml:space="preserve"> </w:t>
      </w:r>
      <w:r w:rsidRPr="00B80467">
        <w:rPr>
          <w:sz w:val="22"/>
          <w:szCs w:val="22"/>
        </w:rPr>
        <w:t xml:space="preserve">Doctrine </w:t>
      </w:r>
      <w:r w:rsidR="00656CE3" w:rsidRPr="00B80467">
        <w:rPr>
          <w:sz w:val="22"/>
          <w:szCs w:val="22"/>
        </w:rPr>
        <w:t>(</w:t>
      </w:r>
      <w:r w:rsidRPr="00B80467">
        <w:rPr>
          <w:sz w:val="22"/>
          <w:szCs w:val="22"/>
        </w:rPr>
        <w:t>and First Amendment</w:t>
      </w:r>
      <w:r w:rsidR="00656CE3" w:rsidRPr="00B80467">
        <w:rPr>
          <w:sz w:val="22"/>
          <w:szCs w:val="22"/>
        </w:rPr>
        <w:t>)</w:t>
      </w:r>
      <w:r w:rsidRPr="00B80467">
        <w:rPr>
          <w:sz w:val="22"/>
          <w:szCs w:val="22"/>
        </w:rPr>
        <w:t xml:space="preserve"> claims, we find that </w:t>
      </w:r>
      <w:r w:rsidR="00656CE3" w:rsidRPr="00B80467">
        <w:rPr>
          <w:sz w:val="22"/>
          <w:szCs w:val="22"/>
        </w:rPr>
        <w:t>its real complaints relate to</w:t>
      </w:r>
      <w:r w:rsidRPr="00B80467">
        <w:rPr>
          <w:sz w:val="22"/>
          <w:szCs w:val="22"/>
        </w:rPr>
        <w:t xml:space="preserve"> the Station’s programming choices.</w:t>
      </w:r>
      <w:r w:rsidR="004F0DBB" w:rsidRPr="00B80467">
        <w:rPr>
          <w:rStyle w:val="FootnoteReference"/>
          <w:sz w:val="22"/>
          <w:szCs w:val="22"/>
        </w:rPr>
        <w:footnoteReference w:id="9"/>
      </w:r>
      <w:r w:rsidR="00C63239" w:rsidRPr="00B80467">
        <w:rPr>
          <w:sz w:val="22"/>
          <w:szCs w:val="22"/>
        </w:rPr>
        <w:t xml:space="preserve">  </w:t>
      </w:r>
      <w:r w:rsidRPr="00B80467">
        <w:rPr>
          <w:sz w:val="22"/>
          <w:szCs w:val="22"/>
        </w:rPr>
        <w:t>It is well established, however, that t</w:t>
      </w:r>
      <w:r w:rsidR="001D66B8" w:rsidRPr="00B80467">
        <w:rPr>
          <w:sz w:val="22"/>
          <w:szCs w:val="22"/>
        </w:rPr>
        <w:t xml:space="preserve">he Commission </w:t>
      </w:r>
      <w:r w:rsidR="003B2924" w:rsidRPr="00B80467">
        <w:rPr>
          <w:sz w:val="22"/>
          <w:szCs w:val="22"/>
        </w:rPr>
        <w:t xml:space="preserve">cannot </w:t>
      </w:r>
      <w:r w:rsidR="00712661" w:rsidRPr="00B80467">
        <w:rPr>
          <w:sz w:val="22"/>
          <w:szCs w:val="22"/>
        </w:rPr>
        <w:t>exercise</w:t>
      </w:r>
      <w:r w:rsidR="001D66B8" w:rsidRPr="00B80467">
        <w:rPr>
          <w:sz w:val="22"/>
          <w:szCs w:val="22"/>
        </w:rPr>
        <w:t xml:space="preserve"> any power of censorship over broadcast stations with respect to content-based programming decisions.</w:t>
      </w:r>
      <w:r w:rsidR="001D66B8" w:rsidRPr="00B80467">
        <w:rPr>
          <w:rStyle w:val="FootnoteReference"/>
          <w:sz w:val="22"/>
          <w:szCs w:val="22"/>
        </w:rPr>
        <w:footnoteReference w:id="10"/>
      </w:r>
      <w:r w:rsidR="001D66B8" w:rsidRPr="00B80467">
        <w:rPr>
          <w:sz w:val="22"/>
          <w:szCs w:val="22"/>
        </w:rPr>
        <w:t xml:space="preserve">  A licensee has broad discretion – based on its right to free speech – to choose the programming that it believes serves the needs and interests of the members of its audience.</w:t>
      </w:r>
      <w:r w:rsidR="001D66B8" w:rsidRPr="00B80467">
        <w:rPr>
          <w:rStyle w:val="FootnoteReference"/>
          <w:sz w:val="22"/>
          <w:szCs w:val="22"/>
        </w:rPr>
        <w:footnoteReference w:id="11"/>
      </w:r>
      <w:r w:rsidR="001D66B8" w:rsidRPr="00B80467">
        <w:rPr>
          <w:sz w:val="22"/>
          <w:szCs w:val="22"/>
        </w:rPr>
        <w:t xml:space="preserve">  </w:t>
      </w:r>
      <w:r w:rsidR="001D66B8" w:rsidRPr="00B80467">
        <w:rPr>
          <w:sz w:val="22"/>
          <w:szCs w:val="22"/>
        </w:rPr>
        <w:lastRenderedPageBreak/>
        <w:t>We will intervene in programming matters only if a licensee abuses that discretion</w:t>
      </w:r>
      <w:r w:rsidR="00D2148E">
        <w:rPr>
          <w:sz w:val="22"/>
          <w:szCs w:val="22"/>
        </w:rPr>
        <w:t xml:space="preserve"> or where federal statutes direct us to do so</w:t>
      </w:r>
      <w:r w:rsidR="001D66B8" w:rsidRPr="00B80467">
        <w:rPr>
          <w:sz w:val="22"/>
          <w:szCs w:val="22"/>
        </w:rPr>
        <w:t>.</w:t>
      </w:r>
      <w:r w:rsidR="001D66B8" w:rsidRPr="00B80467">
        <w:rPr>
          <w:rStyle w:val="FootnoteReference"/>
          <w:sz w:val="22"/>
          <w:szCs w:val="22"/>
        </w:rPr>
        <w:footnoteReference w:id="12"/>
      </w:r>
      <w:r w:rsidR="001D66B8" w:rsidRPr="00B80467">
        <w:rPr>
          <w:sz w:val="22"/>
          <w:szCs w:val="22"/>
        </w:rPr>
        <w:t xml:space="preserve">  </w:t>
      </w:r>
      <w:r w:rsidR="00FC5AF0" w:rsidRPr="00B80467">
        <w:rPr>
          <w:sz w:val="22"/>
          <w:szCs w:val="22"/>
        </w:rPr>
        <w:t>A</w:t>
      </w:r>
      <w:r w:rsidR="001D66B8" w:rsidRPr="00B80467">
        <w:rPr>
          <w:sz w:val="22"/>
          <w:szCs w:val="22"/>
        </w:rPr>
        <w:t xml:space="preserve">fter full review, we have determined that further Commission action is not warranted </w:t>
      </w:r>
      <w:r w:rsidR="00452556" w:rsidRPr="00B80467">
        <w:rPr>
          <w:sz w:val="22"/>
          <w:szCs w:val="22"/>
        </w:rPr>
        <w:t>here</w:t>
      </w:r>
      <w:r w:rsidR="001D66B8" w:rsidRPr="00B80467">
        <w:rPr>
          <w:sz w:val="22"/>
          <w:szCs w:val="22"/>
        </w:rPr>
        <w:t xml:space="preserve">. </w:t>
      </w:r>
      <w:r w:rsidR="003B2924" w:rsidRPr="00B80467">
        <w:rPr>
          <w:sz w:val="22"/>
          <w:szCs w:val="22"/>
        </w:rPr>
        <w:t>MAC</w:t>
      </w:r>
      <w:r w:rsidR="001D66B8" w:rsidRPr="00B80467">
        <w:rPr>
          <w:sz w:val="22"/>
          <w:szCs w:val="22"/>
        </w:rPr>
        <w:t xml:space="preserve"> has not shown that the licensee committed violat</w:t>
      </w:r>
      <w:r w:rsidR="00452556" w:rsidRPr="00B80467">
        <w:rPr>
          <w:sz w:val="22"/>
          <w:szCs w:val="22"/>
        </w:rPr>
        <w:t>ions of the Act, the Commission’</w:t>
      </w:r>
      <w:r w:rsidR="001D66B8" w:rsidRPr="00B80467">
        <w:rPr>
          <w:sz w:val="22"/>
          <w:szCs w:val="22"/>
        </w:rPr>
        <w:t xml:space="preserve">s rules, or otherwise abused its </w:t>
      </w:r>
      <w:r w:rsidR="001D66B8" w:rsidRPr="00B80467">
        <w:rPr>
          <w:rStyle w:val="term1"/>
          <w:b w:val="0"/>
          <w:sz w:val="22"/>
          <w:szCs w:val="22"/>
        </w:rPr>
        <w:t>discretion</w:t>
      </w:r>
      <w:r w:rsidR="001D66B8" w:rsidRPr="00B80467">
        <w:rPr>
          <w:sz w:val="22"/>
          <w:szCs w:val="22"/>
        </w:rPr>
        <w:t xml:space="preserve"> in determining the </w:t>
      </w:r>
      <w:r w:rsidR="001D66B8" w:rsidRPr="00B80467">
        <w:rPr>
          <w:rStyle w:val="term1"/>
          <w:b w:val="0"/>
          <w:sz w:val="22"/>
          <w:szCs w:val="22"/>
        </w:rPr>
        <w:t>programming</w:t>
      </w:r>
      <w:r w:rsidR="001D66B8" w:rsidRPr="00B80467">
        <w:rPr>
          <w:sz w:val="22"/>
          <w:szCs w:val="22"/>
        </w:rPr>
        <w:t xml:space="preserve"> it believes se</w:t>
      </w:r>
      <w:r w:rsidR="003B2924" w:rsidRPr="00B80467">
        <w:rPr>
          <w:sz w:val="22"/>
          <w:szCs w:val="22"/>
        </w:rPr>
        <w:t>rves the needs of its audience.</w:t>
      </w:r>
      <w:r w:rsidR="003B2924" w:rsidRPr="00B80467">
        <w:rPr>
          <w:rStyle w:val="FootnoteReference"/>
          <w:sz w:val="22"/>
          <w:szCs w:val="22"/>
        </w:rPr>
        <w:footnoteReference w:id="13"/>
      </w:r>
    </w:p>
    <w:p w:rsidR="001D66B8" w:rsidRPr="00B80467" w:rsidRDefault="001D66B8" w:rsidP="00657B74">
      <w:pPr>
        <w:ind w:firstLine="720"/>
        <w:rPr>
          <w:sz w:val="22"/>
          <w:szCs w:val="22"/>
        </w:rPr>
      </w:pPr>
    </w:p>
    <w:p w:rsidR="00656CE3" w:rsidRPr="00B80467" w:rsidRDefault="00657B74" w:rsidP="00C844AD">
      <w:pPr>
        <w:ind w:firstLine="720"/>
        <w:rPr>
          <w:sz w:val="22"/>
          <w:szCs w:val="22"/>
        </w:rPr>
      </w:pPr>
      <w:r w:rsidRPr="00B80467">
        <w:rPr>
          <w:sz w:val="22"/>
          <w:szCs w:val="22"/>
        </w:rPr>
        <w:t xml:space="preserve">In any event, we note that we have no basis to enforce the </w:t>
      </w:r>
      <w:r w:rsidRPr="00E655B3">
        <w:rPr>
          <w:sz w:val="22"/>
          <w:szCs w:val="22"/>
        </w:rPr>
        <w:t>Zapple</w:t>
      </w:r>
      <w:r w:rsidRPr="00B80467">
        <w:rPr>
          <w:i/>
          <w:sz w:val="22"/>
          <w:szCs w:val="22"/>
        </w:rPr>
        <w:t xml:space="preserve"> </w:t>
      </w:r>
      <w:r w:rsidRPr="00B80467">
        <w:rPr>
          <w:sz w:val="22"/>
          <w:szCs w:val="22"/>
        </w:rPr>
        <w:t xml:space="preserve">Doctrine.  The doctrine was based on an interpretation of the fairness doctrine, which the Commission abrogated in </w:t>
      </w:r>
      <w:r w:rsidRPr="00B80467">
        <w:rPr>
          <w:i/>
          <w:sz w:val="22"/>
          <w:szCs w:val="22"/>
        </w:rPr>
        <w:t>Syracuse Peace Council</w:t>
      </w:r>
      <w:r w:rsidRPr="00B80467">
        <w:rPr>
          <w:sz w:val="22"/>
          <w:szCs w:val="22"/>
        </w:rPr>
        <w:t xml:space="preserve"> in 1987 after concluding that it no longer served the public interest, was not statutorily mandated, and was inconsistent with First Amendment values.</w:t>
      </w:r>
      <w:r w:rsidRPr="00B80467">
        <w:rPr>
          <w:rStyle w:val="FootnoteReference"/>
          <w:sz w:val="22"/>
          <w:szCs w:val="22"/>
        </w:rPr>
        <w:footnoteReference w:id="14"/>
      </w:r>
      <w:r w:rsidRPr="00B80467">
        <w:rPr>
          <w:sz w:val="22"/>
          <w:szCs w:val="22"/>
        </w:rPr>
        <w:t xml:space="preserve">  </w:t>
      </w:r>
      <w:r w:rsidR="007A33D9">
        <w:rPr>
          <w:sz w:val="22"/>
          <w:szCs w:val="22"/>
        </w:rPr>
        <w:t>In 1989, t</w:t>
      </w:r>
      <w:r w:rsidR="007A33D9" w:rsidRPr="007A33D9">
        <w:rPr>
          <w:sz w:val="22"/>
          <w:szCs w:val="22"/>
        </w:rPr>
        <w:t>he D.C. Circuit affirmed the Commission’s conclusion that the fairness doctrine no longer served the public interest, without reaching the constitutional question.</w:t>
      </w:r>
      <w:r w:rsidR="007A33D9">
        <w:rPr>
          <w:rStyle w:val="FootnoteReference"/>
          <w:sz w:val="22"/>
          <w:szCs w:val="22"/>
        </w:rPr>
        <w:footnoteReference w:id="15"/>
      </w:r>
      <w:r w:rsidR="007A33D9" w:rsidRPr="007A33D9">
        <w:rPr>
          <w:sz w:val="22"/>
          <w:szCs w:val="22"/>
        </w:rPr>
        <w:t xml:space="preserve">  </w:t>
      </w:r>
      <w:r w:rsidR="007A33D9">
        <w:rPr>
          <w:sz w:val="22"/>
          <w:szCs w:val="22"/>
        </w:rPr>
        <w:t>I</w:t>
      </w:r>
      <w:r w:rsidRPr="00B80467">
        <w:rPr>
          <w:sz w:val="22"/>
          <w:szCs w:val="22"/>
        </w:rPr>
        <w:t>n August 2011, the Media Bureau a</w:t>
      </w:r>
      <w:r w:rsidR="003D23BF" w:rsidRPr="00B80467">
        <w:rPr>
          <w:sz w:val="22"/>
          <w:szCs w:val="22"/>
        </w:rPr>
        <w:t>nd Office of Managing Director characterized the fairness doctrine as “defunct” and deleted rules referencing the fairness doctrine as “obsolete” after finding them to be “without current legal effect.”</w:t>
      </w:r>
      <w:r w:rsidRPr="00B80467">
        <w:rPr>
          <w:rStyle w:val="FootnoteReference"/>
          <w:sz w:val="22"/>
          <w:szCs w:val="22"/>
        </w:rPr>
        <w:footnoteReference w:id="16"/>
      </w:r>
      <w:r w:rsidRPr="00B80467">
        <w:rPr>
          <w:sz w:val="22"/>
          <w:szCs w:val="22"/>
        </w:rPr>
        <w:t xml:space="preserve">  </w:t>
      </w:r>
      <w:r w:rsidR="003D23BF" w:rsidRPr="00B80467">
        <w:rPr>
          <w:sz w:val="22"/>
          <w:szCs w:val="22"/>
        </w:rPr>
        <w:t>Given the fact</w:t>
      </w:r>
      <w:r w:rsidRPr="00B80467">
        <w:rPr>
          <w:sz w:val="22"/>
          <w:szCs w:val="22"/>
        </w:rPr>
        <w:t xml:space="preserve"> that the </w:t>
      </w:r>
      <w:r w:rsidRPr="00E655B3">
        <w:rPr>
          <w:sz w:val="22"/>
          <w:szCs w:val="22"/>
        </w:rPr>
        <w:t>Zapple</w:t>
      </w:r>
      <w:r w:rsidRPr="00B80467">
        <w:rPr>
          <w:sz w:val="22"/>
          <w:szCs w:val="22"/>
        </w:rPr>
        <w:t xml:space="preserve"> Doctrine was based on an interpretation of the fairness doctrine, which has no current legal effect, we conclude that the </w:t>
      </w:r>
      <w:r w:rsidRPr="00E655B3">
        <w:rPr>
          <w:sz w:val="22"/>
          <w:szCs w:val="22"/>
        </w:rPr>
        <w:t>Zapple</w:t>
      </w:r>
      <w:r w:rsidRPr="00B80467">
        <w:rPr>
          <w:sz w:val="22"/>
          <w:szCs w:val="22"/>
        </w:rPr>
        <w:t xml:space="preserve"> Doctrine similarly has no current legal effect.</w:t>
      </w:r>
      <w:r w:rsidR="007A33D9" w:rsidRPr="007A33D9">
        <w:rPr>
          <w:rFonts w:ascii="CG Times" w:hAnsi="CG Times"/>
          <w:snapToGrid w:val="0"/>
          <w:vertAlign w:val="superscript"/>
        </w:rPr>
        <w:t xml:space="preserve"> </w:t>
      </w:r>
      <w:r w:rsidR="007A33D9" w:rsidRPr="007A33D9">
        <w:rPr>
          <w:sz w:val="22"/>
          <w:szCs w:val="22"/>
          <w:vertAlign w:val="superscript"/>
        </w:rPr>
        <w:footnoteReference w:id="17"/>
      </w:r>
      <w:r w:rsidRPr="00B80467">
        <w:rPr>
          <w:sz w:val="22"/>
          <w:szCs w:val="22"/>
        </w:rPr>
        <w:t xml:space="preserve"> </w:t>
      </w:r>
    </w:p>
    <w:p w:rsidR="00655D75" w:rsidRPr="00B80467" w:rsidRDefault="00656CE3" w:rsidP="00657B74">
      <w:pPr>
        <w:ind w:firstLine="720"/>
        <w:rPr>
          <w:sz w:val="22"/>
          <w:szCs w:val="22"/>
        </w:rPr>
      </w:pPr>
      <w:r w:rsidRPr="00B80467">
        <w:rPr>
          <w:sz w:val="22"/>
          <w:szCs w:val="22"/>
        </w:rPr>
        <w:t xml:space="preserve">Finally, </w:t>
      </w:r>
      <w:r w:rsidR="00575404" w:rsidRPr="00B80467">
        <w:rPr>
          <w:sz w:val="22"/>
          <w:szCs w:val="22"/>
        </w:rPr>
        <w:t xml:space="preserve">we find </w:t>
      </w:r>
      <w:r w:rsidR="00620CA2">
        <w:rPr>
          <w:sz w:val="22"/>
          <w:szCs w:val="22"/>
        </w:rPr>
        <w:t xml:space="preserve">that </w:t>
      </w:r>
      <w:r w:rsidR="00575404" w:rsidRPr="00B80467">
        <w:rPr>
          <w:sz w:val="22"/>
          <w:szCs w:val="22"/>
        </w:rPr>
        <w:t xml:space="preserve">MAC has not presented a substantial or material question of fact regarding Journal’s character qualifications.  </w:t>
      </w:r>
      <w:r w:rsidR="00452556" w:rsidRPr="00B80467">
        <w:rPr>
          <w:sz w:val="22"/>
          <w:szCs w:val="22"/>
        </w:rPr>
        <w:t>N</w:t>
      </w:r>
      <w:r w:rsidR="00575404" w:rsidRPr="00B80467">
        <w:rPr>
          <w:sz w:val="22"/>
          <w:szCs w:val="22"/>
        </w:rPr>
        <w:t xml:space="preserve">either Journal’s programming nor its </w:t>
      </w:r>
      <w:r w:rsidR="00452556" w:rsidRPr="00B80467">
        <w:rPr>
          <w:sz w:val="22"/>
          <w:szCs w:val="22"/>
        </w:rPr>
        <w:t>refusal to provide air time to supporters of Tom Barrett</w:t>
      </w:r>
      <w:r w:rsidR="00575404" w:rsidRPr="00B80467">
        <w:rPr>
          <w:sz w:val="22"/>
          <w:szCs w:val="22"/>
        </w:rPr>
        <w:t xml:space="preserve"> violated</w:t>
      </w:r>
      <w:r w:rsidR="00F53D42" w:rsidRPr="00B80467">
        <w:rPr>
          <w:sz w:val="22"/>
          <w:szCs w:val="22"/>
        </w:rPr>
        <w:t xml:space="preserve"> the Communications Act of 1934, as amended, or any</w:t>
      </w:r>
      <w:r w:rsidR="00575404" w:rsidRPr="00B80467">
        <w:rPr>
          <w:sz w:val="22"/>
          <w:szCs w:val="22"/>
        </w:rPr>
        <w:t xml:space="preserve"> Commission rule or policy.  In addition, while MAC </w:t>
      </w:r>
      <w:r w:rsidR="00F53D42" w:rsidRPr="00B80467">
        <w:rPr>
          <w:sz w:val="22"/>
          <w:szCs w:val="22"/>
        </w:rPr>
        <w:t>implies</w:t>
      </w:r>
      <w:r w:rsidR="00575404" w:rsidRPr="00B80467">
        <w:rPr>
          <w:sz w:val="22"/>
          <w:szCs w:val="22"/>
        </w:rPr>
        <w:t xml:space="preserve"> that </w:t>
      </w:r>
      <w:r w:rsidR="00F53D42" w:rsidRPr="00B80467">
        <w:rPr>
          <w:sz w:val="22"/>
          <w:szCs w:val="22"/>
        </w:rPr>
        <w:t>the Governor’s office provides talking points to one of the Station’s on-air personalities,</w:t>
      </w:r>
      <w:r w:rsidR="00452556" w:rsidRPr="00B80467">
        <w:rPr>
          <w:rStyle w:val="FootnoteReference"/>
          <w:sz w:val="22"/>
          <w:szCs w:val="22"/>
        </w:rPr>
        <w:footnoteReference w:id="18"/>
      </w:r>
      <w:r w:rsidR="00F53D42" w:rsidRPr="00B80467">
        <w:rPr>
          <w:sz w:val="22"/>
          <w:szCs w:val="22"/>
        </w:rPr>
        <w:t xml:space="preserve"> it does not submit an affidavit attesting to this fact from someone with </w:t>
      </w:r>
      <w:r w:rsidR="00452556" w:rsidRPr="00B80467">
        <w:rPr>
          <w:sz w:val="22"/>
          <w:szCs w:val="22"/>
        </w:rPr>
        <w:t>personal</w:t>
      </w:r>
      <w:r w:rsidR="00F53D42" w:rsidRPr="00B80467">
        <w:rPr>
          <w:sz w:val="22"/>
          <w:szCs w:val="22"/>
        </w:rPr>
        <w:t xml:space="preserve"> knowledge</w:t>
      </w:r>
      <w:r w:rsidR="00756702" w:rsidRPr="00B80467">
        <w:rPr>
          <w:sz w:val="22"/>
          <w:szCs w:val="22"/>
        </w:rPr>
        <w:t xml:space="preserve"> as required by Section 309(d)(1) of the Act.  Further, e</w:t>
      </w:r>
      <w:r w:rsidR="00F53D42" w:rsidRPr="00B80467">
        <w:rPr>
          <w:sz w:val="22"/>
          <w:szCs w:val="22"/>
        </w:rPr>
        <w:t xml:space="preserve">ven if it </w:t>
      </w:r>
      <w:r w:rsidR="00452556" w:rsidRPr="00B80467">
        <w:rPr>
          <w:sz w:val="22"/>
          <w:szCs w:val="22"/>
        </w:rPr>
        <w:t>had provided such an affidavit</w:t>
      </w:r>
      <w:r w:rsidR="00F53D42" w:rsidRPr="00B80467">
        <w:rPr>
          <w:sz w:val="22"/>
          <w:szCs w:val="22"/>
        </w:rPr>
        <w:t xml:space="preserve">, MAC does not specify </w:t>
      </w:r>
      <w:r w:rsidR="000F2D96">
        <w:rPr>
          <w:sz w:val="22"/>
          <w:szCs w:val="22"/>
        </w:rPr>
        <w:t xml:space="preserve">the </w:t>
      </w:r>
      <w:r w:rsidR="00F53D42" w:rsidRPr="00B80467">
        <w:rPr>
          <w:sz w:val="22"/>
          <w:szCs w:val="22"/>
        </w:rPr>
        <w:t xml:space="preserve">provision of the Communications Act or </w:t>
      </w:r>
      <w:r w:rsidR="000F2D96">
        <w:rPr>
          <w:sz w:val="22"/>
          <w:szCs w:val="22"/>
        </w:rPr>
        <w:t>the</w:t>
      </w:r>
      <w:r w:rsidR="00F53D42" w:rsidRPr="00B80467">
        <w:rPr>
          <w:sz w:val="22"/>
          <w:szCs w:val="22"/>
        </w:rPr>
        <w:t xml:space="preserve"> Commission</w:t>
      </w:r>
      <w:r w:rsidR="000F2D96">
        <w:rPr>
          <w:sz w:val="22"/>
          <w:szCs w:val="22"/>
        </w:rPr>
        <w:t>’s</w:t>
      </w:r>
      <w:r w:rsidR="00F53D42" w:rsidRPr="00B80467">
        <w:rPr>
          <w:sz w:val="22"/>
          <w:szCs w:val="22"/>
        </w:rPr>
        <w:t xml:space="preserve"> rule</w:t>
      </w:r>
      <w:r w:rsidR="000F2D96">
        <w:rPr>
          <w:sz w:val="22"/>
          <w:szCs w:val="22"/>
        </w:rPr>
        <w:t>s</w:t>
      </w:r>
      <w:r w:rsidR="00F53D42" w:rsidRPr="00B80467">
        <w:rPr>
          <w:sz w:val="22"/>
          <w:szCs w:val="22"/>
        </w:rPr>
        <w:t xml:space="preserve"> or polic</w:t>
      </w:r>
      <w:r w:rsidR="000F2D96">
        <w:rPr>
          <w:sz w:val="22"/>
          <w:szCs w:val="22"/>
        </w:rPr>
        <w:t>ies</w:t>
      </w:r>
      <w:r w:rsidR="00F53D42" w:rsidRPr="00B80467">
        <w:rPr>
          <w:sz w:val="22"/>
          <w:szCs w:val="22"/>
        </w:rPr>
        <w:t xml:space="preserve"> this </w:t>
      </w:r>
      <w:r w:rsidR="00620CA2">
        <w:rPr>
          <w:sz w:val="22"/>
          <w:szCs w:val="22"/>
        </w:rPr>
        <w:t xml:space="preserve">might </w:t>
      </w:r>
      <w:r w:rsidR="00F53D42" w:rsidRPr="00B80467">
        <w:rPr>
          <w:sz w:val="22"/>
          <w:szCs w:val="22"/>
        </w:rPr>
        <w:t>violate</w:t>
      </w:r>
      <w:r w:rsidR="00575404" w:rsidRPr="00B80467">
        <w:rPr>
          <w:sz w:val="22"/>
          <w:szCs w:val="22"/>
        </w:rPr>
        <w:t xml:space="preserve">.  </w:t>
      </w:r>
    </w:p>
    <w:p w:rsidR="00F53D42" w:rsidRPr="00B80467" w:rsidRDefault="00F53D42" w:rsidP="00657B74">
      <w:pPr>
        <w:ind w:firstLine="720"/>
        <w:rPr>
          <w:sz w:val="22"/>
          <w:szCs w:val="22"/>
        </w:rPr>
      </w:pPr>
    </w:p>
    <w:p w:rsidR="002E6915" w:rsidRPr="00B80467" w:rsidRDefault="00C02982" w:rsidP="00657B74">
      <w:pPr>
        <w:ind w:firstLine="720"/>
        <w:rPr>
          <w:sz w:val="22"/>
          <w:szCs w:val="22"/>
        </w:rPr>
      </w:pPr>
      <w:r w:rsidRPr="00B80467">
        <w:rPr>
          <w:sz w:val="22"/>
          <w:szCs w:val="22"/>
        </w:rPr>
        <w:t xml:space="preserve">We have evaluated the </w:t>
      </w:r>
      <w:r w:rsidR="00C41106" w:rsidRPr="00B80467">
        <w:rPr>
          <w:sz w:val="22"/>
          <w:szCs w:val="22"/>
        </w:rPr>
        <w:t>Application</w:t>
      </w:r>
      <w:r w:rsidRPr="00B80467">
        <w:rPr>
          <w:sz w:val="22"/>
          <w:szCs w:val="22"/>
        </w:rPr>
        <w:t xml:space="preserve"> pursuant to Section 309(k) of the Act, and we find that </w:t>
      </w:r>
      <w:r w:rsidR="002E6915" w:rsidRPr="00B80467">
        <w:rPr>
          <w:sz w:val="22"/>
          <w:szCs w:val="22"/>
        </w:rPr>
        <w:t>the Station ha</w:t>
      </w:r>
      <w:r w:rsidR="00C41106" w:rsidRPr="00B80467">
        <w:rPr>
          <w:sz w:val="22"/>
          <w:szCs w:val="22"/>
        </w:rPr>
        <w:t>s</w:t>
      </w:r>
      <w:r w:rsidRPr="00B80467">
        <w:rPr>
          <w:sz w:val="22"/>
          <w:szCs w:val="22"/>
        </w:rPr>
        <w:t xml:space="preserve"> served the public interest, convenience, and necessity during </w:t>
      </w:r>
      <w:r w:rsidR="002E6915" w:rsidRPr="00B80467">
        <w:rPr>
          <w:sz w:val="22"/>
          <w:szCs w:val="22"/>
        </w:rPr>
        <w:t xml:space="preserve">the most recent license term.  </w:t>
      </w:r>
      <w:r w:rsidRPr="00B80467">
        <w:rPr>
          <w:sz w:val="22"/>
          <w:szCs w:val="22"/>
        </w:rPr>
        <w:t xml:space="preserve">Moreover, we find that there have been no serious violations of the Act or the Rules involving </w:t>
      </w:r>
      <w:r w:rsidR="002E6915" w:rsidRPr="00B80467">
        <w:rPr>
          <w:sz w:val="22"/>
          <w:szCs w:val="22"/>
        </w:rPr>
        <w:t>the Station</w:t>
      </w:r>
      <w:r w:rsidRPr="00B80467">
        <w:rPr>
          <w:sz w:val="22"/>
          <w:szCs w:val="22"/>
        </w:rPr>
        <w:t xml:space="preserve"> which, taken together, would constitute a pattern of abuse. </w:t>
      </w:r>
      <w:r w:rsidR="00495EC5" w:rsidRPr="00B80467">
        <w:rPr>
          <w:sz w:val="22"/>
          <w:szCs w:val="22"/>
        </w:rPr>
        <w:t xml:space="preserve"> </w:t>
      </w:r>
      <w:r w:rsidRPr="00B80467">
        <w:rPr>
          <w:sz w:val="22"/>
          <w:szCs w:val="22"/>
        </w:rPr>
        <w:t xml:space="preserve">In light of the foregoing, we will grant the </w:t>
      </w:r>
      <w:r w:rsidR="002E6915" w:rsidRPr="00B80467">
        <w:rPr>
          <w:sz w:val="22"/>
          <w:szCs w:val="22"/>
        </w:rPr>
        <w:t>A</w:t>
      </w:r>
      <w:r w:rsidRPr="00B80467">
        <w:rPr>
          <w:sz w:val="22"/>
          <w:szCs w:val="22"/>
        </w:rPr>
        <w:t>pplication</w:t>
      </w:r>
      <w:r w:rsidR="002E6915" w:rsidRPr="00B80467">
        <w:rPr>
          <w:sz w:val="22"/>
          <w:szCs w:val="22"/>
        </w:rPr>
        <w:t xml:space="preserve"> and r</w:t>
      </w:r>
      <w:r w:rsidR="00C41106" w:rsidRPr="00B80467">
        <w:rPr>
          <w:sz w:val="22"/>
          <w:szCs w:val="22"/>
        </w:rPr>
        <w:t>enew the Station’s</w:t>
      </w:r>
      <w:r w:rsidR="002E6915" w:rsidRPr="00B80467">
        <w:rPr>
          <w:sz w:val="22"/>
          <w:szCs w:val="22"/>
        </w:rPr>
        <w:t xml:space="preserve"> license</w:t>
      </w:r>
      <w:r w:rsidRPr="00B80467">
        <w:rPr>
          <w:sz w:val="22"/>
          <w:szCs w:val="22"/>
        </w:rPr>
        <w:t xml:space="preserve">. </w:t>
      </w:r>
    </w:p>
    <w:p w:rsidR="002E6915" w:rsidRPr="00B80467" w:rsidRDefault="002E6915" w:rsidP="00657B74">
      <w:pPr>
        <w:rPr>
          <w:sz w:val="22"/>
          <w:szCs w:val="22"/>
        </w:rPr>
      </w:pPr>
    </w:p>
    <w:p w:rsidR="00C02982" w:rsidRPr="00B80467" w:rsidRDefault="00C02982" w:rsidP="00657B74">
      <w:pPr>
        <w:ind w:firstLine="720"/>
        <w:rPr>
          <w:sz w:val="22"/>
          <w:szCs w:val="22"/>
        </w:rPr>
      </w:pPr>
      <w:r w:rsidRPr="00B80467">
        <w:rPr>
          <w:sz w:val="22"/>
          <w:szCs w:val="22"/>
        </w:rPr>
        <w:t xml:space="preserve">Accordingly, </w:t>
      </w:r>
      <w:r w:rsidR="00BE3351" w:rsidRPr="00B80467">
        <w:rPr>
          <w:sz w:val="22"/>
          <w:szCs w:val="22"/>
        </w:rPr>
        <w:t>pursuant to Section 309(k) of the Communications Act of 1934, as amended</w:t>
      </w:r>
      <w:r w:rsidR="00753D7F" w:rsidRPr="00B80467">
        <w:rPr>
          <w:sz w:val="22"/>
          <w:szCs w:val="22"/>
        </w:rPr>
        <w:t xml:space="preserve"> and Sections 0.61 and 0.283 of the Rules</w:t>
      </w:r>
      <w:r w:rsidR="00BE3351" w:rsidRPr="00B80467">
        <w:rPr>
          <w:sz w:val="22"/>
          <w:szCs w:val="22"/>
        </w:rPr>
        <w:t xml:space="preserve">, </w:t>
      </w:r>
      <w:r w:rsidR="00753D7F" w:rsidRPr="00B80467">
        <w:rPr>
          <w:sz w:val="22"/>
          <w:szCs w:val="22"/>
        </w:rPr>
        <w:t>the Petition to Deny filed by Media Action Center on November 1, 2012, IS DENIED, and</w:t>
      </w:r>
      <w:r w:rsidR="00452556" w:rsidRPr="00B80467">
        <w:rPr>
          <w:sz w:val="22"/>
          <w:szCs w:val="22"/>
        </w:rPr>
        <w:t xml:space="preserve"> the</w:t>
      </w:r>
      <w:r w:rsidR="00753D7F" w:rsidRPr="00B80467">
        <w:rPr>
          <w:sz w:val="22"/>
          <w:szCs w:val="22"/>
        </w:rPr>
        <w:t xml:space="preserve"> application </w:t>
      </w:r>
      <w:r w:rsidR="00BE3351" w:rsidRPr="00B80467">
        <w:rPr>
          <w:sz w:val="22"/>
          <w:szCs w:val="22"/>
        </w:rPr>
        <w:t>of</w:t>
      </w:r>
      <w:r w:rsidR="00B86935" w:rsidRPr="00B80467">
        <w:rPr>
          <w:sz w:val="22"/>
          <w:szCs w:val="22"/>
        </w:rPr>
        <w:t xml:space="preserve"> Journal Broadcast Corporation</w:t>
      </w:r>
      <w:r w:rsidR="00BE3351" w:rsidRPr="00B80467">
        <w:rPr>
          <w:sz w:val="22"/>
          <w:szCs w:val="22"/>
        </w:rPr>
        <w:t xml:space="preserve"> for</w:t>
      </w:r>
      <w:r w:rsidR="00753D7F" w:rsidRPr="00B80467">
        <w:rPr>
          <w:sz w:val="22"/>
          <w:szCs w:val="22"/>
        </w:rPr>
        <w:t xml:space="preserve"> renewal of its license for</w:t>
      </w:r>
      <w:r w:rsidR="00BE3351" w:rsidRPr="00B80467">
        <w:rPr>
          <w:sz w:val="22"/>
          <w:szCs w:val="22"/>
        </w:rPr>
        <w:t xml:space="preserve"> Station </w:t>
      </w:r>
      <w:r w:rsidR="00B86935" w:rsidRPr="00B80467">
        <w:rPr>
          <w:sz w:val="22"/>
          <w:szCs w:val="22"/>
        </w:rPr>
        <w:t>WTMJ(AM)</w:t>
      </w:r>
      <w:r w:rsidR="00BE3351" w:rsidRPr="00B80467">
        <w:rPr>
          <w:sz w:val="22"/>
          <w:szCs w:val="22"/>
        </w:rPr>
        <w:t xml:space="preserve">, </w:t>
      </w:r>
      <w:r w:rsidR="00B86935" w:rsidRPr="00B80467">
        <w:rPr>
          <w:sz w:val="22"/>
          <w:szCs w:val="22"/>
        </w:rPr>
        <w:t xml:space="preserve">Milwaukee, Wisconsin (File No. BR-20120801ABX) IS </w:t>
      </w:r>
      <w:r w:rsidRPr="00B80467">
        <w:rPr>
          <w:sz w:val="22"/>
          <w:szCs w:val="22"/>
        </w:rPr>
        <w:t>GRANTED.</w:t>
      </w:r>
      <w:r w:rsidR="00B309BE">
        <w:rPr>
          <w:sz w:val="22"/>
          <w:szCs w:val="22"/>
        </w:rPr>
        <w:t xml:space="preserve">  In addition, the complaint</w:t>
      </w:r>
      <w:r w:rsidR="00A37B01">
        <w:rPr>
          <w:sz w:val="22"/>
          <w:szCs w:val="22"/>
        </w:rPr>
        <w:t xml:space="preserve"> filed by Sue Wilson</w:t>
      </w:r>
      <w:r w:rsidR="00B309BE">
        <w:rPr>
          <w:sz w:val="22"/>
          <w:szCs w:val="22"/>
        </w:rPr>
        <w:t xml:space="preserve"> IS DENIED.</w:t>
      </w:r>
    </w:p>
    <w:p w:rsidR="00C02982" w:rsidRPr="00B80467" w:rsidRDefault="00C02982" w:rsidP="00657B74">
      <w:pPr>
        <w:rPr>
          <w:sz w:val="22"/>
          <w:szCs w:val="22"/>
        </w:rPr>
      </w:pPr>
    </w:p>
    <w:p w:rsidR="00BA208B" w:rsidRPr="00B80467" w:rsidRDefault="00BA208B" w:rsidP="00657B74">
      <w:pPr>
        <w:tabs>
          <w:tab w:val="left" w:pos="720"/>
          <w:tab w:val="left" w:pos="5040"/>
          <w:tab w:val="left" w:pos="7665"/>
        </w:tabs>
        <w:rPr>
          <w:b/>
          <w:sz w:val="22"/>
          <w:szCs w:val="22"/>
        </w:rPr>
      </w:pPr>
      <w:r w:rsidRPr="00B80467">
        <w:rPr>
          <w:sz w:val="22"/>
          <w:szCs w:val="22"/>
        </w:rPr>
        <w:tab/>
      </w:r>
      <w:r w:rsidRPr="00B80467">
        <w:rPr>
          <w:sz w:val="22"/>
          <w:szCs w:val="22"/>
        </w:rPr>
        <w:tab/>
        <w:t>Sincerely,</w:t>
      </w:r>
    </w:p>
    <w:p w:rsidR="00BA208B" w:rsidRPr="00B80467" w:rsidRDefault="00BA208B" w:rsidP="00657B74">
      <w:pPr>
        <w:tabs>
          <w:tab w:val="left" w:pos="720"/>
          <w:tab w:val="left" w:pos="5040"/>
          <w:tab w:val="left" w:pos="7665"/>
        </w:tabs>
        <w:rPr>
          <w:sz w:val="22"/>
          <w:szCs w:val="22"/>
        </w:rPr>
      </w:pPr>
    </w:p>
    <w:p w:rsidR="00BA208B" w:rsidRPr="00B80467" w:rsidRDefault="00BA208B" w:rsidP="00657B74">
      <w:pPr>
        <w:tabs>
          <w:tab w:val="left" w:pos="720"/>
          <w:tab w:val="left" w:pos="5040"/>
          <w:tab w:val="left" w:pos="7665"/>
        </w:tabs>
        <w:rPr>
          <w:sz w:val="22"/>
          <w:szCs w:val="22"/>
        </w:rPr>
      </w:pPr>
      <w:r w:rsidRPr="00B80467">
        <w:rPr>
          <w:sz w:val="22"/>
          <w:szCs w:val="22"/>
        </w:rPr>
        <w:tab/>
      </w:r>
    </w:p>
    <w:p w:rsidR="00BA208B" w:rsidRPr="00B80467" w:rsidRDefault="00BA208B" w:rsidP="00657B74">
      <w:pPr>
        <w:tabs>
          <w:tab w:val="left" w:pos="720"/>
          <w:tab w:val="left" w:pos="5040"/>
          <w:tab w:val="left" w:pos="7665"/>
        </w:tabs>
        <w:rPr>
          <w:sz w:val="22"/>
          <w:szCs w:val="22"/>
        </w:rPr>
      </w:pPr>
    </w:p>
    <w:p w:rsidR="00BA208B" w:rsidRPr="00B80467" w:rsidRDefault="00BA208B" w:rsidP="00657B74">
      <w:pPr>
        <w:tabs>
          <w:tab w:val="left" w:pos="720"/>
          <w:tab w:val="left" w:pos="5040"/>
          <w:tab w:val="left" w:pos="7665"/>
        </w:tabs>
        <w:rPr>
          <w:sz w:val="22"/>
          <w:szCs w:val="22"/>
        </w:rPr>
      </w:pPr>
      <w:r w:rsidRPr="00B80467">
        <w:rPr>
          <w:sz w:val="22"/>
          <w:szCs w:val="22"/>
        </w:rPr>
        <w:tab/>
      </w:r>
      <w:r w:rsidRPr="00B80467">
        <w:rPr>
          <w:sz w:val="22"/>
          <w:szCs w:val="22"/>
        </w:rPr>
        <w:tab/>
      </w:r>
      <w:r w:rsidR="00A37B01">
        <w:rPr>
          <w:sz w:val="22"/>
          <w:szCs w:val="22"/>
        </w:rPr>
        <w:t>William T. Lake</w:t>
      </w:r>
    </w:p>
    <w:p w:rsidR="007C5F8B" w:rsidRPr="00B80467" w:rsidRDefault="00BA208B" w:rsidP="00657B74">
      <w:pPr>
        <w:tabs>
          <w:tab w:val="left" w:pos="720"/>
          <w:tab w:val="left" w:pos="5040"/>
          <w:tab w:val="left" w:pos="7665"/>
        </w:tabs>
        <w:rPr>
          <w:sz w:val="22"/>
          <w:szCs w:val="22"/>
          <w:lang w:val="es-ES"/>
        </w:rPr>
      </w:pPr>
      <w:r w:rsidRPr="00B80467">
        <w:rPr>
          <w:sz w:val="22"/>
          <w:szCs w:val="22"/>
        </w:rPr>
        <w:tab/>
      </w:r>
      <w:r w:rsidRPr="00B80467">
        <w:rPr>
          <w:sz w:val="22"/>
          <w:szCs w:val="22"/>
        </w:rPr>
        <w:tab/>
        <w:t xml:space="preserve">Chief, </w:t>
      </w:r>
      <w:r w:rsidRPr="00B80467">
        <w:rPr>
          <w:sz w:val="22"/>
          <w:szCs w:val="22"/>
          <w:lang w:val="es-ES"/>
        </w:rPr>
        <w:t>Media Bureau</w:t>
      </w:r>
      <w:r w:rsidRPr="00B80467">
        <w:rPr>
          <w:sz w:val="22"/>
          <w:szCs w:val="22"/>
          <w:lang w:val="es-ES"/>
        </w:rPr>
        <w:tab/>
      </w:r>
    </w:p>
    <w:sectPr w:rsidR="007C5F8B" w:rsidRPr="00B80467">
      <w:headerReference w:type="even" r:id="rId8"/>
      <w:headerReference w:type="default" r:id="rId9"/>
      <w:footerReference w:type="even" r:id="rId10"/>
      <w:footerReference w:type="default" r:id="rId11"/>
      <w:headerReference w:type="first" r:id="rId12"/>
      <w:footerReference w:type="first" r:id="rId13"/>
      <w:pgSz w:w="12240" w:h="15840" w:code="1"/>
      <w:pgMar w:top="1987"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791" w:rsidRDefault="00593791">
      <w:r>
        <w:separator/>
      </w:r>
    </w:p>
  </w:endnote>
  <w:endnote w:type="continuationSeparator" w:id="0">
    <w:p w:rsidR="00593791" w:rsidRDefault="00593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C45" w:rsidRDefault="001A2C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A2C45" w:rsidRDefault="001A2C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C45" w:rsidRDefault="001A2C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449B">
      <w:rPr>
        <w:rStyle w:val="PageNumber"/>
        <w:noProof/>
      </w:rPr>
      <w:t>2</w:t>
    </w:r>
    <w:r>
      <w:rPr>
        <w:rStyle w:val="PageNumber"/>
      </w:rPr>
      <w:fldChar w:fldCharType="end"/>
    </w:r>
  </w:p>
  <w:p w:rsidR="001A2C45" w:rsidRDefault="001A2C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739" w:rsidRDefault="00A307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791" w:rsidRDefault="00593791">
      <w:r>
        <w:separator/>
      </w:r>
    </w:p>
  </w:footnote>
  <w:footnote w:type="continuationSeparator" w:id="0">
    <w:p w:rsidR="00593791" w:rsidRDefault="00593791">
      <w:r>
        <w:continuationSeparator/>
      </w:r>
    </w:p>
  </w:footnote>
  <w:footnote w:id="1">
    <w:p w:rsidR="00211C82" w:rsidRPr="00B80467" w:rsidRDefault="00211C82" w:rsidP="00211C82">
      <w:pPr>
        <w:pStyle w:val="FootnoteText"/>
        <w:spacing w:after="200"/>
      </w:pPr>
      <w:r w:rsidRPr="00B80467">
        <w:rPr>
          <w:rStyle w:val="FootnoteReference"/>
        </w:rPr>
        <w:footnoteRef/>
      </w:r>
      <w:r w:rsidRPr="00B80467">
        <w:t xml:space="preserve"> Journal filed an Opposition to Petition to Deny on November 28, 2012, and MAC filed a Response to Opposition to Petition to Deny on December 19, 2012.</w:t>
      </w:r>
    </w:p>
  </w:footnote>
  <w:footnote w:id="2">
    <w:p w:rsidR="00094827" w:rsidRPr="00B80467" w:rsidRDefault="00094827" w:rsidP="00B80467">
      <w:pPr>
        <w:pStyle w:val="FootnoteText"/>
        <w:spacing w:after="200"/>
      </w:pPr>
      <w:r w:rsidRPr="00B80467">
        <w:rPr>
          <w:rStyle w:val="FootnoteReference"/>
        </w:rPr>
        <w:footnoteRef/>
      </w:r>
      <w:r w:rsidRPr="00B80467">
        <w:t xml:space="preserve"> Tom Barrett ran against Scott Walker in a recall election held on June 5, 2012.  It is the run up to this election on which MAC focuses in the Petition. </w:t>
      </w:r>
    </w:p>
  </w:footnote>
  <w:footnote w:id="3">
    <w:p w:rsidR="00657B74" w:rsidRPr="00B80467" w:rsidRDefault="00657B74" w:rsidP="00B80467">
      <w:pPr>
        <w:pStyle w:val="FootnoteText"/>
        <w:spacing w:after="200"/>
      </w:pPr>
      <w:r w:rsidRPr="00B80467">
        <w:rPr>
          <w:rStyle w:val="FootnoteReference"/>
        </w:rPr>
        <w:footnoteRef/>
      </w:r>
      <w:r w:rsidRPr="00B80467">
        <w:t xml:space="preserve"> </w:t>
      </w:r>
      <w:r w:rsidR="008447B5" w:rsidRPr="00B80467">
        <w:t xml:space="preserve">Petition at 7-16.  </w:t>
      </w:r>
      <w:r w:rsidRPr="00B80467">
        <w:t xml:space="preserve">The </w:t>
      </w:r>
      <w:r w:rsidRPr="00E655B3">
        <w:t>Zapple</w:t>
      </w:r>
      <w:r w:rsidRPr="00B80467">
        <w:t xml:space="preserve"> Doctrine was adopted by the Commission in 1970 in response to a letter from Nicholas </w:t>
      </w:r>
      <w:r w:rsidRPr="00FF05F7">
        <w:t>Zapple</w:t>
      </w:r>
      <w:r w:rsidRPr="00B80467">
        <w:t xml:space="preserve">, then Communications Counsel for the Committee on Commerce, United States Senate, “requesting an interpretative ruling on two questions involving the applicability of the fairness doctrine to situations where supporters of a political candidate purchase broadcast time.”  </w:t>
      </w:r>
      <w:r w:rsidRPr="00B80467">
        <w:rPr>
          <w:i/>
        </w:rPr>
        <w:t>In Re Request by Nicholas Zapple</w:t>
      </w:r>
      <w:r w:rsidR="000F2D96">
        <w:rPr>
          <w:i/>
        </w:rPr>
        <w:t>,</w:t>
      </w:r>
      <w:r w:rsidRPr="00B80467">
        <w:rPr>
          <w:i/>
        </w:rPr>
        <w:t xml:space="preserve"> Communications Counsel, Committee on Commerce For Interpretative Ruling Concerning Section 315 Fairness Doctrine</w:t>
      </w:r>
      <w:r w:rsidRPr="00B80467">
        <w:t xml:space="preserve">, 23 FCC 2d 707, 707 (1970).  The Commission ruled that the fairness doctrine was “plainly applicable” in a situation in which a station provides time to a spokesperson for, or a supporter of, one candidate to broadcast a discussion of the candidates or campaign issues in a particular race, and that the fairness doctrine would require that the station provide comparable time upon request to a spokesperson for or supporter of the candidate’s opponent.  This requirement became known as the </w:t>
      </w:r>
      <w:r w:rsidRPr="00E655B3">
        <w:t>Zapple</w:t>
      </w:r>
      <w:r w:rsidRPr="00B80467">
        <w:t xml:space="preserve"> Doctrine.  </w:t>
      </w:r>
    </w:p>
  </w:footnote>
  <w:footnote w:id="4">
    <w:p w:rsidR="008447B5" w:rsidRPr="00B80467" w:rsidRDefault="008447B5" w:rsidP="00B80467">
      <w:pPr>
        <w:pStyle w:val="FootnoteText"/>
        <w:spacing w:after="200"/>
      </w:pPr>
      <w:r w:rsidRPr="00B80467">
        <w:rPr>
          <w:rStyle w:val="FootnoteReference"/>
        </w:rPr>
        <w:footnoteRef/>
      </w:r>
      <w:r w:rsidRPr="00B80467">
        <w:t xml:space="preserve"> Petition at 16.</w:t>
      </w:r>
    </w:p>
  </w:footnote>
  <w:footnote w:id="5">
    <w:p w:rsidR="00C02982" w:rsidRPr="00B80467" w:rsidRDefault="00C02982" w:rsidP="00B80467">
      <w:pPr>
        <w:pStyle w:val="FootnoteText"/>
        <w:spacing w:after="200"/>
        <w:jc w:val="both"/>
      </w:pPr>
      <w:r w:rsidRPr="00B80467">
        <w:rPr>
          <w:rStyle w:val="FootnoteReference"/>
        </w:rPr>
        <w:footnoteRef/>
      </w:r>
      <w:r w:rsidRPr="00B80467">
        <w:t xml:space="preserve"> 47 U.S.C. § 309(d).</w:t>
      </w:r>
    </w:p>
  </w:footnote>
  <w:footnote w:id="6">
    <w:p w:rsidR="00C02982" w:rsidRPr="00B80467" w:rsidRDefault="00C02982" w:rsidP="00B80467">
      <w:pPr>
        <w:pStyle w:val="FootnoteText"/>
        <w:spacing w:after="200"/>
        <w:jc w:val="both"/>
      </w:pPr>
      <w:r w:rsidRPr="00B80467">
        <w:rPr>
          <w:rStyle w:val="FootnoteReference"/>
        </w:rPr>
        <w:footnoteRef/>
      </w:r>
      <w:r w:rsidRPr="00B80467">
        <w:t xml:space="preserve"> </w:t>
      </w:r>
      <w:r w:rsidRPr="00B80467">
        <w:rPr>
          <w:i/>
          <w:iCs/>
        </w:rPr>
        <w:t>Id.,</w:t>
      </w:r>
      <w:r w:rsidRPr="00B80467">
        <w:t xml:space="preserve"> § 309(k).</w:t>
      </w:r>
      <w:r w:rsidR="00D3367A" w:rsidRPr="00B80467">
        <w:t xml:space="preserve"> </w:t>
      </w:r>
      <w:r w:rsidRPr="00B80467">
        <w:t xml:space="preserve"> </w:t>
      </w:r>
      <w:r w:rsidRPr="00B80467">
        <w:rPr>
          <w:i/>
          <w:iCs/>
        </w:rPr>
        <w:t>See, e.g., WWOR-TV, Inc.,</w:t>
      </w:r>
      <w:r w:rsidRPr="00B80467">
        <w:t xml:space="preserve"> Memorandum Opinion and Order, 6 FCC Rcd 193, 197 n.10 (1990), </w:t>
      </w:r>
      <w:r w:rsidRPr="00B80467">
        <w:rPr>
          <w:i/>
          <w:iCs/>
        </w:rPr>
        <w:t>aff'd sub nom. Garden State Broadcasting L.P. v. FCC,</w:t>
      </w:r>
      <w:r w:rsidRPr="00B80467">
        <w:t xml:space="preserve"> 996 F.2d 386 (D.C. Cir. 1993), </w:t>
      </w:r>
      <w:r w:rsidRPr="00B80467">
        <w:rPr>
          <w:i/>
          <w:iCs/>
        </w:rPr>
        <w:t>reh'g denied</w:t>
      </w:r>
      <w:r w:rsidRPr="00B80467">
        <w:t xml:space="preserve"> (D.C. Cir. Sept. 10, 1993).</w:t>
      </w:r>
    </w:p>
  </w:footnote>
  <w:footnote w:id="7">
    <w:p w:rsidR="00C02982" w:rsidRPr="00B80467" w:rsidRDefault="00C02982" w:rsidP="00B80467">
      <w:pPr>
        <w:pStyle w:val="FootnoteText"/>
        <w:spacing w:after="200"/>
        <w:jc w:val="both"/>
      </w:pPr>
      <w:r w:rsidRPr="00B80467">
        <w:rPr>
          <w:rStyle w:val="FootnoteReference"/>
        </w:rPr>
        <w:footnoteRef/>
      </w:r>
      <w:r w:rsidRPr="00B80467">
        <w:t xml:space="preserve"> 47 U.S.C. § 309(k)(1). The renewal standard was amended to read as described in the text by Section 204(a) of the Telecommunications Act of 1996, Pub. L. No. 104-104, 110 Stat. 56 (1996). </w:t>
      </w:r>
      <w:r w:rsidRPr="00B80467">
        <w:rPr>
          <w:i/>
          <w:iCs/>
        </w:rPr>
        <w:t>See Implementation of Sections 204(a) and 204(c) of the Telecommunications Act of 1996 (Broadcast License Renewal Procedures),</w:t>
      </w:r>
      <w:r w:rsidRPr="00B80467">
        <w:t xml:space="preserve"> Order, 11 FCC Rcd 6363 (1996).</w:t>
      </w:r>
    </w:p>
  </w:footnote>
  <w:footnote w:id="8">
    <w:p w:rsidR="00C02982" w:rsidRPr="00B80467" w:rsidRDefault="00C02982" w:rsidP="00B80467">
      <w:pPr>
        <w:pStyle w:val="FootnoteText"/>
        <w:spacing w:after="200"/>
        <w:jc w:val="both"/>
      </w:pPr>
      <w:r w:rsidRPr="00B80467">
        <w:rPr>
          <w:rStyle w:val="FootnoteReference"/>
        </w:rPr>
        <w:footnoteRef/>
      </w:r>
      <w:r w:rsidRPr="00B80467">
        <w:t xml:space="preserve"> 47 U.S.C. §§ 309(k)(2), 309(k)(3).</w:t>
      </w:r>
    </w:p>
  </w:footnote>
  <w:footnote w:id="9">
    <w:p w:rsidR="004F0DBB" w:rsidRPr="00B80467" w:rsidRDefault="004F0DBB" w:rsidP="00B80467">
      <w:pPr>
        <w:pStyle w:val="FootnoteText"/>
        <w:spacing w:after="200"/>
      </w:pPr>
      <w:r w:rsidRPr="00B80467">
        <w:rPr>
          <w:rStyle w:val="FootnoteReference"/>
        </w:rPr>
        <w:footnoteRef/>
      </w:r>
      <w:r w:rsidRPr="00B80467">
        <w:t xml:space="preserve"> </w:t>
      </w:r>
      <w:r w:rsidRPr="00B80467">
        <w:rPr>
          <w:i/>
        </w:rPr>
        <w:t xml:space="preserve">See, e.g., </w:t>
      </w:r>
      <w:r w:rsidRPr="00B80467">
        <w:t xml:space="preserve">Petition at 15. </w:t>
      </w:r>
    </w:p>
  </w:footnote>
  <w:footnote w:id="10">
    <w:p w:rsidR="001D66B8" w:rsidRPr="00B80467" w:rsidRDefault="001D66B8" w:rsidP="00B80467">
      <w:pPr>
        <w:pStyle w:val="FootnoteText"/>
        <w:spacing w:after="200"/>
      </w:pPr>
      <w:r w:rsidRPr="00B80467">
        <w:rPr>
          <w:rStyle w:val="FootnoteReference"/>
        </w:rPr>
        <w:footnoteRef/>
      </w:r>
      <w:r w:rsidRPr="00B80467">
        <w:t xml:space="preserve"> U.S. Const. amend. 1;  47 U.S.C. § 326 (“Nothing in [the] Act shall be understood or construed to give the Commission the power of censorship over radio communications or signals transmitted by any radio station, and no regulation or condition shall be promulgated . . . by the Commission which shall interfere with the right of free speech by means of radio communication”).</w:t>
      </w:r>
    </w:p>
  </w:footnote>
  <w:footnote w:id="11">
    <w:p w:rsidR="001D66B8" w:rsidRPr="00B80467" w:rsidRDefault="001D66B8" w:rsidP="00B80467">
      <w:pPr>
        <w:pStyle w:val="FootnoteText"/>
        <w:spacing w:after="200"/>
      </w:pPr>
      <w:r w:rsidRPr="00B80467">
        <w:rPr>
          <w:rStyle w:val="FootnoteReference"/>
        </w:rPr>
        <w:footnoteRef/>
      </w:r>
      <w:r w:rsidRPr="00B80467">
        <w:t xml:space="preserve"> </w:t>
      </w:r>
      <w:r w:rsidRPr="00B80467">
        <w:rPr>
          <w:i/>
        </w:rPr>
        <w:t>See, e.g.</w:t>
      </w:r>
      <w:r w:rsidRPr="00B80467">
        <w:t xml:space="preserve">, </w:t>
      </w:r>
      <w:r w:rsidRPr="00B80467">
        <w:rPr>
          <w:i/>
        </w:rPr>
        <w:t>License Renewal Applications of Certain Commercial Radio Stations Serving Philadelphia, Pennsylvania</w:t>
      </w:r>
      <w:r w:rsidRPr="00B80467">
        <w:t>, Memorandum Opinion and Order, 8 FCC Rcd 6400, 6401 (1993) (“</w:t>
      </w:r>
      <w:r w:rsidRPr="00B80467">
        <w:rPr>
          <w:i/>
        </w:rPr>
        <w:t>Philadelphia Station License Renewals</w:t>
      </w:r>
      <w:r w:rsidR="00452556" w:rsidRPr="00B80467">
        <w:t>”),</w:t>
      </w:r>
      <w:r w:rsidR="00452556" w:rsidRPr="00B80467">
        <w:rPr>
          <w:i/>
        </w:rPr>
        <w:t xml:space="preserve"> </w:t>
      </w:r>
      <w:r w:rsidRPr="00B80467">
        <w:rPr>
          <w:i/>
        </w:rPr>
        <w:t>citing Time-Life Broadcast, Inc.</w:t>
      </w:r>
      <w:r w:rsidRPr="00B80467">
        <w:t xml:space="preserve">, Memorandum Opinion and Order, 33 FCC 2d 1081, 1082 (1972) and </w:t>
      </w:r>
      <w:r w:rsidRPr="00B80467">
        <w:rPr>
          <w:i/>
        </w:rPr>
        <w:t>Office of Communications of United Church of Christ v. FCC</w:t>
      </w:r>
      <w:r w:rsidRPr="00B80467">
        <w:t>, 707 F.2d 1413 (D.C. Cir. 1983) (subsequent history omitted).</w:t>
      </w:r>
    </w:p>
  </w:footnote>
  <w:footnote w:id="12">
    <w:p w:rsidR="001D66B8" w:rsidRPr="00B80467" w:rsidRDefault="001D66B8" w:rsidP="00B80467">
      <w:pPr>
        <w:pStyle w:val="FootnoteText"/>
        <w:spacing w:after="200"/>
      </w:pPr>
      <w:r w:rsidRPr="00B80467">
        <w:rPr>
          <w:rStyle w:val="FootnoteReference"/>
        </w:rPr>
        <w:footnoteRef/>
      </w:r>
      <w:r w:rsidRPr="00B80467">
        <w:t xml:space="preserve"> </w:t>
      </w:r>
      <w:r w:rsidRPr="00B80467">
        <w:rPr>
          <w:i/>
        </w:rPr>
        <w:t>Philadelphia Station License Renewals</w:t>
      </w:r>
      <w:r w:rsidRPr="00B80467">
        <w:t>, 8 FCC Rcd at 6401 (abuse of discretion occurs if a licensee is unreasonable or discriminatory in its selection of issues that it believes are of concern to the local community or if it offers such nominal levels of issue-responsive programming so as to as effectively defaulted on its obligation).</w:t>
      </w:r>
      <w:r w:rsidR="00D2148E">
        <w:t xml:space="preserve">  </w:t>
      </w:r>
      <w:r w:rsidR="00D2148E" w:rsidRPr="00B80467">
        <w:t xml:space="preserve">The Commission does, however, enforce the statutory prohibition on the broadcast of obscene, indecent and profane material.  </w:t>
      </w:r>
      <w:r w:rsidR="00D2148E" w:rsidRPr="00B80467">
        <w:rPr>
          <w:i/>
        </w:rPr>
        <w:t xml:space="preserve">See </w:t>
      </w:r>
      <w:r w:rsidR="00D2148E" w:rsidRPr="00B80467">
        <w:t>18 U.S.C. § 1464.</w:t>
      </w:r>
    </w:p>
  </w:footnote>
  <w:footnote w:id="13">
    <w:p w:rsidR="003B2924" w:rsidRPr="00B80467" w:rsidRDefault="003B2924" w:rsidP="00B80467">
      <w:pPr>
        <w:pStyle w:val="FootnoteText"/>
        <w:spacing w:after="200"/>
      </w:pPr>
      <w:r w:rsidRPr="00B80467">
        <w:rPr>
          <w:rStyle w:val="FootnoteReference"/>
        </w:rPr>
        <w:footnoteRef/>
      </w:r>
      <w:r w:rsidRPr="00B80467">
        <w:t xml:space="preserve"> </w:t>
      </w:r>
      <w:r w:rsidRPr="00B80467">
        <w:rPr>
          <w:i/>
          <w:iCs/>
        </w:rPr>
        <w:t xml:space="preserve">See, e.g., WMAL(AM), Washington, DC, </w:t>
      </w:r>
      <w:r w:rsidRPr="00B80467">
        <w:rPr>
          <w:iCs/>
        </w:rPr>
        <w:t>Letter, 28 FCC Rcd 14907</w:t>
      </w:r>
      <w:r w:rsidR="00CF7BBE" w:rsidRPr="00B80467">
        <w:rPr>
          <w:iCs/>
        </w:rPr>
        <w:t>, 14908-09</w:t>
      </w:r>
      <w:r w:rsidRPr="00B80467">
        <w:rPr>
          <w:iCs/>
        </w:rPr>
        <w:t xml:space="preserve"> (MB 2013) (denying informal objection that argued station’s programming had an “incessant bias”); </w:t>
      </w:r>
      <w:r w:rsidRPr="00B80467">
        <w:rPr>
          <w:i/>
          <w:iCs/>
        </w:rPr>
        <w:t xml:space="preserve"> KFBK(AM), Sacramento and KSTE(AM), Rancho Cordova, California,</w:t>
      </w:r>
      <w:r w:rsidRPr="00B80467">
        <w:t xml:space="preserve"> Letter, 22 FCC Rcd 4804, 4805 (MB 2007) (informal objections against license renewals arguing that the stations aired "'heavily-biased . . . programming amount[ing] to the use of the airwaves as a relentless political pulpit, presenting only one-sided, predictable opinion on most issues, and even blatantly endorsing one political party'" denied as outside the scope of Commission authority); </w:t>
      </w:r>
      <w:r w:rsidRPr="00B80467">
        <w:rPr>
          <w:i/>
          <w:iCs/>
        </w:rPr>
        <w:t>KUYI(FM), Hotevilla, Arizona,</w:t>
      </w:r>
      <w:r w:rsidRPr="00B80467">
        <w:t xml:space="preserve"> Letter, 22 FCC Rcd 17305, 17308 (MB 2007) (denying programming objections that the station broadcasted "biased political public service programming"); </w:t>
      </w:r>
      <w:r w:rsidRPr="00B80467">
        <w:rPr>
          <w:i/>
          <w:iCs/>
        </w:rPr>
        <w:t>WYLL(AM), Chicago, Illinois,</w:t>
      </w:r>
      <w:r w:rsidRPr="00B80467">
        <w:t xml:space="preserve"> Letter, 22 FCC Rcd 5579, 5580 (MB 2007) (denying an informal objection based on perceived political bias due to limits on Commission authority and objector's failure to provide any specific examples of objectionable programming).</w:t>
      </w:r>
    </w:p>
  </w:footnote>
  <w:footnote w:id="14">
    <w:p w:rsidR="00657B74" w:rsidRPr="00B80467" w:rsidRDefault="00657B74" w:rsidP="00B80467">
      <w:pPr>
        <w:pStyle w:val="FootnoteText"/>
        <w:spacing w:after="200"/>
      </w:pPr>
      <w:r w:rsidRPr="00B80467">
        <w:rPr>
          <w:rStyle w:val="FootnoteReference"/>
        </w:rPr>
        <w:footnoteRef/>
      </w:r>
      <w:r w:rsidRPr="00B80467">
        <w:t xml:space="preserve"> </w:t>
      </w:r>
      <w:r w:rsidRPr="00B80467">
        <w:rPr>
          <w:i/>
        </w:rPr>
        <w:t>See Syracuse Peace Council</w:t>
      </w:r>
      <w:r w:rsidR="00756702" w:rsidRPr="00B80467">
        <w:t xml:space="preserve">, Memorandum Opinion and Order, </w:t>
      </w:r>
      <w:r w:rsidRPr="00B80467">
        <w:t xml:space="preserve">2 FCC Rcd 5043 (1987), </w:t>
      </w:r>
      <w:r w:rsidRPr="00B80467">
        <w:rPr>
          <w:i/>
        </w:rPr>
        <w:t>recon. denied</w:t>
      </w:r>
      <w:r w:rsidRPr="00B80467">
        <w:t xml:space="preserve">, 3 FCC Rcd 2035 (1988).  </w:t>
      </w:r>
    </w:p>
  </w:footnote>
  <w:footnote w:id="15">
    <w:p w:rsidR="007A33D9" w:rsidRDefault="007A33D9">
      <w:pPr>
        <w:pStyle w:val="FootnoteText"/>
      </w:pPr>
      <w:r>
        <w:rPr>
          <w:rStyle w:val="FootnoteReference"/>
        </w:rPr>
        <w:footnoteRef/>
      </w:r>
      <w:r>
        <w:t xml:space="preserve"> </w:t>
      </w:r>
      <w:r w:rsidRPr="007A33D9">
        <w:rPr>
          <w:i/>
        </w:rPr>
        <w:t>Syracuse Peace Council v. FCC</w:t>
      </w:r>
      <w:r w:rsidRPr="007A33D9">
        <w:t xml:space="preserve">, 867 F.2d 654 (D.C. Cir. 1989), </w:t>
      </w:r>
      <w:r w:rsidRPr="007A33D9">
        <w:rPr>
          <w:i/>
        </w:rPr>
        <w:t>cert. denied</w:t>
      </w:r>
      <w:r w:rsidRPr="007A33D9">
        <w:t>, 493 U.S. 1019 (1990).</w:t>
      </w:r>
    </w:p>
  </w:footnote>
  <w:footnote w:id="16">
    <w:p w:rsidR="00657B74" w:rsidRPr="00B80467" w:rsidRDefault="00657B74" w:rsidP="00B80467">
      <w:pPr>
        <w:pStyle w:val="FootnoteText"/>
        <w:spacing w:after="200"/>
      </w:pPr>
      <w:r w:rsidRPr="00B80467">
        <w:rPr>
          <w:rStyle w:val="FootnoteReference"/>
        </w:rPr>
        <w:footnoteRef/>
      </w:r>
      <w:r w:rsidRPr="00B80467">
        <w:t xml:space="preserve"> </w:t>
      </w:r>
      <w:r w:rsidRPr="00B80467">
        <w:rPr>
          <w:i/>
        </w:rPr>
        <w:t>Amendment of Parts 1, 73, and 76 of the Commission’s Rules</w:t>
      </w:r>
      <w:r w:rsidRPr="00B80467">
        <w:t xml:space="preserve">, </w:t>
      </w:r>
      <w:r w:rsidR="00756702" w:rsidRPr="00B80467">
        <w:t xml:space="preserve">Order, </w:t>
      </w:r>
      <w:r w:rsidRPr="00B80467">
        <w:t>26 FCC Rcd 11422, 11423 (2011).</w:t>
      </w:r>
    </w:p>
  </w:footnote>
  <w:footnote w:id="17">
    <w:p w:rsidR="007A33D9" w:rsidRDefault="007A33D9" w:rsidP="007A33D9">
      <w:pPr>
        <w:pStyle w:val="FootnoteText"/>
      </w:pPr>
      <w:r>
        <w:rPr>
          <w:rStyle w:val="FootnoteReference"/>
        </w:rPr>
        <w:footnoteRef/>
      </w:r>
      <w:r>
        <w:t xml:space="preserve"> We acknowledge that the Commission’s decision in </w:t>
      </w:r>
      <w:smartTag w:uri="urn:schemas-microsoft-com:office:smarttags" w:element="City">
        <w:smartTag w:uri="urn:schemas-microsoft-com:office:smarttags" w:element="place">
          <w:r>
            <w:rPr>
              <w:i/>
            </w:rPr>
            <w:t>Syracuse</w:t>
          </w:r>
        </w:smartTag>
      </w:smartTag>
      <w:r>
        <w:t xml:space="preserve"> only ruled on the application of the fairness doctrine with respect to the facts before it and did not specifically address the </w:t>
      </w:r>
      <w:r w:rsidRPr="00E655B3">
        <w:t>Zapple</w:t>
      </w:r>
      <w:r>
        <w:t xml:space="preserve"> Doctrine or certain other applications of the fairness doctrine.  However, all other </w:t>
      </w:r>
      <w:r w:rsidRPr="00235176">
        <w:t xml:space="preserve">applications of the fairness doctrine, including its application to ballot propositions </w:t>
      </w:r>
      <w:r>
        <w:t xml:space="preserve">and </w:t>
      </w:r>
      <w:r w:rsidRPr="00235176">
        <w:t xml:space="preserve">the personal attack and political editorial rules, </w:t>
      </w:r>
      <w:r>
        <w:t>have subsequently been found unenforceable</w:t>
      </w:r>
      <w:r w:rsidRPr="00235176">
        <w:t xml:space="preserve"> </w:t>
      </w:r>
      <w:r>
        <w:t>or ordered repealed by the U. S. Court of Appeals for the D.C. Circuit given their reliance on</w:t>
      </w:r>
      <w:r w:rsidRPr="00235176">
        <w:t xml:space="preserve"> the fairness doctrine</w:t>
      </w:r>
      <w:r>
        <w:t xml:space="preserve">.  </w:t>
      </w:r>
      <w:r>
        <w:rPr>
          <w:i/>
        </w:rPr>
        <w:t xml:space="preserve">See Complaint of the </w:t>
      </w:r>
      <w:smartTag w:uri="urn:schemas-microsoft-com:office:smarttags" w:element="State">
        <w:r>
          <w:rPr>
            <w:i/>
          </w:rPr>
          <w:t>Arkansas</w:t>
        </w:r>
      </w:smartTag>
      <w:r>
        <w:rPr>
          <w:i/>
        </w:rPr>
        <w:t xml:space="preserve"> AFL-CIO and the Committee Against Amendment 2 v. Television Station KARK-TV, </w:t>
      </w:r>
      <w:smartTag w:uri="urn:schemas-microsoft-com:office:smarttags" w:element="place">
        <w:smartTag w:uri="urn:schemas-microsoft-com:office:smarttags" w:element="City">
          <w:r>
            <w:rPr>
              <w:i/>
            </w:rPr>
            <w:t>Little Rock</w:t>
          </w:r>
        </w:smartTag>
        <w:r>
          <w:rPr>
            <w:i/>
          </w:rPr>
          <w:t xml:space="preserve">, </w:t>
        </w:r>
        <w:smartTag w:uri="urn:schemas-microsoft-com:office:smarttags" w:element="State">
          <w:r>
            <w:rPr>
              <w:i/>
            </w:rPr>
            <w:t>Arkansas</w:t>
          </w:r>
        </w:smartTag>
      </w:smartTag>
      <w:r>
        <w:t xml:space="preserve">, 7 FCC Rcd 541 (1992); </w:t>
      </w:r>
      <w:r>
        <w:rPr>
          <w:i/>
        </w:rPr>
        <w:t>Radio-Television News Directors Assoc. v. FCC</w:t>
      </w:r>
      <w:r>
        <w:t xml:space="preserve">, 229 F.3d 269 (D.C. Cir. 2000).  We note that, unlike the personal attack and political editorial rules, the </w:t>
      </w:r>
      <w:r w:rsidRPr="00E655B3">
        <w:t>Zapple</w:t>
      </w:r>
      <w:r>
        <w:t xml:space="preserve"> Doctrine was never codified as a rule.  Thus, rulemaking proceedings were not necessary to repeal it.</w:t>
      </w:r>
    </w:p>
    <w:p w:rsidR="007A33D9" w:rsidRPr="00DB2C29" w:rsidRDefault="007A33D9" w:rsidP="007A33D9">
      <w:pPr>
        <w:pStyle w:val="FootnoteText"/>
      </w:pPr>
    </w:p>
  </w:footnote>
  <w:footnote w:id="18">
    <w:p w:rsidR="00452556" w:rsidRPr="00B80467" w:rsidRDefault="00452556" w:rsidP="00B80467">
      <w:pPr>
        <w:pStyle w:val="FootnoteText"/>
        <w:spacing w:after="200"/>
      </w:pPr>
      <w:r w:rsidRPr="00B80467">
        <w:rPr>
          <w:rStyle w:val="FootnoteReference"/>
        </w:rPr>
        <w:footnoteRef/>
      </w:r>
      <w:r w:rsidRPr="00B80467">
        <w:t xml:space="preserve"> Petition at 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739" w:rsidRDefault="00A307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739" w:rsidRDefault="00A307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C45" w:rsidRDefault="003D75F3">
    <w:pPr>
      <w:pStyle w:val="Header"/>
      <w:tabs>
        <w:tab w:val="clear" w:pos="4320"/>
        <w:tab w:val="clear" w:pos="8640"/>
      </w:tabs>
      <w:spacing w:before="360" w:line="228" w:lineRule="auto"/>
      <w:jc w:val="center"/>
      <w:rPr>
        <w:b/>
        <w:sz w:val="22"/>
        <w:szCs w:val="22"/>
      </w:rPr>
    </w:pPr>
    <w:r>
      <w:rPr>
        <w:noProof/>
      </w:rPr>
      <w:drawing>
        <wp:anchor distT="0" distB="0" distL="114300" distR="114300" simplePos="0" relativeHeight="251657728" behindDoc="0" locked="0" layoutInCell="0" allowOverlap="1">
          <wp:simplePos x="0" y="0"/>
          <wp:positionH relativeFrom="column">
            <wp:posOffset>-403860</wp:posOffset>
          </wp:positionH>
          <wp:positionV relativeFrom="paragraph">
            <wp:posOffset>0</wp:posOffset>
          </wp:positionV>
          <wp:extent cx="863600" cy="82296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contrast="6000"/>
                    <a:extLst>
                      <a:ext uri="{28A0092B-C50C-407E-A947-70E740481C1C}">
                        <a14:useLocalDpi xmlns:a14="http://schemas.microsoft.com/office/drawing/2010/main" val="0"/>
                      </a:ext>
                    </a:extLst>
                  </a:blip>
                  <a:srcRect/>
                  <a:stretch>
                    <a:fillRect/>
                  </a:stretch>
                </pic:blipFill>
                <pic:spPr bwMode="auto">
                  <a:xfrm>
                    <a:off x="0" y="0"/>
                    <a:ext cx="863600" cy="822960"/>
                  </a:xfrm>
                  <a:prstGeom prst="rect">
                    <a:avLst/>
                  </a:prstGeom>
                  <a:solidFill>
                    <a:srgbClr val="33CCCC"/>
                  </a:solidFill>
                </pic:spPr>
              </pic:pic>
            </a:graphicData>
          </a:graphic>
          <wp14:sizeRelH relativeFrom="page">
            <wp14:pctWidth>0</wp14:pctWidth>
          </wp14:sizeRelH>
          <wp14:sizeRelV relativeFrom="page">
            <wp14:pctHeight>0</wp14:pctHeight>
          </wp14:sizeRelV>
        </wp:anchor>
      </w:drawing>
    </w:r>
    <w:r w:rsidR="001A2C45">
      <w:rPr>
        <w:b/>
        <w:sz w:val="22"/>
        <w:szCs w:val="22"/>
      </w:rPr>
      <w:t>Federal Communications Commission</w:t>
    </w:r>
  </w:p>
  <w:p w:rsidR="001A2C45" w:rsidRDefault="001A2C45">
    <w:pPr>
      <w:jc w:val="center"/>
      <w:rPr>
        <w:b/>
        <w:sz w:val="22"/>
        <w:szCs w:val="22"/>
      </w:rPr>
    </w:pPr>
    <w:r>
      <w:rPr>
        <w:b/>
        <w:sz w:val="22"/>
        <w:szCs w:val="22"/>
      </w:rPr>
      <w:t>Washington, D.C. 20554</w:t>
    </w:r>
  </w:p>
  <w:p w:rsidR="001A2C45" w:rsidRDefault="001A2C45">
    <w:pPr>
      <w:jc w:val="center"/>
      <w:rPr>
        <w:b/>
        <w:sz w:val="22"/>
        <w:szCs w:val="22"/>
      </w:rPr>
    </w:pPr>
  </w:p>
  <w:p w:rsidR="001A2C45" w:rsidRDefault="008E1593">
    <w:pPr>
      <w:pStyle w:val="Header"/>
      <w:tabs>
        <w:tab w:val="clear" w:pos="4320"/>
      </w:tabs>
      <w:jc w:val="center"/>
      <w:rPr>
        <w:sz w:val="22"/>
        <w:szCs w:val="22"/>
      </w:rPr>
    </w:pPr>
    <w:r>
      <w:rPr>
        <w:sz w:val="22"/>
        <w:szCs w:val="22"/>
      </w:rPr>
      <w:t xml:space="preserve">May </w:t>
    </w:r>
    <w:r w:rsidR="00D2148E">
      <w:rPr>
        <w:sz w:val="22"/>
        <w:szCs w:val="22"/>
      </w:rPr>
      <w:t>8</w:t>
    </w:r>
    <w:r w:rsidR="001A2C45">
      <w:rPr>
        <w:sz w:val="22"/>
        <w:szCs w:val="22"/>
      </w:rPr>
      <w:t>, 201</w:t>
    </w:r>
    <w:r>
      <w:rPr>
        <w:sz w:val="22"/>
        <w:szCs w:val="22"/>
      </w:rPr>
      <w:t>4</w:t>
    </w:r>
  </w:p>
  <w:p w:rsidR="001A2C45" w:rsidRDefault="001A2C45">
    <w:pPr>
      <w:pStyle w:val="Header"/>
      <w:tabs>
        <w:tab w:val="clear" w:pos="4320"/>
      </w:tabs>
      <w:jc w:val="center"/>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A52053E0"/>
    <w:lvl w:ilvl="0">
      <w:start w:val="1"/>
      <w:numFmt w:val="decimal"/>
      <w:lvlText w:val="%1."/>
      <w:lvlJc w:val="left"/>
      <w:pPr>
        <w:tabs>
          <w:tab w:val="num" w:pos="6840"/>
        </w:tabs>
        <w:ind w:left="5760" w:firstLine="720"/>
      </w:pPr>
      <w:rPr>
        <w:b w:val="0"/>
        <w:i w:val="0"/>
      </w:rPr>
    </w:lvl>
  </w:abstractNum>
  <w:abstractNum w:abstractNumId="1">
    <w:nsid w:val="4E75355B"/>
    <w:multiLevelType w:val="hybridMultilevel"/>
    <w:tmpl w:val="5F187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EB234E6"/>
    <w:multiLevelType w:val="multilevel"/>
    <w:tmpl w:val="2FF65886"/>
    <w:lvl w:ilvl="0">
      <w:start w:val="1"/>
      <w:numFmt w:val="decimal"/>
      <w:pStyle w:val="ParaNu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08B"/>
    <w:rsid w:val="0000355F"/>
    <w:rsid w:val="00003724"/>
    <w:rsid w:val="00013570"/>
    <w:rsid w:val="00015287"/>
    <w:rsid w:val="0003058E"/>
    <w:rsid w:val="000322B1"/>
    <w:rsid w:val="00035782"/>
    <w:rsid w:val="00053C5F"/>
    <w:rsid w:val="000603C9"/>
    <w:rsid w:val="00073131"/>
    <w:rsid w:val="000824ED"/>
    <w:rsid w:val="00082C2C"/>
    <w:rsid w:val="00084A96"/>
    <w:rsid w:val="00085409"/>
    <w:rsid w:val="00085939"/>
    <w:rsid w:val="00085C28"/>
    <w:rsid w:val="00086387"/>
    <w:rsid w:val="00094827"/>
    <w:rsid w:val="00095E7E"/>
    <w:rsid w:val="0009756C"/>
    <w:rsid w:val="000A3C54"/>
    <w:rsid w:val="000C4ED7"/>
    <w:rsid w:val="000C7950"/>
    <w:rsid w:val="000D364A"/>
    <w:rsid w:val="000E59DA"/>
    <w:rsid w:val="000F2D96"/>
    <w:rsid w:val="000F3DCA"/>
    <w:rsid w:val="000F5B90"/>
    <w:rsid w:val="0010014F"/>
    <w:rsid w:val="00112254"/>
    <w:rsid w:val="00113241"/>
    <w:rsid w:val="0013081A"/>
    <w:rsid w:val="00130B7F"/>
    <w:rsid w:val="001333DF"/>
    <w:rsid w:val="001348C5"/>
    <w:rsid w:val="00134DA1"/>
    <w:rsid w:val="001452B1"/>
    <w:rsid w:val="00152C2D"/>
    <w:rsid w:val="00154D24"/>
    <w:rsid w:val="001600F3"/>
    <w:rsid w:val="00163450"/>
    <w:rsid w:val="00164C9B"/>
    <w:rsid w:val="0016533F"/>
    <w:rsid w:val="00167B27"/>
    <w:rsid w:val="00171D95"/>
    <w:rsid w:val="00173B4A"/>
    <w:rsid w:val="00174FEF"/>
    <w:rsid w:val="001760AC"/>
    <w:rsid w:val="00177AA2"/>
    <w:rsid w:val="00186BD0"/>
    <w:rsid w:val="00192924"/>
    <w:rsid w:val="001957F8"/>
    <w:rsid w:val="001A2C45"/>
    <w:rsid w:val="001A6CBA"/>
    <w:rsid w:val="001D66B8"/>
    <w:rsid w:val="001E278D"/>
    <w:rsid w:val="001E530B"/>
    <w:rsid w:val="001E73F7"/>
    <w:rsid w:val="001F0636"/>
    <w:rsid w:val="001F285E"/>
    <w:rsid w:val="00202653"/>
    <w:rsid w:val="00202B6C"/>
    <w:rsid w:val="00205060"/>
    <w:rsid w:val="00205944"/>
    <w:rsid w:val="00206DCB"/>
    <w:rsid w:val="00211C82"/>
    <w:rsid w:val="00215ED4"/>
    <w:rsid w:val="00216757"/>
    <w:rsid w:val="00216D91"/>
    <w:rsid w:val="002217E2"/>
    <w:rsid w:val="00226373"/>
    <w:rsid w:val="00230EC9"/>
    <w:rsid w:val="00233C53"/>
    <w:rsid w:val="002374A4"/>
    <w:rsid w:val="0025207E"/>
    <w:rsid w:val="002573ED"/>
    <w:rsid w:val="002626CB"/>
    <w:rsid w:val="002637BE"/>
    <w:rsid w:val="002668C2"/>
    <w:rsid w:val="00266DB0"/>
    <w:rsid w:val="00276DCE"/>
    <w:rsid w:val="00283F4A"/>
    <w:rsid w:val="00286B04"/>
    <w:rsid w:val="0029297C"/>
    <w:rsid w:val="00293F41"/>
    <w:rsid w:val="002945E0"/>
    <w:rsid w:val="002A4E9D"/>
    <w:rsid w:val="002B061F"/>
    <w:rsid w:val="002B4C24"/>
    <w:rsid w:val="002B76FA"/>
    <w:rsid w:val="002B7D88"/>
    <w:rsid w:val="002C1EE0"/>
    <w:rsid w:val="002C32D1"/>
    <w:rsid w:val="002D014C"/>
    <w:rsid w:val="002E38A6"/>
    <w:rsid w:val="002E6915"/>
    <w:rsid w:val="002E747C"/>
    <w:rsid w:val="002F6FD9"/>
    <w:rsid w:val="00304391"/>
    <w:rsid w:val="0030469C"/>
    <w:rsid w:val="00306DAC"/>
    <w:rsid w:val="00307B2E"/>
    <w:rsid w:val="003112BD"/>
    <w:rsid w:val="00311C54"/>
    <w:rsid w:val="0032592D"/>
    <w:rsid w:val="00327867"/>
    <w:rsid w:val="00334DBE"/>
    <w:rsid w:val="00336F7D"/>
    <w:rsid w:val="00340BB1"/>
    <w:rsid w:val="00344E83"/>
    <w:rsid w:val="003539AD"/>
    <w:rsid w:val="003561CD"/>
    <w:rsid w:val="00364A4F"/>
    <w:rsid w:val="003655EA"/>
    <w:rsid w:val="0037344F"/>
    <w:rsid w:val="003758E8"/>
    <w:rsid w:val="00377EFA"/>
    <w:rsid w:val="00381259"/>
    <w:rsid w:val="00385E12"/>
    <w:rsid w:val="003864BE"/>
    <w:rsid w:val="00386E7A"/>
    <w:rsid w:val="003919E0"/>
    <w:rsid w:val="0039277B"/>
    <w:rsid w:val="0039591F"/>
    <w:rsid w:val="003967DD"/>
    <w:rsid w:val="003A0FF0"/>
    <w:rsid w:val="003A4D05"/>
    <w:rsid w:val="003A7357"/>
    <w:rsid w:val="003A763C"/>
    <w:rsid w:val="003B2924"/>
    <w:rsid w:val="003D094E"/>
    <w:rsid w:val="003D23BF"/>
    <w:rsid w:val="003D63D6"/>
    <w:rsid w:val="003D75F3"/>
    <w:rsid w:val="003D7A78"/>
    <w:rsid w:val="003E449B"/>
    <w:rsid w:val="003E5A6A"/>
    <w:rsid w:val="003E69BC"/>
    <w:rsid w:val="003F05B5"/>
    <w:rsid w:val="003F154B"/>
    <w:rsid w:val="003F31F4"/>
    <w:rsid w:val="003F7422"/>
    <w:rsid w:val="004010EA"/>
    <w:rsid w:val="00417AD3"/>
    <w:rsid w:val="004200E8"/>
    <w:rsid w:val="0042052D"/>
    <w:rsid w:val="00420662"/>
    <w:rsid w:val="00423F07"/>
    <w:rsid w:val="00424EDD"/>
    <w:rsid w:val="00426CF0"/>
    <w:rsid w:val="00430D22"/>
    <w:rsid w:val="004322E1"/>
    <w:rsid w:val="00434285"/>
    <w:rsid w:val="004442B6"/>
    <w:rsid w:val="00445F74"/>
    <w:rsid w:val="00452556"/>
    <w:rsid w:val="00454233"/>
    <w:rsid w:val="00457705"/>
    <w:rsid w:val="00463E9E"/>
    <w:rsid w:val="004713DC"/>
    <w:rsid w:val="00471FC5"/>
    <w:rsid w:val="00472DD5"/>
    <w:rsid w:val="004814F1"/>
    <w:rsid w:val="00484806"/>
    <w:rsid w:val="0048520B"/>
    <w:rsid w:val="00485DEE"/>
    <w:rsid w:val="00486E7E"/>
    <w:rsid w:val="00495EC5"/>
    <w:rsid w:val="004B0FDD"/>
    <w:rsid w:val="004C0165"/>
    <w:rsid w:val="004C2517"/>
    <w:rsid w:val="004C2CF5"/>
    <w:rsid w:val="004D0857"/>
    <w:rsid w:val="004E4483"/>
    <w:rsid w:val="004E6F59"/>
    <w:rsid w:val="004F0DBB"/>
    <w:rsid w:val="004F12BB"/>
    <w:rsid w:val="004F1899"/>
    <w:rsid w:val="004F25BD"/>
    <w:rsid w:val="0051648C"/>
    <w:rsid w:val="00523BA0"/>
    <w:rsid w:val="00543322"/>
    <w:rsid w:val="0055007A"/>
    <w:rsid w:val="00554685"/>
    <w:rsid w:val="00554C31"/>
    <w:rsid w:val="00561A44"/>
    <w:rsid w:val="00575404"/>
    <w:rsid w:val="005805A8"/>
    <w:rsid w:val="00582191"/>
    <w:rsid w:val="00582FE2"/>
    <w:rsid w:val="00583ABB"/>
    <w:rsid w:val="0058433E"/>
    <w:rsid w:val="00591814"/>
    <w:rsid w:val="005922EA"/>
    <w:rsid w:val="00593791"/>
    <w:rsid w:val="00596BE9"/>
    <w:rsid w:val="005A1910"/>
    <w:rsid w:val="005A51AC"/>
    <w:rsid w:val="005B3166"/>
    <w:rsid w:val="005B6890"/>
    <w:rsid w:val="005C069C"/>
    <w:rsid w:val="005C17F8"/>
    <w:rsid w:val="005C2DB5"/>
    <w:rsid w:val="005C6153"/>
    <w:rsid w:val="005C6348"/>
    <w:rsid w:val="005D0A5B"/>
    <w:rsid w:val="005D5DC2"/>
    <w:rsid w:val="005E1C31"/>
    <w:rsid w:val="006017FC"/>
    <w:rsid w:val="006145B3"/>
    <w:rsid w:val="00615AE3"/>
    <w:rsid w:val="0061670D"/>
    <w:rsid w:val="00620CA2"/>
    <w:rsid w:val="00621D8E"/>
    <w:rsid w:val="00634427"/>
    <w:rsid w:val="00641091"/>
    <w:rsid w:val="006432BB"/>
    <w:rsid w:val="0064559B"/>
    <w:rsid w:val="00651975"/>
    <w:rsid w:val="00651E82"/>
    <w:rsid w:val="006535C4"/>
    <w:rsid w:val="00655772"/>
    <w:rsid w:val="00655D75"/>
    <w:rsid w:val="00656CE3"/>
    <w:rsid w:val="00657B74"/>
    <w:rsid w:val="0067024B"/>
    <w:rsid w:val="0068395F"/>
    <w:rsid w:val="00687FE9"/>
    <w:rsid w:val="006934CB"/>
    <w:rsid w:val="0069537D"/>
    <w:rsid w:val="00695CA3"/>
    <w:rsid w:val="00696B21"/>
    <w:rsid w:val="006A1B94"/>
    <w:rsid w:val="006A49FD"/>
    <w:rsid w:val="006A563F"/>
    <w:rsid w:val="006B607C"/>
    <w:rsid w:val="006B7E82"/>
    <w:rsid w:val="006C16A9"/>
    <w:rsid w:val="006C41E0"/>
    <w:rsid w:val="006E262A"/>
    <w:rsid w:val="006E3F31"/>
    <w:rsid w:val="006F2D77"/>
    <w:rsid w:val="006F3D79"/>
    <w:rsid w:val="0070114E"/>
    <w:rsid w:val="00702B6B"/>
    <w:rsid w:val="00703968"/>
    <w:rsid w:val="00712661"/>
    <w:rsid w:val="0071273D"/>
    <w:rsid w:val="00713654"/>
    <w:rsid w:val="00715B40"/>
    <w:rsid w:val="007218B0"/>
    <w:rsid w:val="007229B6"/>
    <w:rsid w:val="00725E83"/>
    <w:rsid w:val="0073370E"/>
    <w:rsid w:val="00744F5E"/>
    <w:rsid w:val="00753D7F"/>
    <w:rsid w:val="00756702"/>
    <w:rsid w:val="00760A73"/>
    <w:rsid w:val="007644B8"/>
    <w:rsid w:val="00765AC9"/>
    <w:rsid w:val="007673C8"/>
    <w:rsid w:val="0077493B"/>
    <w:rsid w:val="00777642"/>
    <w:rsid w:val="00777780"/>
    <w:rsid w:val="00777CE4"/>
    <w:rsid w:val="0078025F"/>
    <w:rsid w:val="00781254"/>
    <w:rsid w:val="00785D7C"/>
    <w:rsid w:val="00793C64"/>
    <w:rsid w:val="007A33D9"/>
    <w:rsid w:val="007B3EFD"/>
    <w:rsid w:val="007C29C7"/>
    <w:rsid w:val="007C4B2B"/>
    <w:rsid w:val="007C5F8B"/>
    <w:rsid w:val="007D3421"/>
    <w:rsid w:val="007D4E2E"/>
    <w:rsid w:val="007E410C"/>
    <w:rsid w:val="007E47A6"/>
    <w:rsid w:val="007E56BB"/>
    <w:rsid w:val="007E7784"/>
    <w:rsid w:val="007F2A88"/>
    <w:rsid w:val="00806A8B"/>
    <w:rsid w:val="00812069"/>
    <w:rsid w:val="00813D93"/>
    <w:rsid w:val="00815A4D"/>
    <w:rsid w:val="00824DB0"/>
    <w:rsid w:val="008340E3"/>
    <w:rsid w:val="00836FAF"/>
    <w:rsid w:val="00837EBF"/>
    <w:rsid w:val="008447B5"/>
    <w:rsid w:val="00844F91"/>
    <w:rsid w:val="008519DB"/>
    <w:rsid w:val="00855549"/>
    <w:rsid w:val="00855F54"/>
    <w:rsid w:val="00857490"/>
    <w:rsid w:val="00866B7C"/>
    <w:rsid w:val="00872874"/>
    <w:rsid w:val="00873C19"/>
    <w:rsid w:val="00875DA1"/>
    <w:rsid w:val="00883385"/>
    <w:rsid w:val="00884133"/>
    <w:rsid w:val="008851D8"/>
    <w:rsid w:val="00885E99"/>
    <w:rsid w:val="00886E67"/>
    <w:rsid w:val="00890CE6"/>
    <w:rsid w:val="00892CFA"/>
    <w:rsid w:val="00894873"/>
    <w:rsid w:val="00896FA9"/>
    <w:rsid w:val="008A01FA"/>
    <w:rsid w:val="008A760E"/>
    <w:rsid w:val="008B7613"/>
    <w:rsid w:val="008C6E11"/>
    <w:rsid w:val="008D211F"/>
    <w:rsid w:val="008E02AF"/>
    <w:rsid w:val="008E07F6"/>
    <w:rsid w:val="008E1593"/>
    <w:rsid w:val="008E325E"/>
    <w:rsid w:val="008E49DC"/>
    <w:rsid w:val="008E4BC3"/>
    <w:rsid w:val="008E4E4D"/>
    <w:rsid w:val="008E797F"/>
    <w:rsid w:val="008E7ABC"/>
    <w:rsid w:val="008F0C11"/>
    <w:rsid w:val="008F531A"/>
    <w:rsid w:val="008F6D5C"/>
    <w:rsid w:val="009015C5"/>
    <w:rsid w:val="00903056"/>
    <w:rsid w:val="00907C16"/>
    <w:rsid w:val="00913166"/>
    <w:rsid w:val="00921310"/>
    <w:rsid w:val="00923984"/>
    <w:rsid w:val="009264CA"/>
    <w:rsid w:val="009500F6"/>
    <w:rsid w:val="009507B7"/>
    <w:rsid w:val="00952070"/>
    <w:rsid w:val="0095383B"/>
    <w:rsid w:val="00955E8A"/>
    <w:rsid w:val="00957C61"/>
    <w:rsid w:val="00962993"/>
    <w:rsid w:val="00963F28"/>
    <w:rsid w:val="00967AC3"/>
    <w:rsid w:val="00980FAA"/>
    <w:rsid w:val="009838EA"/>
    <w:rsid w:val="00983FE8"/>
    <w:rsid w:val="0099098D"/>
    <w:rsid w:val="00990AB0"/>
    <w:rsid w:val="009910B7"/>
    <w:rsid w:val="00993674"/>
    <w:rsid w:val="009C1C57"/>
    <w:rsid w:val="009C7B36"/>
    <w:rsid w:val="009D1408"/>
    <w:rsid w:val="009D1A6C"/>
    <w:rsid w:val="009D41C1"/>
    <w:rsid w:val="009E25B5"/>
    <w:rsid w:val="009E26D9"/>
    <w:rsid w:val="009E2D90"/>
    <w:rsid w:val="009E4114"/>
    <w:rsid w:val="009E5528"/>
    <w:rsid w:val="009E5CDF"/>
    <w:rsid w:val="009F24D0"/>
    <w:rsid w:val="009F3C5F"/>
    <w:rsid w:val="00A0201A"/>
    <w:rsid w:val="00A0415C"/>
    <w:rsid w:val="00A05615"/>
    <w:rsid w:val="00A05D9F"/>
    <w:rsid w:val="00A0731F"/>
    <w:rsid w:val="00A15FE1"/>
    <w:rsid w:val="00A2468C"/>
    <w:rsid w:val="00A26C44"/>
    <w:rsid w:val="00A27F11"/>
    <w:rsid w:val="00A30739"/>
    <w:rsid w:val="00A313E6"/>
    <w:rsid w:val="00A329A8"/>
    <w:rsid w:val="00A36C1D"/>
    <w:rsid w:val="00A37B01"/>
    <w:rsid w:val="00A4493E"/>
    <w:rsid w:val="00A46B55"/>
    <w:rsid w:val="00A5331E"/>
    <w:rsid w:val="00A618E8"/>
    <w:rsid w:val="00A61BAA"/>
    <w:rsid w:val="00A62EE0"/>
    <w:rsid w:val="00A655C4"/>
    <w:rsid w:val="00A84827"/>
    <w:rsid w:val="00AA0F15"/>
    <w:rsid w:val="00AA2749"/>
    <w:rsid w:val="00AA4B2A"/>
    <w:rsid w:val="00AA53B4"/>
    <w:rsid w:val="00AB2665"/>
    <w:rsid w:val="00AB7CB8"/>
    <w:rsid w:val="00AB7D38"/>
    <w:rsid w:val="00AC04EE"/>
    <w:rsid w:val="00AC7828"/>
    <w:rsid w:val="00AD50F0"/>
    <w:rsid w:val="00AD520B"/>
    <w:rsid w:val="00AE56AC"/>
    <w:rsid w:val="00AF5695"/>
    <w:rsid w:val="00AF604B"/>
    <w:rsid w:val="00B00A9B"/>
    <w:rsid w:val="00B00E07"/>
    <w:rsid w:val="00B107AA"/>
    <w:rsid w:val="00B13D3A"/>
    <w:rsid w:val="00B14631"/>
    <w:rsid w:val="00B15900"/>
    <w:rsid w:val="00B2622E"/>
    <w:rsid w:val="00B309B9"/>
    <w:rsid w:val="00B309BE"/>
    <w:rsid w:val="00B30F7C"/>
    <w:rsid w:val="00B34B96"/>
    <w:rsid w:val="00B44951"/>
    <w:rsid w:val="00B5739E"/>
    <w:rsid w:val="00B614A9"/>
    <w:rsid w:val="00B61D4D"/>
    <w:rsid w:val="00B717D0"/>
    <w:rsid w:val="00B77640"/>
    <w:rsid w:val="00B80467"/>
    <w:rsid w:val="00B86935"/>
    <w:rsid w:val="00BA208B"/>
    <w:rsid w:val="00BA2FE2"/>
    <w:rsid w:val="00BB44C8"/>
    <w:rsid w:val="00BC2F22"/>
    <w:rsid w:val="00BC78E2"/>
    <w:rsid w:val="00BD322D"/>
    <w:rsid w:val="00BD5789"/>
    <w:rsid w:val="00BD5A71"/>
    <w:rsid w:val="00BD5BB4"/>
    <w:rsid w:val="00BE3351"/>
    <w:rsid w:val="00BE5F61"/>
    <w:rsid w:val="00BF3EEA"/>
    <w:rsid w:val="00BF465D"/>
    <w:rsid w:val="00BF71D2"/>
    <w:rsid w:val="00C00A42"/>
    <w:rsid w:val="00C02982"/>
    <w:rsid w:val="00C046AD"/>
    <w:rsid w:val="00C06E62"/>
    <w:rsid w:val="00C10652"/>
    <w:rsid w:val="00C12529"/>
    <w:rsid w:val="00C143E5"/>
    <w:rsid w:val="00C177FC"/>
    <w:rsid w:val="00C2232B"/>
    <w:rsid w:val="00C22CC9"/>
    <w:rsid w:val="00C31D42"/>
    <w:rsid w:val="00C34260"/>
    <w:rsid w:val="00C37CA6"/>
    <w:rsid w:val="00C41106"/>
    <w:rsid w:val="00C63239"/>
    <w:rsid w:val="00C64C7F"/>
    <w:rsid w:val="00C67EAA"/>
    <w:rsid w:val="00C74235"/>
    <w:rsid w:val="00C75F70"/>
    <w:rsid w:val="00C844AD"/>
    <w:rsid w:val="00C857C8"/>
    <w:rsid w:val="00C93CC5"/>
    <w:rsid w:val="00CA519B"/>
    <w:rsid w:val="00CB158D"/>
    <w:rsid w:val="00CB1D03"/>
    <w:rsid w:val="00CB2E22"/>
    <w:rsid w:val="00CC2180"/>
    <w:rsid w:val="00CD330C"/>
    <w:rsid w:val="00CD5267"/>
    <w:rsid w:val="00CE096A"/>
    <w:rsid w:val="00CE1EF6"/>
    <w:rsid w:val="00CE3D63"/>
    <w:rsid w:val="00CF1991"/>
    <w:rsid w:val="00CF1CF0"/>
    <w:rsid w:val="00CF2A83"/>
    <w:rsid w:val="00CF309D"/>
    <w:rsid w:val="00CF37B4"/>
    <w:rsid w:val="00CF44EB"/>
    <w:rsid w:val="00CF7BBE"/>
    <w:rsid w:val="00CF7BCF"/>
    <w:rsid w:val="00D02D76"/>
    <w:rsid w:val="00D04568"/>
    <w:rsid w:val="00D12E97"/>
    <w:rsid w:val="00D17956"/>
    <w:rsid w:val="00D2148E"/>
    <w:rsid w:val="00D260AF"/>
    <w:rsid w:val="00D333D3"/>
    <w:rsid w:val="00D3367A"/>
    <w:rsid w:val="00D3505A"/>
    <w:rsid w:val="00D35466"/>
    <w:rsid w:val="00D37CDF"/>
    <w:rsid w:val="00D41754"/>
    <w:rsid w:val="00D566E4"/>
    <w:rsid w:val="00D622BD"/>
    <w:rsid w:val="00D64232"/>
    <w:rsid w:val="00D65F06"/>
    <w:rsid w:val="00D70A35"/>
    <w:rsid w:val="00D7377D"/>
    <w:rsid w:val="00D74F9A"/>
    <w:rsid w:val="00D77088"/>
    <w:rsid w:val="00D803A6"/>
    <w:rsid w:val="00D80D46"/>
    <w:rsid w:val="00D869B2"/>
    <w:rsid w:val="00D9532A"/>
    <w:rsid w:val="00DA02EC"/>
    <w:rsid w:val="00DB18EB"/>
    <w:rsid w:val="00DB587C"/>
    <w:rsid w:val="00DB5C53"/>
    <w:rsid w:val="00DC06BC"/>
    <w:rsid w:val="00DC4007"/>
    <w:rsid w:val="00DC422D"/>
    <w:rsid w:val="00DC44C8"/>
    <w:rsid w:val="00DC5387"/>
    <w:rsid w:val="00DD1F48"/>
    <w:rsid w:val="00DD402E"/>
    <w:rsid w:val="00DE2F82"/>
    <w:rsid w:val="00DF351E"/>
    <w:rsid w:val="00E079DC"/>
    <w:rsid w:val="00E10E4F"/>
    <w:rsid w:val="00E142F8"/>
    <w:rsid w:val="00E23E56"/>
    <w:rsid w:val="00E308FB"/>
    <w:rsid w:val="00E309A0"/>
    <w:rsid w:val="00E42AD9"/>
    <w:rsid w:val="00E43457"/>
    <w:rsid w:val="00E47942"/>
    <w:rsid w:val="00E50A9C"/>
    <w:rsid w:val="00E655B3"/>
    <w:rsid w:val="00E77EAF"/>
    <w:rsid w:val="00E93E1C"/>
    <w:rsid w:val="00E95AE6"/>
    <w:rsid w:val="00E95B6A"/>
    <w:rsid w:val="00EA3CF9"/>
    <w:rsid w:val="00EA4420"/>
    <w:rsid w:val="00EB11D9"/>
    <w:rsid w:val="00EB60C8"/>
    <w:rsid w:val="00EB6EDC"/>
    <w:rsid w:val="00EC55DB"/>
    <w:rsid w:val="00EE5AB9"/>
    <w:rsid w:val="00EF449C"/>
    <w:rsid w:val="00EF6597"/>
    <w:rsid w:val="00F06B01"/>
    <w:rsid w:val="00F12A9E"/>
    <w:rsid w:val="00F17D76"/>
    <w:rsid w:val="00F22D89"/>
    <w:rsid w:val="00F312F9"/>
    <w:rsid w:val="00F328B6"/>
    <w:rsid w:val="00F3464D"/>
    <w:rsid w:val="00F51398"/>
    <w:rsid w:val="00F513C5"/>
    <w:rsid w:val="00F517E6"/>
    <w:rsid w:val="00F53D42"/>
    <w:rsid w:val="00F558D1"/>
    <w:rsid w:val="00F629D4"/>
    <w:rsid w:val="00F66C46"/>
    <w:rsid w:val="00F72C35"/>
    <w:rsid w:val="00F7444A"/>
    <w:rsid w:val="00F8301B"/>
    <w:rsid w:val="00F8398A"/>
    <w:rsid w:val="00F83B9D"/>
    <w:rsid w:val="00F84069"/>
    <w:rsid w:val="00F90463"/>
    <w:rsid w:val="00F94C9E"/>
    <w:rsid w:val="00F96023"/>
    <w:rsid w:val="00FA262C"/>
    <w:rsid w:val="00FA4164"/>
    <w:rsid w:val="00FA6200"/>
    <w:rsid w:val="00FC5AF0"/>
    <w:rsid w:val="00FD3DB2"/>
    <w:rsid w:val="00FD743C"/>
    <w:rsid w:val="00FD7CD8"/>
    <w:rsid w:val="00FE0BC4"/>
    <w:rsid w:val="00FE20B9"/>
    <w:rsid w:val="00FE3210"/>
    <w:rsid w:val="00FE46C9"/>
    <w:rsid w:val="00FE5615"/>
    <w:rsid w:val="00FF05F7"/>
    <w:rsid w:val="00FF0F7F"/>
    <w:rsid w:val="00FF5A6E"/>
    <w:rsid w:val="00FF5FF7"/>
    <w:rsid w:val="00FF7991"/>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noteText">
    <w:name w:val="footnote text"/>
    <w:aliases w:val="Footnote Text Char,Footnote Text Char1 Char,Footnote Text Char Char Char,Footnote Text Char2 Char Char Char,Footnote Text Char1 Char1 Char Char Char,Footnote Text Char Char Char Char Char Char,Footnote Text Char7 Char Char,rrfootnote,f"/>
    <w:basedOn w:val="Normal"/>
    <w:link w:val="FootnoteTextChar1"/>
    <w:semiHidden/>
  </w:style>
  <w:style w:type="character" w:styleId="FootnoteReference">
    <w:name w:val="footnote reference"/>
    <w:aliases w:val="Style 12,(NECG) Footnote Reference,Appel note de bas de p,Style 124,o,fr,Style 3,Style 13"/>
    <w:semiHidden/>
    <w:rPr>
      <w:vertAlign w:val="superscript"/>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FootnoteTextChar1">
    <w:name w:val="Footnote Text Char1"/>
    <w:aliases w:val="Footnote Text Char Char,Footnote Text Char1 Char Char,Footnote Text Char Char Char Char,Footnote Text Char2 Char Char Char Char,Footnote Text Char1 Char1 Char Char Char Char,Footnote Text Char Char Char Char Char Char Char,f Char1"/>
    <w:link w:val="FootnoteText"/>
    <w:rPr>
      <w:lang w:val="en-US" w:eastAsia="en-US" w:bidi="ar-SA"/>
    </w:rPr>
  </w:style>
  <w:style w:type="character" w:styleId="Hyperlink">
    <w:name w:val="Hyperlink"/>
    <w:rPr>
      <w:color w:val="0000FF"/>
      <w:u w:val="single"/>
    </w:rPr>
  </w:style>
  <w:style w:type="character" w:customStyle="1" w:styleId="documentbody1">
    <w:name w:val="documentbody1"/>
    <w:rPr>
      <w:rFonts w:ascii="Verdana" w:hAnsi="Verdana" w:hint="default"/>
      <w:sz w:val="19"/>
      <w:szCs w:val="19"/>
    </w:rPr>
  </w:style>
  <w:style w:type="character" w:customStyle="1" w:styleId="searchterm3">
    <w:name w:val="searchterm3"/>
    <w:rPr>
      <w:b/>
      <w:bCs/>
      <w:shd w:val="clear" w:color="auto" w:fill="FFFF00"/>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6145B3"/>
    <w:rPr>
      <w:sz w:val="16"/>
      <w:szCs w:val="16"/>
    </w:rPr>
  </w:style>
  <w:style w:type="paragraph" w:styleId="CommentText">
    <w:name w:val="annotation text"/>
    <w:basedOn w:val="Normal"/>
    <w:semiHidden/>
    <w:rsid w:val="006145B3"/>
  </w:style>
  <w:style w:type="paragraph" w:styleId="CommentSubject">
    <w:name w:val="annotation subject"/>
    <w:basedOn w:val="CommentText"/>
    <w:next w:val="CommentText"/>
    <w:semiHidden/>
    <w:rsid w:val="006145B3"/>
    <w:rPr>
      <w:b/>
      <w:bCs/>
    </w:rPr>
  </w:style>
  <w:style w:type="character" w:customStyle="1" w:styleId="pmterms21">
    <w:name w:val="pmterms21"/>
    <w:rsid w:val="00AA4B2A"/>
    <w:rPr>
      <w:b/>
      <w:bCs/>
      <w:i w:val="0"/>
      <w:iCs w:val="0"/>
      <w:color w:val="000000"/>
    </w:rPr>
  </w:style>
  <w:style w:type="character" w:customStyle="1" w:styleId="pmterms11">
    <w:name w:val="pmterms11"/>
    <w:rsid w:val="00AA4B2A"/>
    <w:rPr>
      <w:b/>
      <w:bCs/>
      <w:i w:val="0"/>
      <w:iCs w:val="0"/>
      <w:color w:val="000000"/>
    </w:rPr>
  </w:style>
  <w:style w:type="character" w:customStyle="1" w:styleId="term1">
    <w:name w:val="term1"/>
    <w:rsid w:val="00857490"/>
    <w:rPr>
      <w:b/>
      <w:bCs/>
    </w:rPr>
  </w:style>
  <w:style w:type="paragraph" w:customStyle="1" w:styleId="ParaNum">
    <w:name w:val="ParaNum"/>
    <w:basedOn w:val="Normal"/>
    <w:rsid w:val="00657B74"/>
    <w:pPr>
      <w:numPr>
        <w:numId w:val="3"/>
      </w:numPr>
      <w:tabs>
        <w:tab w:val="left" w:pos="1440"/>
      </w:tabs>
      <w:spacing w:after="220"/>
      <w:jc w:val="both"/>
    </w:pPr>
    <w:rPr>
      <w:snapToGrid w:val="0"/>
      <w:sz w:val="22"/>
    </w:rPr>
  </w:style>
  <w:style w:type="character" w:customStyle="1" w:styleId="FootnoteTextChar2">
    <w:name w:val="Footnote Text Char2"/>
    <w:aliases w:val="rrfootnote Char,rrfootnote Char Char Char,rrfootnote Char1 Char1,rrfootnote Char Char Char1 Char,rrfootnote Char1 Char Char,Footnote Text Char1 Char Char Char Char,Footnote Text Char4 Char1 Char Char,f Char"/>
    <w:rsid w:val="00657B74"/>
    <w:rPr>
      <w:lang w:val="en-US" w:eastAsia="en-US" w:bidi="ar-SA"/>
    </w:rPr>
  </w:style>
  <w:style w:type="paragraph" w:styleId="NoSpacing">
    <w:name w:val="No Spacing"/>
    <w:uiPriority w:val="1"/>
    <w:qFormat/>
    <w:rsid w:val="001D66B8"/>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noteText">
    <w:name w:val="footnote text"/>
    <w:aliases w:val="Footnote Text Char,Footnote Text Char1 Char,Footnote Text Char Char Char,Footnote Text Char2 Char Char Char,Footnote Text Char1 Char1 Char Char Char,Footnote Text Char Char Char Char Char Char,Footnote Text Char7 Char Char,rrfootnote,f"/>
    <w:basedOn w:val="Normal"/>
    <w:link w:val="FootnoteTextChar1"/>
    <w:semiHidden/>
  </w:style>
  <w:style w:type="character" w:styleId="FootnoteReference">
    <w:name w:val="footnote reference"/>
    <w:aliases w:val="Style 12,(NECG) Footnote Reference,Appel note de bas de p,Style 124,o,fr,Style 3,Style 13"/>
    <w:semiHidden/>
    <w:rPr>
      <w:vertAlign w:val="superscript"/>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FootnoteTextChar1">
    <w:name w:val="Footnote Text Char1"/>
    <w:aliases w:val="Footnote Text Char Char,Footnote Text Char1 Char Char,Footnote Text Char Char Char Char,Footnote Text Char2 Char Char Char Char,Footnote Text Char1 Char1 Char Char Char Char,Footnote Text Char Char Char Char Char Char Char,f Char1"/>
    <w:link w:val="FootnoteText"/>
    <w:rPr>
      <w:lang w:val="en-US" w:eastAsia="en-US" w:bidi="ar-SA"/>
    </w:rPr>
  </w:style>
  <w:style w:type="character" w:styleId="Hyperlink">
    <w:name w:val="Hyperlink"/>
    <w:rPr>
      <w:color w:val="0000FF"/>
      <w:u w:val="single"/>
    </w:rPr>
  </w:style>
  <w:style w:type="character" w:customStyle="1" w:styleId="documentbody1">
    <w:name w:val="documentbody1"/>
    <w:rPr>
      <w:rFonts w:ascii="Verdana" w:hAnsi="Verdana" w:hint="default"/>
      <w:sz w:val="19"/>
      <w:szCs w:val="19"/>
    </w:rPr>
  </w:style>
  <w:style w:type="character" w:customStyle="1" w:styleId="searchterm3">
    <w:name w:val="searchterm3"/>
    <w:rPr>
      <w:b/>
      <w:bCs/>
      <w:shd w:val="clear" w:color="auto" w:fill="FFFF00"/>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6145B3"/>
    <w:rPr>
      <w:sz w:val="16"/>
      <w:szCs w:val="16"/>
    </w:rPr>
  </w:style>
  <w:style w:type="paragraph" w:styleId="CommentText">
    <w:name w:val="annotation text"/>
    <w:basedOn w:val="Normal"/>
    <w:semiHidden/>
    <w:rsid w:val="006145B3"/>
  </w:style>
  <w:style w:type="paragraph" w:styleId="CommentSubject">
    <w:name w:val="annotation subject"/>
    <w:basedOn w:val="CommentText"/>
    <w:next w:val="CommentText"/>
    <w:semiHidden/>
    <w:rsid w:val="006145B3"/>
    <w:rPr>
      <w:b/>
      <w:bCs/>
    </w:rPr>
  </w:style>
  <w:style w:type="character" w:customStyle="1" w:styleId="pmterms21">
    <w:name w:val="pmterms21"/>
    <w:rsid w:val="00AA4B2A"/>
    <w:rPr>
      <w:b/>
      <w:bCs/>
      <w:i w:val="0"/>
      <w:iCs w:val="0"/>
      <w:color w:val="000000"/>
    </w:rPr>
  </w:style>
  <w:style w:type="character" w:customStyle="1" w:styleId="pmterms11">
    <w:name w:val="pmterms11"/>
    <w:rsid w:val="00AA4B2A"/>
    <w:rPr>
      <w:b/>
      <w:bCs/>
      <w:i w:val="0"/>
      <w:iCs w:val="0"/>
      <w:color w:val="000000"/>
    </w:rPr>
  </w:style>
  <w:style w:type="character" w:customStyle="1" w:styleId="term1">
    <w:name w:val="term1"/>
    <w:rsid w:val="00857490"/>
    <w:rPr>
      <w:b/>
      <w:bCs/>
    </w:rPr>
  </w:style>
  <w:style w:type="paragraph" w:customStyle="1" w:styleId="ParaNum">
    <w:name w:val="ParaNum"/>
    <w:basedOn w:val="Normal"/>
    <w:rsid w:val="00657B74"/>
    <w:pPr>
      <w:numPr>
        <w:numId w:val="3"/>
      </w:numPr>
      <w:tabs>
        <w:tab w:val="left" w:pos="1440"/>
      </w:tabs>
      <w:spacing w:after="220"/>
      <w:jc w:val="both"/>
    </w:pPr>
    <w:rPr>
      <w:snapToGrid w:val="0"/>
      <w:sz w:val="22"/>
    </w:rPr>
  </w:style>
  <w:style w:type="character" w:customStyle="1" w:styleId="FootnoteTextChar2">
    <w:name w:val="Footnote Text Char2"/>
    <w:aliases w:val="rrfootnote Char,rrfootnote Char Char Char,rrfootnote Char1 Char1,rrfootnote Char Char Char1 Char,rrfootnote Char1 Char Char,Footnote Text Char1 Char Char Char Char,Footnote Text Char4 Char1 Char Char,f Char"/>
    <w:rsid w:val="00657B74"/>
    <w:rPr>
      <w:lang w:val="en-US" w:eastAsia="en-US" w:bidi="ar-SA"/>
    </w:rPr>
  </w:style>
  <w:style w:type="paragraph" w:styleId="NoSpacing">
    <w:name w:val="No Spacing"/>
    <w:uiPriority w:val="1"/>
    <w:qFormat/>
    <w:rsid w:val="001D66B8"/>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4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966</Words>
  <Characters>5191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6221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2011-03-07T18:35:00Z</cp:lastPrinted>
  <dcterms:created xsi:type="dcterms:W3CDTF">2014-05-08T13:34:00Z</dcterms:created>
  <dcterms:modified xsi:type="dcterms:W3CDTF">2014-05-08T13:34:00Z</dcterms:modified>
  <cp:category> </cp:category>
  <cp:contentStatus> </cp:contentStatus>
</cp:coreProperties>
</file>