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84" w:rsidRDefault="000E5884" w:rsidP="00C82B6B">
      <w:pPr>
        <w:jc w:val="right"/>
        <w:rPr>
          <w:sz w:val="24"/>
        </w:rPr>
      </w:pPr>
      <w:bookmarkStart w:id="0" w:name="_GoBack"/>
      <w:bookmarkEnd w:id="0"/>
    </w:p>
    <w:p w:rsidR="00C82B6B" w:rsidRPr="00767DB1" w:rsidRDefault="00FE77D6" w:rsidP="00C82B6B">
      <w:pPr>
        <w:jc w:val="right"/>
        <w:rPr>
          <w:b/>
          <w:szCs w:val="22"/>
        </w:rPr>
      </w:pPr>
      <w:r w:rsidRPr="00767DB1">
        <w:rPr>
          <w:b/>
          <w:szCs w:val="22"/>
        </w:rPr>
        <w:t>DA 14-</w:t>
      </w:r>
      <w:r w:rsidR="00AA7020">
        <w:rPr>
          <w:b/>
          <w:szCs w:val="22"/>
        </w:rPr>
        <w:t>629</w:t>
      </w:r>
    </w:p>
    <w:p w:rsidR="00C82B6B" w:rsidRPr="00854B58" w:rsidRDefault="003607B3" w:rsidP="00C82B6B">
      <w:pPr>
        <w:spacing w:before="60"/>
        <w:jc w:val="right"/>
        <w:rPr>
          <w:b/>
          <w:sz w:val="24"/>
        </w:rPr>
      </w:pPr>
      <w:r>
        <w:rPr>
          <w:b/>
          <w:szCs w:val="22"/>
        </w:rPr>
        <w:t>Released:  May 12</w:t>
      </w:r>
      <w:r w:rsidR="00FE77D6" w:rsidRPr="00767DB1">
        <w:rPr>
          <w:b/>
          <w:szCs w:val="22"/>
        </w:rPr>
        <w:t>, 2014</w:t>
      </w:r>
      <w:r w:rsidR="00FE77D6">
        <w:rPr>
          <w:b/>
          <w:sz w:val="24"/>
        </w:rPr>
        <w:br/>
      </w:r>
    </w:p>
    <w:p w:rsidR="00FE77D6" w:rsidRDefault="00FE77D6" w:rsidP="00FE77D6">
      <w:pPr>
        <w:suppressAutoHyphens/>
        <w:jc w:val="center"/>
        <w:rPr>
          <w:b/>
        </w:rPr>
      </w:pPr>
      <w:r>
        <w:rPr>
          <w:b/>
        </w:rPr>
        <w:t xml:space="preserve">Applications Granted for the Acquisition of Certain Assets of </w:t>
      </w:r>
    </w:p>
    <w:p w:rsidR="00FE77D6" w:rsidRDefault="00FE77D6" w:rsidP="00FE77D6">
      <w:pPr>
        <w:suppressAutoHyphens/>
        <w:jc w:val="center"/>
        <w:rPr>
          <w:b/>
        </w:rPr>
      </w:pPr>
      <w:r>
        <w:rPr>
          <w:b/>
        </w:rPr>
        <w:t>MexTel Corporation, LLC d/b/a LifeTel</w:t>
      </w:r>
    </w:p>
    <w:p w:rsidR="00FE77D6" w:rsidRDefault="00FE77D6" w:rsidP="00FE77D6">
      <w:pPr>
        <w:suppressAutoHyphens/>
        <w:jc w:val="center"/>
        <w:rPr>
          <w:b/>
        </w:rPr>
      </w:pPr>
      <w:r>
        <w:rPr>
          <w:b/>
        </w:rPr>
        <w:t xml:space="preserve"> </w:t>
      </w:r>
    </w:p>
    <w:p w:rsidR="00FE77D6" w:rsidRDefault="00FE77D6" w:rsidP="00FE77D6">
      <w:pPr>
        <w:suppressAutoHyphens/>
        <w:spacing w:after="240"/>
        <w:jc w:val="center"/>
        <w:rPr>
          <w:b/>
        </w:rPr>
      </w:pPr>
      <w:r>
        <w:rPr>
          <w:b/>
        </w:rPr>
        <w:t xml:space="preserve">WC Docket Nos. 13-154 and 13-155 </w:t>
      </w:r>
    </w:p>
    <w:p w:rsidR="00FE77D6" w:rsidRPr="00F558BD" w:rsidRDefault="007C0E1D" w:rsidP="00FE77D6">
      <w:pPr>
        <w:autoSpaceDE w:val="0"/>
        <w:autoSpaceDN w:val="0"/>
        <w:adjustRightInd w:val="0"/>
        <w:ind w:firstLine="720"/>
        <w:rPr>
          <w:b/>
        </w:rPr>
      </w:pPr>
      <w:r>
        <w:rPr>
          <w:snapToGrid/>
          <w:kern w:val="0"/>
          <w:szCs w:val="22"/>
        </w:rPr>
        <w:t xml:space="preserve">On June 11, 2013, </w:t>
      </w:r>
      <w:r w:rsidR="00FE77D6">
        <w:rPr>
          <w:snapToGrid/>
          <w:kern w:val="0"/>
          <w:szCs w:val="22"/>
        </w:rPr>
        <w:t xml:space="preserve">MexTel Corporation, LLC d/b/a LifeTel (LifeTel), TerraCom, Inc. (TerraCom), and UTPhone, Inc. (UTPhone) (collectively Applicants) filed applications pursuant to section 63.03 </w:t>
      </w:r>
      <w:r w:rsidR="00FE77D6" w:rsidRPr="003C7F80">
        <w:rPr>
          <w:snapToGrid/>
          <w:kern w:val="0"/>
          <w:szCs w:val="22"/>
        </w:rPr>
        <w:t>of the Commission’s rules to transfer control of certain assets of LifeTel to TerraCom</w:t>
      </w:r>
      <w:r w:rsidR="00FE77D6">
        <w:rPr>
          <w:snapToGrid/>
          <w:kern w:val="0"/>
          <w:szCs w:val="22"/>
        </w:rPr>
        <w:t xml:space="preserve"> and UT Phone</w:t>
      </w:r>
      <w:r w:rsidR="00FE77D6" w:rsidRPr="003C7F80">
        <w:rPr>
          <w:snapToGrid/>
          <w:kern w:val="0"/>
          <w:szCs w:val="22"/>
        </w:rPr>
        <w:t>.</w:t>
      </w:r>
      <w:r w:rsidRPr="003C7F80">
        <w:rPr>
          <w:snapToGrid/>
          <w:kern w:val="0"/>
          <w:szCs w:val="22"/>
          <w:vertAlign w:val="superscript"/>
        </w:rPr>
        <w:footnoteReference w:id="2"/>
      </w:r>
      <w:r w:rsidR="00FE77D6">
        <w:rPr>
          <w:snapToGrid/>
          <w:kern w:val="0"/>
          <w:szCs w:val="22"/>
        </w:rPr>
        <w:t xml:space="preserve">  LifeTel was a competitive local exchange carrier (LEC) in Oklahoma.  On December 8, 2011, it consummated a transaction, without Commission authority, whereby it transferred approximately two-thirds of its customers to TerraCom and approximately one-third of its customers to UTPhone.</w:t>
      </w:r>
      <w:r w:rsidR="00FE77D6">
        <w:rPr>
          <w:rStyle w:val="FootnoteReference"/>
          <w:snapToGrid/>
          <w:kern w:val="0"/>
          <w:szCs w:val="22"/>
        </w:rPr>
        <w:footnoteReference w:id="3"/>
      </w:r>
      <w:r w:rsidR="00FE77D6">
        <w:rPr>
          <w:snapToGrid/>
          <w:kern w:val="0"/>
          <w:szCs w:val="22"/>
        </w:rPr>
        <w:t xml:space="preserve">  TerraCom and UTPhone are certified competitive LECs and Eligible Telecommunications Carriers in Oklahoma.  </w:t>
      </w:r>
      <w:r>
        <w:rPr>
          <w:snapToGrid/>
          <w:kern w:val="0"/>
          <w:szCs w:val="22"/>
        </w:rPr>
        <w:t>For reasons described below, t</w:t>
      </w:r>
      <w:r w:rsidR="00FE77D6">
        <w:t xml:space="preserve">he Bureau has determined that </w:t>
      </w:r>
      <w:r w:rsidR="00767DB1">
        <w:t>granting</w:t>
      </w:r>
      <w:r w:rsidR="00FE77D6">
        <w:t xml:space="preserve"> these applications serves the public interest</w:t>
      </w:r>
      <w:r w:rsidR="005860BB">
        <w:t xml:space="preserve"> and</w:t>
      </w:r>
      <w:r w:rsidR="00FE77D6">
        <w:t xml:space="preserve"> </w:t>
      </w:r>
      <w:r w:rsidR="00767DB1">
        <w:t>has</w:t>
      </w:r>
      <w:r w:rsidR="00FE77D6">
        <w:t xml:space="preserve"> granted</w:t>
      </w:r>
      <w:r w:rsidR="00767DB1">
        <w:t xml:space="preserve"> them</w:t>
      </w:r>
      <w:r w:rsidR="00FE77D6">
        <w:t>.</w:t>
      </w:r>
      <w:r w:rsidR="00581286">
        <w:rPr>
          <w:rStyle w:val="FootnoteReference"/>
        </w:rPr>
        <w:footnoteReference w:id="4"/>
      </w:r>
    </w:p>
    <w:p w:rsidR="00FE77D6" w:rsidRDefault="00FE77D6" w:rsidP="00FE77D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FE77D6" w:rsidRPr="00382389" w:rsidRDefault="00FE77D6" w:rsidP="00FE77D6">
      <w:pPr>
        <w:autoSpaceDE w:val="0"/>
        <w:autoSpaceDN w:val="0"/>
        <w:adjustRightInd w:val="0"/>
        <w:ind w:firstLine="720"/>
        <w:rPr>
          <w:snapToGrid/>
          <w:kern w:val="0"/>
          <w:szCs w:val="24"/>
        </w:rPr>
      </w:pPr>
      <w:r w:rsidRPr="00D45F3D">
        <w:rPr>
          <w:szCs w:val="24"/>
        </w:rPr>
        <w:t xml:space="preserve">On </w:t>
      </w:r>
      <w:r w:rsidR="007C0E1D">
        <w:rPr>
          <w:szCs w:val="24"/>
        </w:rPr>
        <w:t>July 3, 2013</w:t>
      </w:r>
      <w:r>
        <w:rPr>
          <w:szCs w:val="24"/>
        </w:rPr>
        <w:t>,</w:t>
      </w:r>
      <w:r w:rsidRPr="00D45F3D">
        <w:rPr>
          <w:szCs w:val="24"/>
        </w:rPr>
        <w:t xml:space="preserve"> </w:t>
      </w:r>
      <w:r w:rsidRPr="00D45F3D">
        <w:t xml:space="preserve">the </w:t>
      </w:r>
      <w:r>
        <w:t xml:space="preserve">Bureaus </w:t>
      </w:r>
      <w:r w:rsidRPr="00D45F3D">
        <w:t>released public notice</w:t>
      </w:r>
      <w:r>
        <w:t>s</w:t>
      </w:r>
      <w:r w:rsidRPr="00D45F3D">
        <w:t xml:space="preserve"> accepting the application</w:t>
      </w:r>
      <w:r>
        <w:t>s</w:t>
      </w:r>
      <w:r w:rsidRPr="00D45F3D">
        <w:t xml:space="preserve"> for </w:t>
      </w:r>
      <w:r>
        <w:t>s</w:t>
      </w:r>
      <w:r w:rsidRPr="00D45F3D">
        <w:t>treamlined processing</w:t>
      </w:r>
      <w:r w:rsidRPr="00D45F3D">
        <w:rPr>
          <w:szCs w:val="22"/>
        </w:rPr>
        <w:t>.</w:t>
      </w:r>
      <w:r w:rsidRPr="00D45F3D">
        <w:rPr>
          <w:rStyle w:val="FootnoteReference"/>
          <w:szCs w:val="22"/>
        </w:rPr>
        <w:footnoteReference w:id="5"/>
      </w:r>
      <w:r w:rsidRPr="00D45F3D">
        <w:rPr>
          <w:szCs w:val="22"/>
        </w:rPr>
        <w:t xml:space="preserve">  </w:t>
      </w:r>
      <w:r>
        <w:t>On August 2, 2013, the Bureau removed both applications from streamlining for further analysis to determine whether the transactions served the public interest.</w:t>
      </w:r>
      <w:r>
        <w:rPr>
          <w:rStyle w:val="FootnoteReference"/>
        </w:rPr>
        <w:footnoteReference w:id="6"/>
      </w:r>
      <w:r>
        <w:t xml:space="preserve">  </w:t>
      </w:r>
    </w:p>
    <w:p w:rsidR="00FE77D6" w:rsidRDefault="00FE77D6" w:rsidP="00FE77D6">
      <w:pPr>
        <w:widowControl/>
        <w:autoSpaceDE w:val="0"/>
        <w:autoSpaceDN w:val="0"/>
        <w:adjustRightInd w:val="0"/>
      </w:pPr>
    </w:p>
    <w:p w:rsidR="00FE77D6" w:rsidRPr="00C502CA" w:rsidRDefault="00FE77D6" w:rsidP="00FE77D6">
      <w:pPr>
        <w:autoSpaceDE w:val="0"/>
        <w:autoSpaceDN w:val="0"/>
        <w:adjustRightInd w:val="0"/>
        <w:ind w:firstLine="720"/>
        <w:rPr>
          <w:szCs w:val="22"/>
        </w:rPr>
      </w:pPr>
      <w:r w:rsidRPr="00B15A22">
        <w:rPr>
          <w:szCs w:val="22"/>
        </w:rPr>
        <w:t>The Bureau find</w:t>
      </w:r>
      <w:r>
        <w:rPr>
          <w:szCs w:val="22"/>
        </w:rPr>
        <w:t>s</w:t>
      </w:r>
      <w:r w:rsidRPr="00B15A22">
        <w:rPr>
          <w:szCs w:val="22"/>
        </w:rPr>
        <w:t xml:space="preserve">, upon consideration of the record, that </w:t>
      </w:r>
      <w:r>
        <w:rPr>
          <w:szCs w:val="22"/>
        </w:rPr>
        <w:t xml:space="preserve">approving the transactions </w:t>
      </w:r>
      <w:r w:rsidRPr="00B15A22">
        <w:rPr>
          <w:szCs w:val="22"/>
        </w:rPr>
        <w:t>will serve the public interest, convenience, and necessity.</w:t>
      </w:r>
      <w:r w:rsidRPr="00C502CA">
        <w:rPr>
          <w:szCs w:val="22"/>
          <w:vertAlign w:val="superscript"/>
        </w:rPr>
        <w:footnoteReference w:id="7"/>
      </w:r>
      <w:r w:rsidRPr="00B15A22">
        <w:rPr>
          <w:szCs w:val="22"/>
        </w:rPr>
        <w:t xml:space="preserve">  </w:t>
      </w:r>
      <w:r>
        <w:rPr>
          <w:szCs w:val="22"/>
        </w:rPr>
        <w:t xml:space="preserve">Applicants state that </w:t>
      </w:r>
      <w:r w:rsidR="007C0E1D">
        <w:rPr>
          <w:szCs w:val="22"/>
        </w:rPr>
        <w:t xml:space="preserve">LifeTel’s </w:t>
      </w:r>
      <w:r>
        <w:rPr>
          <w:szCs w:val="22"/>
        </w:rPr>
        <w:t>customers received notice of the transactions in 2011 and continued to receive service at the same rates, terms, and conditions</w:t>
      </w:r>
      <w:r w:rsidR="007C0E1D">
        <w:rPr>
          <w:szCs w:val="22"/>
        </w:rPr>
        <w:t xml:space="preserve"> post consummation</w:t>
      </w:r>
      <w:r>
        <w:rPr>
          <w:szCs w:val="22"/>
        </w:rPr>
        <w:t>.</w:t>
      </w:r>
      <w:r>
        <w:rPr>
          <w:rStyle w:val="FootnoteReference"/>
          <w:szCs w:val="22"/>
        </w:rPr>
        <w:footnoteReference w:id="8"/>
      </w:r>
      <w:r>
        <w:rPr>
          <w:szCs w:val="22"/>
        </w:rPr>
        <w:t xml:space="preserve">  TerraCom and UTPhone </w:t>
      </w:r>
      <w:r w:rsidR="00101A6F">
        <w:rPr>
          <w:szCs w:val="22"/>
        </w:rPr>
        <w:t xml:space="preserve">state that they </w:t>
      </w:r>
      <w:r>
        <w:rPr>
          <w:szCs w:val="22"/>
        </w:rPr>
        <w:t>have instituted safeguards to ensure that they do not undertake future transactions without prior Commission approval as required under section 214 of the Act and our rules.</w:t>
      </w:r>
      <w:r>
        <w:rPr>
          <w:rStyle w:val="FootnoteReference"/>
          <w:szCs w:val="22"/>
        </w:rPr>
        <w:footnoteReference w:id="9"/>
      </w:r>
      <w:r>
        <w:rPr>
          <w:szCs w:val="22"/>
        </w:rPr>
        <w:t xml:space="preserve">  </w:t>
      </w:r>
      <w:r w:rsidR="007C0E1D">
        <w:rPr>
          <w:szCs w:val="22"/>
        </w:rPr>
        <w:t xml:space="preserve">Accordingly, </w:t>
      </w:r>
      <w:r w:rsidR="00E71E76">
        <w:rPr>
          <w:szCs w:val="22"/>
        </w:rPr>
        <w:t>considering the applications</w:t>
      </w:r>
      <w:r w:rsidR="00101A6F">
        <w:rPr>
          <w:szCs w:val="22"/>
        </w:rPr>
        <w:t>’</w:t>
      </w:r>
      <w:r w:rsidR="00E71E76">
        <w:rPr>
          <w:szCs w:val="22"/>
        </w:rPr>
        <w:t xml:space="preserve"> statements, </w:t>
      </w:r>
      <w:r w:rsidR="007C0E1D">
        <w:rPr>
          <w:szCs w:val="22"/>
        </w:rPr>
        <w:t>the Bureau grants the application</w:t>
      </w:r>
      <w:r w:rsidR="00101A6F">
        <w:rPr>
          <w:szCs w:val="22"/>
        </w:rPr>
        <w:t>s</w:t>
      </w:r>
      <w:r w:rsidR="007C0E1D">
        <w:rPr>
          <w:szCs w:val="22"/>
        </w:rPr>
        <w:t xml:space="preserve"> </w:t>
      </w:r>
      <w:r w:rsidRPr="00DA18E0">
        <w:rPr>
          <w:szCs w:val="22"/>
        </w:rPr>
        <w:t>without prejudice to any enforcement action by the Commission.</w:t>
      </w:r>
      <w:r>
        <w:rPr>
          <w:rStyle w:val="FootnoteReference"/>
          <w:szCs w:val="22"/>
        </w:rPr>
        <w:footnoteReference w:id="10"/>
      </w:r>
      <w:r w:rsidRPr="00DA18E0">
        <w:rPr>
          <w:szCs w:val="22"/>
        </w:rPr>
        <w:t xml:space="preserve">  </w:t>
      </w:r>
      <w:r>
        <w:t>Applicants have acknowledg</w:t>
      </w:r>
      <w:r w:rsidR="007C0E1D">
        <w:t>ed that grant of the application</w:t>
      </w:r>
      <w:r>
        <w:t>s will not alter their responsibility to comply with any enforcement action</w:t>
      </w:r>
      <w:r w:rsidR="00CA55CC">
        <w:t xml:space="preserve"> related to the transactions</w:t>
      </w:r>
      <w:r>
        <w:t>.</w:t>
      </w:r>
      <w:r>
        <w:rPr>
          <w:rStyle w:val="FootnoteReference"/>
        </w:rPr>
        <w:footnoteReference w:id="11"/>
      </w:r>
      <w:r>
        <w:t xml:space="preserve">  </w:t>
      </w:r>
    </w:p>
    <w:p w:rsidR="00FE77D6" w:rsidRDefault="00FE77D6" w:rsidP="00FE77D6">
      <w:pPr>
        <w:suppressAutoHyphens/>
        <w:ind w:firstLine="720"/>
        <w:rPr>
          <w:szCs w:val="22"/>
        </w:rPr>
      </w:pPr>
    </w:p>
    <w:p w:rsidR="00FE77D6" w:rsidRDefault="00FE77D6" w:rsidP="00FE77D6">
      <w:pPr>
        <w:ind w:firstLine="720"/>
      </w:pPr>
      <w:r>
        <w:rPr>
          <w:szCs w:val="22"/>
        </w:rPr>
        <w:t xml:space="preserve">Pursuant to Sections 4(i) and </w:t>
      </w:r>
      <w:r w:rsidRPr="00C502CA">
        <w:rPr>
          <w:szCs w:val="22"/>
        </w:rPr>
        <w:t>214</w:t>
      </w:r>
      <w:r>
        <w:rPr>
          <w:szCs w:val="22"/>
        </w:rPr>
        <w:t xml:space="preserve"> </w:t>
      </w:r>
      <w:r w:rsidRPr="00C502CA">
        <w:rPr>
          <w:szCs w:val="22"/>
        </w:rPr>
        <w:t>of the Communications Act of 1934, as amended,</w:t>
      </w:r>
      <w:r w:rsidRPr="00C502CA">
        <w:rPr>
          <w:szCs w:val="22"/>
          <w:vertAlign w:val="superscript"/>
        </w:rPr>
        <w:footnoteReference w:id="12"/>
      </w:r>
      <w:r w:rsidRPr="00C502CA">
        <w:rPr>
          <w:szCs w:val="22"/>
        </w:rPr>
        <w:t xml:space="preserve"> an</w:t>
      </w:r>
      <w:r>
        <w:rPr>
          <w:szCs w:val="22"/>
        </w:rPr>
        <w:t>d Section</w:t>
      </w:r>
      <w:r w:rsidRPr="00C502CA">
        <w:rPr>
          <w:szCs w:val="22"/>
        </w:rPr>
        <w:t xml:space="preserve"> 0.291 of the Commission’s rules,</w:t>
      </w:r>
      <w:r w:rsidRPr="00C502CA">
        <w:rPr>
          <w:szCs w:val="22"/>
          <w:vertAlign w:val="superscript"/>
        </w:rPr>
        <w:footnoteReference w:id="13"/>
      </w:r>
      <w:r w:rsidRPr="00C502CA">
        <w:rPr>
          <w:szCs w:val="22"/>
        </w:rPr>
        <w:t xml:space="preserve"> </w:t>
      </w:r>
      <w:r>
        <w:rPr>
          <w:szCs w:val="22"/>
        </w:rPr>
        <w:t>the Bureau,</w:t>
      </w:r>
      <w:r w:rsidRPr="00C502CA">
        <w:rPr>
          <w:szCs w:val="22"/>
        </w:rPr>
        <w:t xml:space="preserve"> un</w:t>
      </w:r>
      <w:r w:rsidR="0045611D">
        <w:rPr>
          <w:szCs w:val="22"/>
        </w:rPr>
        <w:t>der delegated authority, grants</w:t>
      </w:r>
      <w:r w:rsidRPr="00C502CA">
        <w:rPr>
          <w:szCs w:val="22"/>
        </w:rPr>
        <w:t xml:space="preserve"> the applications listed herein.</w:t>
      </w:r>
      <w:r>
        <w:rPr>
          <w:szCs w:val="22"/>
        </w:rPr>
        <w:t xml:space="preserve">  Further </w:t>
      </w:r>
      <w: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FE77D6" w:rsidRPr="00C502CA" w:rsidRDefault="00FE77D6" w:rsidP="00FE77D6">
      <w:pPr>
        <w:suppressAutoHyphens/>
        <w:ind w:firstLine="720"/>
        <w:rPr>
          <w:szCs w:val="22"/>
        </w:rPr>
      </w:pPr>
    </w:p>
    <w:p w:rsidR="00FE77D6" w:rsidRDefault="00FE77D6" w:rsidP="00FE77D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color w:val="000000"/>
        </w:rPr>
        <w:t>For further information, please contact Dennis Johnson, Competition Policy Division, Wireline Competition Bureau, at (202) 418-0809.</w:t>
      </w:r>
    </w:p>
    <w:p w:rsidR="00FE77D6" w:rsidRDefault="00FE77D6" w:rsidP="00FE77D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pPr>
    </w:p>
    <w:p w:rsidR="00FE77D6" w:rsidRDefault="00FE77D6" w:rsidP="00FE77D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pPr>
    </w:p>
    <w:p w:rsidR="00FE77D6" w:rsidRDefault="00FE77D6" w:rsidP="00FE77D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center"/>
      </w:pPr>
      <w:r>
        <w:t>-FCC-</w:t>
      </w:r>
    </w:p>
    <w:p w:rsidR="00412FC5" w:rsidRPr="00412FC5" w:rsidRDefault="00412FC5" w:rsidP="00FE77D6">
      <w:pPr>
        <w:pStyle w:val="Heading1"/>
        <w:numPr>
          <w:ilvl w:val="0"/>
          <w:numId w:val="0"/>
        </w:numPr>
        <w:ind w:left="720"/>
      </w:pPr>
    </w:p>
    <w:sectPr w:rsidR="00412FC5" w:rsidRPr="00412FC5"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56" w:rsidRDefault="00025256">
      <w:pPr>
        <w:spacing w:line="20" w:lineRule="exact"/>
      </w:pPr>
    </w:p>
  </w:endnote>
  <w:endnote w:type="continuationSeparator" w:id="0">
    <w:p w:rsidR="00025256" w:rsidRDefault="00025256">
      <w:r>
        <w:t xml:space="preserve"> </w:t>
      </w:r>
    </w:p>
  </w:endnote>
  <w:endnote w:type="continuationNotice" w:id="1">
    <w:p w:rsidR="00025256" w:rsidRDefault="000252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A22162">
      <w:rPr>
        <w:noProof/>
      </w:rPr>
      <w:t>2</w:t>
    </w:r>
    <w:r>
      <w:fldChar w:fldCharType="end"/>
    </w:r>
  </w:p>
  <w:p w:rsidR="006F7393" w:rsidRDefault="006F7393">
    <w:pPr>
      <w:spacing w:before="140" w:line="100" w:lineRule="exact"/>
      <w:rPr>
        <w:sz w:val="10"/>
      </w:rPr>
    </w:pPr>
  </w:p>
  <w:p w:rsidR="006F7393" w:rsidRDefault="006F7393">
    <w:pPr>
      <w:suppressAutoHyphens/>
      <w:spacing w:line="227" w:lineRule="auto"/>
    </w:pPr>
  </w:p>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56" w:rsidRDefault="00025256">
      <w:r>
        <w:separator/>
      </w:r>
    </w:p>
  </w:footnote>
  <w:footnote w:type="continuationSeparator" w:id="0">
    <w:p w:rsidR="00025256" w:rsidRDefault="00025256">
      <w:pPr>
        <w:rPr>
          <w:sz w:val="20"/>
        </w:rPr>
      </w:pPr>
      <w:r>
        <w:rPr>
          <w:sz w:val="20"/>
        </w:rPr>
        <w:t xml:space="preserve">(Continued from previous page)  </w:t>
      </w:r>
      <w:r>
        <w:rPr>
          <w:sz w:val="20"/>
        </w:rPr>
        <w:separator/>
      </w:r>
    </w:p>
  </w:footnote>
  <w:footnote w:type="continuationNotice" w:id="1">
    <w:p w:rsidR="00025256" w:rsidRDefault="00025256">
      <w:pPr>
        <w:rPr>
          <w:sz w:val="20"/>
        </w:rPr>
      </w:pPr>
      <w:r>
        <w:rPr>
          <w:sz w:val="20"/>
        </w:rPr>
        <w:t>(continued….)</w:t>
      </w:r>
    </w:p>
  </w:footnote>
  <w:footnote w:id="2">
    <w:p w:rsidR="007C0E1D" w:rsidRPr="00B0705B" w:rsidRDefault="007C0E1D" w:rsidP="007C0E1D">
      <w:pPr>
        <w:pStyle w:val="FootnoteText"/>
      </w:pPr>
      <w:r w:rsidRPr="00B0705B">
        <w:rPr>
          <w:rStyle w:val="FootnoteReference"/>
        </w:rPr>
        <w:footnoteRef/>
      </w:r>
      <w:r w:rsidRPr="00B0705B">
        <w:t xml:space="preserve"> 47 C.F.R § 63.03; </w:t>
      </w:r>
      <w:r w:rsidRPr="00B0705B">
        <w:rPr>
          <w:i/>
        </w:rPr>
        <w:t xml:space="preserve">see </w:t>
      </w:r>
      <w:r w:rsidRPr="00B0705B">
        <w:t xml:space="preserve">47 U.S.C. § 214.  </w:t>
      </w:r>
      <w:r>
        <w:t>Application of MexTel Corporation, LLC d/b/a LifeTel and TerraCom, Inc.</w:t>
      </w:r>
      <w:r w:rsidRPr="00B0705B">
        <w:t xml:space="preserve"> </w:t>
      </w:r>
      <w:r>
        <w:t>for Consent to Transfer Assets, WC Docket No. 13-154 (filed June 11, 2013) (TerraCom Application); Application of MexTel Corporation, LLC d/b/a LifeTel and UTPhone, Inc.</w:t>
      </w:r>
      <w:r w:rsidRPr="00B0705B">
        <w:t xml:space="preserve"> </w:t>
      </w:r>
      <w:r>
        <w:t>for Consent to Transfer Assets, WC Docket No. 13-155 (filed June 11, 2013) (UTPhone Application).</w:t>
      </w:r>
      <w:r w:rsidRPr="00B0705B">
        <w:t xml:space="preserve">    </w:t>
      </w:r>
    </w:p>
  </w:footnote>
  <w:footnote w:id="3">
    <w:p w:rsidR="00FE77D6" w:rsidRDefault="00FE77D6" w:rsidP="00FE77D6">
      <w:pPr>
        <w:pStyle w:val="FootnoteText"/>
      </w:pPr>
      <w:r>
        <w:rPr>
          <w:rStyle w:val="FootnoteReference"/>
        </w:rPr>
        <w:footnoteRef/>
      </w:r>
      <w:r>
        <w:t xml:space="preserve"> T</w:t>
      </w:r>
      <w:r w:rsidRPr="00B0705B">
        <w:t xml:space="preserve">he Wireline Competition Bureau </w:t>
      </w:r>
      <w:r>
        <w:t xml:space="preserve">(Bureau) </w:t>
      </w:r>
      <w:r w:rsidRPr="00B0705B">
        <w:t>granted Applicants’ request for Special Temporary Au</w:t>
      </w:r>
      <w:r>
        <w:t xml:space="preserve">thority (STA) for </w:t>
      </w:r>
      <w:r w:rsidRPr="00B0705B">
        <w:t>authorization to continue to provide service pending approval of th</w:t>
      </w:r>
      <w:r>
        <w:t>ese</w:t>
      </w:r>
      <w:r w:rsidRPr="00B0705B">
        <w:t xml:space="preserve"> application</w:t>
      </w:r>
      <w:r>
        <w:t>s</w:t>
      </w:r>
      <w:r w:rsidRPr="00B0705B">
        <w:t xml:space="preserve">. </w:t>
      </w:r>
      <w:r>
        <w:t xml:space="preserve"> Letter from Ross A. Buntrock and Katherine E. Barker Marshall, Counsel to </w:t>
      </w:r>
      <w:r w:rsidR="00CA55CC">
        <w:t>MexT</w:t>
      </w:r>
      <w:r w:rsidR="00950C2C">
        <w:t>el Corporation, LLC d/b/a LifeTel and TerraCom, Inc.</w:t>
      </w:r>
      <w:r>
        <w:t>, to Marlene H. Dortch, Secr</w:t>
      </w:r>
      <w:r w:rsidR="00B36285">
        <w:t>etary, FCC, WC Docket No. 13-154</w:t>
      </w:r>
      <w:r>
        <w:t xml:space="preserve"> (filed June 10, 2013) (TerraCom STA Letter); Letter from Ross A. Buntrock and Katherine E. Bark</w:t>
      </w:r>
      <w:r w:rsidR="00B12A17">
        <w:t>er Marshall, Counsel to MexTel Corporation, LLC d/b/a LifeTel</w:t>
      </w:r>
      <w:r>
        <w:t xml:space="preserve">, and James M. Smith, Counsel to UTPhone, </w:t>
      </w:r>
      <w:r w:rsidR="00B12A17">
        <w:t xml:space="preserve">Inc. </w:t>
      </w:r>
      <w:r>
        <w:t>to Marlene H. Dortch, Secretary, FCC, WC Docket No. 13-155 (filed June 10, 2013) (UTPhone STA Letter).</w:t>
      </w:r>
    </w:p>
  </w:footnote>
  <w:footnote w:id="4">
    <w:p w:rsidR="00581286" w:rsidRPr="00B83880" w:rsidRDefault="00581286" w:rsidP="00581286">
      <w:pPr>
        <w:pStyle w:val="FootnoteText"/>
      </w:pPr>
      <w:r w:rsidRPr="00B83880">
        <w:rPr>
          <w:rStyle w:val="FootnoteReference"/>
        </w:rPr>
        <w:footnoteRef/>
      </w:r>
      <w:r>
        <w:rPr>
          <w:i/>
        </w:rPr>
        <w:t xml:space="preserve"> </w:t>
      </w:r>
      <w:r w:rsidRPr="00B83880">
        <w:rPr>
          <w:i/>
        </w:rPr>
        <w:t xml:space="preserve">Implementation of Further Streamlining Measures for Domestic Section 214 Authorizations, </w:t>
      </w:r>
      <w:r w:rsidRPr="00B83880">
        <w:t>CC Docket No. 01-150, Report and Order,</w:t>
      </w:r>
      <w:r w:rsidRPr="00B83880">
        <w:rPr>
          <w:i/>
        </w:rPr>
        <w:t xml:space="preserve"> </w:t>
      </w:r>
      <w:r w:rsidRPr="00B83880">
        <w:t xml:space="preserve">17 FCC Rcd 5517, 5540, para. 45 (2002).  </w:t>
      </w:r>
    </w:p>
  </w:footnote>
  <w:footnote w:id="5">
    <w:p w:rsidR="00FE77D6" w:rsidRPr="00B83880" w:rsidRDefault="00FE77D6" w:rsidP="00FE77D6">
      <w:pPr>
        <w:pStyle w:val="FootnoteText"/>
      </w:pPr>
      <w:r w:rsidRPr="00B83880">
        <w:rPr>
          <w:rStyle w:val="FootnoteReference"/>
        </w:rPr>
        <w:footnoteRef/>
      </w:r>
      <w:r w:rsidRPr="00B83880">
        <w:t xml:space="preserve"> </w:t>
      </w:r>
      <w:r>
        <w:rPr>
          <w:i/>
        </w:rPr>
        <w:t>Domestic Section 214 Application Filed for the Acquisition of Certain Assets of MexTel Corporation, LLC d/b/a LifeTel by TerraCom, Inc.</w:t>
      </w:r>
      <w:r>
        <w:t>, WC Docket No. 13-154</w:t>
      </w:r>
      <w:r>
        <w:rPr>
          <w:i/>
        </w:rPr>
        <w:t>,</w:t>
      </w:r>
      <w:r>
        <w:t xml:space="preserve"> </w:t>
      </w:r>
      <w:r w:rsidR="0045611D">
        <w:t xml:space="preserve">Public Notice, </w:t>
      </w:r>
      <w:r>
        <w:t>28 FCC Rcd 9453 (Wireline Comp. Bur. 2013)</w:t>
      </w:r>
      <w:r w:rsidR="00101A6F">
        <w:t xml:space="preserve"> (</w:t>
      </w:r>
      <w:r w:rsidR="00101A6F" w:rsidRPr="00101A6F">
        <w:rPr>
          <w:i/>
        </w:rPr>
        <w:t>TerraCom Public Notice</w:t>
      </w:r>
      <w:r w:rsidR="00101A6F">
        <w:t>)</w:t>
      </w:r>
      <w:r>
        <w:t xml:space="preserve">; </w:t>
      </w:r>
      <w:r>
        <w:rPr>
          <w:i/>
        </w:rPr>
        <w:t xml:space="preserve"> Domestic Section 214 Application Filed for the Acquisition of Certain Assets of MexTel Corporation, LLC d/b/a LifeTel by UTPhone Inc.</w:t>
      </w:r>
      <w:r>
        <w:t>, WC Docket No. 13-155</w:t>
      </w:r>
      <w:r>
        <w:rPr>
          <w:i/>
        </w:rPr>
        <w:t>,</w:t>
      </w:r>
      <w:r>
        <w:t xml:space="preserve"> </w:t>
      </w:r>
      <w:r w:rsidR="0045611D">
        <w:t xml:space="preserve">Public Notice, </w:t>
      </w:r>
      <w:r>
        <w:t>28 FCC Rcd 9455 (Wireline Comp. Bur. 2013)</w:t>
      </w:r>
      <w:r w:rsidR="00101A6F">
        <w:t xml:space="preserve"> (</w:t>
      </w:r>
      <w:r w:rsidR="00101A6F" w:rsidRPr="00101A6F">
        <w:rPr>
          <w:i/>
        </w:rPr>
        <w:t>UTPhone Public Notice</w:t>
      </w:r>
      <w:r w:rsidR="00101A6F">
        <w:t>)</w:t>
      </w:r>
      <w:r>
        <w:t xml:space="preserve">.  </w:t>
      </w:r>
    </w:p>
  </w:footnote>
  <w:footnote w:id="6">
    <w:p w:rsidR="00FE77D6" w:rsidRDefault="00FE77D6" w:rsidP="00FE77D6">
      <w:pPr>
        <w:pStyle w:val="FootnoteText"/>
      </w:pPr>
      <w:r>
        <w:rPr>
          <w:rStyle w:val="FootnoteReference"/>
        </w:rPr>
        <w:footnoteRef/>
      </w:r>
      <w:r>
        <w:t xml:space="preserve"> </w:t>
      </w:r>
      <w:r w:rsidRPr="00023129">
        <w:rPr>
          <w:i/>
        </w:rPr>
        <w:t>Notice of Removal of Domestic Section 214 Applications from Streamlined Treatment</w:t>
      </w:r>
      <w:r>
        <w:t xml:space="preserve">, WC Docket Nos. 13-154, 13-155, </w:t>
      </w:r>
      <w:r w:rsidR="0045611D">
        <w:t xml:space="preserve">Public Notice, </w:t>
      </w:r>
      <w:r>
        <w:t>28 FCC Rcd 11149 (Wireline Comp. Bur. 2013).</w:t>
      </w:r>
    </w:p>
  </w:footnote>
  <w:footnote w:id="7">
    <w:p w:rsidR="00FE77D6" w:rsidRDefault="00FE77D6" w:rsidP="00FE77D6">
      <w:pPr>
        <w:pStyle w:val="FootnoteText"/>
        <w:rPr>
          <w:rStyle w:val="FootnoteTextChar1"/>
        </w:rPr>
      </w:pPr>
      <w:r>
        <w:rPr>
          <w:rStyle w:val="FootnoteReference"/>
          <w:color w:val="000000"/>
        </w:rPr>
        <w:footnoteRef/>
      </w:r>
      <w:r>
        <w:rPr>
          <w:rStyle w:val="FootnoteTextChar1"/>
        </w:rPr>
        <w:t xml:space="preserve"> </w:t>
      </w:r>
      <w:r>
        <w:rPr>
          <w:rStyle w:val="FootnoteTextChar1"/>
          <w:i/>
        </w:rPr>
        <w:t>See</w:t>
      </w:r>
      <w:r>
        <w:rPr>
          <w:rStyle w:val="FootnoteTextChar1"/>
        </w:rPr>
        <w:t xml:space="preserve"> 47 U.S.C. §§ 214(a).</w:t>
      </w:r>
    </w:p>
  </w:footnote>
  <w:footnote w:id="8">
    <w:p w:rsidR="00FE77D6" w:rsidRDefault="00FE77D6" w:rsidP="00FE77D6">
      <w:pPr>
        <w:pStyle w:val="FootnoteText"/>
      </w:pPr>
      <w:r>
        <w:rPr>
          <w:rStyle w:val="FootnoteReference"/>
        </w:rPr>
        <w:footnoteRef/>
      </w:r>
      <w:r>
        <w:t xml:space="preserve"> TerraCom Application at 8; UTPhone Application at 8.</w:t>
      </w:r>
    </w:p>
  </w:footnote>
  <w:footnote w:id="9">
    <w:p w:rsidR="00FE77D6" w:rsidRDefault="00FE77D6" w:rsidP="00FE77D6">
      <w:pPr>
        <w:pStyle w:val="FootnoteText"/>
      </w:pPr>
      <w:r>
        <w:rPr>
          <w:rStyle w:val="FootnoteReference"/>
        </w:rPr>
        <w:footnoteRef/>
      </w:r>
      <w:r>
        <w:t xml:space="preserve"> 47 U.S.C. § 214; 47 C.F.R. §§ 63.03-04; TerrraCom Application at 8; UTPhone Application at 8; TerraCom STA Letter at 2; UTPhone STA Letter at 2.</w:t>
      </w:r>
    </w:p>
  </w:footnote>
  <w:footnote w:id="10">
    <w:p w:rsidR="00FE77D6" w:rsidRDefault="00FE77D6" w:rsidP="00FE77D6">
      <w:pPr>
        <w:pStyle w:val="FootnoteText"/>
      </w:pPr>
      <w:r>
        <w:rPr>
          <w:rStyle w:val="FootnoteReference"/>
        </w:rPr>
        <w:footnoteRef/>
      </w:r>
      <w:r>
        <w:t xml:space="preserve"> </w:t>
      </w:r>
      <w:r w:rsidR="00101A6F" w:rsidRPr="00101A6F">
        <w:t xml:space="preserve">The STA authorizing Applicants to continue providing service pending approval of their applications was also granted without prejudice to Commission enforcement action. </w:t>
      </w:r>
      <w:r w:rsidR="00101A6F">
        <w:t xml:space="preserve"> </w:t>
      </w:r>
      <w:r w:rsidRPr="007F0130">
        <w:rPr>
          <w:i/>
        </w:rPr>
        <w:t>TerraCom Public Notice</w:t>
      </w:r>
      <w:r>
        <w:t xml:space="preserve">, 28 FCC Rcd at 9452; </w:t>
      </w:r>
      <w:r w:rsidRPr="007F0130">
        <w:rPr>
          <w:i/>
        </w:rPr>
        <w:t>UTPhone Public Notice</w:t>
      </w:r>
      <w:r>
        <w:t>, 28 FCC Rcd at 9455.</w:t>
      </w:r>
      <w:r w:rsidR="0045611D">
        <w:t xml:space="preserve">  </w:t>
      </w:r>
    </w:p>
  </w:footnote>
  <w:footnote w:id="11">
    <w:p w:rsidR="00FE77D6" w:rsidRDefault="00FE77D6" w:rsidP="00FE77D6">
      <w:pPr>
        <w:pStyle w:val="FootnoteText"/>
      </w:pPr>
      <w:r>
        <w:rPr>
          <w:rStyle w:val="FootnoteReference"/>
        </w:rPr>
        <w:footnoteRef/>
      </w:r>
      <w:r>
        <w:t xml:space="preserve"> </w:t>
      </w:r>
      <w:r w:rsidR="00A32D2F" w:rsidRPr="00A32D2F">
        <w:t xml:space="preserve">Letter from Ross A. Buntrock and Katherine E. Barker Marshall, Counsel to </w:t>
      </w:r>
      <w:r w:rsidR="00612272">
        <w:t xml:space="preserve">MexTel Corporation, LLC d/b/a </w:t>
      </w:r>
      <w:r w:rsidR="00A32D2F" w:rsidRPr="00A32D2F">
        <w:t>LifeTel</w:t>
      </w:r>
      <w:r w:rsidR="00612272">
        <w:t xml:space="preserve"> and TerraCom, Inc.</w:t>
      </w:r>
      <w:r w:rsidR="00A32D2F" w:rsidRPr="00A32D2F">
        <w:t>, to Marlene H. Dortch, Secr</w:t>
      </w:r>
      <w:r w:rsidR="00AE134A">
        <w:t>etary, FCC, WC Docket No. 13-154</w:t>
      </w:r>
      <w:r w:rsidR="004B10CE">
        <w:t xml:space="preserve"> (filed April 14, 2014)</w:t>
      </w:r>
      <w:r w:rsidR="00AE134A">
        <w:t xml:space="preserve">;  Letter from Ross A. Buntrock and Katherine E. Barker Marshall, Counsel to </w:t>
      </w:r>
      <w:r w:rsidR="00CA55CC">
        <w:t xml:space="preserve">MexTel Corporation, LLC d/b/a </w:t>
      </w:r>
      <w:r w:rsidR="00AE134A">
        <w:t xml:space="preserve">LifeTel, and James M. Smith, Counsel to UTPhone, </w:t>
      </w:r>
      <w:r w:rsidR="004B10CE">
        <w:t xml:space="preserve">Inc., </w:t>
      </w:r>
      <w:r w:rsidR="00AE134A">
        <w:t xml:space="preserve">to Marlene H. Dortch, Secretary, FCC, </w:t>
      </w:r>
      <w:r w:rsidR="004B10CE">
        <w:t>WC Docket No. 13-155 (filed April</w:t>
      </w:r>
      <w:r w:rsidR="00AE134A">
        <w:t xml:space="preserve"> </w:t>
      </w:r>
      <w:r w:rsidR="004B10CE">
        <w:t>14, 2014)</w:t>
      </w:r>
      <w:r w:rsidR="00AE134A">
        <w:t xml:space="preserve">.  </w:t>
      </w:r>
    </w:p>
  </w:footnote>
  <w:footnote w:id="12">
    <w:p w:rsidR="00FE77D6" w:rsidRDefault="00FE77D6" w:rsidP="00FE77D6">
      <w:pPr>
        <w:pStyle w:val="FootnoteText"/>
        <w:rPr>
          <w:rStyle w:val="FootnoteTextChar1"/>
        </w:rPr>
      </w:pPr>
      <w:r>
        <w:rPr>
          <w:rStyle w:val="FootnoteReference"/>
        </w:rPr>
        <w:footnoteRef/>
      </w:r>
      <w:r>
        <w:rPr>
          <w:rStyle w:val="FootnoteTextChar1"/>
        </w:rPr>
        <w:t xml:space="preserve"> 47 U.S.C. §§ 154(i), 214.</w:t>
      </w:r>
    </w:p>
  </w:footnote>
  <w:footnote w:id="13">
    <w:p w:rsidR="00FE77D6" w:rsidRDefault="00FE77D6" w:rsidP="00FE77D6">
      <w:pPr>
        <w:pStyle w:val="FootnoteText"/>
        <w:rPr>
          <w:rStyle w:val="FootnoteTextChar1"/>
        </w:rPr>
      </w:pPr>
      <w:r>
        <w:rPr>
          <w:rStyle w:val="FootnoteReference"/>
          <w:color w:val="000000"/>
        </w:rPr>
        <w:footnoteRef/>
      </w:r>
      <w:r>
        <w:rPr>
          <w:rStyle w:val="FootnoteTextChar1"/>
        </w:rPr>
        <w:t xml:space="preserve"> 47 C.F.R. § 0.291.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51" w:rsidRDefault="00EF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6B" w:rsidRPr="00837C62" w:rsidRDefault="00FE77D6" w:rsidP="00837C62">
    <w:pPr>
      <w:pStyle w:val="Header"/>
    </w:pPr>
    <w:r>
      <w:rPr>
        <w:noProof/>
        <w:snapToGrid/>
      </w:rPr>
      <w:drawing>
        <wp:anchor distT="0" distB="0" distL="114300" distR="114300" simplePos="0" relativeHeight="251659776" behindDoc="0" locked="0" layoutInCell="0" allowOverlap="1" wp14:anchorId="3E2E02DB" wp14:editId="06306494">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B6B" w:rsidRPr="00837C62">
      <w:t>PUBLIC NOTICE</w:t>
    </w:r>
  </w:p>
  <w:p w:rsidR="00C82B6B" w:rsidRDefault="00FE77D6"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098F2D27" wp14:editId="54C3EB29">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8F2D27"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C82B6B" w:rsidRDefault="00C82B6B" w:rsidP="00C82B6B">
                    <w:pPr>
                      <w:rPr>
                        <w:rFonts w:ascii="Arial" w:hAnsi="Arial"/>
                        <w:b/>
                      </w:rPr>
                    </w:pPr>
                    <w:r>
                      <w:rPr>
                        <w:rFonts w:ascii="Arial" w:hAnsi="Arial"/>
                        <w:b/>
                      </w:rPr>
                      <w:t>Federal Communications Commission</w:t>
                    </w:r>
                  </w:p>
                  <w:p w:rsidR="00C82B6B" w:rsidRDefault="00C82B6B" w:rsidP="00C82B6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C82B6B" w:rsidRDefault="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7B21745C" wp14:editId="4D79DFE9">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21745C"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C82B6B" w:rsidRDefault="00C82B6B" w:rsidP="00C82B6B">
                    <w:pPr>
                      <w:spacing w:before="40"/>
                      <w:jc w:val="right"/>
                      <w:rPr>
                        <w:rFonts w:ascii="Arial" w:hAnsi="Arial"/>
                        <w:b/>
                        <w:sz w:val="16"/>
                      </w:rPr>
                    </w:pPr>
                    <w:r>
                      <w:rPr>
                        <w:rFonts w:ascii="Arial" w:hAnsi="Arial"/>
                        <w:b/>
                        <w:sz w:val="16"/>
                      </w:rPr>
                      <w:t>News Media Information 202 / 418-0500</w:t>
                    </w:r>
                  </w:p>
                  <w:p w:rsidR="00C82B6B" w:rsidRDefault="00C82B6B" w:rsidP="00C82B6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82B6B" w:rsidRDefault="00C82B6B" w:rsidP="00C82B6B">
                    <w:pPr>
                      <w:jc w:val="right"/>
                      <w:rPr>
                        <w:rFonts w:ascii="Arial" w:hAnsi="Arial"/>
                        <w:b/>
                        <w:sz w:val="16"/>
                      </w:rPr>
                    </w:pPr>
                    <w:r>
                      <w:rPr>
                        <w:rFonts w:ascii="Arial" w:hAnsi="Arial"/>
                        <w:b/>
                        <w:sz w:val="16"/>
                      </w:rPr>
                      <w:t>TTY: 1-888-835-5322</w:t>
                    </w:r>
                  </w:p>
                  <w:p w:rsidR="00C82B6B" w:rsidRDefault="00C82B6B" w:rsidP="00C82B6B">
                    <w:pPr>
                      <w:jc w:val="right"/>
                    </w:pPr>
                  </w:p>
                </w:txbxContent>
              </v:textbox>
            </v:shape>
          </w:pict>
        </mc:Fallback>
      </mc:AlternateContent>
    </w:r>
  </w:p>
  <w:p w:rsidR="006F7393" w:rsidRPr="00C82B6B" w:rsidRDefault="00FE77D6" w:rsidP="00837C62">
    <w:pPr>
      <w:pStyle w:val="Header"/>
    </w:pPr>
    <w:r>
      <w:rPr>
        <w:noProof/>
        <w:snapToGrid/>
      </w:rPr>
      <mc:AlternateContent>
        <mc:Choice Requires="wps">
          <w:drawing>
            <wp:anchor distT="0" distB="0" distL="114300" distR="114300" simplePos="0" relativeHeight="251657728" behindDoc="0" locked="0" layoutInCell="0" allowOverlap="1" wp14:anchorId="578FDC76" wp14:editId="45098D82">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E8F0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D6"/>
    <w:rsid w:val="00014C69"/>
    <w:rsid w:val="00017B5E"/>
    <w:rsid w:val="000245B4"/>
    <w:rsid w:val="00025256"/>
    <w:rsid w:val="00036039"/>
    <w:rsid w:val="00037F90"/>
    <w:rsid w:val="000875BF"/>
    <w:rsid w:val="00096D8C"/>
    <w:rsid w:val="000C0B65"/>
    <w:rsid w:val="000E3D42"/>
    <w:rsid w:val="000E5884"/>
    <w:rsid w:val="00101A6F"/>
    <w:rsid w:val="00122BD5"/>
    <w:rsid w:val="001D6BCF"/>
    <w:rsid w:val="001E01CA"/>
    <w:rsid w:val="00220698"/>
    <w:rsid w:val="00226822"/>
    <w:rsid w:val="00285017"/>
    <w:rsid w:val="002A2D2E"/>
    <w:rsid w:val="00343749"/>
    <w:rsid w:val="003607B3"/>
    <w:rsid w:val="00387368"/>
    <w:rsid w:val="003B0550"/>
    <w:rsid w:val="003B694F"/>
    <w:rsid w:val="003F171C"/>
    <w:rsid w:val="0041223B"/>
    <w:rsid w:val="00412FC5"/>
    <w:rsid w:val="00422276"/>
    <w:rsid w:val="004242F1"/>
    <w:rsid w:val="00445A00"/>
    <w:rsid w:val="00451B0F"/>
    <w:rsid w:val="00453914"/>
    <w:rsid w:val="0045611D"/>
    <w:rsid w:val="00496106"/>
    <w:rsid w:val="004B10CE"/>
    <w:rsid w:val="004C12D0"/>
    <w:rsid w:val="004C2EE3"/>
    <w:rsid w:val="004E4A22"/>
    <w:rsid w:val="00511968"/>
    <w:rsid w:val="0055614C"/>
    <w:rsid w:val="00581286"/>
    <w:rsid w:val="005860BB"/>
    <w:rsid w:val="00593126"/>
    <w:rsid w:val="00607BA5"/>
    <w:rsid w:val="00612272"/>
    <w:rsid w:val="00626EB6"/>
    <w:rsid w:val="00655D03"/>
    <w:rsid w:val="00683F84"/>
    <w:rsid w:val="006A6A81"/>
    <w:rsid w:val="006E26AF"/>
    <w:rsid w:val="006F7393"/>
    <w:rsid w:val="0070224F"/>
    <w:rsid w:val="007115F7"/>
    <w:rsid w:val="00767DB1"/>
    <w:rsid w:val="00785689"/>
    <w:rsid w:val="0079754B"/>
    <w:rsid w:val="007A1E6D"/>
    <w:rsid w:val="007C0E1D"/>
    <w:rsid w:val="00822CE0"/>
    <w:rsid w:val="00837C62"/>
    <w:rsid w:val="00841AB1"/>
    <w:rsid w:val="00854B58"/>
    <w:rsid w:val="00926503"/>
    <w:rsid w:val="00950C2C"/>
    <w:rsid w:val="00A22162"/>
    <w:rsid w:val="00A32D2F"/>
    <w:rsid w:val="00A45F4F"/>
    <w:rsid w:val="00A600A9"/>
    <w:rsid w:val="00A87938"/>
    <w:rsid w:val="00AA55B7"/>
    <w:rsid w:val="00AA5B9E"/>
    <w:rsid w:val="00AA7020"/>
    <w:rsid w:val="00AB2407"/>
    <w:rsid w:val="00AB53DF"/>
    <w:rsid w:val="00AE134A"/>
    <w:rsid w:val="00B07E5C"/>
    <w:rsid w:val="00B12A17"/>
    <w:rsid w:val="00B36285"/>
    <w:rsid w:val="00B811F7"/>
    <w:rsid w:val="00BA5DC6"/>
    <w:rsid w:val="00BA6196"/>
    <w:rsid w:val="00BC6D8C"/>
    <w:rsid w:val="00C34006"/>
    <w:rsid w:val="00C426B1"/>
    <w:rsid w:val="00C82B6B"/>
    <w:rsid w:val="00C90D6A"/>
    <w:rsid w:val="00CA55CC"/>
    <w:rsid w:val="00CB7FEA"/>
    <w:rsid w:val="00CC72B6"/>
    <w:rsid w:val="00D0218D"/>
    <w:rsid w:val="00D90650"/>
    <w:rsid w:val="00DA2529"/>
    <w:rsid w:val="00DB130A"/>
    <w:rsid w:val="00DC10A1"/>
    <w:rsid w:val="00DC655F"/>
    <w:rsid w:val="00DD7EBD"/>
    <w:rsid w:val="00DF62B6"/>
    <w:rsid w:val="00E07225"/>
    <w:rsid w:val="00E5409F"/>
    <w:rsid w:val="00E71E76"/>
    <w:rsid w:val="00EF6151"/>
    <w:rsid w:val="00F021FA"/>
    <w:rsid w:val="00F1102C"/>
    <w:rsid w:val="00F57ACA"/>
    <w:rsid w:val="00F62E97"/>
    <w:rsid w:val="00F64209"/>
    <w:rsid w:val="00F93BF5"/>
    <w:rsid w:val="00FE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FE7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FE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408</Words>
  <Characters>2426</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2014-05-12T14:09:00Z</cp:lastPrinted>
  <dcterms:created xsi:type="dcterms:W3CDTF">2014-05-12T14:13:00Z</dcterms:created>
  <dcterms:modified xsi:type="dcterms:W3CDTF">2014-05-12T14:13:00Z</dcterms:modified>
  <cp:category> </cp:category>
  <cp:contentStatus> </cp:contentStatus>
</cp:coreProperties>
</file>