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E2" w:rsidRPr="00EC42C4" w:rsidRDefault="002D02E2" w:rsidP="00EC42C4">
      <w:pPr>
        <w:keepNext/>
        <w:widowControl/>
        <w:tabs>
          <w:tab w:val="left" w:pos="-720"/>
        </w:tabs>
        <w:suppressAutoHyphens/>
        <w:spacing w:line="227" w:lineRule="auto"/>
        <w:jc w:val="center"/>
        <w:outlineLvl w:val="0"/>
        <w:rPr>
          <w:b/>
          <w:kern w:val="0"/>
        </w:rPr>
      </w:pPr>
      <w:bookmarkStart w:id="0" w:name="_GoBack"/>
      <w:bookmarkEnd w:id="0"/>
      <w:r w:rsidRPr="00EC42C4">
        <w:rPr>
          <w:b/>
          <w:kern w:val="0"/>
        </w:rPr>
        <w:t>Before the</w:t>
      </w:r>
    </w:p>
    <w:p w:rsidR="002D02E2" w:rsidRPr="00EC42C4" w:rsidRDefault="002D02E2" w:rsidP="00EC42C4">
      <w:pPr>
        <w:keepNext/>
        <w:widowControl/>
        <w:tabs>
          <w:tab w:val="left" w:pos="-720"/>
        </w:tabs>
        <w:suppressAutoHyphens/>
        <w:spacing w:line="227" w:lineRule="auto"/>
        <w:jc w:val="center"/>
        <w:outlineLvl w:val="0"/>
        <w:rPr>
          <w:b/>
          <w:kern w:val="0"/>
        </w:rPr>
      </w:pPr>
      <w:r w:rsidRPr="00EC42C4">
        <w:rPr>
          <w:b/>
          <w:kern w:val="0"/>
        </w:rPr>
        <w:t>Federal Communications Commission</w:t>
      </w:r>
    </w:p>
    <w:p w:rsidR="002D02E2" w:rsidRPr="00EC42C4" w:rsidRDefault="002D02E2" w:rsidP="00EC42C4">
      <w:pPr>
        <w:keepNext/>
        <w:widowControl/>
        <w:tabs>
          <w:tab w:val="left" w:pos="-720"/>
        </w:tabs>
        <w:suppressAutoHyphens/>
        <w:spacing w:line="227" w:lineRule="auto"/>
        <w:jc w:val="center"/>
        <w:outlineLvl w:val="0"/>
        <w:rPr>
          <w:b/>
          <w:kern w:val="0"/>
        </w:rPr>
      </w:pPr>
      <w:smartTag w:uri="urn:schemas-microsoft-com:office:smarttags" w:element="City">
        <w:smartTag w:uri="urn:schemas-microsoft-com:office:smarttags" w:element="place">
          <w:r w:rsidRPr="00EC42C4">
            <w:rPr>
              <w:b/>
              <w:kern w:val="0"/>
            </w:rPr>
            <w:t>Washington</w:t>
          </w:r>
        </w:smartTag>
        <w:r w:rsidRPr="00EC42C4">
          <w:rPr>
            <w:b/>
            <w:kern w:val="0"/>
          </w:rPr>
          <w:t xml:space="preserve">, </w:t>
        </w:r>
        <w:smartTag w:uri="urn:schemas-microsoft-com:office:smarttags" w:element="State">
          <w:r w:rsidRPr="00EC42C4">
            <w:rPr>
              <w:b/>
              <w:kern w:val="0"/>
            </w:rPr>
            <w:t>D.C.</w:t>
          </w:r>
        </w:smartTag>
        <w:r w:rsidRPr="00EC42C4">
          <w:rPr>
            <w:b/>
            <w:kern w:val="0"/>
          </w:rPr>
          <w:t xml:space="preserve"> </w:t>
        </w:r>
        <w:smartTag w:uri="urn:schemas-microsoft-com:office:smarttags" w:element="PostalCode">
          <w:r w:rsidRPr="00EC42C4">
            <w:rPr>
              <w:b/>
              <w:kern w:val="0"/>
            </w:rPr>
            <w:t>20554</w:t>
          </w:r>
        </w:smartTag>
      </w:smartTag>
    </w:p>
    <w:p w:rsidR="002D02E2" w:rsidRPr="00EC42C4" w:rsidRDefault="002D02E2" w:rsidP="00EC42C4">
      <w:pPr>
        <w:widowControl/>
        <w:jc w:val="left"/>
        <w:rPr>
          <w:kern w:val="0"/>
        </w:rPr>
      </w:pPr>
    </w:p>
    <w:tbl>
      <w:tblPr>
        <w:tblW w:w="0" w:type="auto"/>
        <w:tblLook w:val="0000" w:firstRow="0" w:lastRow="0" w:firstColumn="0" w:lastColumn="0" w:noHBand="0" w:noVBand="0"/>
      </w:tblPr>
      <w:tblGrid>
        <w:gridCol w:w="4428"/>
        <w:gridCol w:w="1080"/>
        <w:gridCol w:w="4068"/>
      </w:tblGrid>
      <w:tr w:rsidR="002D02E2" w:rsidRPr="006E5BDB" w:rsidTr="005F108F">
        <w:tc>
          <w:tcPr>
            <w:tcW w:w="4428" w:type="dxa"/>
          </w:tcPr>
          <w:p w:rsidR="002D02E2" w:rsidRPr="00EC42C4" w:rsidRDefault="002D02E2" w:rsidP="00EC42C4">
            <w:pPr>
              <w:keepNext/>
              <w:widowControl/>
              <w:jc w:val="left"/>
              <w:rPr>
                <w:kern w:val="0"/>
              </w:rPr>
            </w:pPr>
          </w:p>
          <w:p w:rsidR="002D02E2" w:rsidRPr="006E5BDB" w:rsidRDefault="002D02E2" w:rsidP="00EC42C4">
            <w:pPr>
              <w:keepNext/>
              <w:widowControl/>
              <w:jc w:val="left"/>
              <w:rPr>
                <w:kern w:val="0"/>
              </w:rPr>
            </w:pPr>
            <w:r w:rsidRPr="006E5BDB">
              <w:rPr>
                <w:kern w:val="0"/>
              </w:rPr>
              <w:t>In the Matter of</w:t>
            </w:r>
          </w:p>
          <w:p w:rsidR="002D02E2" w:rsidRPr="006E5BDB" w:rsidRDefault="002D02E2" w:rsidP="00EC42C4">
            <w:pPr>
              <w:keepNext/>
              <w:widowControl/>
              <w:jc w:val="left"/>
              <w:rPr>
                <w:kern w:val="0"/>
              </w:rPr>
            </w:pPr>
          </w:p>
          <w:p w:rsidR="002D02E2" w:rsidRPr="006E5BDB" w:rsidRDefault="002D02E2" w:rsidP="00EC42C4">
            <w:pPr>
              <w:keepNext/>
              <w:widowControl/>
              <w:jc w:val="left"/>
              <w:rPr>
                <w:kern w:val="0"/>
              </w:rPr>
            </w:pPr>
            <w:r w:rsidRPr="006E5BDB">
              <w:rPr>
                <w:kern w:val="0"/>
              </w:rPr>
              <w:t>J.J. MacKay Canada Ltd.</w:t>
            </w:r>
          </w:p>
        </w:tc>
        <w:tc>
          <w:tcPr>
            <w:tcW w:w="1080" w:type="dxa"/>
          </w:tcPr>
          <w:p w:rsidR="002D02E2" w:rsidRPr="006E5BDB" w:rsidRDefault="002D02E2" w:rsidP="00EC42C4">
            <w:pPr>
              <w:keepNext/>
              <w:widowControl/>
              <w:jc w:val="left"/>
              <w:rPr>
                <w:kern w:val="0"/>
              </w:rPr>
            </w:pPr>
            <w:r>
              <w:rPr>
                <w:kern w:val="0"/>
              </w:rPr>
              <w:t xml:space="preserve">    </w:t>
            </w:r>
            <w:r w:rsidRPr="006E5BDB">
              <w:rPr>
                <w:kern w:val="0"/>
              </w:rPr>
              <w:t>)</w:t>
            </w:r>
          </w:p>
          <w:p w:rsidR="002D02E2" w:rsidRPr="006E5BDB" w:rsidRDefault="002D02E2" w:rsidP="00EC42C4">
            <w:pPr>
              <w:keepNext/>
              <w:widowControl/>
              <w:jc w:val="left"/>
              <w:rPr>
                <w:kern w:val="0"/>
              </w:rPr>
            </w:pPr>
            <w:r>
              <w:rPr>
                <w:kern w:val="0"/>
              </w:rPr>
              <w:t xml:space="preserve">    </w:t>
            </w:r>
            <w:r w:rsidRPr="006E5BDB">
              <w:rPr>
                <w:kern w:val="0"/>
              </w:rPr>
              <w:t>)</w:t>
            </w:r>
          </w:p>
          <w:p w:rsidR="002D02E2" w:rsidRPr="006E5BDB" w:rsidRDefault="002D02E2" w:rsidP="00EC42C4">
            <w:pPr>
              <w:keepNext/>
              <w:widowControl/>
              <w:jc w:val="left"/>
              <w:rPr>
                <w:kern w:val="0"/>
              </w:rPr>
            </w:pPr>
            <w:r>
              <w:rPr>
                <w:kern w:val="0"/>
              </w:rPr>
              <w:t xml:space="preserve">    </w:t>
            </w:r>
            <w:r w:rsidRPr="006E5BDB">
              <w:rPr>
                <w:kern w:val="0"/>
              </w:rPr>
              <w:t>)</w:t>
            </w:r>
          </w:p>
          <w:p w:rsidR="002D02E2" w:rsidRPr="006E5BDB" w:rsidRDefault="002D02E2" w:rsidP="00EC42C4">
            <w:pPr>
              <w:keepNext/>
              <w:widowControl/>
              <w:jc w:val="left"/>
              <w:rPr>
                <w:kern w:val="0"/>
              </w:rPr>
            </w:pPr>
            <w:r>
              <w:rPr>
                <w:kern w:val="0"/>
              </w:rPr>
              <w:t xml:space="preserve">    </w:t>
            </w:r>
            <w:r w:rsidRPr="006E5BDB">
              <w:rPr>
                <w:kern w:val="0"/>
              </w:rPr>
              <w:t>)</w:t>
            </w:r>
          </w:p>
          <w:p w:rsidR="002D02E2" w:rsidRDefault="002D02E2" w:rsidP="00EC42C4">
            <w:pPr>
              <w:keepNext/>
              <w:widowControl/>
              <w:jc w:val="left"/>
              <w:rPr>
                <w:kern w:val="0"/>
              </w:rPr>
            </w:pPr>
            <w:r>
              <w:rPr>
                <w:kern w:val="0"/>
              </w:rPr>
              <w:t xml:space="preserve">    </w:t>
            </w:r>
            <w:r w:rsidRPr="006E5BDB">
              <w:rPr>
                <w:kern w:val="0"/>
              </w:rPr>
              <w:t>)</w:t>
            </w:r>
          </w:p>
          <w:p w:rsidR="002D02E2" w:rsidRPr="006E5BDB" w:rsidRDefault="002D02E2" w:rsidP="00EC42C4">
            <w:pPr>
              <w:keepNext/>
              <w:widowControl/>
              <w:jc w:val="left"/>
              <w:rPr>
                <w:kern w:val="0"/>
              </w:rPr>
            </w:pPr>
            <w:r>
              <w:rPr>
                <w:kern w:val="0"/>
              </w:rPr>
              <w:t xml:space="preserve">    )</w:t>
            </w:r>
          </w:p>
        </w:tc>
        <w:tc>
          <w:tcPr>
            <w:tcW w:w="4068" w:type="dxa"/>
          </w:tcPr>
          <w:p w:rsidR="002D02E2" w:rsidRDefault="002D02E2" w:rsidP="0024594C">
            <w:pPr>
              <w:widowControl/>
              <w:ind w:left="612"/>
              <w:jc w:val="left"/>
              <w:rPr>
                <w:spacing w:val="-2"/>
                <w:kern w:val="0"/>
              </w:rPr>
            </w:pPr>
          </w:p>
          <w:p w:rsidR="002D02E2" w:rsidRPr="00624B4B" w:rsidRDefault="002D02E2" w:rsidP="0024594C">
            <w:pPr>
              <w:widowControl/>
              <w:ind w:left="612"/>
              <w:jc w:val="left"/>
              <w:rPr>
                <w:spacing w:val="-2"/>
                <w:kern w:val="0"/>
              </w:rPr>
            </w:pPr>
            <w:r w:rsidRPr="00624B4B">
              <w:rPr>
                <w:spacing w:val="-2"/>
                <w:kern w:val="0"/>
              </w:rPr>
              <w:t xml:space="preserve">File No.:  </w:t>
            </w:r>
            <w:r w:rsidRPr="006E5BDB">
              <w:rPr>
                <w:kern w:val="0"/>
              </w:rPr>
              <w:t>EB-SED-14-00014850</w:t>
            </w:r>
            <w:r w:rsidRPr="006E5BDB">
              <w:rPr>
                <w:rStyle w:val="FootnoteReference"/>
                <w:kern w:val="0"/>
              </w:rPr>
              <w:footnoteReference w:id="2"/>
            </w:r>
          </w:p>
          <w:p w:rsidR="002D02E2" w:rsidRPr="00624B4B" w:rsidRDefault="002D02E2" w:rsidP="0024594C">
            <w:pPr>
              <w:widowControl/>
              <w:ind w:left="612"/>
              <w:jc w:val="left"/>
              <w:rPr>
                <w:kern w:val="0"/>
              </w:rPr>
            </w:pPr>
          </w:p>
          <w:p w:rsidR="002D02E2" w:rsidRPr="006E5BDB" w:rsidRDefault="002D02E2" w:rsidP="0024594C">
            <w:pPr>
              <w:widowControl/>
              <w:ind w:left="612"/>
              <w:jc w:val="left"/>
              <w:rPr>
                <w:kern w:val="0"/>
              </w:rPr>
            </w:pPr>
            <w:r w:rsidRPr="00624B4B">
              <w:rPr>
                <w:spacing w:val="-2"/>
                <w:kern w:val="0"/>
              </w:rPr>
              <w:t xml:space="preserve">Acct. No.:  </w:t>
            </w:r>
            <w:r w:rsidR="009B32B7" w:rsidRPr="009B32B7">
              <w:rPr>
                <w:kern w:val="0"/>
              </w:rPr>
              <w:t>201432100019</w:t>
            </w:r>
          </w:p>
          <w:p w:rsidR="002D02E2" w:rsidRPr="00624B4B" w:rsidRDefault="002D02E2" w:rsidP="0024594C">
            <w:pPr>
              <w:widowControl/>
              <w:ind w:left="612"/>
              <w:jc w:val="left"/>
              <w:rPr>
                <w:spacing w:val="-2"/>
                <w:kern w:val="0"/>
              </w:rPr>
            </w:pPr>
          </w:p>
          <w:p w:rsidR="002D02E2" w:rsidRPr="006E5BDB" w:rsidRDefault="002D02E2" w:rsidP="0024594C">
            <w:pPr>
              <w:keepNext/>
              <w:widowControl/>
              <w:ind w:left="612"/>
              <w:jc w:val="left"/>
              <w:rPr>
                <w:kern w:val="0"/>
              </w:rPr>
            </w:pPr>
            <w:r w:rsidRPr="006E5BDB">
              <w:rPr>
                <w:kern w:val="0"/>
              </w:rPr>
              <w:t xml:space="preserve">FRN:  </w:t>
            </w:r>
            <w:r w:rsidRPr="00CD4C00">
              <w:t>0020988572</w:t>
            </w:r>
          </w:p>
        </w:tc>
      </w:tr>
    </w:tbl>
    <w:p w:rsidR="002D02E2" w:rsidRDefault="002D02E2" w:rsidP="00EC42C4">
      <w:pPr>
        <w:keepNext/>
        <w:widowControl/>
        <w:jc w:val="left"/>
        <w:rPr>
          <w:kern w:val="0"/>
        </w:rPr>
      </w:pPr>
    </w:p>
    <w:p w:rsidR="002D02E2" w:rsidRPr="006E5BDB" w:rsidRDefault="002D02E2" w:rsidP="00EC42C4">
      <w:pPr>
        <w:keepNext/>
        <w:widowControl/>
        <w:jc w:val="left"/>
        <w:rPr>
          <w:kern w:val="0"/>
        </w:rPr>
      </w:pPr>
    </w:p>
    <w:p w:rsidR="002D02E2" w:rsidRPr="006E5BDB" w:rsidRDefault="002D02E2" w:rsidP="00EC42C4">
      <w:pPr>
        <w:widowControl/>
        <w:jc w:val="center"/>
        <w:rPr>
          <w:b/>
        </w:rPr>
      </w:pPr>
      <w:r w:rsidRPr="006E5BDB">
        <w:rPr>
          <w:b/>
        </w:rPr>
        <w:t>NOTICE OF APPARENT LIABILITY FOR FORFEITURE</w:t>
      </w:r>
    </w:p>
    <w:p w:rsidR="002D02E2" w:rsidRPr="006E5BDB" w:rsidRDefault="002D02E2" w:rsidP="00EC42C4">
      <w:pPr>
        <w:widowControl/>
        <w:tabs>
          <w:tab w:val="left" w:pos="-720"/>
        </w:tabs>
        <w:suppressAutoHyphens/>
        <w:spacing w:line="227" w:lineRule="auto"/>
        <w:rPr>
          <w:spacing w:val="-2"/>
        </w:rPr>
      </w:pPr>
    </w:p>
    <w:p w:rsidR="002D02E2" w:rsidRPr="0024594C" w:rsidRDefault="00582709" w:rsidP="00EC42C4">
      <w:pPr>
        <w:widowControl/>
        <w:tabs>
          <w:tab w:val="left" w:pos="720"/>
          <w:tab w:val="left" w:pos="5760"/>
        </w:tabs>
        <w:suppressAutoHyphens/>
        <w:spacing w:line="227" w:lineRule="auto"/>
        <w:rPr>
          <w:b/>
          <w:spacing w:val="-2"/>
        </w:rPr>
      </w:pPr>
      <w:r>
        <w:rPr>
          <w:b/>
          <w:spacing w:val="-2"/>
        </w:rPr>
        <w:t>Adopted:  May 12</w:t>
      </w:r>
      <w:r w:rsidR="002D02E2">
        <w:rPr>
          <w:b/>
          <w:spacing w:val="-2"/>
        </w:rPr>
        <w:t>, 2014</w:t>
      </w:r>
      <w:r w:rsidR="002D02E2">
        <w:rPr>
          <w:b/>
          <w:spacing w:val="-2"/>
        </w:rPr>
        <w:tab/>
        <w:t xml:space="preserve">          </w:t>
      </w:r>
      <w:r w:rsidR="002D02E2" w:rsidRPr="00624B4B">
        <w:rPr>
          <w:b/>
          <w:spacing w:val="-2"/>
        </w:rPr>
        <w:t xml:space="preserve">   </w:t>
      </w:r>
      <w:r>
        <w:rPr>
          <w:b/>
          <w:spacing w:val="-2"/>
        </w:rPr>
        <w:t>Released:  May 12</w:t>
      </w:r>
      <w:r w:rsidR="002D02E2">
        <w:rPr>
          <w:b/>
          <w:spacing w:val="-2"/>
        </w:rPr>
        <w:t>, 2014</w:t>
      </w:r>
    </w:p>
    <w:p w:rsidR="002D02E2" w:rsidRPr="0024594C" w:rsidRDefault="002D02E2" w:rsidP="00EC42C4">
      <w:pPr>
        <w:widowControl/>
        <w:tabs>
          <w:tab w:val="left" w:pos="720"/>
          <w:tab w:val="left" w:pos="5760"/>
        </w:tabs>
        <w:suppressAutoHyphens/>
        <w:spacing w:line="227" w:lineRule="auto"/>
        <w:rPr>
          <w:b/>
          <w:spacing w:val="-2"/>
        </w:rPr>
      </w:pPr>
    </w:p>
    <w:p w:rsidR="002D02E2" w:rsidRPr="006E5BDB" w:rsidRDefault="002D02E2" w:rsidP="00EC42C4">
      <w:pPr>
        <w:widowControl/>
        <w:tabs>
          <w:tab w:val="left" w:pos="720"/>
          <w:tab w:val="left" w:pos="5760"/>
        </w:tabs>
        <w:suppressAutoHyphens/>
        <w:spacing w:line="227" w:lineRule="auto"/>
      </w:pPr>
      <w:r w:rsidRPr="006E5BDB">
        <w:t xml:space="preserve">By the </w:t>
      </w:r>
      <w:r>
        <w:t xml:space="preserve">Chief, Spectrum Enforcement Division, </w:t>
      </w:r>
      <w:r w:rsidRPr="006E5BDB">
        <w:t xml:space="preserve">Enforcement Bureau: </w:t>
      </w:r>
    </w:p>
    <w:p w:rsidR="002D02E2" w:rsidRDefault="002D02E2" w:rsidP="00624B4B">
      <w:pPr>
        <w:widowControl/>
        <w:tabs>
          <w:tab w:val="left" w:pos="720"/>
          <w:tab w:val="left" w:pos="5760"/>
        </w:tabs>
        <w:suppressAutoHyphens/>
        <w:spacing w:line="227" w:lineRule="auto"/>
        <w:jc w:val="center"/>
      </w:pPr>
    </w:p>
    <w:p w:rsidR="002D02E2" w:rsidRPr="006E5BDB" w:rsidRDefault="002D02E2" w:rsidP="00BC08E8">
      <w:pPr>
        <w:pStyle w:val="Heading1"/>
        <w:widowControl/>
        <w:tabs>
          <w:tab w:val="clear" w:pos="360"/>
          <w:tab w:val="clear" w:pos="2160"/>
        </w:tabs>
        <w:ind w:left="720" w:hanging="720"/>
        <w:rPr>
          <w:rFonts w:ascii="Times New Roman" w:hAnsi="Times New Roman"/>
        </w:rPr>
      </w:pPr>
      <w:bookmarkStart w:id="1" w:name="_Toc385414936"/>
      <w:r w:rsidRPr="006E5BDB">
        <w:rPr>
          <w:rFonts w:ascii="Times New Roman" w:hAnsi="Times New Roman"/>
        </w:rPr>
        <w:t>Introduction</w:t>
      </w:r>
      <w:bookmarkEnd w:id="1"/>
    </w:p>
    <w:p w:rsidR="002D02E2" w:rsidRDefault="002D02E2" w:rsidP="00624B4B">
      <w:pPr>
        <w:pStyle w:val="par1"/>
        <w:numPr>
          <w:ilvl w:val="0"/>
          <w:numId w:val="8"/>
        </w:numPr>
        <w:tabs>
          <w:tab w:val="clear" w:pos="1080"/>
          <w:tab w:val="num" w:pos="1440"/>
        </w:tabs>
        <w:spacing w:after="240"/>
        <w:rPr>
          <w:caps/>
        </w:rPr>
      </w:pPr>
      <w:r>
        <w:t xml:space="preserve">We propose a penalty of $11,000 against J.J. MacKay Canada Ltd. (MacKay) for its apparently unlawful marketing of a parking meter that contains a radio </w:t>
      </w:r>
      <w:r w:rsidR="000C4A02">
        <w:t xml:space="preserve">frequency </w:t>
      </w:r>
      <w:r>
        <w:t xml:space="preserve">device that had not been properly authorized and </w:t>
      </w:r>
      <w:r w:rsidR="00CA4CBA">
        <w:t xml:space="preserve">the user manual for which </w:t>
      </w:r>
      <w:r>
        <w:t xml:space="preserve">failed to disclose certain </w:t>
      </w:r>
      <w:r w:rsidR="00CA4CBA">
        <w:t xml:space="preserve">required </w:t>
      </w:r>
      <w:r>
        <w:t xml:space="preserve">information to consumers.  </w:t>
      </w:r>
      <w:r>
        <w:rPr>
          <w:szCs w:val="22"/>
        </w:rPr>
        <w:t xml:space="preserve">We take this action as part of our duty to ensure that radio frequency devices marketed in the </w:t>
      </w:r>
      <w:smartTag w:uri="urn:schemas-microsoft-com:office:smarttags" w:element="country-region">
        <w:smartTag w:uri="urn:schemas-microsoft-com:office:smarttags" w:element="place">
          <w:r>
            <w:rPr>
              <w:szCs w:val="22"/>
            </w:rPr>
            <w:t>United States</w:t>
          </w:r>
        </w:smartTag>
      </w:smartTag>
      <w:r>
        <w:rPr>
          <w:szCs w:val="22"/>
        </w:rPr>
        <w:t xml:space="preserve"> comply with the Commission’s technical standards and other requirements so that they do not cause harmful interference to authorized radio communications. </w:t>
      </w:r>
      <w:r w:rsidRPr="00C205E6">
        <w:rPr>
          <w:szCs w:val="22"/>
        </w:rPr>
        <w:t xml:space="preserve"> </w:t>
      </w:r>
    </w:p>
    <w:p w:rsidR="002D02E2" w:rsidRDefault="002D02E2" w:rsidP="00624B4B">
      <w:pPr>
        <w:pStyle w:val="par1"/>
        <w:numPr>
          <w:ilvl w:val="0"/>
          <w:numId w:val="8"/>
        </w:numPr>
        <w:tabs>
          <w:tab w:val="clear" w:pos="1080"/>
          <w:tab w:val="num" w:pos="1440"/>
        </w:tabs>
        <w:rPr>
          <w:caps/>
        </w:rPr>
      </w:pPr>
      <w:r>
        <w:t>As discussed below, MacKay’s marketing of the Guardian SOLO single-space parking meter (Guardian SOLO) in the United States apparently violated Section 302(b) of Communications Act of 1934, as amended (Act);</w:t>
      </w:r>
      <w:r>
        <w:rPr>
          <w:rStyle w:val="FootnoteReference"/>
          <w:szCs w:val="22"/>
        </w:rPr>
        <w:footnoteReference w:id="3"/>
      </w:r>
      <w:r>
        <w:t xml:space="preserve"> former Section 2.803(a) of the Commission’s Rules (Rules); and current Sections 15.201(b) and 15.105(b) of the Rules.</w:t>
      </w:r>
      <w:r>
        <w:rPr>
          <w:rStyle w:val="FootnoteReference"/>
          <w:szCs w:val="22"/>
        </w:rPr>
        <w:footnoteReference w:id="4"/>
      </w:r>
    </w:p>
    <w:p w:rsidR="002D02E2" w:rsidRPr="0091589D" w:rsidRDefault="002D02E2" w:rsidP="0091589D">
      <w:pPr>
        <w:pStyle w:val="par1"/>
        <w:numPr>
          <w:ilvl w:val="0"/>
          <w:numId w:val="0"/>
        </w:numPr>
        <w:rPr>
          <w:caps/>
        </w:rPr>
      </w:pPr>
    </w:p>
    <w:p w:rsidR="002D02E2" w:rsidRPr="003568EC" w:rsidRDefault="002D02E2" w:rsidP="003568EC">
      <w:pPr>
        <w:pStyle w:val="Paranum0"/>
        <w:numPr>
          <w:ilvl w:val="0"/>
          <w:numId w:val="0"/>
        </w:numPr>
        <w:tabs>
          <w:tab w:val="clear" w:pos="1440"/>
          <w:tab w:val="left" w:pos="720"/>
        </w:tabs>
        <w:spacing w:after="220"/>
        <w:jc w:val="left"/>
        <w:rPr>
          <w:caps/>
        </w:rPr>
      </w:pPr>
      <w:r w:rsidRPr="00EC42C4">
        <w:rPr>
          <w:b/>
        </w:rPr>
        <w:t xml:space="preserve">II.   </w:t>
      </w:r>
      <w:r>
        <w:rPr>
          <w:b/>
        </w:rPr>
        <w:tab/>
      </w:r>
      <w:r w:rsidRPr="00EC42C4">
        <w:rPr>
          <w:b/>
        </w:rPr>
        <w:t>BACKGROUND</w:t>
      </w:r>
      <w:r w:rsidRPr="0065365F">
        <w:rPr>
          <w:caps/>
        </w:rPr>
        <w:t xml:space="preserve"> </w:t>
      </w:r>
      <w:r>
        <w:t xml:space="preserve">  </w:t>
      </w:r>
    </w:p>
    <w:p w:rsidR="002D02E2" w:rsidRDefault="002D02E2" w:rsidP="00624B4B">
      <w:pPr>
        <w:pStyle w:val="par1"/>
        <w:numPr>
          <w:ilvl w:val="0"/>
          <w:numId w:val="8"/>
        </w:numPr>
        <w:tabs>
          <w:tab w:val="clear" w:pos="1080"/>
        </w:tabs>
      </w:pPr>
      <w:r>
        <w:t>MacKay designs, develops, and manufactures parking control products, including the Guardian SOLO.</w:t>
      </w:r>
      <w:r>
        <w:rPr>
          <w:rStyle w:val="FootnoteReference"/>
        </w:rPr>
        <w:footnoteReference w:id="5"/>
      </w:r>
      <w:r>
        <w:t xml:space="preserve">  </w:t>
      </w:r>
      <w:r w:rsidRPr="008721CC">
        <w:t xml:space="preserve">On August 23, 2013, the Enforcement Bureau </w:t>
      </w:r>
      <w:r>
        <w:t xml:space="preserve">(Bureau) </w:t>
      </w:r>
      <w:r w:rsidRPr="008721CC">
        <w:t xml:space="preserve">received </w:t>
      </w:r>
      <w:r>
        <w:t xml:space="preserve">a </w:t>
      </w:r>
      <w:r w:rsidRPr="008721CC">
        <w:t xml:space="preserve">complaint </w:t>
      </w:r>
      <w:r>
        <w:t xml:space="preserve">alleging that MacKay’s Guardian SOLO was not properly authorized and that the device also did not comply with consumer disclosure </w:t>
      </w:r>
      <w:r w:rsidRPr="0091589D">
        <w:t>requirement</w:t>
      </w:r>
      <w:r>
        <w:t>s</w:t>
      </w:r>
      <w:r w:rsidRPr="0091589D">
        <w:t>.</w:t>
      </w:r>
      <w:r>
        <w:t xml:space="preserve">  In response to the complaint, the Bureau’s Spectrum Enforcement </w:t>
      </w:r>
      <w:r>
        <w:lastRenderedPageBreak/>
        <w:t>Division (Division) issued a Letter of Inquiry (LOI) to MacKay on January 8, 2014, directing the company</w:t>
      </w:r>
      <w:r w:rsidRPr="00F87B61">
        <w:rPr>
          <w:szCs w:val="22"/>
        </w:rPr>
        <w:t xml:space="preserve"> t</w:t>
      </w:r>
      <w:r>
        <w:t xml:space="preserve">o submit a sworn written response to a series of questions relating to its marketing of the </w:t>
      </w:r>
      <w:r w:rsidRPr="00F87B61">
        <w:rPr>
          <w:szCs w:val="22"/>
        </w:rPr>
        <w:t xml:space="preserve">Guardian </w:t>
      </w:r>
      <w:r>
        <w:rPr>
          <w:szCs w:val="22"/>
        </w:rPr>
        <w:t>SOLO</w:t>
      </w:r>
      <w:r>
        <w:t>.</w:t>
      </w:r>
      <w:r>
        <w:rPr>
          <w:rStyle w:val="FootnoteReference"/>
          <w:szCs w:val="22"/>
        </w:rPr>
        <w:footnoteReference w:id="6"/>
      </w:r>
    </w:p>
    <w:p w:rsidR="002D02E2" w:rsidRDefault="002D02E2" w:rsidP="0014512E">
      <w:pPr>
        <w:pStyle w:val="par1"/>
        <w:numPr>
          <w:ilvl w:val="0"/>
          <w:numId w:val="0"/>
        </w:numPr>
        <w:ind w:left="720"/>
      </w:pPr>
      <w:r>
        <w:t xml:space="preserve">  </w:t>
      </w:r>
    </w:p>
    <w:p w:rsidR="002D02E2" w:rsidRPr="00E72CF0" w:rsidRDefault="002D02E2" w:rsidP="00410727">
      <w:pPr>
        <w:pStyle w:val="par1"/>
        <w:tabs>
          <w:tab w:val="clear" w:pos="1080"/>
          <w:tab w:val="num" w:pos="1440"/>
        </w:tabs>
        <w:spacing w:after="240"/>
      </w:pPr>
      <w:r>
        <w:t xml:space="preserve">On March 10, 2014, MacKay </w:t>
      </w:r>
      <w:r>
        <w:rPr>
          <w:szCs w:val="22"/>
        </w:rPr>
        <w:t xml:space="preserve">responded </w:t>
      </w:r>
      <w:r w:rsidRPr="005849A8">
        <w:rPr>
          <w:szCs w:val="22"/>
        </w:rPr>
        <w:t>to the LOI.</w:t>
      </w:r>
      <w:r>
        <w:rPr>
          <w:rStyle w:val="FootnoteReference"/>
          <w:szCs w:val="22"/>
        </w:rPr>
        <w:footnoteReference w:id="7"/>
      </w:r>
      <w:r w:rsidRPr="005849A8">
        <w:rPr>
          <w:szCs w:val="22"/>
        </w:rPr>
        <w:t xml:space="preserve">  </w:t>
      </w:r>
      <w:r>
        <w:rPr>
          <w:szCs w:val="22"/>
        </w:rPr>
        <w:t xml:space="preserve">According to </w:t>
      </w:r>
      <w:r w:rsidRPr="005849A8">
        <w:rPr>
          <w:szCs w:val="22"/>
        </w:rPr>
        <w:t>MacKay</w:t>
      </w:r>
      <w:r>
        <w:rPr>
          <w:szCs w:val="22"/>
        </w:rPr>
        <w:t>, the Guardian SOLO is a “smart” parking meter that accepts electronic payments made with credit cards, smart cards, or Near Field Communications-enabled mobile device applications.</w:t>
      </w:r>
      <w:r>
        <w:rPr>
          <w:rStyle w:val="FootnoteReference"/>
          <w:szCs w:val="22"/>
        </w:rPr>
        <w:footnoteReference w:id="8"/>
      </w:r>
      <w:r>
        <w:rPr>
          <w:szCs w:val="22"/>
        </w:rPr>
        <w:t xml:space="preserve">  In addition, the Guardian SOLO enables municipalities and other parking space operators to manage their parking resources by providing up-to-date electronic information about meter use and payments.</w:t>
      </w:r>
      <w:r>
        <w:rPr>
          <w:rStyle w:val="FootnoteReference"/>
          <w:szCs w:val="22"/>
        </w:rPr>
        <w:footnoteReference w:id="9"/>
      </w:r>
      <w:r>
        <w:rPr>
          <w:szCs w:val="22"/>
        </w:rPr>
        <w:t xml:space="preserve">   MacKay explains that it obtained FCC certification in 2011 for the Guardian SOLO and that it continually refined the device’s design; MacKay had assumed that the refinements, once implemented, would be considered “permissive changes” under the Rules.</w:t>
      </w:r>
      <w:r>
        <w:rPr>
          <w:rStyle w:val="FootnoteReference"/>
          <w:szCs w:val="22"/>
        </w:rPr>
        <w:footnoteReference w:id="10"/>
      </w:r>
      <w:r>
        <w:rPr>
          <w:szCs w:val="22"/>
        </w:rPr>
        <w:t xml:space="preserve">  MacKay acknowledges, however, that one modification made in July 2012—i.e., the relocation of the antenna to improve the performance of the device’s contactless reader—increased the field strength rating previously authorized in the device’s 2011 certification and, thereby, necessitated a new FCC certification for the device, which it received on April 5, 2013.</w:t>
      </w:r>
      <w:r>
        <w:rPr>
          <w:rStyle w:val="FootnoteReference"/>
          <w:szCs w:val="22"/>
        </w:rPr>
        <w:footnoteReference w:id="11"/>
      </w:r>
      <w:r>
        <w:rPr>
          <w:szCs w:val="22"/>
        </w:rPr>
        <w:t xml:space="preserve">  </w:t>
      </w:r>
    </w:p>
    <w:p w:rsidR="002D02E2" w:rsidRPr="00E72CF0" w:rsidRDefault="002D02E2" w:rsidP="00410727">
      <w:pPr>
        <w:pStyle w:val="par1"/>
        <w:tabs>
          <w:tab w:val="clear" w:pos="1080"/>
          <w:tab w:val="num" w:pos="1440"/>
        </w:tabs>
        <w:spacing w:after="240"/>
      </w:pPr>
      <w:r>
        <w:rPr>
          <w:szCs w:val="22"/>
        </w:rPr>
        <w:t xml:space="preserve">MacKay admits that it began marketing the modified device in the </w:t>
      </w:r>
      <w:smartTag w:uri="urn:schemas-microsoft-com:office:smarttags" w:element="country-region">
        <w:smartTag w:uri="urn:schemas-microsoft-com:office:smarttags" w:element="place">
          <w:r>
            <w:rPr>
              <w:szCs w:val="22"/>
            </w:rPr>
            <w:t>United States</w:t>
          </w:r>
        </w:smartTag>
      </w:smartTag>
      <w:r>
        <w:rPr>
          <w:szCs w:val="22"/>
        </w:rPr>
        <w:t xml:space="preserve"> </w:t>
      </w:r>
      <w:r w:rsidRPr="00624B4B">
        <w:rPr>
          <w:i/>
          <w:szCs w:val="22"/>
        </w:rPr>
        <w:t>before</w:t>
      </w:r>
      <w:r>
        <w:rPr>
          <w:szCs w:val="22"/>
        </w:rPr>
        <w:t xml:space="preserve"> it received the new FCC certification, but it asserts that none of the devices were actually sold.</w:t>
      </w:r>
      <w:r>
        <w:rPr>
          <w:rStyle w:val="FootnoteReference"/>
          <w:szCs w:val="22"/>
        </w:rPr>
        <w:footnoteReference w:id="12"/>
      </w:r>
      <w:r>
        <w:rPr>
          <w:szCs w:val="22"/>
        </w:rPr>
        <w:t xml:space="preserve">  In addition, </w:t>
      </w:r>
      <w:r w:rsidRPr="00FC3CB4">
        <w:rPr>
          <w:szCs w:val="22"/>
        </w:rPr>
        <w:t xml:space="preserve">MacKay </w:t>
      </w:r>
      <w:r>
        <w:rPr>
          <w:szCs w:val="22"/>
        </w:rPr>
        <w:t>admits t</w:t>
      </w:r>
      <w:r w:rsidRPr="00FC3CB4">
        <w:rPr>
          <w:szCs w:val="22"/>
        </w:rPr>
        <w:t xml:space="preserve">hat the user manual </w:t>
      </w:r>
      <w:r>
        <w:rPr>
          <w:szCs w:val="22"/>
        </w:rPr>
        <w:t>accompanying t</w:t>
      </w:r>
      <w:r w:rsidRPr="00FC3CB4">
        <w:rPr>
          <w:szCs w:val="22"/>
        </w:rPr>
        <w:t xml:space="preserve">he Guardian </w:t>
      </w:r>
      <w:r>
        <w:rPr>
          <w:szCs w:val="22"/>
        </w:rPr>
        <w:t xml:space="preserve">SOLO did not </w:t>
      </w:r>
      <w:r w:rsidRPr="00FC3CB4">
        <w:rPr>
          <w:szCs w:val="22"/>
        </w:rPr>
        <w:t xml:space="preserve">include the </w:t>
      </w:r>
      <w:r w:rsidRPr="001A345F">
        <w:t>consumer</w:t>
      </w:r>
      <w:r w:rsidRPr="00FC3CB4">
        <w:rPr>
          <w:szCs w:val="22"/>
        </w:rPr>
        <w:t xml:space="preserve"> disclosure language required by Section 15.105</w:t>
      </w:r>
      <w:r>
        <w:rPr>
          <w:szCs w:val="22"/>
        </w:rPr>
        <w:t>(b)</w:t>
      </w:r>
      <w:r w:rsidRPr="00FC3CB4">
        <w:rPr>
          <w:szCs w:val="22"/>
        </w:rPr>
        <w:t xml:space="preserve"> of the Rules</w:t>
      </w:r>
      <w:r>
        <w:rPr>
          <w:rStyle w:val="FootnoteReference"/>
          <w:szCs w:val="22"/>
        </w:rPr>
        <w:footnoteReference w:id="13"/>
      </w:r>
      <w:r>
        <w:rPr>
          <w:szCs w:val="22"/>
        </w:rPr>
        <w:t xml:space="preserve">—warning, among other things, that improper use of the device could cause potential harmful interference to radio communications—until sometime in February </w:t>
      </w:r>
      <w:r w:rsidRPr="005849A8">
        <w:rPr>
          <w:szCs w:val="22"/>
        </w:rPr>
        <w:t>2014</w:t>
      </w:r>
      <w:r>
        <w:rPr>
          <w:szCs w:val="22"/>
        </w:rPr>
        <w:t>.</w:t>
      </w:r>
      <w:r w:rsidR="00CA4CBA">
        <w:rPr>
          <w:rStyle w:val="FootnoteReference"/>
          <w:szCs w:val="22"/>
        </w:rPr>
        <w:footnoteReference w:id="14"/>
      </w:r>
      <w:r>
        <w:rPr>
          <w:szCs w:val="22"/>
        </w:rPr>
        <w:t xml:space="preserve">  MacKay claims, however, that its error was unintentional and that it was moving quickly to fix the error by adding appropriate text to the next version of its user manual and destroying all copies of the non-compliant manuals in its possession</w:t>
      </w:r>
      <w:r w:rsidRPr="005849A8">
        <w:rPr>
          <w:szCs w:val="22"/>
        </w:rPr>
        <w:t>.</w:t>
      </w:r>
      <w:r>
        <w:rPr>
          <w:rStyle w:val="FootnoteReference"/>
          <w:szCs w:val="22"/>
        </w:rPr>
        <w:footnoteReference w:id="15"/>
      </w:r>
      <w:r w:rsidRPr="005849A8">
        <w:rPr>
          <w:szCs w:val="22"/>
        </w:rPr>
        <w:t xml:space="preserve"> </w:t>
      </w:r>
      <w:r>
        <w:rPr>
          <w:szCs w:val="22"/>
        </w:rPr>
        <w:t xml:space="preserve"> </w:t>
      </w:r>
    </w:p>
    <w:p w:rsidR="002D02E2" w:rsidRDefault="002D02E2">
      <w:pPr>
        <w:pStyle w:val="par1"/>
        <w:keepNext/>
        <w:numPr>
          <w:ilvl w:val="0"/>
          <w:numId w:val="0"/>
        </w:numPr>
        <w:spacing w:after="240"/>
        <w:rPr>
          <w:b/>
        </w:rPr>
      </w:pPr>
      <w:r w:rsidRPr="00A04C84">
        <w:rPr>
          <w:b/>
        </w:rPr>
        <w:t xml:space="preserve">III.  </w:t>
      </w:r>
      <w:r w:rsidRPr="00A04C84">
        <w:rPr>
          <w:b/>
        </w:rPr>
        <w:tab/>
        <w:t>DISCUSSION</w:t>
      </w:r>
    </w:p>
    <w:p w:rsidR="002D02E2" w:rsidRDefault="002D02E2">
      <w:pPr>
        <w:pStyle w:val="par1"/>
        <w:keepNext/>
        <w:numPr>
          <w:ilvl w:val="0"/>
          <w:numId w:val="0"/>
        </w:numPr>
        <w:spacing w:after="240"/>
        <w:ind w:left="720"/>
        <w:rPr>
          <w:b/>
        </w:rPr>
      </w:pPr>
      <w:r w:rsidRPr="00A04C84">
        <w:rPr>
          <w:b/>
        </w:rPr>
        <w:t xml:space="preserve">A.  </w:t>
      </w:r>
      <w:r w:rsidRPr="00A04C84">
        <w:rPr>
          <w:b/>
        </w:rPr>
        <w:tab/>
        <w:t>Marketing of Unauthorized Equipment</w:t>
      </w:r>
    </w:p>
    <w:p w:rsidR="002D02E2" w:rsidRPr="00EC42C4" w:rsidRDefault="002D02E2" w:rsidP="009E50F6">
      <w:pPr>
        <w:pStyle w:val="par1"/>
        <w:tabs>
          <w:tab w:val="clear" w:pos="1080"/>
          <w:tab w:val="num" w:pos="1440"/>
        </w:tabs>
        <w:spacing w:after="240"/>
      </w:pPr>
      <w:r w:rsidRPr="00EC42C4">
        <w:t>Pursuant to Section 302(b) of the Act</w:t>
      </w:r>
      <w:r>
        <w:t>,</w:t>
      </w:r>
      <w:r w:rsidRPr="00EC42C4">
        <w:t xml:space="preserve"> “[n]o person shall manufacture, import, sell, offer for sale, or ship devices or home electronic equipment and systems, or use devices</w:t>
      </w:r>
      <w:r>
        <w:t>,</w:t>
      </w:r>
      <w:r w:rsidRPr="00EC42C4">
        <w:t xml:space="preserve"> which fail to comply with regulations promulgated pursuant to this </w:t>
      </w:r>
      <w:r>
        <w:t>s</w:t>
      </w:r>
      <w:r w:rsidRPr="00EC42C4">
        <w:t>ection.”</w:t>
      </w:r>
      <w:r>
        <w:rPr>
          <w:rStyle w:val="FootnoteReference"/>
          <w:szCs w:val="22"/>
        </w:rPr>
        <w:footnoteReference w:id="16"/>
      </w:r>
      <w:r w:rsidRPr="00EC42C4">
        <w:t xml:space="preserve">  </w:t>
      </w:r>
      <w:r>
        <w:t>Former Section 2.803(a)(1) of the Rules—which was effective during the relevant period here—</w:t>
      </w:r>
      <w:r w:rsidRPr="00180DA8">
        <w:t>prohibit</w:t>
      </w:r>
      <w:r>
        <w:t>ed</w:t>
      </w:r>
      <w:r w:rsidRPr="00180DA8">
        <w:t xml:space="preserve"> the </w:t>
      </w:r>
      <w:r>
        <w:t xml:space="preserve">marketing of radio frequency devices unless, </w:t>
      </w:r>
      <w:r w:rsidRPr="00180DA8">
        <w:t>in the case of a device subject to certification, the device has first been properly authorized, identified, and labeled in accordance with the Rules.</w:t>
      </w:r>
      <w:r w:rsidRPr="00180DA8">
        <w:rPr>
          <w:sz w:val="20"/>
          <w:szCs w:val="22"/>
          <w:vertAlign w:val="superscript"/>
        </w:rPr>
        <w:footnoteReference w:id="17"/>
      </w:r>
      <w:r>
        <w:t xml:space="preserve">  Former </w:t>
      </w:r>
      <w:r w:rsidRPr="005B7C10">
        <w:t>Section 2.803(e)(4) of the Rules define</w:t>
      </w:r>
      <w:r>
        <w:t>d</w:t>
      </w:r>
      <w:r w:rsidRPr="005B7C10">
        <w:t xml:space="preserve"> “marketing” as the “sale or lease, or offering for sale or lease, including advertising for sale or lease, or importation, shipment or distribution for the purpose of selling or leasing or offering for sale or lease.”</w:t>
      </w:r>
      <w:r>
        <w:rPr>
          <w:rStyle w:val="FootnoteReference"/>
          <w:szCs w:val="22"/>
        </w:rPr>
        <w:footnoteReference w:id="18"/>
      </w:r>
      <w:r>
        <w:t xml:space="preserve">  Furthermore, because the Guardian SOLO can be configured to use a variety of components that intentionally emit radio frequency energy, the device is classified as an intentional radiator.</w:t>
      </w:r>
      <w:r>
        <w:rPr>
          <w:rStyle w:val="FootnoteReference"/>
          <w:szCs w:val="22"/>
        </w:rPr>
        <w:footnoteReference w:id="19"/>
      </w:r>
      <w:r>
        <w:t xml:space="preserve">  Pursuant to Section 15.2</w:t>
      </w:r>
      <w:r w:rsidRPr="00EC42C4">
        <w:t>01</w:t>
      </w:r>
      <w:r>
        <w:t>(b)</w:t>
      </w:r>
      <w:r w:rsidRPr="00EC42C4">
        <w:t xml:space="preserve"> of the Rules,</w:t>
      </w:r>
      <w:r w:rsidRPr="00EC42C4">
        <w:rPr>
          <w:rStyle w:val="FootnoteReference"/>
          <w:szCs w:val="22"/>
        </w:rPr>
        <w:footnoteReference w:id="20"/>
      </w:r>
      <w:r w:rsidRPr="00EC42C4">
        <w:t xml:space="preserve"> </w:t>
      </w:r>
      <w:r>
        <w:t xml:space="preserve">an </w:t>
      </w:r>
      <w:r w:rsidRPr="00ED420D">
        <w:t xml:space="preserve">intentional radiator </w:t>
      </w:r>
      <w:r>
        <w:t xml:space="preserve">must be authorized in accordance with the Commission’s certification procedures described </w:t>
      </w:r>
      <w:r w:rsidRPr="00ED420D">
        <w:t>in Sections 2.1031–2.1060 of the Rules</w:t>
      </w:r>
      <w:r>
        <w:t xml:space="preserve"> prior to marketing.</w:t>
      </w:r>
      <w:r>
        <w:rPr>
          <w:rStyle w:val="FootnoteReference"/>
          <w:szCs w:val="22"/>
        </w:rPr>
        <w:footnoteReference w:id="21"/>
      </w:r>
      <w:r>
        <w:t xml:space="preserve">  </w:t>
      </w:r>
    </w:p>
    <w:p w:rsidR="002D02E2" w:rsidRDefault="002D02E2" w:rsidP="007A73BD">
      <w:pPr>
        <w:pStyle w:val="par1"/>
        <w:tabs>
          <w:tab w:val="clear" w:pos="1080"/>
          <w:tab w:val="num" w:pos="1440"/>
        </w:tabs>
      </w:pPr>
      <w:r>
        <w:t xml:space="preserve">The record in this case establishes that MacKay marketed the modified Guardian SOLO in the United States by offering the device for sale, distributing what it describes as “marketing materials” for the device, and shipping dozens of the modified devices to </w:t>
      </w:r>
      <w:r w:rsidR="00CA4CBA">
        <w:t>potential</w:t>
      </w:r>
      <w:r>
        <w:t xml:space="preserve"> customers before obtaining FCC certification.  Accordingly, we find that MacKay apparently willfully and repeatedly violated </w:t>
      </w:r>
      <w:r w:rsidRPr="00EC42C4">
        <w:t>Section 302(b) of the Act</w:t>
      </w:r>
      <w:r>
        <w:t>,</w:t>
      </w:r>
      <w:r>
        <w:rPr>
          <w:rStyle w:val="FootnoteReference"/>
          <w:szCs w:val="22"/>
        </w:rPr>
        <w:footnoteReference w:id="22"/>
      </w:r>
      <w:r>
        <w:t xml:space="preserve"> former </w:t>
      </w:r>
      <w:r w:rsidRPr="00EC42C4">
        <w:t>Section </w:t>
      </w:r>
      <w:r>
        <w:t>2.803(a)(1) of the Rules,</w:t>
      </w:r>
      <w:r>
        <w:rPr>
          <w:rStyle w:val="FootnoteReference"/>
          <w:szCs w:val="22"/>
        </w:rPr>
        <w:footnoteReference w:id="23"/>
      </w:r>
      <w:r>
        <w:t xml:space="preserve"> and Section 15.201(b) </w:t>
      </w:r>
      <w:r w:rsidRPr="00EC42C4">
        <w:t>of the Rules</w:t>
      </w:r>
      <w:r>
        <w:t>.</w:t>
      </w:r>
      <w:r>
        <w:rPr>
          <w:rStyle w:val="FootnoteReference"/>
          <w:szCs w:val="22"/>
        </w:rPr>
        <w:footnoteReference w:id="24"/>
      </w:r>
    </w:p>
    <w:p w:rsidR="002D02E2" w:rsidRDefault="002D02E2" w:rsidP="00717055">
      <w:pPr>
        <w:pStyle w:val="ListParagraph"/>
      </w:pPr>
    </w:p>
    <w:p w:rsidR="002D02E2" w:rsidRDefault="002D02E2" w:rsidP="00717055">
      <w:pPr>
        <w:pStyle w:val="ParaNum"/>
        <w:keepNext/>
        <w:keepLines/>
        <w:widowControl/>
        <w:numPr>
          <w:ilvl w:val="0"/>
          <w:numId w:val="0"/>
        </w:numPr>
        <w:ind w:firstLine="720"/>
        <w:jc w:val="left"/>
        <w:rPr>
          <w:b/>
        </w:rPr>
      </w:pPr>
      <w:r>
        <w:rPr>
          <w:b/>
        </w:rPr>
        <w:t xml:space="preserve">B.  </w:t>
      </w:r>
      <w:r>
        <w:rPr>
          <w:b/>
        </w:rPr>
        <w:tab/>
        <w:t>Marketing of Radio Frequency Devices Without the Required Consumer Disclosure</w:t>
      </w:r>
    </w:p>
    <w:p w:rsidR="002D02E2" w:rsidRDefault="002D02E2" w:rsidP="007A73BD">
      <w:pPr>
        <w:pStyle w:val="par1"/>
        <w:tabs>
          <w:tab w:val="clear" w:pos="1080"/>
          <w:tab w:val="num" w:pos="1440"/>
        </w:tabs>
      </w:pPr>
      <w:r>
        <w:t xml:space="preserve">The Guardian SOLO is classified as a </w:t>
      </w:r>
      <w:r w:rsidRPr="00EC42C4">
        <w:t>Class B</w:t>
      </w:r>
      <w:r>
        <w:t xml:space="preserve"> digital device.</w:t>
      </w:r>
      <w:r>
        <w:rPr>
          <w:rStyle w:val="FootnoteReference"/>
          <w:szCs w:val="22"/>
        </w:rPr>
        <w:footnoteReference w:id="25"/>
      </w:r>
      <w:r>
        <w:t xml:space="preserve">  Pursuant to Section 15.105(b) of the Rules, the user manual for a Class B digital device must include a warning to consumers of the device’s potential for causing interference to other radio communications and also provide a list of steps that could possibly eliminate the interference.</w:t>
      </w:r>
      <w:r>
        <w:rPr>
          <w:rStyle w:val="FootnoteReference"/>
          <w:szCs w:val="22"/>
        </w:rPr>
        <w:footnoteReference w:id="26"/>
      </w:r>
      <w:r>
        <w:t xml:space="preserve">  Specifically, Section 15.105(b) of the Rules states that the user manual for Class B digital devices must include the following consumer disclosure language: </w:t>
      </w:r>
    </w:p>
    <w:p w:rsidR="002D02E2" w:rsidRDefault="002D02E2" w:rsidP="007A73BD">
      <w:pPr>
        <w:pStyle w:val="par1"/>
        <w:numPr>
          <w:ilvl w:val="0"/>
          <w:numId w:val="0"/>
        </w:numPr>
        <w:rPr>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2D02E2" w:rsidTr="00100C87">
        <w:tc>
          <w:tcPr>
            <w:tcW w:w="8280" w:type="dxa"/>
          </w:tcPr>
          <w:p w:rsidR="002D02E2" w:rsidRPr="00FA7181" w:rsidRDefault="002D02E2" w:rsidP="00746BB2">
            <w:pPr>
              <w:pStyle w:val="par1"/>
              <w:numPr>
                <w:ilvl w:val="0"/>
                <w:numId w:val="0"/>
              </w:numPr>
              <w:rPr>
                <w:szCs w:val="22"/>
              </w:rPr>
            </w:pPr>
            <w:r w:rsidRPr="00FA7181">
              <w:rPr>
                <w:szCs w:val="22"/>
              </w:rPr>
              <w:t>Note:</w:t>
            </w:r>
            <w:r>
              <w:rPr>
                <w:szCs w:val="22"/>
              </w:rPr>
              <w:t xml:space="preserve"> </w:t>
            </w:r>
            <w:r w:rsidRPr="00FA7181">
              <w:rPr>
                <w:szCs w:val="22"/>
              </w:rPr>
              <w:t xml:space="preserve"> 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rsidR="002D02E2" w:rsidRPr="00FA7181" w:rsidRDefault="002D02E2" w:rsidP="00100C87">
            <w:pPr>
              <w:pStyle w:val="par1"/>
              <w:numPr>
                <w:ilvl w:val="0"/>
                <w:numId w:val="0"/>
              </w:numPr>
              <w:ind w:left="720"/>
              <w:rPr>
                <w:szCs w:val="22"/>
              </w:rPr>
            </w:pPr>
            <w:r w:rsidRPr="00FA7181">
              <w:rPr>
                <w:szCs w:val="22"/>
              </w:rPr>
              <w:t>—Reorient or relocate the receiving antenna.</w:t>
            </w:r>
          </w:p>
          <w:p w:rsidR="002D02E2" w:rsidRPr="00FA7181" w:rsidRDefault="002D02E2" w:rsidP="00100C87">
            <w:pPr>
              <w:pStyle w:val="par1"/>
              <w:numPr>
                <w:ilvl w:val="0"/>
                <w:numId w:val="0"/>
              </w:numPr>
              <w:ind w:left="720"/>
              <w:rPr>
                <w:szCs w:val="22"/>
              </w:rPr>
            </w:pPr>
            <w:r w:rsidRPr="00FA7181">
              <w:rPr>
                <w:szCs w:val="22"/>
              </w:rPr>
              <w:t>—Increase the separation between the equipment and receiver.</w:t>
            </w:r>
          </w:p>
          <w:p w:rsidR="002D02E2" w:rsidRPr="00FA7181" w:rsidRDefault="002D02E2" w:rsidP="00274ACC">
            <w:pPr>
              <w:pStyle w:val="par1"/>
              <w:numPr>
                <w:ilvl w:val="0"/>
                <w:numId w:val="0"/>
              </w:numPr>
              <w:tabs>
                <w:tab w:val="left" w:pos="972"/>
              </w:tabs>
              <w:ind w:left="720"/>
              <w:rPr>
                <w:szCs w:val="22"/>
              </w:rPr>
            </w:pPr>
            <w:r w:rsidRPr="00FA7181">
              <w:rPr>
                <w:szCs w:val="22"/>
              </w:rPr>
              <w:t>—Connect the equipment into an outlet on a circuit different from that to which the       receiver is connected.</w:t>
            </w:r>
          </w:p>
          <w:p w:rsidR="002D02E2" w:rsidRPr="00FA7181" w:rsidRDefault="002D02E2" w:rsidP="00030AB6">
            <w:pPr>
              <w:pStyle w:val="par1"/>
              <w:numPr>
                <w:ilvl w:val="0"/>
                <w:numId w:val="0"/>
              </w:numPr>
              <w:ind w:left="720"/>
              <w:rPr>
                <w:szCs w:val="22"/>
              </w:rPr>
            </w:pPr>
            <w:r w:rsidRPr="00FA7181">
              <w:rPr>
                <w:szCs w:val="22"/>
              </w:rPr>
              <w:t>—Consult the dealer or an experienced radio/TV technician for help.</w:t>
            </w:r>
          </w:p>
        </w:tc>
      </w:tr>
    </w:tbl>
    <w:p w:rsidR="002D02E2" w:rsidRDefault="002D02E2" w:rsidP="00F14A2D">
      <w:pPr>
        <w:pStyle w:val="par1"/>
        <w:numPr>
          <w:ilvl w:val="0"/>
          <w:numId w:val="0"/>
        </w:numPr>
      </w:pPr>
    </w:p>
    <w:p w:rsidR="002D02E2" w:rsidRDefault="002D02E2" w:rsidP="008B619E">
      <w:pPr>
        <w:pStyle w:val="par1"/>
        <w:tabs>
          <w:tab w:val="clear" w:pos="1080"/>
        </w:tabs>
      </w:pPr>
      <w:r>
        <w:t>It is undisputed that MacKay failed to provide the foregoing disclosure in the user manuals while it was actively marketing the Guardian SOLO.  Indeed, in its LOI Response, MacKay admits that after it received the new certification for the Guardian SOLO, the user manual for the device did not include the consumer disclosure required by Section 15.105(b) of the Rules.</w:t>
      </w:r>
      <w:r>
        <w:rPr>
          <w:rStyle w:val="FootnoteReference"/>
          <w:szCs w:val="22"/>
        </w:rPr>
        <w:footnoteReference w:id="27"/>
      </w:r>
      <w:r>
        <w:t xml:space="preserve">  Accordingly, we find that MacKay apparently willfully and repeatedly violated </w:t>
      </w:r>
      <w:r w:rsidRPr="00EC42C4">
        <w:t>Section 302(b) of the Act</w:t>
      </w:r>
      <w:r>
        <w:t>,</w:t>
      </w:r>
      <w:r>
        <w:rPr>
          <w:rStyle w:val="FootnoteReference"/>
          <w:szCs w:val="22"/>
        </w:rPr>
        <w:footnoteReference w:id="28"/>
      </w:r>
      <w:r>
        <w:t xml:space="preserve"> former Section 2.803(a)(1) of the Rules,</w:t>
      </w:r>
      <w:r>
        <w:rPr>
          <w:rStyle w:val="FootnoteReference"/>
          <w:szCs w:val="22"/>
        </w:rPr>
        <w:footnoteReference w:id="29"/>
      </w:r>
      <w:r>
        <w:t xml:space="preserve"> and Section 15.105(b) of the Rules.</w:t>
      </w:r>
      <w:r>
        <w:rPr>
          <w:rStyle w:val="FootnoteReference"/>
          <w:szCs w:val="22"/>
        </w:rPr>
        <w:footnoteReference w:id="30"/>
      </w:r>
    </w:p>
    <w:p w:rsidR="002D02E2" w:rsidRDefault="002D02E2" w:rsidP="00F427FF">
      <w:pPr>
        <w:pStyle w:val="par1"/>
        <w:numPr>
          <w:ilvl w:val="0"/>
          <w:numId w:val="0"/>
        </w:numPr>
        <w:rPr>
          <w:b/>
        </w:rPr>
      </w:pPr>
    </w:p>
    <w:p w:rsidR="002D02E2" w:rsidRPr="00EC42C4" w:rsidRDefault="002D02E2" w:rsidP="008A7831">
      <w:pPr>
        <w:pStyle w:val="ParaNum"/>
        <w:keepNext/>
        <w:keepLines/>
        <w:widowControl/>
        <w:numPr>
          <w:ilvl w:val="0"/>
          <w:numId w:val="0"/>
        </w:numPr>
        <w:ind w:firstLine="720"/>
        <w:jc w:val="left"/>
        <w:rPr>
          <w:b/>
        </w:rPr>
      </w:pPr>
      <w:r>
        <w:rPr>
          <w:b/>
        </w:rPr>
        <w:t>C</w:t>
      </w:r>
      <w:r w:rsidRPr="00EC42C4">
        <w:rPr>
          <w:b/>
        </w:rPr>
        <w:t xml:space="preserve">.   </w:t>
      </w:r>
      <w:r>
        <w:rPr>
          <w:b/>
        </w:rPr>
        <w:tab/>
      </w:r>
      <w:r w:rsidRPr="00EC42C4">
        <w:rPr>
          <w:b/>
        </w:rPr>
        <w:t>Proposed Forfeiture</w:t>
      </w:r>
    </w:p>
    <w:p w:rsidR="002D02E2" w:rsidRPr="00937C5E" w:rsidRDefault="002D02E2" w:rsidP="00937C5E">
      <w:pPr>
        <w:pStyle w:val="par1"/>
        <w:tabs>
          <w:tab w:val="clear" w:pos="1080"/>
        </w:tabs>
        <w:rPr>
          <w:spacing w:val="-2"/>
        </w:rPr>
      </w:pPr>
      <w:r w:rsidRPr="00041435">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041435">
        <w:rPr>
          <w:vertAlign w:val="superscript"/>
        </w:rPr>
        <w:footnoteReference w:id="31"/>
      </w:r>
      <w:r w:rsidRPr="00041435">
        <w:t xml:space="preserve">  Section 312(f)(1) of the Act defines “willful” as the “conscious and deliberate commission or omission of [any] act, irrespective of any intent to violate” the law.</w:t>
      </w:r>
      <w:r w:rsidRPr="00041435">
        <w:rPr>
          <w:vertAlign w:val="superscript"/>
        </w:rPr>
        <w:footnoteReference w:id="32"/>
      </w:r>
      <w:r w:rsidRPr="00041435">
        <w:t xml:space="preserve">  The legislative history to Section 312(f)(1) of the Act clarifies that this definition of willful applies to both Sections 312 and 503(b) of the Act,</w:t>
      </w:r>
      <w:r w:rsidRPr="00041435">
        <w:rPr>
          <w:vertAlign w:val="superscript"/>
        </w:rPr>
        <w:footnoteReference w:id="33"/>
      </w:r>
      <w:r w:rsidRPr="00041435">
        <w:t xml:space="preserve"> and the Commission has so interpreted the term in the Section 503(b) context.</w:t>
      </w:r>
      <w:r w:rsidRPr="00041435">
        <w:rPr>
          <w:vertAlign w:val="superscript"/>
        </w:rPr>
        <w:footnoteReference w:id="34"/>
      </w:r>
      <w:r w:rsidRPr="00041435">
        <w:t xml:space="preserve">  The Commission may also assess a forfeiture for violations that are merely repeated, and not willful.</w:t>
      </w:r>
      <w:r w:rsidRPr="00041435">
        <w:rPr>
          <w:vertAlign w:val="superscript"/>
        </w:rPr>
        <w:footnoteReference w:id="35"/>
      </w:r>
      <w:r w:rsidRPr="00041435">
        <w:t xml:space="preserve">  The term “repeated” means the commission or omission of </w:t>
      </w:r>
      <w:r>
        <w:t>an</w:t>
      </w:r>
      <w:r w:rsidRPr="00041435">
        <w:t xml:space="preserve"> act more than once or for more than one day.</w:t>
      </w:r>
      <w:r w:rsidRPr="00041435">
        <w:rPr>
          <w:vertAlign w:val="superscript"/>
        </w:rPr>
        <w:footnoteReference w:id="36"/>
      </w:r>
      <w:r w:rsidRPr="00041435">
        <w:t xml:space="preserve">  </w:t>
      </w:r>
      <w:r w:rsidRPr="00F13CCB">
        <w:t xml:space="preserve">Based on the record before us, </w:t>
      </w:r>
      <w:r>
        <w:t>we conclude that MacKay is apparently liable for a forfeiture for its a</w:t>
      </w:r>
      <w:r w:rsidRPr="00F13CCB">
        <w:t xml:space="preserve">pparent </w:t>
      </w:r>
      <w:r>
        <w:t xml:space="preserve">willful and repeated </w:t>
      </w:r>
      <w:r w:rsidRPr="00F13CCB">
        <w:t xml:space="preserve">violations of </w:t>
      </w:r>
      <w:r w:rsidRPr="00EC42C4">
        <w:t>Section 302(b) of the Act</w:t>
      </w:r>
      <w:r>
        <w:t>, former</w:t>
      </w:r>
      <w:r w:rsidRPr="00EC42C4">
        <w:t xml:space="preserve"> Section </w:t>
      </w:r>
      <w:r>
        <w:t>2.803(a)(1) of the Rules,</w:t>
      </w:r>
      <w:r>
        <w:rPr>
          <w:rStyle w:val="FootnoteReference"/>
          <w:szCs w:val="22"/>
        </w:rPr>
        <w:footnoteReference w:id="37"/>
      </w:r>
      <w:r>
        <w:t xml:space="preserve"> and Sections 15.201(b) and 15.105(b) </w:t>
      </w:r>
      <w:r w:rsidRPr="00EC42C4">
        <w:t>of the Rules</w:t>
      </w:r>
      <w:r>
        <w:t>.</w:t>
      </w:r>
    </w:p>
    <w:p w:rsidR="002D02E2" w:rsidRPr="006B5691" w:rsidRDefault="002D02E2" w:rsidP="00937C5E">
      <w:pPr>
        <w:pStyle w:val="par1"/>
        <w:numPr>
          <w:ilvl w:val="0"/>
          <w:numId w:val="0"/>
        </w:numPr>
        <w:ind w:left="720"/>
        <w:rPr>
          <w:spacing w:val="-2"/>
        </w:rPr>
      </w:pPr>
    </w:p>
    <w:p w:rsidR="002D02E2" w:rsidRPr="00624B4B" w:rsidRDefault="002D02E2" w:rsidP="0013728A">
      <w:pPr>
        <w:pStyle w:val="par1"/>
        <w:tabs>
          <w:tab w:val="clear" w:pos="1080"/>
        </w:tabs>
      </w:pPr>
      <w:r w:rsidRPr="00F13CCB">
        <w:t>In determining the appropriate forfeiture amount, Section 503(b)(2)(E) of the Act directs us to consider factors such as “the nature, circumstances, extent, and gravity of the violation and, with respect to the violator, the degree of culpability, any history of prior offenses, ability to pay, and such other matters as justice may require.”</w:t>
      </w:r>
      <w:r w:rsidRPr="00F13CCB">
        <w:rPr>
          <w:vertAlign w:val="superscript"/>
        </w:rPr>
        <w:footnoteReference w:id="38"/>
      </w:r>
      <w:r w:rsidRPr="00F13CCB">
        <w:t xml:space="preserve">  Section 1.80(b) of the Rules sets a base forfeiture amount of </w:t>
      </w:r>
      <w:r w:rsidRPr="00EC42C4">
        <w:t xml:space="preserve">$7,000 for </w:t>
      </w:r>
      <w:r>
        <w:t xml:space="preserve">the </w:t>
      </w:r>
      <w:r w:rsidRPr="00EC42C4">
        <w:t>marketing of unauthorized equipment.</w:t>
      </w:r>
      <w:r w:rsidRPr="00EC42C4">
        <w:rPr>
          <w:rStyle w:val="FootnoteReference"/>
          <w:szCs w:val="22"/>
        </w:rPr>
        <w:footnoteReference w:id="39"/>
      </w:r>
      <w:r>
        <w:t xml:space="preserve">  </w:t>
      </w:r>
      <w:r>
        <w:rPr>
          <w:color w:val="000000"/>
          <w:szCs w:val="22"/>
        </w:rPr>
        <w:t>T</w:t>
      </w:r>
      <w:r w:rsidRPr="005543CF">
        <w:rPr>
          <w:color w:val="000000"/>
          <w:szCs w:val="22"/>
        </w:rPr>
        <w:t xml:space="preserve">he Commission typically imposes </w:t>
      </w:r>
      <w:r>
        <w:rPr>
          <w:color w:val="000000"/>
          <w:szCs w:val="22"/>
        </w:rPr>
        <w:t>a</w:t>
      </w:r>
      <w:r w:rsidRPr="005543CF">
        <w:rPr>
          <w:color w:val="000000"/>
          <w:szCs w:val="22"/>
        </w:rPr>
        <w:t xml:space="preserve"> $7,000 base forfeiture for marketing devices that </w:t>
      </w:r>
      <w:r>
        <w:rPr>
          <w:color w:val="000000"/>
          <w:szCs w:val="22"/>
        </w:rPr>
        <w:t>do</w:t>
      </w:r>
      <w:r w:rsidRPr="005543CF">
        <w:rPr>
          <w:color w:val="000000"/>
          <w:szCs w:val="22"/>
        </w:rPr>
        <w:t xml:space="preserve"> not compl</w:t>
      </w:r>
      <w:r>
        <w:rPr>
          <w:color w:val="000000"/>
          <w:szCs w:val="22"/>
        </w:rPr>
        <w:t>y</w:t>
      </w:r>
      <w:r w:rsidRPr="005543CF">
        <w:rPr>
          <w:color w:val="000000"/>
          <w:szCs w:val="22"/>
        </w:rPr>
        <w:t xml:space="preserve"> with applicable technical requirements of the Rules or that are not authorized by an equipment authorization</w:t>
      </w:r>
      <w:r>
        <w:rPr>
          <w:color w:val="000000"/>
          <w:szCs w:val="22"/>
        </w:rPr>
        <w:t>, as in this case</w:t>
      </w:r>
      <w:r w:rsidRPr="005543CF">
        <w:rPr>
          <w:color w:val="000000"/>
          <w:szCs w:val="22"/>
        </w:rPr>
        <w:t>.</w:t>
      </w:r>
      <w:r w:rsidRPr="005543CF">
        <w:rPr>
          <w:color w:val="000000"/>
          <w:szCs w:val="22"/>
          <w:vertAlign w:val="superscript"/>
        </w:rPr>
        <w:footnoteReference w:id="40"/>
      </w:r>
      <w:r w:rsidRPr="005543CF">
        <w:rPr>
          <w:szCs w:val="22"/>
        </w:rPr>
        <w:t xml:space="preserve">  </w:t>
      </w:r>
      <w:r>
        <w:rPr>
          <w:szCs w:val="22"/>
        </w:rPr>
        <w:t xml:space="preserve">In addition, the Commission has determined that a base forfeiture of </w:t>
      </w:r>
      <w:r w:rsidRPr="005543CF">
        <w:rPr>
          <w:szCs w:val="22"/>
        </w:rPr>
        <w:t xml:space="preserve">$4,000 is warranted for marketing devices that have been authorized, but have been marketed </w:t>
      </w:r>
      <w:r w:rsidRPr="005543CF">
        <w:rPr>
          <w:bCs/>
          <w:snapToGrid w:val="0"/>
          <w:szCs w:val="22"/>
        </w:rPr>
        <w:t>without the required consumer disclosures</w:t>
      </w:r>
      <w:r w:rsidRPr="005543CF">
        <w:rPr>
          <w:snapToGrid w:val="0"/>
          <w:szCs w:val="22"/>
        </w:rPr>
        <w:t>.</w:t>
      </w:r>
      <w:r w:rsidRPr="005543CF">
        <w:rPr>
          <w:snapToGrid w:val="0"/>
          <w:szCs w:val="22"/>
          <w:vertAlign w:val="superscript"/>
        </w:rPr>
        <w:footnoteReference w:id="41"/>
      </w:r>
      <w:r>
        <w:rPr>
          <w:snapToGrid w:val="0"/>
          <w:szCs w:val="22"/>
        </w:rPr>
        <w:t xml:space="preserve">       </w:t>
      </w:r>
    </w:p>
    <w:p w:rsidR="002D02E2" w:rsidRPr="00EC42C4" w:rsidRDefault="002D02E2" w:rsidP="00B932C8">
      <w:pPr>
        <w:pStyle w:val="par1"/>
        <w:numPr>
          <w:ilvl w:val="0"/>
          <w:numId w:val="0"/>
        </w:numPr>
        <w:ind w:left="720"/>
      </w:pPr>
    </w:p>
    <w:p w:rsidR="002D02E2" w:rsidRDefault="002D02E2" w:rsidP="009D2801">
      <w:pPr>
        <w:pStyle w:val="par1"/>
        <w:tabs>
          <w:tab w:val="clear" w:pos="1080"/>
        </w:tabs>
        <w:spacing w:after="240"/>
      </w:pPr>
      <w:r>
        <w:t>In applying the applicable statutory factors, we also consider whether there is any basis for a downward adjustment of the proposed forfeiture.  Here, we find none.  We decline to downwardly adjust the forfeiture on the grounds that MacKay’s marketing efforts during the relevant period did not result in any actual sales of the Guardian SOLO.</w:t>
      </w:r>
      <w:r>
        <w:rPr>
          <w:rStyle w:val="FootnoteReference"/>
          <w:szCs w:val="22"/>
        </w:rPr>
        <w:footnoteReference w:id="42"/>
      </w:r>
      <w:r>
        <w:t xml:space="preserve">  The fact that its marketing efforts did not result in the  sale of the devices does not mitigate the violation because the term “marketing” expressly includes MacKay’s activities:  advertising, offers for sale, and shipment and distribution of the devices.</w:t>
      </w:r>
      <w:r>
        <w:rPr>
          <w:rStyle w:val="FootnoteReference"/>
          <w:szCs w:val="22"/>
        </w:rPr>
        <w:footnoteReference w:id="43"/>
      </w:r>
      <w:r>
        <w:t xml:space="preserve">  Even if the majority of its marketing efforts occurred after the Guardian SOLO was properly authorized, as MacKay asserts,</w:t>
      </w:r>
      <w:r>
        <w:rPr>
          <w:rStyle w:val="FootnoteReference"/>
          <w:szCs w:val="22"/>
        </w:rPr>
        <w:footnoteReference w:id="44"/>
      </w:r>
      <w:r>
        <w:t xml:space="preserve"> that does not excuse or mitigate any illegal marketing that took place before receiving FCC authorization.  In addition, the fact that MacKay may have come into compliance with the consumer disclosure requirements approximately one month after the company received the LOI also does not </w:t>
      </w:r>
      <w:r w:rsidRPr="00EC42C4">
        <w:t xml:space="preserve">warrant </w:t>
      </w:r>
      <w:r>
        <w:t xml:space="preserve">a </w:t>
      </w:r>
      <w:r w:rsidRPr="00EC42C4">
        <w:t xml:space="preserve">reduction of the proposed forfeiture amount.  </w:t>
      </w:r>
      <w:r>
        <w:t>As we have repeatedly stated, c</w:t>
      </w:r>
      <w:r w:rsidRPr="000E2707">
        <w:t>orrective</w:t>
      </w:r>
      <w:r>
        <w:t xml:space="preserve"> measures implemented after the Commission has initiated an investigation or taken enforcement action do not nullify or mitigate past violations.</w:t>
      </w:r>
      <w:r>
        <w:rPr>
          <w:rStyle w:val="FootnoteReference"/>
        </w:rPr>
        <w:footnoteReference w:id="45"/>
      </w:r>
      <w:r>
        <w:t xml:space="preserve">  Similarly, MacKay’s assertion that the failure to include the required consumer language was “unintentional” does not justify a downward adjustment.</w:t>
      </w:r>
      <w:r>
        <w:rPr>
          <w:rStyle w:val="FootnoteReference"/>
          <w:szCs w:val="22"/>
        </w:rPr>
        <w:footnoteReference w:id="46"/>
      </w:r>
      <w:r>
        <w:t xml:space="preserve">  As the Commission has held, violations resulting from inadvertent error are willful violations that generally do not warrant a downward adjustment of a proposed forfeiture.</w:t>
      </w:r>
      <w:r>
        <w:rPr>
          <w:rStyle w:val="FootnoteReference"/>
          <w:szCs w:val="22"/>
        </w:rPr>
        <w:footnoteReference w:id="47"/>
      </w:r>
      <w:r>
        <w:t xml:space="preserve">  </w:t>
      </w:r>
    </w:p>
    <w:p w:rsidR="002D02E2" w:rsidRDefault="002D02E2" w:rsidP="009D2801">
      <w:pPr>
        <w:pStyle w:val="par1"/>
        <w:tabs>
          <w:tab w:val="clear" w:pos="1080"/>
        </w:tabs>
        <w:spacing w:after="240"/>
      </w:pPr>
      <w:r>
        <w:t xml:space="preserve">Therefore, after applying the factors set forth in Section 503(b)(2)(E) of the Act, Section 1.80 of the Rules, and the </w:t>
      </w:r>
      <w:r w:rsidRPr="00624B4B">
        <w:rPr>
          <w:i/>
        </w:rPr>
        <w:t>Forfeiture Policy Statement</w:t>
      </w:r>
      <w:r>
        <w:t xml:space="preserve"> to the instant case, we conclude that Mac</w:t>
      </w:r>
      <w:r w:rsidR="00297969">
        <w:t>K</w:t>
      </w:r>
      <w:r>
        <w:t xml:space="preserve">ay is apparently liable for a forfeiture in the amount of </w:t>
      </w:r>
      <w:r w:rsidRPr="00EC42C4">
        <w:t>$</w:t>
      </w:r>
      <w:r>
        <w:t xml:space="preserve">11,000.  </w:t>
      </w:r>
    </w:p>
    <w:p w:rsidR="002D02E2" w:rsidRPr="00EC42C4" w:rsidRDefault="002D02E2" w:rsidP="00E12107">
      <w:pPr>
        <w:pStyle w:val="Heading1"/>
        <w:widowControl/>
        <w:numPr>
          <w:ilvl w:val="0"/>
          <w:numId w:val="0"/>
        </w:numPr>
        <w:tabs>
          <w:tab w:val="clear" w:pos="360"/>
        </w:tabs>
        <w:jc w:val="left"/>
        <w:rPr>
          <w:rFonts w:ascii="Times New Roman" w:hAnsi="Times New Roman"/>
        </w:rPr>
      </w:pPr>
      <w:bookmarkStart w:id="2" w:name="_Toc385414937"/>
      <w:r w:rsidRPr="00EC42C4">
        <w:rPr>
          <w:rFonts w:ascii="Times New Roman" w:hAnsi="Times New Roman"/>
        </w:rPr>
        <w:t>IV.</w:t>
      </w:r>
      <w:r w:rsidRPr="00EC42C4">
        <w:rPr>
          <w:rFonts w:ascii="Times New Roman" w:hAnsi="Times New Roman"/>
        </w:rPr>
        <w:tab/>
        <w:t xml:space="preserve"> Ordering CLauses</w:t>
      </w:r>
      <w:bookmarkEnd w:id="2"/>
    </w:p>
    <w:p w:rsidR="002D02E2" w:rsidRDefault="002D02E2" w:rsidP="0013728A">
      <w:pPr>
        <w:pStyle w:val="par1"/>
        <w:tabs>
          <w:tab w:val="clear" w:pos="1080"/>
        </w:tabs>
      </w:pPr>
      <w:r>
        <w:rPr>
          <w:color w:val="000000"/>
        </w:rPr>
        <w:t xml:space="preserve">Accordingly, </w:t>
      </w:r>
      <w:r>
        <w:rPr>
          <w:b/>
          <w:color w:val="000000"/>
        </w:rPr>
        <w:t>IT IS ORDERED</w:t>
      </w:r>
      <w:r>
        <w:rPr>
          <w:color w:val="000000"/>
        </w:rPr>
        <w:t xml:space="preserve"> that, pursuant to Section 503(b) of the Act</w:t>
      </w:r>
      <w:r>
        <w:rPr>
          <w:rStyle w:val="FootnoteReference"/>
          <w:color w:val="000000"/>
          <w:szCs w:val="22"/>
        </w:rPr>
        <w:footnoteReference w:id="48"/>
      </w:r>
      <w:r>
        <w:rPr>
          <w:color w:val="000000"/>
        </w:rPr>
        <w:t xml:space="preserve"> and Sections 0.111, 0.311 and 1.80 of </w:t>
      </w:r>
      <w:r w:rsidRPr="0013728A">
        <w:t>the</w:t>
      </w:r>
      <w:r>
        <w:rPr>
          <w:color w:val="000000"/>
        </w:rPr>
        <w:t xml:space="preserve"> Rules,</w:t>
      </w:r>
      <w:r>
        <w:rPr>
          <w:rStyle w:val="FootnoteReference"/>
          <w:color w:val="000000"/>
          <w:szCs w:val="22"/>
        </w:rPr>
        <w:footnoteReference w:id="49"/>
      </w:r>
      <w:r>
        <w:rPr>
          <w:color w:val="000000"/>
        </w:rPr>
        <w:t xml:space="preserve"> J.J. MacKay Canada Ltd. </w:t>
      </w:r>
      <w:r>
        <w:rPr>
          <w:b/>
          <w:color w:val="000000"/>
        </w:rPr>
        <w:t>IS</w:t>
      </w:r>
      <w:r>
        <w:rPr>
          <w:color w:val="000000"/>
        </w:rPr>
        <w:t xml:space="preserve"> hereby </w:t>
      </w:r>
      <w:r>
        <w:rPr>
          <w:b/>
          <w:color w:val="000000"/>
        </w:rPr>
        <w:t>NOTIFIED</w:t>
      </w:r>
      <w:r>
        <w:rPr>
          <w:color w:val="000000"/>
        </w:rPr>
        <w:t xml:space="preserve"> of its </w:t>
      </w:r>
      <w:r>
        <w:rPr>
          <w:b/>
          <w:color w:val="000000"/>
        </w:rPr>
        <w:t>APPARENT LIABILITY FOR A FORFEITURE</w:t>
      </w:r>
      <w:r>
        <w:rPr>
          <w:color w:val="000000"/>
        </w:rPr>
        <w:t xml:space="preserve"> in the amount of eleven thousand dollars ($11,000) f</w:t>
      </w:r>
      <w:r>
        <w:t xml:space="preserve">or willful and repeated violations of </w:t>
      </w:r>
      <w:r>
        <w:rPr>
          <w:szCs w:val="22"/>
        </w:rPr>
        <w:t>Section</w:t>
      </w:r>
      <w:r w:rsidRPr="00D37C5E">
        <w:rPr>
          <w:szCs w:val="22"/>
        </w:rPr>
        <w:t xml:space="preserve"> 302(b) of the </w:t>
      </w:r>
      <w:r>
        <w:rPr>
          <w:szCs w:val="22"/>
        </w:rPr>
        <w:t xml:space="preserve">Communications </w:t>
      </w:r>
      <w:r w:rsidRPr="00D37C5E">
        <w:rPr>
          <w:szCs w:val="22"/>
        </w:rPr>
        <w:t>Act</w:t>
      </w:r>
      <w:r>
        <w:rPr>
          <w:szCs w:val="22"/>
        </w:rPr>
        <w:t xml:space="preserve"> of 1934, as amended,</w:t>
      </w:r>
      <w:r w:rsidRPr="00D37C5E">
        <w:rPr>
          <w:szCs w:val="22"/>
        </w:rPr>
        <w:t xml:space="preserve"> </w:t>
      </w:r>
      <w:r>
        <w:rPr>
          <w:szCs w:val="22"/>
        </w:rPr>
        <w:t>former Section</w:t>
      </w:r>
      <w:r w:rsidRPr="00D37C5E">
        <w:rPr>
          <w:szCs w:val="22"/>
        </w:rPr>
        <w:t xml:space="preserve"> 2.803</w:t>
      </w:r>
      <w:r>
        <w:rPr>
          <w:szCs w:val="22"/>
        </w:rPr>
        <w:t>(a) of the Commission’s rules,</w:t>
      </w:r>
      <w:r>
        <w:rPr>
          <w:rStyle w:val="FootnoteReference"/>
          <w:szCs w:val="22"/>
        </w:rPr>
        <w:footnoteReference w:id="50"/>
      </w:r>
      <w:r>
        <w:rPr>
          <w:szCs w:val="22"/>
        </w:rPr>
        <w:t xml:space="preserve"> and Sections 15.201(b) and 15.105(b) </w:t>
      </w:r>
      <w:r w:rsidRPr="00D37C5E">
        <w:rPr>
          <w:szCs w:val="22"/>
        </w:rPr>
        <w:t xml:space="preserve">of the </w:t>
      </w:r>
      <w:r>
        <w:rPr>
          <w:szCs w:val="22"/>
        </w:rPr>
        <w:t>Commission’s r</w:t>
      </w:r>
      <w:r w:rsidRPr="00D37C5E">
        <w:rPr>
          <w:szCs w:val="22"/>
        </w:rPr>
        <w:t>ules</w:t>
      </w:r>
      <w:r>
        <w:t>.</w:t>
      </w:r>
      <w:r w:rsidRPr="0069370E">
        <w:t xml:space="preserve"> </w:t>
      </w:r>
    </w:p>
    <w:p w:rsidR="002D02E2" w:rsidRDefault="002D02E2" w:rsidP="002369F6">
      <w:pPr>
        <w:pStyle w:val="par1"/>
        <w:numPr>
          <w:ilvl w:val="0"/>
          <w:numId w:val="0"/>
        </w:numPr>
      </w:pPr>
    </w:p>
    <w:p w:rsidR="002D02E2" w:rsidRDefault="002D02E2" w:rsidP="0013728A">
      <w:pPr>
        <w:pStyle w:val="par1"/>
        <w:tabs>
          <w:tab w:val="clear" w:pos="1080"/>
        </w:tabs>
      </w:pPr>
      <w:r>
        <w:rPr>
          <w:b/>
        </w:rPr>
        <w:t xml:space="preserve">IT IS FURTHER ORDERED </w:t>
      </w:r>
      <w:r>
        <w:t>that, pursuant to Section 1.80 of the Commission’s rules,</w:t>
      </w:r>
      <w:r>
        <w:rPr>
          <w:rStyle w:val="FootnoteReference"/>
          <w:szCs w:val="22"/>
        </w:rPr>
        <w:footnoteReference w:id="51"/>
      </w:r>
      <w:r>
        <w:rPr>
          <w:vertAlign w:val="superscript"/>
        </w:rPr>
        <w:t xml:space="preserve"> </w:t>
      </w:r>
      <w:r>
        <w:t xml:space="preserve">within thirty (30) calendar days of the release date of this </w:t>
      </w:r>
      <w:r>
        <w:rPr>
          <w:i/>
        </w:rPr>
        <w:t>Notice of Apparent Liability for Forfeiture</w:t>
      </w:r>
      <w:r>
        <w:t xml:space="preserve">, </w:t>
      </w:r>
      <w:r>
        <w:rPr>
          <w:color w:val="000000"/>
        </w:rPr>
        <w:t>J.J. MacKay Canada Ltd.</w:t>
      </w:r>
      <w:r w:rsidRPr="007A55C9">
        <w:rPr>
          <w:color w:val="000000"/>
        </w:rPr>
        <w:t xml:space="preserve"> </w:t>
      </w:r>
      <w:r w:rsidRPr="00624B4B">
        <w:rPr>
          <w:b/>
        </w:rPr>
        <w:t>SHALL PAY</w:t>
      </w:r>
      <w:r>
        <w:t xml:space="preserve"> the full amount of the proposed forfeiture or </w:t>
      </w:r>
      <w:r>
        <w:rPr>
          <w:b/>
        </w:rPr>
        <w:t>SHALL FILE</w:t>
      </w:r>
      <w:r>
        <w:t xml:space="preserve"> a written statement seeking reduction or cancellation of the proposed forfeiture consistent with paragraph 18 below.</w:t>
      </w:r>
    </w:p>
    <w:p w:rsidR="002D02E2" w:rsidRDefault="002D02E2" w:rsidP="00FA63EB">
      <w:pPr>
        <w:pStyle w:val="ListParagraph"/>
      </w:pPr>
    </w:p>
    <w:p w:rsidR="002D02E2" w:rsidRPr="002369F6" w:rsidRDefault="002D02E2" w:rsidP="00FA63EB">
      <w:pPr>
        <w:pStyle w:val="par1"/>
        <w:tabs>
          <w:tab w:val="clear" w:pos="1080"/>
        </w:tabs>
      </w:pPr>
      <w:r>
        <w:t>Payment</w:t>
      </w:r>
      <w:r w:rsidRPr="00FA63EB">
        <w:rPr>
          <w:rFonts w:eastAsia="MS Mincho"/>
          <w:snapToGrid w:val="0"/>
        </w:rPr>
        <w:t xml:space="preserve"> of the forfeiture must be made by check or similar instrument, wire transfer, or credit card, and must include the NAL/Account number and FRN referenced above.  </w:t>
      </w:r>
      <w:r>
        <w:rPr>
          <w:color w:val="000000"/>
        </w:rPr>
        <w:t>J.J. MacKay Canada Ltd.</w:t>
      </w:r>
      <w:r w:rsidRPr="00FA63EB">
        <w:rPr>
          <w:color w:val="000000"/>
        </w:rPr>
        <w:t xml:space="preserve"> </w:t>
      </w:r>
      <w:r w:rsidRPr="00FA63EB">
        <w:rPr>
          <w:rFonts w:eastAsia="MS Mincho"/>
          <w:snapToGrid w:val="0"/>
        </w:rPr>
        <w:t xml:space="preserve">shall send electronic notification of payment to Jennifer Burton at </w:t>
      </w:r>
      <w:r w:rsidRPr="00FA63EB">
        <w:rPr>
          <w:rFonts w:eastAsia="MS Mincho"/>
        </w:rPr>
        <w:t>Jennifer.Burton</w:t>
      </w:r>
      <w:r w:rsidRPr="00FA63EB">
        <w:rPr>
          <w:rFonts w:eastAsia="MS Mincho"/>
          <w:snapToGrid w:val="0"/>
        </w:rPr>
        <w:t>@fcc.gov and JoAnn Lucanik</w:t>
      </w:r>
      <w:r>
        <w:rPr>
          <w:rFonts w:eastAsia="MS Mincho"/>
          <w:snapToGrid w:val="0"/>
        </w:rPr>
        <w:t xml:space="preserve"> at</w:t>
      </w:r>
      <w:r w:rsidRPr="00FA63EB">
        <w:rPr>
          <w:rFonts w:eastAsia="MS Mincho"/>
          <w:snapToGrid w:val="0"/>
        </w:rPr>
        <w:t xml:space="preserve"> JoAnn.Lucanik@fcc.gov on the date said payment is made.  Regardless of the form of payment, a completed FCC Form 159 (Remittance Advice) must be submitted.</w:t>
      </w:r>
      <w:r>
        <w:rPr>
          <w:rFonts w:eastAsia="MS Mincho"/>
          <w:snapToGrid w:val="0"/>
          <w:vertAlign w:val="superscript"/>
        </w:rPr>
        <w:footnoteReference w:id="52"/>
      </w:r>
      <w:r w:rsidRPr="00FA63EB">
        <w:rPr>
          <w:rFonts w:eastAsia="MS Mincho"/>
          <w:snapToGrid w:val="0"/>
        </w:rPr>
        <w:t xml:space="preserve">  When completing the FCC Form 159, enter the Account Number in block number 23A (call sign/other ID) and enter the letters “FORF” in block n</w:t>
      </w:r>
      <w:r>
        <w:rPr>
          <w:rFonts w:eastAsia="MS Mincho"/>
          <w:snapToGrid w:val="0"/>
        </w:rPr>
        <w:t xml:space="preserve">umber 24A (payment type code). </w:t>
      </w:r>
      <w:r w:rsidRPr="00FA63EB">
        <w:rPr>
          <w:rFonts w:eastAsia="MS Mincho"/>
          <w:snapToGrid w:val="0"/>
        </w:rPr>
        <w:t xml:space="preserve"> </w:t>
      </w:r>
      <w:r w:rsidRPr="00FA63EB">
        <w:rPr>
          <w:snapToGrid w:val="0"/>
        </w:rPr>
        <w:t>B</w:t>
      </w:r>
      <w:r>
        <w:rPr>
          <w:snapToGrid w:val="0"/>
        </w:rPr>
        <w:t>e</w:t>
      </w:r>
      <w:r w:rsidRPr="00FA63EB">
        <w:rPr>
          <w:snapToGrid w:val="0"/>
        </w:rPr>
        <w:t xml:space="preserve">low are additional instructions </w:t>
      </w:r>
      <w:r>
        <w:rPr>
          <w:snapToGrid w:val="0"/>
        </w:rPr>
        <w:t xml:space="preserve">that </w:t>
      </w:r>
      <w:r>
        <w:rPr>
          <w:color w:val="000000"/>
        </w:rPr>
        <w:t xml:space="preserve">J.J. MacKay Canada Ltd. </w:t>
      </w:r>
      <w:r w:rsidRPr="00FA63EB">
        <w:rPr>
          <w:snapToGrid w:val="0"/>
        </w:rPr>
        <w:t xml:space="preserve">should follow based on the form of payment </w:t>
      </w:r>
      <w:r>
        <w:rPr>
          <w:snapToGrid w:val="0"/>
        </w:rPr>
        <w:t xml:space="preserve">it </w:t>
      </w:r>
      <w:r w:rsidRPr="00FA63EB">
        <w:rPr>
          <w:snapToGrid w:val="0"/>
        </w:rPr>
        <w:t>select</w:t>
      </w:r>
      <w:r>
        <w:rPr>
          <w:snapToGrid w:val="0"/>
        </w:rPr>
        <w:t>s</w:t>
      </w:r>
      <w:r w:rsidRPr="00FA63EB">
        <w:rPr>
          <w:snapToGrid w:val="0"/>
        </w:rPr>
        <w:t>:</w:t>
      </w:r>
    </w:p>
    <w:p w:rsidR="002D02E2" w:rsidRPr="0069370E" w:rsidRDefault="002D02E2" w:rsidP="002369F6">
      <w:pPr>
        <w:pStyle w:val="par1"/>
        <w:numPr>
          <w:ilvl w:val="0"/>
          <w:numId w:val="0"/>
        </w:numPr>
        <w:ind w:left="720"/>
      </w:pPr>
    </w:p>
    <w:p w:rsidR="002D02E2" w:rsidRDefault="002D02E2" w:rsidP="007A55C9">
      <w:pPr>
        <w:widowControl/>
        <w:numPr>
          <w:ilvl w:val="0"/>
          <w:numId w:val="6"/>
        </w:numPr>
        <w:autoSpaceDE w:val="0"/>
        <w:autoSpaceDN w:val="0"/>
        <w:adjustRightInd w:val="0"/>
        <w:spacing w:after="120"/>
        <w:jc w:val="left"/>
        <w:rPr>
          <w:rFonts w:eastAsia="MS Mincho"/>
        </w:rPr>
      </w:pPr>
      <w:r>
        <w:rPr>
          <w:rFonts w:eastAsia="MS Mincho"/>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2D02E2" w:rsidRDefault="002D02E2" w:rsidP="007A55C9">
      <w:pPr>
        <w:widowControl/>
        <w:numPr>
          <w:ilvl w:val="0"/>
          <w:numId w:val="6"/>
        </w:numPr>
        <w:autoSpaceDE w:val="0"/>
        <w:autoSpaceDN w:val="0"/>
        <w:adjustRightInd w:val="0"/>
        <w:spacing w:after="120"/>
        <w:jc w:val="left"/>
        <w:rPr>
          <w:rFonts w:eastAsia="MS Mincho"/>
        </w:rPr>
      </w:pPr>
      <w:r>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2D02E2" w:rsidRDefault="002D02E2" w:rsidP="007A55C9">
      <w:pPr>
        <w:widowControl/>
        <w:numPr>
          <w:ilvl w:val="0"/>
          <w:numId w:val="6"/>
        </w:numPr>
        <w:autoSpaceDE w:val="0"/>
        <w:autoSpaceDN w:val="0"/>
        <w:adjustRightInd w:val="0"/>
        <w:spacing w:after="120"/>
        <w:jc w:val="left"/>
        <w:rPr>
          <w:color w:val="000000"/>
        </w:rPr>
      </w:pPr>
      <w:r>
        <w:rPr>
          <w:rFonts w:eastAsia="MS Mincho"/>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2D02E2" w:rsidRDefault="002D02E2" w:rsidP="009C16F4">
      <w:pPr>
        <w:pStyle w:val="par1"/>
        <w:tabs>
          <w:tab w:val="clear" w:pos="1080"/>
        </w:tabs>
      </w:pPr>
      <w:r>
        <w:t xml:space="preserve">Any request for making full payment over time under an installment plan should be sent to:  Chief Financial Officer—Financial Operations, Federal Communications Commission, 445 12th Street, SW, Room 1-A625, Washington, DC 20554.  If </w:t>
      </w:r>
      <w:r>
        <w:rPr>
          <w:color w:val="000000"/>
        </w:rPr>
        <w:t xml:space="preserve">J.J. MacKay Canada Ltd. has any </w:t>
      </w:r>
      <w:r>
        <w:t xml:space="preserve">questions regarding payment procedures, it should contact the Financial Operations Group Help Desk by phone,    1-877-480-3201, or by e-mail, ARINQUIRIES@fcc.gov.   </w:t>
      </w:r>
    </w:p>
    <w:p w:rsidR="002D02E2" w:rsidRDefault="002D02E2" w:rsidP="009C16F4">
      <w:pPr>
        <w:pStyle w:val="par1"/>
        <w:numPr>
          <w:ilvl w:val="0"/>
          <w:numId w:val="0"/>
        </w:numPr>
        <w:ind w:left="720"/>
      </w:pPr>
    </w:p>
    <w:p w:rsidR="002D02E2" w:rsidRDefault="002D02E2" w:rsidP="009C16F4">
      <w:pPr>
        <w:pStyle w:val="par1"/>
        <w:tabs>
          <w:tab w:val="clear" w:pos="1080"/>
        </w:tabs>
      </w:pPr>
      <w:r>
        <w:t xml:space="preserve">The written statement seeking reduction or cancellation of the proposed forfeiture, if any, must include a detailed factual statement supported by appropriate documentation and affidavits pursuant to Sections 1.16 and </w:t>
      </w:r>
      <w:r w:rsidRPr="007B3A10">
        <w:t>1.80(f)(3)</w:t>
      </w:r>
      <w:r>
        <w:t xml:space="preserve"> of the Rules.</w:t>
      </w:r>
      <w:r>
        <w:rPr>
          <w:rStyle w:val="FootnoteReference"/>
          <w:szCs w:val="22"/>
        </w:rPr>
        <w:footnoteReference w:id="53"/>
      </w:r>
      <w:r>
        <w:t xml:space="preserve">  The written statement must be mailed to the Office of the Secretary, Federal Communications Commission, 445 12th Street, S.W., Washington, DC 20554, ATTN:  Enforcement Bureau – Spectrum Enforcement Division, and must include the NAL/Account Number referenced in the caption.  The statement must also be e-mailed to Jennifer Burton at Jennifer.Burton@fcc.gov and JoAnn Lucanik at JoAnn.Lucanik@fcc.gov.  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rsidR="002D02E2" w:rsidRPr="00EC42C4" w:rsidRDefault="002D02E2" w:rsidP="009C16F4">
      <w:pPr>
        <w:pStyle w:val="par1"/>
        <w:numPr>
          <w:ilvl w:val="0"/>
          <w:numId w:val="0"/>
        </w:numPr>
        <w:ind w:left="720"/>
      </w:pPr>
    </w:p>
    <w:p w:rsidR="002D02E2" w:rsidRPr="007F683C" w:rsidRDefault="002D02E2" w:rsidP="00AA7923">
      <w:pPr>
        <w:pStyle w:val="par1"/>
        <w:tabs>
          <w:tab w:val="clear" w:pos="1080"/>
        </w:tabs>
      </w:pPr>
      <w:r w:rsidRPr="00EA7705">
        <w:rPr>
          <w:b/>
        </w:rPr>
        <w:t>IT IS FURTHER ORDERED</w:t>
      </w:r>
      <w:r w:rsidRPr="00EC42C4">
        <w:t xml:space="preserve"> that a copy of this Notice of Apparent Liability for Forfeiture shall be sent by </w:t>
      </w:r>
      <w:r>
        <w:t xml:space="preserve">first class mail and certified mail, return receipt requested, </w:t>
      </w:r>
      <w:r w:rsidRPr="00EC42C4">
        <w:t>to</w:t>
      </w:r>
      <w:r>
        <w:t xml:space="preserve"> George MacKay, President, J.J. MacKay Canada Ltd., 1342 Abercrombie Road, New Glasgow, Nova Scotia, Canada B2H 5</w:t>
      </w:r>
      <w:r w:rsidR="00297969">
        <w:t>C6</w:t>
      </w:r>
      <w:r>
        <w:t xml:space="preserve">, and to Patrick O'Donnell, Esquire, Wiltshire &amp; Grannis, LLP, </w:t>
      </w:r>
      <w:r w:rsidRPr="00EA7705">
        <w:t>Counsel for J.J. MacKay Canada Ltd</w:t>
      </w:r>
      <w:r>
        <w:t xml:space="preserve">., 1200 18th Street, N.W., 12th Floor, Washington, DC 20036. </w:t>
      </w:r>
    </w:p>
    <w:p w:rsidR="002D02E2" w:rsidRPr="007F683C" w:rsidRDefault="002D02E2" w:rsidP="00FB66C0">
      <w:pPr>
        <w:pStyle w:val="ParaNum"/>
        <w:keepNext/>
        <w:keepLines/>
        <w:widowControl/>
        <w:numPr>
          <w:ilvl w:val="0"/>
          <w:numId w:val="0"/>
        </w:numPr>
      </w:pPr>
    </w:p>
    <w:p w:rsidR="002D02E2" w:rsidRPr="007F683C" w:rsidRDefault="002D02E2" w:rsidP="00FB66C0">
      <w:pPr>
        <w:pStyle w:val="ParaNum"/>
        <w:keepNext/>
        <w:keepLines/>
        <w:widowControl/>
        <w:numPr>
          <w:ilvl w:val="0"/>
          <w:numId w:val="0"/>
        </w:numPr>
      </w:pPr>
      <w:r w:rsidRPr="007F683C">
        <w:tab/>
      </w:r>
      <w:r w:rsidRPr="007F683C">
        <w:tab/>
      </w:r>
      <w:r w:rsidRPr="007F683C">
        <w:tab/>
      </w:r>
      <w:r w:rsidRPr="007F683C">
        <w:tab/>
      </w:r>
      <w:r w:rsidRPr="007F683C">
        <w:tab/>
        <w:t>FEDERAL COMMUNICATIONS COMMISSION</w:t>
      </w:r>
    </w:p>
    <w:p w:rsidR="002D02E2" w:rsidRPr="007F683C" w:rsidRDefault="002D02E2" w:rsidP="00FB66C0">
      <w:pPr>
        <w:keepNext/>
        <w:keepLines/>
        <w:widowControl/>
        <w:tabs>
          <w:tab w:val="left" w:pos="0"/>
        </w:tabs>
        <w:suppressAutoHyphens/>
        <w:spacing w:line="240" w:lineRule="atLeast"/>
        <w:rPr>
          <w:bCs/>
        </w:rPr>
      </w:pPr>
    </w:p>
    <w:p w:rsidR="002D02E2" w:rsidRPr="007F683C" w:rsidRDefault="002D02E2" w:rsidP="00FB66C0">
      <w:pPr>
        <w:keepNext/>
        <w:keepLines/>
        <w:widowControl/>
        <w:tabs>
          <w:tab w:val="left" w:pos="0"/>
        </w:tabs>
        <w:suppressAutoHyphens/>
        <w:spacing w:line="240" w:lineRule="atLeast"/>
        <w:rPr>
          <w:b/>
        </w:rPr>
      </w:pPr>
    </w:p>
    <w:p w:rsidR="002D02E2" w:rsidRPr="007F683C" w:rsidRDefault="002D02E2" w:rsidP="00FB66C0">
      <w:pPr>
        <w:keepNext/>
        <w:keepLines/>
        <w:widowControl/>
        <w:tabs>
          <w:tab w:val="left" w:pos="0"/>
        </w:tabs>
        <w:suppressAutoHyphens/>
        <w:spacing w:line="240" w:lineRule="atLeast"/>
        <w:rPr>
          <w:b/>
        </w:rPr>
      </w:pPr>
    </w:p>
    <w:p w:rsidR="002D02E2" w:rsidRPr="007F683C" w:rsidRDefault="002D02E2" w:rsidP="00FB66C0">
      <w:pPr>
        <w:keepNext/>
        <w:keepLines/>
        <w:widowControl/>
        <w:tabs>
          <w:tab w:val="left" w:pos="0"/>
        </w:tabs>
        <w:suppressAutoHyphens/>
        <w:spacing w:line="240" w:lineRule="atLeast"/>
      </w:pPr>
      <w:r w:rsidRPr="007F683C">
        <w:tab/>
      </w:r>
      <w:r w:rsidRPr="007F683C">
        <w:tab/>
      </w:r>
      <w:r w:rsidRPr="007F683C">
        <w:tab/>
      </w:r>
      <w:r w:rsidRPr="007F683C">
        <w:tab/>
      </w:r>
      <w:r w:rsidRPr="007F683C">
        <w:tab/>
        <w:t>John D. Poutasse</w:t>
      </w:r>
    </w:p>
    <w:p w:rsidR="002D02E2" w:rsidRPr="007F683C" w:rsidRDefault="002D02E2" w:rsidP="00FB66C0">
      <w:pPr>
        <w:keepNext/>
        <w:keepLines/>
        <w:widowControl/>
        <w:tabs>
          <w:tab w:val="left" w:pos="0"/>
        </w:tabs>
        <w:suppressAutoHyphens/>
        <w:spacing w:line="240" w:lineRule="atLeast"/>
      </w:pPr>
      <w:r w:rsidRPr="007F683C">
        <w:tab/>
      </w:r>
      <w:r w:rsidRPr="007F683C">
        <w:tab/>
      </w:r>
      <w:r w:rsidRPr="007F683C">
        <w:tab/>
      </w:r>
      <w:r w:rsidRPr="007F683C">
        <w:tab/>
      </w:r>
      <w:r w:rsidRPr="007F683C">
        <w:tab/>
        <w:t>Chief, Spectrum Enforcement Division</w:t>
      </w:r>
    </w:p>
    <w:p w:rsidR="002D02E2" w:rsidRDefault="002D02E2" w:rsidP="00FB66C0">
      <w:pPr>
        <w:keepNext/>
        <w:keepLines/>
        <w:widowControl/>
      </w:pPr>
      <w:r w:rsidRPr="007F683C">
        <w:tab/>
      </w:r>
      <w:r w:rsidRPr="007F683C">
        <w:tab/>
      </w:r>
      <w:r w:rsidRPr="007F683C">
        <w:tab/>
      </w:r>
      <w:r w:rsidRPr="007F683C">
        <w:tab/>
      </w:r>
      <w:r w:rsidRPr="007F683C">
        <w:tab/>
        <w:t>Enforcement Bureau</w:t>
      </w:r>
    </w:p>
    <w:sectPr w:rsidR="002D02E2" w:rsidSect="00F723B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E2" w:rsidRDefault="002D02E2">
      <w:pPr>
        <w:spacing w:line="20" w:lineRule="exact"/>
      </w:pPr>
    </w:p>
  </w:endnote>
  <w:endnote w:type="continuationSeparator" w:id="0">
    <w:p w:rsidR="002D02E2" w:rsidRDefault="002D02E2">
      <w:r>
        <w:t xml:space="preserve"> </w:t>
      </w:r>
    </w:p>
  </w:endnote>
  <w:endnote w:type="continuationNotice" w:id="1">
    <w:p w:rsidR="002D02E2" w:rsidRDefault="002D02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2E2" w:rsidRDefault="002D02E2">
    <w:pPr>
      <w:pStyle w:val="Footer"/>
      <w:framePr w:wrap="around" w:vAnchor="text" w:hAnchor="margin" w:xAlign="center" w:y="1"/>
    </w:pPr>
    <w:r>
      <w:fldChar w:fldCharType="begin"/>
    </w:r>
    <w:r>
      <w:instrText xml:space="preserve">PAGE  </w:instrText>
    </w:r>
    <w:r>
      <w:fldChar w:fldCharType="end"/>
    </w:r>
  </w:p>
  <w:p w:rsidR="002D02E2" w:rsidRDefault="002D0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2E2" w:rsidRDefault="00297969">
    <w:pPr>
      <w:pStyle w:val="Footer"/>
      <w:framePr w:wrap="around" w:vAnchor="text" w:hAnchor="margin" w:xAlign="center" w:y="1"/>
    </w:pPr>
    <w:r>
      <w:fldChar w:fldCharType="begin"/>
    </w:r>
    <w:r>
      <w:instrText xml:space="preserve">PAGE  </w:instrText>
    </w:r>
    <w:r>
      <w:fldChar w:fldCharType="separate"/>
    </w:r>
    <w:r w:rsidR="00205C41">
      <w:rPr>
        <w:noProof/>
      </w:rPr>
      <w:t>2</w:t>
    </w:r>
    <w:r>
      <w:rPr>
        <w:noProof/>
      </w:rPr>
      <w:fldChar w:fldCharType="end"/>
    </w:r>
  </w:p>
  <w:p w:rsidR="002D02E2" w:rsidRDefault="002D02E2">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41" w:rsidRDefault="00205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E2" w:rsidRDefault="002D02E2">
      <w:r>
        <w:separator/>
      </w:r>
    </w:p>
  </w:footnote>
  <w:footnote w:type="continuationSeparator" w:id="0">
    <w:p w:rsidR="002D02E2" w:rsidRDefault="002D02E2">
      <w:pPr>
        <w:rPr>
          <w:sz w:val="20"/>
        </w:rPr>
      </w:pPr>
      <w:r>
        <w:rPr>
          <w:sz w:val="20"/>
        </w:rPr>
        <w:t xml:space="preserve">(Continued from previous page)  </w:t>
      </w:r>
      <w:r>
        <w:rPr>
          <w:sz w:val="20"/>
        </w:rPr>
        <w:separator/>
      </w:r>
    </w:p>
  </w:footnote>
  <w:footnote w:type="continuationNotice" w:id="1">
    <w:p w:rsidR="002D02E2" w:rsidRDefault="002D02E2">
      <w:pPr>
        <w:rPr>
          <w:sz w:val="20"/>
        </w:rPr>
      </w:pPr>
      <w:r>
        <w:rPr>
          <w:sz w:val="20"/>
        </w:rPr>
        <w:t>(continued….)</w:t>
      </w:r>
    </w:p>
  </w:footnote>
  <w:footnote w:id="2">
    <w:p w:rsidR="002D02E2" w:rsidRDefault="002D02E2" w:rsidP="000E7ADA">
      <w:pPr>
        <w:pStyle w:val="FootnoteText"/>
        <w:spacing w:after="120"/>
        <w:ind w:firstLine="0"/>
      </w:pPr>
      <w:r w:rsidRPr="0065365F">
        <w:rPr>
          <w:rStyle w:val="FootnoteReference"/>
          <w:sz w:val="20"/>
        </w:rPr>
        <w:footnoteRef/>
      </w:r>
      <w:r w:rsidRPr="0065365F">
        <w:t xml:space="preserve"> The investigation initiated und</w:t>
      </w:r>
      <w:r>
        <w:t xml:space="preserve">er File No. EB-SED-13-00011206 was </w:t>
      </w:r>
      <w:r w:rsidRPr="0065365F">
        <w:t>subsequently assigned File No. EB-SED-14-00014850.  Any future correspondence with the FCC concerning this matter should reflect the new case number, File No. EB-SED-14-00014850.</w:t>
      </w:r>
    </w:p>
  </w:footnote>
  <w:footnote w:id="3">
    <w:p w:rsidR="002D02E2" w:rsidRDefault="002D02E2" w:rsidP="000E7ADA">
      <w:pPr>
        <w:pStyle w:val="FootnoteText"/>
        <w:tabs>
          <w:tab w:val="clear" w:pos="720"/>
          <w:tab w:val="clear" w:pos="1440"/>
        </w:tabs>
        <w:spacing w:after="120"/>
        <w:ind w:firstLine="0"/>
      </w:pPr>
      <w:r>
        <w:rPr>
          <w:rStyle w:val="FootnoteReference"/>
          <w:szCs w:val="22"/>
        </w:rPr>
        <w:footnoteRef/>
      </w:r>
      <w:r>
        <w:t xml:space="preserve"> </w:t>
      </w:r>
      <w:r w:rsidRPr="00E846AB">
        <w:t>47 U.S.C. § 302a(b).</w:t>
      </w:r>
    </w:p>
  </w:footnote>
  <w:footnote w:id="4">
    <w:p w:rsidR="002D02E2" w:rsidRDefault="002D02E2" w:rsidP="00624B4B">
      <w:pPr>
        <w:pStyle w:val="FootnoteText"/>
        <w:tabs>
          <w:tab w:val="clear" w:pos="720"/>
          <w:tab w:val="clear" w:pos="1440"/>
        </w:tabs>
        <w:spacing w:after="120"/>
        <w:ind w:firstLine="0"/>
      </w:pPr>
      <w:r>
        <w:rPr>
          <w:rStyle w:val="FootnoteReference"/>
          <w:szCs w:val="22"/>
        </w:rPr>
        <w:footnoteRef/>
      </w:r>
      <w:r>
        <w:t xml:space="preserve"> </w:t>
      </w:r>
      <w:r w:rsidRPr="00E846AB">
        <w:t>47 C.F.R. §§ 2.803</w:t>
      </w:r>
      <w:r>
        <w:t>(a) (2012)</w:t>
      </w:r>
      <w:r w:rsidRPr="00E846AB">
        <w:t>, 15.</w:t>
      </w:r>
      <w:r>
        <w:t>201(b)</w:t>
      </w:r>
      <w:r w:rsidRPr="00E846AB">
        <w:t>, 15.105</w:t>
      </w:r>
      <w:r>
        <w:t xml:space="preserve">(b).  </w:t>
      </w:r>
      <w:r w:rsidRPr="004B28DC">
        <w:t>On January 31, 2013, the Commission</w:t>
      </w:r>
      <w:r>
        <w:t>, among other things, amended and reorganized Section 2.803 of the Rules</w:t>
      </w:r>
      <w:r w:rsidRPr="004B28DC">
        <w:t xml:space="preserve">.  </w:t>
      </w:r>
      <w:r w:rsidRPr="004B28DC">
        <w:rPr>
          <w:i/>
        </w:rPr>
        <w:t>See</w:t>
      </w:r>
      <w:r w:rsidRPr="004B28DC">
        <w:t xml:space="preserve"> </w:t>
      </w:r>
      <w:r w:rsidRPr="004B28DC">
        <w:rPr>
          <w:i/>
        </w:rPr>
        <w:t>Promoting Expanded Opportunities for Radio Experimentation and Market Trials Under Part 5 of the Commission’s Rules and Streamlining Other Related Rules 2006 Biennial Review of Telecommunications Regulations – Part 2 Administered by the Office of Engineering and Technology</w:t>
      </w:r>
      <w:r w:rsidRPr="004B28DC">
        <w:t>, Report and Order, 28 FCC Rcd 758, 803-804 (2013) (</w:t>
      </w:r>
      <w:r w:rsidRPr="004B28DC">
        <w:rPr>
          <w:i/>
        </w:rPr>
        <w:t>Streamlining Order</w:t>
      </w:r>
      <w:r w:rsidRPr="004B28DC">
        <w:t xml:space="preserve">).  </w:t>
      </w:r>
      <w:r w:rsidRPr="004B28DC">
        <w:rPr>
          <w:i/>
        </w:rPr>
        <w:t>See</w:t>
      </w:r>
      <w:r w:rsidRPr="004B28DC">
        <w:t xml:space="preserve"> 47 C.F.R. § 2.803(b)(1) (eff. May 29, 2013).</w:t>
      </w:r>
      <w:r>
        <w:t xml:space="preserve">  </w:t>
      </w:r>
      <w:r w:rsidRPr="000823F3">
        <w:t>The Commission did not</w:t>
      </w:r>
      <w:r>
        <w:t xml:space="preserve"> alter </w:t>
      </w:r>
      <w:r w:rsidRPr="000823F3">
        <w:t>the substan</w:t>
      </w:r>
      <w:r>
        <w:t>ce of Section 2.803, but instead clarified the rule</w:t>
      </w:r>
      <w:r w:rsidRPr="000823F3">
        <w:t xml:space="preserve">.  </w:t>
      </w:r>
      <w:r>
        <w:rPr>
          <w:i/>
        </w:rPr>
        <w:t xml:space="preserve">See Streamlining Order, </w:t>
      </w:r>
      <w:r w:rsidRPr="000823F3">
        <w:t>28 FCC Rcd at 803-804</w:t>
      </w:r>
      <w:r>
        <w:t>, paras</w:t>
      </w:r>
      <w:r w:rsidR="00297969">
        <w:t>.</w:t>
      </w:r>
      <w:r>
        <w:t xml:space="preserve"> 123–124</w:t>
      </w:r>
      <w:r w:rsidRPr="000823F3">
        <w:t>.</w:t>
      </w:r>
      <w:r>
        <w:t xml:space="preserve"> </w:t>
      </w:r>
    </w:p>
  </w:footnote>
  <w:footnote w:id="5">
    <w:p w:rsidR="002D02E2" w:rsidRDefault="002D02E2" w:rsidP="00624B4B">
      <w:pPr>
        <w:pStyle w:val="FootnoteText"/>
        <w:spacing w:after="120"/>
        <w:ind w:firstLine="0"/>
      </w:pPr>
      <w:r>
        <w:rPr>
          <w:rStyle w:val="FootnoteReference"/>
        </w:rPr>
        <w:footnoteRef/>
      </w:r>
      <w:r>
        <w:t xml:space="preserve"> </w:t>
      </w:r>
      <w:r w:rsidRPr="00624B4B">
        <w:rPr>
          <w:i/>
        </w:rPr>
        <w:t>See infra</w:t>
      </w:r>
      <w:r>
        <w:t xml:space="preserve"> note 6.</w:t>
      </w:r>
    </w:p>
  </w:footnote>
  <w:footnote w:id="6">
    <w:p w:rsidR="002D02E2" w:rsidRDefault="002D02E2" w:rsidP="005B64A8">
      <w:pPr>
        <w:pStyle w:val="FootnoteText"/>
        <w:spacing w:after="120"/>
        <w:ind w:firstLine="0"/>
      </w:pPr>
      <w:r w:rsidRPr="0065365F">
        <w:rPr>
          <w:rStyle w:val="FootnoteReference"/>
          <w:sz w:val="20"/>
        </w:rPr>
        <w:footnoteRef/>
      </w:r>
      <w:r w:rsidRPr="0065365F">
        <w:t xml:space="preserve"> </w:t>
      </w:r>
      <w:r w:rsidRPr="009F55A2">
        <w:rPr>
          <w:i/>
        </w:rPr>
        <w:t xml:space="preserve">See </w:t>
      </w:r>
      <w:r w:rsidRPr="009F55A2">
        <w:t>Letter from John D. Poutasse, Chief, Spectrum Enforcement Division, FCC Enforcement Bureau, to Greg Chauvin, Director</w:t>
      </w:r>
      <w:r>
        <w:t xml:space="preserve"> of</w:t>
      </w:r>
      <w:r w:rsidRPr="009F55A2">
        <w:t xml:space="preserve"> Engineering</w:t>
      </w:r>
      <w:r>
        <w:t xml:space="preserve">, </w:t>
      </w:r>
      <w:r w:rsidRPr="009F55A2">
        <w:t>J.J. MacKay Canada L</w:t>
      </w:r>
      <w:r>
        <w:t>td.</w:t>
      </w:r>
      <w:r w:rsidRPr="009F55A2">
        <w:t xml:space="preserve"> (Jan</w:t>
      </w:r>
      <w:r>
        <w:t>.</w:t>
      </w:r>
      <w:r w:rsidRPr="009F55A2">
        <w:t xml:space="preserve"> 8, 2014) (on file in EB-SED-13-00011206)</w:t>
      </w:r>
      <w:r>
        <w:t xml:space="preserve"> (LOI)</w:t>
      </w:r>
      <w:r w:rsidRPr="0065365F">
        <w:t>.</w:t>
      </w:r>
    </w:p>
  </w:footnote>
  <w:footnote w:id="7">
    <w:p w:rsidR="002D02E2" w:rsidRDefault="002D02E2" w:rsidP="005B64A8">
      <w:pPr>
        <w:pStyle w:val="FootnoteText"/>
        <w:tabs>
          <w:tab w:val="clear" w:pos="720"/>
          <w:tab w:val="left" w:pos="0"/>
        </w:tabs>
        <w:spacing w:after="120"/>
        <w:ind w:firstLine="0"/>
      </w:pPr>
      <w:r>
        <w:rPr>
          <w:rStyle w:val="FootnoteReference"/>
          <w:szCs w:val="22"/>
        </w:rPr>
        <w:footnoteRef/>
      </w:r>
      <w:r>
        <w:t xml:space="preserve"> </w:t>
      </w:r>
      <w:r w:rsidRPr="00E7387B">
        <w:rPr>
          <w:i/>
        </w:rPr>
        <w:t xml:space="preserve">See </w:t>
      </w:r>
      <w:r w:rsidRPr="00E7387B">
        <w:t xml:space="preserve">Letter from </w:t>
      </w:r>
      <w:r>
        <w:t xml:space="preserve">Patrick P. O’Donnell </w:t>
      </w:r>
      <w:r>
        <w:rPr>
          <w:i/>
        </w:rPr>
        <w:t>et al.</w:t>
      </w:r>
      <w:r>
        <w:t>, Counsel for J.J. MacKay Canada Ltd</w:t>
      </w:r>
      <w:r w:rsidR="00297969">
        <w:t>.</w:t>
      </w:r>
      <w:r>
        <w:t>, to Jennifer Burton, Spectrum Enforcement Division, FCC Enforcement Bureau</w:t>
      </w:r>
      <w:r w:rsidRPr="00E7387B">
        <w:t xml:space="preserve"> (</w:t>
      </w:r>
      <w:r>
        <w:t>Mar. 10, 2014</w:t>
      </w:r>
      <w:r w:rsidRPr="00E7387B">
        <w:t xml:space="preserve">) (on file in </w:t>
      </w:r>
      <w:r w:rsidRPr="0065365F">
        <w:t>EB-SED-14-00014850</w:t>
      </w:r>
      <w:r w:rsidRPr="00E7387B">
        <w:t>) (LOI Response)</w:t>
      </w:r>
      <w:r>
        <w:t xml:space="preserve">.  </w:t>
      </w:r>
    </w:p>
  </w:footnote>
  <w:footnote w:id="8">
    <w:p w:rsidR="002D02E2" w:rsidRDefault="002D02E2" w:rsidP="005B64A8">
      <w:pPr>
        <w:pStyle w:val="FootnoteText"/>
        <w:spacing w:after="120"/>
        <w:ind w:firstLine="0"/>
      </w:pPr>
      <w:r w:rsidRPr="004B28DC">
        <w:rPr>
          <w:rStyle w:val="FootnoteReference"/>
          <w:sz w:val="20"/>
        </w:rPr>
        <w:footnoteRef/>
      </w:r>
      <w:r w:rsidRPr="004B28DC">
        <w:t xml:space="preserve"> </w:t>
      </w:r>
      <w:r w:rsidRPr="004B28DC">
        <w:rPr>
          <w:i/>
        </w:rPr>
        <w:t xml:space="preserve">See </w:t>
      </w:r>
      <w:r>
        <w:rPr>
          <w:i/>
        </w:rPr>
        <w:t xml:space="preserve">id. </w:t>
      </w:r>
      <w:r w:rsidRPr="004B28DC">
        <w:t>at 3.</w:t>
      </w:r>
    </w:p>
  </w:footnote>
  <w:footnote w:id="9">
    <w:p w:rsidR="002D02E2" w:rsidRDefault="002D02E2" w:rsidP="00624B4B">
      <w:pPr>
        <w:pStyle w:val="FootnoteText"/>
        <w:spacing w:after="120"/>
        <w:ind w:firstLine="0"/>
      </w:pPr>
      <w:r>
        <w:rPr>
          <w:rStyle w:val="FootnoteReference"/>
          <w:sz w:val="20"/>
        </w:rPr>
        <w:footnoteRef/>
      </w:r>
      <w:r w:rsidRPr="00624B4B">
        <w:t xml:space="preserve"> </w:t>
      </w:r>
      <w:smartTag w:uri="urn:schemas-microsoft-com:office:smarttags" w:element="State">
        <w:smartTag w:uri="urn:schemas-microsoft-com:office:smarttags" w:element="place">
          <w:r w:rsidRPr="00624B4B">
            <w:rPr>
              <w:i/>
            </w:rPr>
            <w:t>Id</w:t>
          </w:r>
          <w:r w:rsidRPr="00624B4B">
            <w:t>.</w:t>
          </w:r>
        </w:smartTag>
      </w:smartTag>
      <w:r w:rsidRPr="00624B4B">
        <w:t xml:space="preserve"> </w:t>
      </w:r>
    </w:p>
  </w:footnote>
  <w:footnote w:id="10">
    <w:p w:rsidR="002D02E2" w:rsidRDefault="002D02E2" w:rsidP="00624B4B">
      <w:pPr>
        <w:pStyle w:val="FootnoteText"/>
        <w:spacing w:after="120"/>
        <w:ind w:firstLine="0"/>
      </w:pPr>
      <w:r>
        <w:rPr>
          <w:rStyle w:val="FootnoteReference"/>
          <w:sz w:val="20"/>
        </w:rPr>
        <w:footnoteRef/>
      </w:r>
      <w:r>
        <w:t xml:space="preserve"> </w:t>
      </w:r>
      <w:smartTag w:uri="urn:schemas-microsoft-com:office:smarttags" w:element="State">
        <w:smartTag w:uri="urn:schemas-microsoft-com:office:smarttags" w:element="place">
          <w:r w:rsidRPr="00624B4B">
            <w:rPr>
              <w:i/>
            </w:rPr>
            <w:t>Id</w:t>
          </w:r>
          <w:r>
            <w:t>.</w:t>
          </w:r>
        </w:smartTag>
      </w:smartTag>
      <w:r>
        <w:t xml:space="preserve"> at 1 (citing 47 C.F.R. § 2.1043).   </w:t>
      </w:r>
    </w:p>
  </w:footnote>
  <w:footnote w:id="11">
    <w:p w:rsidR="002D02E2" w:rsidRDefault="002D02E2" w:rsidP="005B64A8">
      <w:pPr>
        <w:pStyle w:val="FootnoteText"/>
        <w:tabs>
          <w:tab w:val="clear" w:pos="720"/>
          <w:tab w:val="clear" w:pos="1440"/>
        </w:tabs>
        <w:spacing w:after="120"/>
        <w:ind w:firstLine="0"/>
      </w:pPr>
      <w:r w:rsidRPr="004B28DC">
        <w:rPr>
          <w:rStyle w:val="FootnoteReference"/>
          <w:sz w:val="20"/>
        </w:rPr>
        <w:footnoteRef/>
      </w:r>
      <w:r w:rsidRPr="004B28DC">
        <w:t xml:space="preserve"> </w:t>
      </w:r>
      <w:r w:rsidRPr="004B28DC">
        <w:rPr>
          <w:i/>
        </w:rPr>
        <w:t xml:space="preserve">See </w:t>
      </w:r>
      <w:r w:rsidRPr="00624B4B">
        <w:t xml:space="preserve">LOI Response </w:t>
      </w:r>
      <w:r>
        <w:t>at</w:t>
      </w:r>
      <w:r w:rsidRPr="004B28DC">
        <w:t xml:space="preserve"> 1, 6.  In response to a subsequent inquiry from the Division, MacKay reported to Commission staff in a phone conversation on April 1, 2014, that the modification to the device was made in July 2012.</w:t>
      </w:r>
    </w:p>
  </w:footnote>
  <w:footnote w:id="12">
    <w:p w:rsidR="002D02E2" w:rsidRDefault="002D02E2" w:rsidP="005B64A8">
      <w:pPr>
        <w:pStyle w:val="FootnoteText"/>
        <w:spacing w:after="120"/>
        <w:ind w:firstLine="0"/>
      </w:pPr>
      <w:r w:rsidRPr="004B28DC">
        <w:rPr>
          <w:rStyle w:val="FootnoteReference"/>
          <w:sz w:val="20"/>
        </w:rPr>
        <w:footnoteRef/>
      </w:r>
      <w:r w:rsidRPr="004B28DC">
        <w:t xml:space="preserve"> </w:t>
      </w:r>
      <w:smartTag w:uri="urn:schemas-microsoft-com:office:smarttags" w:element="State">
        <w:smartTag w:uri="urn:schemas-microsoft-com:office:smarttags" w:element="place">
          <w:r>
            <w:rPr>
              <w:i/>
            </w:rPr>
            <w:t>I</w:t>
          </w:r>
          <w:r w:rsidRPr="004B28DC">
            <w:rPr>
              <w:i/>
            </w:rPr>
            <w:t>d.</w:t>
          </w:r>
        </w:smartTag>
      </w:smartTag>
      <w:r w:rsidRPr="004B28DC">
        <w:rPr>
          <w:i/>
        </w:rPr>
        <w:t xml:space="preserve"> </w:t>
      </w:r>
      <w:r w:rsidRPr="004B28DC">
        <w:t xml:space="preserve">at </w:t>
      </w:r>
      <w:r>
        <w:t>1-2</w:t>
      </w:r>
      <w:r w:rsidRPr="004B28DC">
        <w:t>.</w:t>
      </w:r>
      <w:r>
        <w:t xml:space="preserve">  MacKay </w:t>
      </w:r>
      <w:r w:rsidR="00CA4CBA">
        <w:t xml:space="preserve">also </w:t>
      </w:r>
      <w:r>
        <w:t>states that it “distributed</w:t>
      </w:r>
      <w:r w:rsidR="00CA4CBA">
        <w:t>”</w:t>
      </w:r>
      <w:r>
        <w:t xml:space="preserve"> </w:t>
      </w:r>
      <w:r w:rsidR="00CA4CBA">
        <w:t xml:space="preserve">the </w:t>
      </w:r>
      <w:r>
        <w:t xml:space="preserve">Guardian Solo </w:t>
      </w:r>
      <w:r w:rsidR="00CA4CBA">
        <w:t>in the United States “for pilot trials” or as “samples” prior the device’s authorization.</w:t>
      </w:r>
      <w:r>
        <w:t xml:space="preserve">  </w:t>
      </w:r>
      <w:r w:rsidRPr="00624B4B">
        <w:rPr>
          <w:i/>
        </w:rPr>
        <w:t>Id.</w:t>
      </w:r>
      <w:r>
        <w:t xml:space="preserve"> at 2.</w:t>
      </w:r>
    </w:p>
  </w:footnote>
  <w:footnote w:id="13">
    <w:p w:rsidR="002D02E2" w:rsidRDefault="002D02E2" w:rsidP="00624B4B">
      <w:pPr>
        <w:pStyle w:val="FootnoteText"/>
        <w:spacing w:after="120"/>
        <w:ind w:firstLine="0"/>
      </w:pPr>
      <w:r>
        <w:rPr>
          <w:rStyle w:val="FootnoteReference"/>
          <w:sz w:val="20"/>
        </w:rPr>
        <w:footnoteRef/>
      </w:r>
      <w:r w:rsidRPr="00624B4B">
        <w:t xml:space="preserve"> 47 C.F.R. § 15.105(b). </w:t>
      </w:r>
    </w:p>
  </w:footnote>
  <w:footnote w:id="14">
    <w:p w:rsidR="00CA4CBA" w:rsidRDefault="00CA4CBA" w:rsidP="00CA4CBA">
      <w:pPr>
        <w:pStyle w:val="FootnoteText"/>
        <w:tabs>
          <w:tab w:val="clear" w:pos="720"/>
          <w:tab w:val="clear" w:pos="1440"/>
        </w:tabs>
        <w:ind w:firstLine="0"/>
      </w:pPr>
      <w:r>
        <w:rPr>
          <w:rStyle w:val="FootnoteReference"/>
        </w:rPr>
        <w:footnoteRef/>
      </w:r>
      <w:r>
        <w:t xml:space="preserve"> </w:t>
      </w:r>
      <w:r w:rsidRPr="00ED72DB">
        <w:t xml:space="preserve">LOI Response </w:t>
      </w:r>
      <w:r>
        <w:t>at</w:t>
      </w:r>
      <w:r w:rsidRPr="004B28DC">
        <w:t xml:space="preserve"> 8</w:t>
      </w:r>
      <w:r>
        <w:t xml:space="preserve">, </w:t>
      </w:r>
      <w:r w:rsidRPr="004B28DC">
        <w:t>Attachment at 155</w:t>
      </w:r>
      <w:r>
        <w:t>.</w:t>
      </w:r>
    </w:p>
  </w:footnote>
  <w:footnote w:id="15">
    <w:p w:rsidR="002D02E2" w:rsidRDefault="002D02E2" w:rsidP="005B64A8">
      <w:pPr>
        <w:pStyle w:val="FootnoteText"/>
        <w:spacing w:after="120"/>
        <w:ind w:firstLine="0"/>
      </w:pPr>
      <w:r w:rsidRPr="004B28DC">
        <w:rPr>
          <w:rStyle w:val="FootnoteReference"/>
          <w:sz w:val="20"/>
        </w:rPr>
        <w:footnoteRef/>
      </w:r>
      <w:r>
        <w:t xml:space="preserve"> </w:t>
      </w:r>
      <w:r w:rsidRPr="00ED72DB">
        <w:t xml:space="preserve">LOI Response </w:t>
      </w:r>
      <w:r>
        <w:t>at</w:t>
      </w:r>
      <w:r w:rsidRPr="004B28DC">
        <w:t xml:space="preserve"> 8</w:t>
      </w:r>
      <w:r>
        <w:t>.  O</w:t>
      </w:r>
      <w:r w:rsidRPr="005849A8">
        <w:rPr>
          <w:szCs w:val="22"/>
        </w:rPr>
        <w:t>n</w:t>
      </w:r>
      <w:r w:rsidRPr="00FC3CB4">
        <w:rPr>
          <w:szCs w:val="22"/>
        </w:rPr>
        <w:t xml:space="preserve"> April 3, 2014, the Bureau and MacKay executed a Tolling Agreement to toll the statute of limitations</w:t>
      </w:r>
      <w:r>
        <w:rPr>
          <w:szCs w:val="22"/>
        </w:rPr>
        <w:t xml:space="preserve"> while it discussed the possibility of resolving the case through settlement</w:t>
      </w:r>
      <w:r w:rsidRPr="00FC3CB4">
        <w:rPr>
          <w:szCs w:val="22"/>
        </w:rPr>
        <w:t>.</w:t>
      </w:r>
      <w:r>
        <w:rPr>
          <w:szCs w:val="22"/>
        </w:rPr>
        <w:t xml:space="preserve">  </w:t>
      </w:r>
      <w:r w:rsidRPr="004B28DC">
        <w:rPr>
          <w:i/>
        </w:rPr>
        <w:t xml:space="preserve">See </w:t>
      </w:r>
      <w:r w:rsidRPr="004B28DC">
        <w:t xml:space="preserve">Tolling Agreement, File No. </w:t>
      </w:r>
      <w:r w:rsidRPr="0065365F">
        <w:t>EB-SED-14-00014850</w:t>
      </w:r>
      <w:r w:rsidRPr="004B28DC">
        <w:t>, executed by and between John D. Poutasse, Chief, Spectrum Enforcement Division, FCC Enforcement Bureau, and Patrick P. O’Donnell, Wiltshire &amp; Grannis LLP, Counsel to J.J. MacKay Canada Ltd. (April 3, 2014).</w:t>
      </w:r>
      <w:r>
        <w:t xml:space="preserve">  We are taking this enforcement action because the parties were unable to agree on the terms of a settlement.</w:t>
      </w:r>
    </w:p>
  </w:footnote>
  <w:footnote w:id="16">
    <w:p w:rsidR="002D02E2" w:rsidRDefault="002D02E2" w:rsidP="005B64A8">
      <w:pPr>
        <w:pStyle w:val="FootnoteText"/>
        <w:tabs>
          <w:tab w:val="clear" w:pos="720"/>
          <w:tab w:val="clear" w:pos="1440"/>
        </w:tabs>
        <w:spacing w:after="120"/>
        <w:ind w:right="0" w:firstLine="0"/>
      </w:pPr>
      <w:r w:rsidRPr="004B28DC">
        <w:rPr>
          <w:rStyle w:val="FootnoteReference"/>
          <w:sz w:val="20"/>
        </w:rPr>
        <w:footnoteRef/>
      </w:r>
      <w:r w:rsidRPr="00624B4B">
        <w:rPr>
          <w:lang w:val="es-ES"/>
        </w:rPr>
        <w:t xml:space="preserve"> </w:t>
      </w:r>
      <w:r w:rsidRPr="00624B4B">
        <w:rPr>
          <w:rFonts w:eastAsia="Batang"/>
          <w:lang w:val="es-ES"/>
        </w:rPr>
        <w:t>47 U.S.C. § 302a(b).</w:t>
      </w:r>
    </w:p>
  </w:footnote>
  <w:footnote w:id="17">
    <w:p w:rsidR="002D02E2" w:rsidRDefault="002D02E2" w:rsidP="005B64A8">
      <w:pPr>
        <w:pStyle w:val="FootnoteText"/>
        <w:spacing w:after="120"/>
        <w:ind w:firstLine="0"/>
      </w:pPr>
      <w:r w:rsidRPr="004B28DC">
        <w:rPr>
          <w:rStyle w:val="FootnoteReference"/>
          <w:sz w:val="20"/>
        </w:rPr>
        <w:footnoteRef/>
      </w:r>
      <w:r w:rsidRPr="00624B4B">
        <w:rPr>
          <w:lang w:val="es-ES"/>
        </w:rPr>
        <w:t xml:space="preserve"> 47 C.F.R. § 2.803(a)(1) (2012)</w:t>
      </w:r>
      <w:r w:rsidRPr="004B28DC">
        <w:rPr>
          <w:lang w:val="es-ES"/>
        </w:rPr>
        <w:t xml:space="preserve">.  </w:t>
      </w:r>
    </w:p>
  </w:footnote>
  <w:footnote w:id="18">
    <w:p w:rsidR="002D02E2" w:rsidRDefault="002D02E2" w:rsidP="005B64A8">
      <w:pPr>
        <w:pStyle w:val="FootnoteText"/>
        <w:tabs>
          <w:tab w:val="clear" w:pos="720"/>
          <w:tab w:val="clear" w:pos="1440"/>
        </w:tabs>
        <w:spacing w:after="120"/>
        <w:ind w:firstLine="0"/>
      </w:pPr>
      <w:r w:rsidRPr="000823F3">
        <w:rPr>
          <w:rStyle w:val="FootnoteReference"/>
          <w:sz w:val="20"/>
        </w:rPr>
        <w:footnoteRef/>
      </w:r>
      <w:r w:rsidRPr="00624B4B">
        <w:rPr>
          <w:lang w:val="es-ES"/>
        </w:rPr>
        <w:t xml:space="preserve"> </w:t>
      </w:r>
      <w:r w:rsidRPr="00624B4B">
        <w:rPr>
          <w:i/>
          <w:lang w:val="es-ES"/>
        </w:rPr>
        <w:t xml:space="preserve">Id. </w:t>
      </w:r>
      <w:r w:rsidRPr="00624B4B">
        <w:rPr>
          <w:lang w:val="es-ES"/>
        </w:rPr>
        <w:t>§ 2.803(e)(4) (2012).</w:t>
      </w:r>
      <w:r>
        <w:rPr>
          <w:lang w:val="es-ES"/>
        </w:rPr>
        <w:t xml:space="preserve">  </w:t>
      </w:r>
      <w:r>
        <w:t>This same definition of “marketing”</w:t>
      </w:r>
      <w:r w:rsidRPr="005B7C10">
        <w:t xml:space="preserve"> </w:t>
      </w:r>
      <w:r>
        <w:t xml:space="preserve">now appears in Section 2.803(a) of the Rules.  47 C.F.R. § 2.803(a).   </w:t>
      </w:r>
    </w:p>
  </w:footnote>
  <w:footnote w:id="19">
    <w:p w:rsidR="002D02E2" w:rsidRDefault="002D02E2" w:rsidP="005B64A8">
      <w:pPr>
        <w:pStyle w:val="FootnoteText"/>
        <w:tabs>
          <w:tab w:val="clear" w:pos="720"/>
          <w:tab w:val="clear" w:pos="1440"/>
        </w:tabs>
        <w:spacing w:after="120"/>
        <w:ind w:firstLine="0"/>
      </w:pPr>
      <w:r w:rsidRPr="004B28DC">
        <w:rPr>
          <w:rStyle w:val="FootnoteReference"/>
          <w:sz w:val="20"/>
        </w:rPr>
        <w:footnoteRef/>
      </w:r>
      <w:r w:rsidRPr="004B28DC">
        <w:t xml:space="preserve"> Section 15.3(o) of the Rules defines an intentional radiator as a “device that intentionally generates and emits radio frequency energy by radiation or induction.”  </w:t>
      </w:r>
      <w:r w:rsidRPr="004B28DC">
        <w:rPr>
          <w:i/>
        </w:rPr>
        <w:t xml:space="preserve">Id. </w:t>
      </w:r>
      <w:r w:rsidRPr="00F6553F">
        <w:t>§</w:t>
      </w:r>
      <w:r w:rsidRPr="004B28DC">
        <w:rPr>
          <w:i/>
        </w:rPr>
        <w:t xml:space="preserve"> </w:t>
      </w:r>
      <w:r w:rsidRPr="004B28DC">
        <w:t>15.3(o).</w:t>
      </w:r>
    </w:p>
  </w:footnote>
  <w:footnote w:id="20">
    <w:p w:rsidR="002D02E2" w:rsidRDefault="002D02E2" w:rsidP="005B64A8">
      <w:pPr>
        <w:pStyle w:val="FootnoteText"/>
        <w:spacing w:after="120"/>
        <w:ind w:firstLine="0"/>
      </w:pPr>
      <w:r w:rsidRPr="004B28DC">
        <w:rPr>
          <w:rStyle w:val="FootnoteReference"/>
          <w:sz w:val="20"/>
        </w:rPr>
        <w:footnoteRef/>
      </w:r>
      <w:r w:rsidRPr="004B28DC">
        <w:t xml:space="preserve"> </w:t>
      </w:r>
      <w:r w:rsidRPr="004B28DC">
        <w:rPr>
          <w:i/>
        </w:rPr>
        <w:t>Id</w:t>
      </w:r>
      <w:r w:rsidRPr="004B28DC">
        <w:t xml:space="preserve">. § 15.201(b).   </w:t>
      </w:r>
    </w:p>
  </w:footnote>
  <w:footnote w:id="21">
    <w:p w:rsidR="002D02E2" w:rsidRDefault="002D02E2" w:rsidP="005B64A8">
      <w:pPr>
        <w:pStyle w:val="FootnoteText"/>
        <w:tabs>
          <w:tab w:val="clear" w:pos="720"/>
          <w:tab w:val="clear" w:pos="1440"/>
        </w:tabs>
        <w:spacing w:after="120"/>
        <w:ind w:firstLine="0"/>
      </w:pPr>
      <w:r>
        <w:rPr>
          <w:rStyle w:val="FootnoteReference"/>
          <w:szCs w:val="22"/>
        </w:rPr>
        <w:footnoteRef/>
      </w:r>
      <w:r>
        <w:t xml:space="preserve"> </w:t>
      </w:r>
      <w:r>
        <w:rPr>
          <w:i/>
        </w:rPr>
        <w:t>Id.</w:t>
      </w:r>
      <w:r w:rsidRPr="00F6553F">
        <w:rPr>
          <w:color w:val="000000"/>
        </w:rPr>
        <w:t xml:space="preserve"> </w:t>
      </w:r>
      <w:r w:rsidRPr="009631A3">
        <w:t>§§</w:t>
      </w:r>
      <w:r w:rsidRPr="00F6553F">
        <w:rPr>
          <w:color w:val="000000"/>
        </w:rPr>
        <w:t xml:space="preserve"> 2.1031-2.1060</w:t>
      </w:r>
      <w:r>
        <w:rPr>
          <w:color w:val="000000"/>
        </w:rPr>
        <w:t>.</w:t>
      </w:r>
    </w:p>
  </w:footnote>
  <w:footnote w:id="22">
    <w:p w:rsidR="002D02E2" w:rsidRDefault="002D02E2" w:rsidP="005B64A8">
      <w:pPr>
        <w:pStyle w:val="FootnoteText"/>
        <w:tabs>
          <w:tab w:val="clear" w:pos="720"/>
          <w:tab w:val="clear" w:pos="1440"/>
        </w:tabs>
        <w:spacing w:after="120"/>
        <w:ind w:firstLine="0"/>
      </w:pPr>
      <w:r>
        <w:rPr>
          <w:rStyle w:val="FootnoteReference"/>
          <w:szCs w:val="22"/>
        </w:rPr>
        <w:footnoteRef/>
      </w:r>
      <w:r>
        <w:t xml:space="preserve"> </w:t>
      </w:r>
      <w:r w:rsidRPr="004B28DC">
        <w:rPr>
          <w:rFonts w:eastAsia="Batang"/>
        </w:rPr>
        <w:t>47 U.S.C. § 302a(b).</w:t>
      </w:r>
    </w:p>
  </w:footnote>
  <w:footnote w:id="23">
    <w:p w:rsidR="002D02E2" w:rsidRDefault="002D02E2" w:rsidP="005B64A8">
      <w:pPr>
        <w:pStyle w:val="FootnoteText"/>
        <w:spacing w:after="120"/>
        <w:ind w:firstLine="0"/>
      </w:pPr>
      <w:r w:rsidRPr="004B28DC">
        <w:rPr>
          <w:rStyle w:val="FootnoteReference"/>
          <w:sz w:val="20"/>
        </w:rPr>
        <w:footnoteRef/>
      </w:r>
      <w:r w:rsidRPr="004B28DC">
        <w:t xml:space="preserve"> </w:t>
      </w:r>
      <w:r>
        <w:t xml:space="preserve">47 C.F.R. </w:t>
      </w:r>
      <w:r w:rsidRPr="004B28DC">
        <w:t>§ 2.803(a)(1) (2012).</w:t>
      </w:r>
    </w:p>
  </w:footnote>
  <w:footnote w:id="24">
    <w:p w:rsidR="002D02E2" w:rsidRDefault="002D02E2" w:rsidP="00624B4B">
      <w:pPr>
        <w:pStyle w:val="FootnoteText"/>
        <w:tabs>
          <w:tab w:val="clear" w:pos="720"/>
          <w:tab w:val="clear" w:pos="1440"/>
        </w:tabs>
        <w:spacing w:after="120"/>
        <w:ind w:firstLine="0"/>
      </w:pPr>
      <w:r>
        <w:rPr>
          <w:rStyle w:val="FootnoteReference"/>
          <w:szCs w:val="22"/>
        </w:rPr>
        <w:footnoteRef/>
      </w:r>
      <w:r>
        <w:t xml:space="preserve"> </w:t>
      </w:r>
      <w:r>
        <w:rPr>
          <w:i/>
        </w:rPr>
        <w:t xml:space="preserve">Id. </w:t>
      </w:r>
      <w:r w:rsidRPr="004B28DC">
        <w:t>§ 15.201(b).</w:t>
      </w:r>
    </w:p>
  </w:footnote>
  <w:footnote w:id="25">
    <w:p w:rsidR="002D02E2" w:rsidRDefault="002D02E2" w:rsidP="005B64A8">
      <w:pPr>
        <w:pStyle w:val="FootnoteText"/>
        <w:spacing w:after="120"/>
        <w:ind w:firstLine="0"/>
      </w:pPr>
      <w:r w:rsidRPr="004B28DC">
        <w:rPr>
          <w:rStyle w:val="FootnoteReference"/>
          <w:sz w:val="20"/>
        </w:rPr>
        <w:footnoteRef/>
      </w:r>
      <w:r w:rsidRPr="004B28DC">
        <w:t xml:space="preserve"> </w:t>
      </w:r>
      <w:r w:rsidRPr="004B28DC">
        <w:rPr>
          <w:i/>
        </w:rPr>
        <w:t xml:space="preserve">Id. </w:t>
      </w:r>
      <w:r w:rsidRPr="004B28DC">
        <w:t>§ 15.3(i) (a Class B digital device is “marketed for use in a residential environment notwithstanding use in commercial, business and industrial environments”)</w:t>
      </w:r>
      <w:r>
        <w:t xml:space="preserve">.  MacKay has also determined that the Guardian SOLO is a Class B digital device.  </w:t>
      </w:r>
      <w:r w:rsidRPr="00624B4B">
        <w:rPr>
          <w:i/>
        </w:rPr>
        <w:t>See</w:t>
      </w:r>
      <w:r>
        <w:t xml:space="preserve"> LOI Response at 6-7.  </w:t>
      </w:r>
    </w:p>
  </w:footnote>
  <w:footnote w:id="26">
    <w:p w:rsidR="002D02E2" w:rsidRDefault="002D02E2" w:rsidP="005B64A8">
      <w:pPr>
        <w:pStyle w:val="FootnoteText"/>
        <w:spacing w:after="120"/>
        <w:ind w:firstLine="0"/>
      </w:pPr>
      <w:r w:rsidRPr="004B28DC">
        <w:rPr>
          <w:rStyle w:val="FootnoteReference"/>
          <w:sz w:val="20"/>
        </w:rPr>
        <w:footnoteRef/>
      </w:r>
      <w:r w:rsidRPr="004B28DC">
        <w:t xml:space="preserve"> </w:t>
      </w:r>
      <w:r>
        <w:t xml:space="preserve">47 C.F.R. </w:t>
      </w:r>
      <w:r w:rsidRPr="004B28DC">
        <w:t>§ 15.105(b).</w:t>
      </w:r>
    </w:p>
  </w:footnote>
  <w:footnote w:id="27">
    <w:p w:rsidR="002D02E2" w:rsidRDefault="002D02E2" w:rsidP="005B64A8">
      <w:pPr>
        <w:pStyle w:val="FootnoteText"/>
        <w:tabs>
          <w:tab w:val="clear" w:pos="720"/>
          <w:tab w:val="clear" w:pos="1440"/>
        </w:tabs>
        <w:spacing w:after="120"/>
        <w:ind w:firstLine="0"/>
      </w:pPr>
      <w:r>
        <w:rPr>
          <w:rStyle w:val="FootnoteReference"/>
          <w:sz w:val="20"/>
        </w:rPr>
        <w:footnoteRef/>
      </w:r>
      <w:r w:rsidRPr="00624B4B">
        <w:t xml:space="preserve"> LOI Response at 8, Attachment at 155.</w:t>
      </w:r>
      <w:r>
        <w:t xml:space="preserve">  MacKay contends that “the Guardian SOLO differs in significant ways from traditional Class B digital devices marketed to consumers, thereby limiting the applicability of the Section 15.105(b) instructions to Guardian SOLO deployments and the impact of not previously including these instructions with meters that already have shipped for pilot programs.”  </w:t>
      </w:r>
      <w:r w:rsidRPr="00624B4B">
        <w:rPr>
          <w:i/>
        </w:rPr>
        <w:t>Id</w:t>
      </w:r>
      <w:r>
        <w:t>. at 8.  It states that, in particular, “(1) the ‘user’ for purpose</w:t>
      </w:r>
      <w:r w:rsidR="00297969">
        <w:t>s</w:t>
      </w:r>
      <w:r>
        <w:t xml:space="preserve"> of this information-to-user requirement is a municipality . . . rather than a residential occupant . . . ; (2) the Guardian SOLO does not have a power switch accessible to an end-user; (3) once deployed, the Guardian SOLO is secured in a parking meter housing and cannot be relocated or reoriented; and (4) the Guardian SOLO is battery powered and will never be plugged into a residential power outlet.”  </w:t>
      </w:r>
      <w:smartTag w:uri="urn:schemas-microsoft-com:office:smarttags" w:element="place">
        <w:smartTag w:uri="urn:schemas-microsoft-com:office:smarttags" w:element="State">
          <w:r w:rsidRPr="00624B4B">
            <w:rPr>
              <w:i/>
            </w:rPr>
            <w:t>Id</w:t>
          </w:r>
          <w:r>
            <w:t>.</w:t>
          </w:r>
        </w:smartTag>
      </w:smartTag>
      <w:r>
        <w:t xml:space="preserve">  We disagree with MacKay’s contention.  The language of the rule does not carve out an exception based on MacKay’s description of the differences between the Guardian SOLO and a traditional Class B device, and MacKay provides no case precedent to support its view.  In any event, it appears that MacKay ultimately concedes the applicability of the rule by stating:  “MacKay expressly recognizes that, while these factors may mitigate the impact of not providing the information contained in Section 15.105 to a parking meter operator conducting a pilot program, they would not excuse any future non-compliance with this rule.”  </w:t>
      </w:r>
      <w:smartTag w:uri="urn:schemas-microsoft-com:office:smarttags" w:element="place">
        <w:smartTag w:uri="urn:schemas-microsoft-com:office:smarttags" w:element="State">
          <w:r w:rsidRPr="00624B4B">
            <w:rPr>
              <w:i/>
            </w:rPr>
            <w:t>Id.</w:t>
          </w:r>
        </w:smartTag>
      </w:smartTag>
      <w:r>
        <w:t xml:space="preserve">  However, we disagree that the enumerated factors serve to mitigate the impact and import of the disclosure.  The disclosure serves to prevent the potential for harmful interference to radio communications, which could include communications used to ensure public safety.      </w:t>
      </w:r>
    </w:p>
  </w:footnote>
  <w:footnote w:id="28">
    <w:p w:rsidR="002D02E2" w:rsidRDefault="002D02E2" w:rsidP="005B64A8">
      <w:pPr>
        <w:pStyle w:val="FootnoteText"/>
        <w:tabs>
          <w:tab w:val="clear" w:pos="720"/>
          <w:tab w:val="clear" w:pos="1440"/>
        </w:tabs>
        <w:spacing w:after="120"/>
        <w:ind w:firstLine="0"/>
      </w:pPr>
      <w:r>
        <w:rPr>
          <w:rStyle w:val="FootnoteReference"/>
          <w:sz w:val="20"/>
        </w:rPr>
        <w:footnoteRef/>
      </w:r>
      <w:r w:rsidRPr="00624B4B">
        <w:t xml:space="preserve"> </w:t>
      </w:r>
      <w:r w:rsidRPr="00624B4B">
        <w:rPr>
          <w:rFonts w:eastAsia="Batang"/>
        </w:rPr>
        <w:t>47 U.S.C. § 302a(b).</w:t>
      </w:r>
    </w:p>
  </w:footnote>
  <w:footnote w:id="29">
    <w:p w:rsidR="002D02E2" w:rsidRDefault="002D02E2" w:rsidP="005B64A8">
      <w:pPr>
        <w:pStyle w:val="FootnoteText"/>
        <w:tabs>
          <w:tab w:val="clear" w:pos="720"/>
          <w:tab w:val="clear" w:pos="1440"/>
        </w:tabs>
        <w:spacing w:after="120"/>
        <w:ind w:firstLine="0"/>
      </w:pPr>
      <w:r>
        <w:rPr>
          <w:rStyle w:val="FootnoteReference"/>
          <w:sz w:val="20"/>
        </w:rPr>
        <w:footnoteRef/>
      </w:r>
      <w:r w:rsidRPr="00624B4B">
        <w:t xml:space="preserve"> </w:t>
      </w:r>
      <w:r w:rsidR="00297969">
        <w:t xml:space="preserve">47 C.F.R </w:t>
      </w:r>
      <w:r w:rsidRPr="00624B4B">
        <w:t>§ 2.803(a)(1) (2012).</w:t>
      </w:r>
    </w:p>
  </w:footnote>
  <w:footnote w:id="30">
    <w:p w:rsidR="002D02E2" w:rsidRDefault="002D02E2" w:rsidP="005B64A8">
      <w:pPr>
        <w:pStyle w:val="FootnoteText"/>
        <w:tabs>
          <w:tab w:val="clear" w:pos="720"/>
          <w:tab w:val="clear" w:pos="1440"/>
        </w:tabs>
        <w:spacing w:after="120"/>
        <w:ind w:firstLine="0"/>
      </w:pPr>
      <w:r>
        <w:rPr>
          <w:rStyle w:val="FootnoteReference"/>
          <w:sz w:val="20"/>
        </w:rPr>
        <w:footnoteRef/>
      </w:r>
      <w:r w:rsidRPr="00624B4B">
        <w:t xml:space="preserve"> </w:t>
      </w:r>
      <w:r w:rsidRPr="00624B4B">
        <w:rPr>
          <w:i/>
        </w:rPr>
        <w:t xml:space="preserve">Id. </w:t>
      </w:r>
      <w:r w:rsidRPr="00624B4B">
        <w:t>§ 15.105(b).</w:t>
      </w:r>
    </w:p>
  </w:footnote>
  <w:footnote w:id="31">
    <w:p w:rsidR="002D02E2" w:rsidRDefault="002D02E2" w:rsidP="005B64A8">
      <w:pPr>
        <w:pStyle w:val="FootnoteText"/>
        <w:tabs>
          <w:tab w:val="clear" w:pos="720"/>
          <w:tab w:val="clear" w:pos="1440"/>
        </w:tabs>
        <w:spacing w:after="120"/>
        <w:ind w:firstLine="0"/>
      </w:pPr>
      <w:r w:rsidRPr="004B28DC">
        <w:rPr>
          <w:rStyle w:val="FootnoteReference"/>
          <w:sz w:val="20"/>
        </w:rPr>
        <w:footnoteRef/>
      </w:r>
      <w:r w:rsidRPr="004B28DC">
        <w:t xml:space="preserve"> 47 U.S.C. § 503(b).</w:t>
      </w:r>
    </w:p>
  </w:footnote>
  <w:footnote w:id="32">
    <w:p w:rsidR="002D02E2" w:rsidRDefault="002D02E2" w:rsidP="005B64A8">
      <w:pPr>
        <w:pStyle w:val="FootnoteText"/>
        <w:tabs>
          <w:tab w:val="clear" w:pos="720"/>
          <w:tab w:val="clear" w:pos="1440"/>
        </w:tabs>
        <w:spacing w:after="120"/>
        <w:ind w:firstLine="0"/>
      </w:pPr>
      <w:r w:rsidRPr="004B28DC">
        <w:rPr>
          <w:rStyle w:val="FootnoteReference"/>
          <w:sz w:val="20"/>
        </w:rPr>
        <w:footnoteRef/>
      </w:r>
      <w:r w:rsidRPr="004B28DC">
        <w:t xml:space="preserve"> </w:t>
      </w:r>
      <w:r>
        <w:rPr>
          <w:i/>
        </w:rPr>
        <w:t xml:space="preserve">Id. </w:t>
      </w:r>
      <w:r>
        <w:t>47</w:t>
      </w:r>
      <w:r w:rsidRPr="004B28DC">
        <w:t xml:space="preserve"> § 312(f)(1).</w:t>
      </w:r>
    </w:p>
  </w:footnote>
  <w:footnote w:id="33">
    <w:p w:rsidR="002D02E2" w:rsidRDefault="002D02E2" w:rsidP="005B64A8">
      <w:pPr>
        <w:pStyle w:val="FootnoteText"/>
        <w:tabs>
          <w:tab w:val="clear" w:pos="720"/>
          <w:tab w:val="clear" w:pos="1440"/>
        </w:tabs>
        <w:spacing w:after="120"/>
        <w:ind w:firstLine="0"/>
      </w:pPr>
      <w:r w:rsidRPr="004B28DC">
        <w:rPr>
          <w:rStyle w:val="FootnoteReference"/>
          <w:sz w:val="20"/>
        </w:rPr>
        <w:footnoteRef/>
      </w:r>
      <w:r w:rsidRPr="004B28DC">
        <w:t xml:space="preserve"> H.R. Rep. No. 97-765, 97</w:t>
      </w:r>
      <w:r w:rsidRPr="004B28DC">
        <w:rPr>
          <w:vertAlign w:val="superscript"/>
        </w:rPr>
        <w:t>th</w:t>
      </w:r>
      <w:r w:rsidRPr="004B28DC">
        <w:t xml:space="preserve"> Cong. 2d Sess. 51 (1982) (“</w:t>
      </w:r>
      <w:r w:rsidRPr="004B28DC">
        <w:rPr>
          <w:rStyle w:val="PageNumber"/>
        </w:rPr>
        <w:t xml:space="preserve">This provision [inserted in Section 312] defines the terms ‘willful’ and ‘repeated’ for purposes of section </w:t>
      </w:r>
      <w:r w:rsidRPr="004B28DC">
        <w:t>312</w:t>
      </w:r>
      <w:r w:rsidRPr="004B28DC">
        <w:rPr>
          <w:rStyle w:val="PageNumber"/>
        </w:rPr>
        <w:t xml:space="preserve">,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4B28DC">
        <w:t>312</w:t>
      </w:r>
      <w:r w:rsidRPr="004B28DC">
        <w:rPr>
          <w:rStyle w:val="PageNumber"/>
        </w:rPr>
        <w:t xml:space="preserve"> and 503, and are consistent with the Commission’s application of those terms . . . .”).</w:t>
      </w:r>
    </w:p>
  </w:footnote>
  <w:footnote w:id="34">
    <w:p w:rsidR="002D02E2" w:rsidRDefault="002D02E2" w:rsidP="005B64A8">
      <w:pPr>
        <w:pStyle w:val="FootnoteText"/>
        <w:tabs>
          <w:tab w:val="clear" w:pos="720"/>
          <w:tab w:val="clear" w:pos="1440"/>
        </w:tabs>
        <w:spacing w:after="120"/>
        <w:ind w:firstLine="0"/>
      </w:pPr>
      <w:r w:rsidRPr="004B28DC">
        <w:rPr>
          <w:rStyle w:val="FootnoteReference"/>
          <w:sz w:val="20"/>
        </w:rPr>
        <w:footnoteRef/>
      </w:r>
      <w:r w:rsidRPr="004B28DC">
        <w:t xml:space="preserve"> </w:t>
      </w:r>
      <w:r w:rsidRPr="004B28DC">
        <w:rPr>
          <w:i/>
        </w:rPr>
        <w:t>See, e.g.</w:t>
      </w:r>
      <w:r w:rsidRPr="004B28DC">
        <w:t>,</w:t>
      </w:r>
      <w:r w:rsidRPr="004B28DC">
        <w:rPr>
          <w:i/>
        </w:rPr>
        <w:t xml:space="preserve"> Southern California Broadcasting Co.</w:t>
      </w:r>
      <w:r w:rsidRPr="004B28DC">
        <w:t>, Memorandum Opinion and Order, 6 FCC Rcd 4387, 4388, para. 5 (1991) (</w:t>
      </w:r>
      <w:r w:rsidRPr="004B28DC">
        <w:rPr>
          <w:i/>
        </w:rPr>
        <w:t>Southern California</w:t>
      </w:r>
      <w:r w:rsidRPr="004B28DC">
        <w:t xml:space="preserve">), </w:t>
      </w:r>
      <w:r w:rsidRPr="004B28DC">
        <w:rPr>
          <w:i/>
        </w:rPr>
        <w:t>recon</w:t>
      </w:r>
      <w:r>
        <w:rPr>
          <w:i/>
        </w:rPr>
        <w:t>s</w:t>
      </w:r>
      <w:r w:rsidRPr="004B28DC">
        <w:rPr>
          <w:i/>
        </w:rPr>
        <w:t>. denied</w:t>
      </w:r>
      <w:r w:rsidRPr="004B28DC">
        <w:t>,</w:t>
      </w:r>
      <w:r w:rsidRPr="004B28DC">
        <w:rPr>
          <w:i/>
        </w:rPr>
        <w:t xml:space="preserve"> </w:t>
      </w:r>
      <w:r w:rsidRPr="004B28DC">
        <w:t>7 FCC Rcd 3454 (1992).</w:t>
      </w:r>
    </w:p>
  </w:footnote>
  <w:footnote w:id="35">
    <w:p w:rsidR="002D02E2" w:rsidRDefault="002D02E2" w:rsidP="005B64A8">
      <w:pPr>
        <w:pStyle w:val="FootnoteText"/>
        <w:tabs>
          <w:tab w:val="clear" w:pos="720"/>
          <w:tab w:val="clear" w:pos="1440"/>
        </w:tabs>
        <w:spacing w:after="120"/>
        <w:ind w:firstLine="0"/>
      </w:pPr>
      <w:r w:rsidRPr="004B28DC">
        <w:rPr>
          <w:rStyle w:val="FootnoteReference"/>
          <w:sz w:val="20"/>
        </w:rPr>
        <w:footnoteRef/>
      </w:r>
      <w:r w:rsidRPr="004B28DC">
        <w:t xml:space="preserve"> </w:t>
      </w:r>
      <w:r w:rsidRPr="004B28DC">
        <w:rPr>
          <w:i/>
        </w:rPr>
        <w:t>See, e.g.</w:t>
      </w:r>
      <w:r w:rsidRPr="004B28DC">
        <w:t xml:space="preserve">, </w:t>
      </w:r>
      <w:r w:rsidRPr="004B28DC">
        <w:rPr>
          <w:i/>
        </w:rPr>
        <w:t>Callais Cablevision, Inc.</w:t>
      </w:r>
      <w:r w:rsidRPr="004B28DC">
        <w:t>, Notice of Apparent Liability for Monetary Forfeiture, 16 FCC Rcd 1359, 1362, para. 10 (2001) (</w:t>
      </w:r>
      <w:r w:rsidRPr="004B28DC">
        <w:rPr>
          <w:i/>
        </w:rPr>
        <w:t>Callais Cablevision, Inc.</w:t>
      </w:r>
      <w:r w:rsidRPr="004B28DC">
        <w:t xml:space="preserve">) (proposing a forfeiture for, </w:t>
      </w:r>
      <w:r w:rsidRPr="004B28DC">
        <w:rPr>
          <w:i/>
        </w:rPr>
        <w:t>inter alia</w:t>
      </w:r>
      <w:r w:rsidRPr="004B28DC">
        <w:t xml:space="preserve">, a cable television operator’s repeated signal leakage). </w:t>
      </w:r>
    </w:p>
  </w:footnote>
  <w:footnote w:id="36">
    <w:p w:rsidR="002D02E2" w:rsidRDefault="002D02E2" w:rsidP="005B64A8">
      <w:pPr>
        <w:pStyle w:val="FootnoteText"/>
        <w:tabs>
          <w:tab w:val="clear" w:pos="720"/>
          <w:tab w:val="clear" w:pos="1440"/>
        </w:tabs>
        <w:spacing w:after="120"/>
        <w:ind w:firstLine="0"/>
      </w:pPr>
      <w:r w:rsidRPr="004B28DC">
        <w:rPr>
          <w:rStyle w:val="FootnoteReference"/>
          <w:sz w:val="20"/>
        </w:rPr>
        <w:footnoteRef/>
      </w:r>
      <w:r w:rsidRPr="004B28DC">
        <w:t xml:space="preserve"> Section 312(f)(2) of the Act, 47 U.S.C. § 312(f)(2), provides that “[t]he term ‘repeated,’ when used with reference to the commission or omission of any act, means the commission or omission of such act more than once or, if such commission or omission is continuous, for more than one day.”  </w:t>
      </w:r>
      <w:r w:rsidRPr="004B28DC">
        <w:rPr>
          <w:i/>
        </w:rPr>
        <w:t>See Callais Cablevision, Inc.</w:t>
      </w:r>
      <w:r w:rsidRPr="004B28DC">
        <w:t>, 16 FCC Rcd</w:t>
      </w:r>
      <w:r w:rsidRPr="004B28DC">
        <w:rPr>
          <w:i/>
        </w:rPr>
        <w:t xml:space="preserve"> </w:t>
      </w:r>
      <w:r w:rsidRPr="004B28DC">
        <w:t xml:space="preserve">at 1362, para. 9. </w:t>
      </w:r>
    </w:p>
  </w:footnote>
  <w:footnote w:id="37">
    <w:p w:rsidR="002D02E2" w:rsidRDefault="002D02E2" w:rsidP="005B64A8">
      <w:pPr>
        <w:pStyle w:val="FootnoteText"/>
        <w:spacing w:after="120"/>
        <w:ind w:firstLine="0"/>
      </w:pPr>
      <w:r w:rsidRPr="00166257">
        <w:rPr>
          <w:rStyle w:val="FootnoteReference"/>
          <w:sz w:val="20"/>
        </w:rPr>
        <w:footnoteRef/>
      </w:r>
      <w:r w:rsidRPr="000823F3">
        <w:t xml:space="preserve"> 47 C.F.R. § </w:t>
      </w:r>
      <w:r>
        <w:t>2</w:t>
      </w:r>
      <w:r w:rsidRPr="000823F3">
        <w:t>.803(a)(1) (2012).</w:t>
      </w:r>
    </w:p>
  </w:footnote>
  <w:footnote w:id="38">
    <w:p w:rsidR="002D02E2" w:rsidRDefault="002D02E2" w:rsidP="005B64A8">
      <w:pPr>
        <w:pStyle w:val="FootnoteText"/>
        <w:tabs>
          <w:tab w:val="clear" w:pos="720"/>
          <w:tab w:val="clear" w:pos="1440"/>
        </w:tabs>
        <w:spacing w:after="120"/>
        <w:ind w:firstLine="0"/>
      </w:pPr>
      <w:r w:rsidRPr="004B28DC">
        <w:rPr>
          <w:rStyle w:val="FootnoteReference"/>
          <w:sz w:val="20"/>
        </w:rPr>
        <w:footnoteRef/>
      </w:r>
      <w:r w:rsidRPr="004B28DC">
        <w:t xml:space="preserve"> 47 U.S.C. § 503(b)(2)(E); </w:t>
      </w:r>
      <w:r w:rsidRPr="004B28DC">
        <w:rPr>
          <w:i/>
        </w:rPr>
        <w:t xml:space="preserve">see also </w:t>
      </w:r>
      <w:r w:rsidRPr="004B28DC">
        <w:t>47 C.F.R. § 1.80(b)(8)</w:t>
      </w:r>
      <w:r w:rsidRPr="004B28DC">
        <w:rPr>
          <w:rFonts w:eastAsia="Batang"/>
        </w:rPr>
        <w:t xml:space="preserve">; </w:t>
      </w:r>
      <w:r w:rsidRPr="004B28DC">
        <w:rPr>
          <w:rFonts w:eastAsia="Batang"/>
          <w:i/>
        </w:rPr>
        <w:t xml:space="preserve">The Commission’s </w:t>
      </w:r>
      <w:r w:rsidRPr="004B28DC">
        <w:rPr>
          <w:i/>
        </w:rPr>
        <w:t>Forfeiture Policy Statement and Amendment of Section 1.80 of the Rules to Incorporate the Forfeiture Guidelines</w:t>
      </w:r>
      <w:r w:rsidRPr="004B28DC">
        <w:t xml:space="preserve">, Report and Order, 12 FCC Rcd 17087, 17100, para. 27 (1997), </w:t>
      </w:r>
      <w:r w:rsidRPr="004B28DC">
        <w:rPr>
          <w:i/>
        </w:rPr>
        <w:t>recons. denied</w:t>
      </w:r>
      <w:r w:rsidRPr="004B28DC">
        <w:t>, 15 FCC Rcd 303 (1999) (</w:t>
      </w:r>
      <w:r w:rsidRPr="004B28DC">
        <w:rPr>
          <w:i/>
        </w:rPr>
        <w:t>Forfeiture Policy Statement</w:t>
      </w:r>
      <w:r w:rsidRPr="004B28DC">
        <w:t>).</w:t>
      </w:r>
    </w:p>
  </w:footnote>
  <w:footnote w:id="39">
    <w:p w:rsidR="002D02E2" w:rsidRDefault="002D02E2" w:rsidP="005B64A8">
      <w:pPr>
        <w:pStyle w:val="FootnoteText"/>
        <w:spacing w:after="120"/>
        <w:ind w:firstLine="0"/>
      </w:pPr>
      <w:r w:rsidRPr="004B28DC">
        <w:rPr>
          <w:rStyle w:val="FootnoteReference"/>
          <w:sz w:val="20"/>
        </w:rPr>
        <w:footnoteRef/>
      </w:r>
      <w:r w:rsidRPr="004B28DC">
        <w:t xml:space="preserve"> 47 C.F.R. § 1.80(b)(8); </w:t>
      </w:r>
      <w:r w:rsidRPr="004B28DC">
        <w:rPr>
          <w:i/>
        </w:rPr>
        <w:t>see also</w:t>
      </w:r>
      <w:r w:rsidRPr="004B28DC">
        <w:t xml:space="preserve"> </w:t>
      </w:r>
      <w:r w:rsidRPr="004B28DC">
        <w:rPr>
          <w:i/>
        </w:rPr>
        <w:t xml:space="preserve">Behringer USA, Inc., </w:t>
      </w:r>
      <w:r w:rsidRPr="004B28DC">
        <w:t>Notice of Apparent Liability for Forfeiture,</w:t>
      </w:r>
      <w:r w:rsidRPr="004B28DC">
        <w:rPr>
          <w:i/>
        </w:rPr>
        <w:t xml:space="preserve"> </w:t>
      </w:r>
      <w:r w:rsidRPr="004B28DC">
        <w:t xml:space="preserve">21 FCC Rcd 1820, 1827, para. 21 </w:t>
      </w:r>
      <w:r w:rsidRPr="004B28DC">
        <w:rPr>
          <w:rFonts w:eastAsia="Batang"/>
        </w:rPr>
        <w:t xml:space="preserve">(2006) (proposing a $7,000 base forfeiture for each of the unauthorized models marketed), </w:t>
      </w:r>
      <w:r w:rsidRPr="004B28DC">
        <w:rPr>
          <w:rFonts w:eastAsia="Batang"/>
          <w:i/>
        </w:rPr>
        <w:t xml:space="preserve">forfeiture ordered, </w:t>
      </w:r>
      <w:r w:rsidRPr="004B28DC">
        <w:rPr>
          <w:rFonts w:eastAsia="Batang"/>
        </w:rPr>
        <w:t xml:space="preserve">Forfeiture Order, 22 FCC </w:t>
      </w:r>
      <w:r w:rsidRPr="004B28DC">
        <w:t>Rcd</w:t>
      </w:r>
      <w:r w:rsidRPr="004B28DC">
        <w:rPr>
          <w:rFonts w:eastAsia="Batang"/>
        </w:rPr>
        <w:t xml:space="preserve"> 10451 (2007) (forfeiture paid)</w:t>
      </w:r>
      <w:r w:rsidRPr="004B28DC">
        <w:t xml:space="preserve">; </w:t>
      </w:r>
      <w:r w:rsidRPr="004B28DC">
        <w:rPr>
          <w:i/>
        </w:rPr>
        <w:t>Samson Technologies, Inc</w:t>
      </w:r>
      <w:r w:rsidRPr="004B28DC">
        <w:t xml:space="preserve">., Notice of Apparent Liability for Forfeiture, 19 FCC Rcd 4221, 4224–25, para. 9 (2004) (proposing a $7,000 base forfeiture for the marketing of equipment not compliant with the Commission’s radiated emissions requirements in Section 15.109(a) of the Rules), </w:t>
      </w:r>
      <w:r w:rsidRPr="004B28DC">
        <w:rPr>
          <w:i/>
        </w:rPr>
        <w:t>consent decree ordered</w:t>
      </w:r>
      <w:r w:rsidRPr="004B28DC">
        <w:t>, Order and Consent Decree, 19 FCC Rcd 24542 (2004).</w:t>
      </w:r>
      <w:r>
        <w:t xml:space="preserve">  </w:t>
      </w:r>
      <w:r>
        <w:rPr>
          <w:spacing w:val="-2"/>
        </w:rPr>
        <w:t xml:space="preserve">   </w:t>
      </w:r>
    </w:p>
  </w:footnote>
  <w:footnote w:id="40">
    <w:p w:rsidR="002D02E2" w:rsidRDefault="002D02E2" w:rsidP="005B64A8">
      <w:pPr>
        <w:pStyle w:val="FootnoteText"/>
        <w:spacing w:after="120"/>
        <w:ind w:firstLine="0"/>
      </w:pPr>
      <w:r w:rsidRPr="004B28DC">
        <w:rPr>
          <w:rStyle w:val="FootnoteReference"/>
          <w:sz w:val="20"/>
        </w:rPr>
        <w:footnoteRef/>
      </w:r>
      <w:r w:rsidRPr="004B28DC">
        <w:t xml:space="preserve"> </w:t>
      </w:r>
      <w:r w:rsidRPr="004B28DC">
        <w:rPr>
          <w:i/>
        </w:rPr>
        <w:t>See</w:t>
      </w:r>
      <w:r>
        <w:rPr>
          <w:i/>
        </w:rPr>
        <w:t xml:space="preserve"> supra </w:t>
      </w:r>
      <w:r w:rsidRPr="00624B4B">
        <w:t xml:space="preserve">note 37.  </w:t>
      </w:r>
      <w:r>
        <w:t>We note that, u</w:t>
      </w:r>
      <w:r w:rsidRPr="00C75D4C">
        <w:rPr>
          <w:spacing w:val="-2"/>
        </w:rPr>
        <w:t xml:space="preserve">nder </w:t>
      </w:r>
      <w:r>
        <w:rPr>
          <w:spacing w:val="-2"/>
        </w:rPr>
        <w:t>S</w:t>
      </w:r>
      <w:r w:rsidRPr="00C75D4C">
        <w:rPr>
          <w:spacing w:val="-2"/>
        </w:rPr>
        <w:t>ection 1.80(b)(</w:t>
      </w:r>
      <w:r>
        <w:rPr>
          <w:spacing w:val="-2"/>
        </w:rPr>
        <w:t>9</w:t>
      </w:r>
      <w:r w:rsidRPr="00C75D4C">
        <w:rPr>
          <w:spacing w:val="-2"/>
        </w:rPr>
        <w:t xml:space="preserve">) of the Rules, we may assess an entity that is </w:t>
      </w:r>
      <w:r>
        <w:rPr>
          <w:spacing w:val="-2"/>
        </w:rPr>
        <w:t>not</w:t>
      </w:r>
      <w:r w:rsidRPr="00C75D4C">
        <w:rPr>
          <w:spacing w:val="-2"/>
        </w:rPr>
        <w:t xml:space="preserve"> a common carrier, broadcast licensee</w:t>
      </w:r>
      <w:r>
        <w:rPr>
          <w:spacing w:val="-2"/>
        </w:rPr>
        <w:t>,</w:t>
      </w:r>
      <w:r w:rsidRPr="00C75D4C">
        <w:rPr>
          <w:spacing w:val="-2"/>
        </w:rPr>
        <w:t xml:space="preserve"> or cable operator a forfeiture of up to $16,000 for each violation or each day of a continuing violation, up to a sta</w:t>
      </w:r>
      <w:r>
        <w:rPr>
          <w:spacing w:val="-2"/>
        </w:rPr>
        <w:t>tutory maximum forfeiture of $12</w:t>
      </w:r>
      <w:r w:rsidRPr="00C75D4C">
        <w:rPr>
          <w:spacing w:val="-2"/>
        </w:rPr>
        <w:t xml:space="preserve">2,500 for any single </w:t>
      </w:r>
      <w:r w:rsidRPr="0013728A">
        <w:t>continuing</w:t>
      </w:r>
      <w:r w:rsidRPr="00C75D4C">
        <w:rPr>
          <w:spacing w:val="-2"/>
        </w:rPr>
        <w:t xml:space="preserve"> violation.</w:t>
      </w:r>
      <w:r>
        <w:rPr>
          <w:spacing w:val="-2"/>
        </w:rPr>
        <w:t xml:space="preserve">  47 C.F.R. § 15.109(a).  We will consider imposing a forfeiture above the usual base amount as circumstances warrant.  </w:t>
      </w:r>
    </w:p>
  </w:footnote>
  <w:footnote w:id="41">
    <w:p w:rsidR="002D02E2" w:rsidRDefault="002D02E2" w:rsidP="005B64A8">
      <w:pPr>
        <w:pStyle w:val="FootnoteText"/>
        <w:spacing w:after="120"/>
        <w:ind w:firstLine="0"/>
      </w:pPr>
      <w:r w:rsidRPr="004B28DC">
        <w:rPr>
          <w:rStyle w:val="FootnoteReference"/>
          <w:sz w:val="20"/>
        </w:rPr>
        <w:footnoteRef/>
      </w:r>
      <w:r w:rsidRPr="004B28DC">
        <w:t xml:space="preserve"> </w:t>
      </w:r>
      <w:r w:rsidRPr="004B28DC">
        <w:rPr>
          <w:i/>
        </w:rPr>
        <w:t>See</w:t>
      </w:r>
      <w:r>
        <w:rPr>
          <w:i/>
        </w:rPr>
        <w:t xml:space="preserve">, e.g., </w:t>
      </w:r>
      <w:r w:rsidRPr="004B28DC">
        <w:rPr>
          <w:i/>
        </w:rPr>
        <w:t>Multi-Tech Systems, Inc</w:t>
      </w:r>
      <w:r w:rsidRPr="004B28DC">
        <w:t>., Notice of Apparent Liability for Forfeiture, 23 FCC Rcd 17824, 17827</w:t>
      </w:r>
      <w:r>
        <w:t xml:space="preserve">, para. </w:t>
      </w:r>
      <w:r w:rsidRPr="004B28DC">
        <w:t>8 (Enf. Bur.</w:t>
      </w:r>
      <w:r>
        <w:t xml:space="preserve"> </w:t>
      </w:r>
      <w:r w:rsidRPr="004B28DC">
        <w:t xml:space="preserve">2008); </w:t>
      </w:r>
      <w:r w:rsidRPr="004B28DC">
        <w:rPr>
          <w:i/>
        </w:rPr>
        <w:t>Cellphone-Mate, Inc</w:t>
      </w:r>
      <w:r w:rsidRPr="004B28DC">
        <w:t>., Notice of Apparent Liability for Forfeiture, 25 FCC Rcd 8988, 8990</w:t>
      </w:r>
      <w:r>
        <w:t xml:space="preserve">, para. </w:t>
      </w:r>
      <w:r w:rsidRPr="004B28DC">
        <w:t xml:space="preserve">5 (Enf. Bur. 2010); </w:t>
      </w:r>
      <w:r w:rsidRPr="004B28DC">
        <w:rPr>
          <w:i/>
        </w:rPr>
        <w:t>Wireless Extenders, Inc.</w:t>
      </w:r>
      <w:r w:rsidRPr="004B28DC">
        <w:t>, Notice of Apparent Liability for Forfeiture, 25 FCC Rcd 8983, 8985</w:t>
      </w:r>
      <w:r>
        <w:t xml:space="preserve">, para. </w:t>
      </w:r>
      <w:r w:rsidRPr="004B28DC">
        <w:t xml:space="preserve">5 (Enf. Bur. 2010); </w:t>
      </w:r>
      <w:r w:rsidRPr="004B28DC">
        <w:rPr>
          <w:i/>
        </w:rPr>
        <w:t>Proxim Wireless Corporation</w:t>
      </w:r>
      <w:r w:rsidRPr="004B28DC">
        <w:t>, Notice of Apparent Liability for Forfeiture, 24 FCC Rcd 1145, 1149</w:t>
      </w:r>
      <w:r>
        <w:t xml:space="preserve">, para. </w:t>
      </w:r>
      <w:r w:rsidRPr="004B28DC">
        <w:t>12 (Enf. Bur. 2009)</w:t>
      </w:r>
      <w:r w:rsidR="00CA4CBA">
        <w:t>.</w:t>
      </w:r>
      <w:r w:rsidRPr="004B28DC">
        <w:t>.</w:t>
      </w:r>
    </w:p>
  </w:footnote>
  <w:footnote w:id="42">
    <w:p w:rsidR="002D02E2" w:rsidRDefault="002D02E2" w:rsidP="005B64A8">
      <w:pPr>
        <w:pStyle w:val="FootnoteText"/>
        <w:tabs>
          <w:tab w:val="clear" w:pos="720"/>
          <w:tab w:val="clear" w:pos="1440"/>
        </w:tabs>
        <w:spacing w:after="120"/>
        <w:ind w:firstLine="0"/>
      </w:pPr>
      <w:r w:rsidRPr="004B28DC">
        <w:rPr>
          <w:rStyle w:val="FootnoteReference"/>
          <w:sz w:val="20"/>
        </w:rPr>
        <w:footnoteRef/>
      </w:r>
      <w:r w:rsidRPr="004B28DC">
        <w:t xml:space="preserve"> </w:t>
      </w:r>
      <w:r w:rsidRPr="004B28DC">
        <w:rPr>
          <w:i/>
        </w:rPr>
        <w:t xml:space="preserve">See </w:t>
      </w:r>
      <w:r w:rsidRPr="004B28DC">
        <w:t>LOI Response at 2, 8.</w:t>
      </w:r>
    </w:p>
  </w:footnote>
  <w:footnote w:id="43">
    <w:p w:rsidR="002D02E2" w:rsidRDefault="002D02E2" w:rsidP="005B64A8">
      <w:pPr>
        <w:pStyle w:val="FootnoteText"/>
        <w:spacing w:after="120"/>
        <w:ind w:firstLine="0"/>
      </w:pPr>
      <w:r w:rsidRPr="004B28DC">
        <w:rPr>
          <w:rStyle w:val="FootnoteReference"/>
          <w:sz w:val="20"/>
        </w:rPr>
        <w:footnoteRef/>
      </w:r>
      <w:r w:rsidRPr="004B28DC">
        <w:t xml:space="preserve"> </w:t>
      </w:r>
      <w:r w:rsidRPr="004B28DC">
        <w:rPr>
          <w:i/>
        </w:rPr>
        <w:t xml:space="preserve">See </w:t>
      </w:r>
      <w:r w:rsidRPr="004B28DC">
        <w:t>47 C.F.R. § 2.803(e)(4) (2012).</w:t>
      </w:r>
    </w:p>
  </w:footnote>
  <w:footnote w:id="44">
    <w:p w:rsidR="002D02E2" w:rsidRDefault="002D02E2" w:rsidP="005B64A8">
      <w:pPr>
        <w:pStyle w:val="FootnoteText"/>
        <w:tabs>
          <w:tab w:val="clear" w:pos="720"/>
          <w:tab w:val="clear" w:pos="1440"/>
        </w:tabs>
        <w:spacing w:after="120"/>
        <w:ind w:firstLine="0"/>
      </w:pPr>
      <w:r w:rsidRPr="004B28DC">
        <w:rPr>
          <w:rStyle w:val="FootnoteReference"/>
          <w:sz w:val="20"/>
        </w:rPr>
        <w:footnoteRef/>
      </w:r>
      <w:r w:rsidRPr="004B28DC">
        <w:t xml:space="preserve"> </w:t>
      </w:r>
      <w:r>
        <w:rPr>
          <w:i/>
        </w:rPr>
        <w:t xml:space="preserve">See </w:t>
      </w:r>
      <w:r w:rsidRPr="004B28DC">
        <w:t>LOI Response at 2.</w:t>
      </w:r>
    </w:p>
  </w:footnote>
  <w:footnote w:id="45">
    <w:p w:rsidR="002D02E2" w:rsidRDefault="002D02E2" w:rsidP="00624B4B">
      <w:pPr>
        <w:pStyle w:val="FootnoteText"/>
        <w:spacing w:after="120"/>
        <w:ind w:firstLine="0"/>
      </w:pPr>
      <w:r>
        <w:rPr>
          <w:rStyle w:val="FootnoteReference"/>
        </w:rPr>
        <w:footnoteRef/>
      </w:r>
      <w:r>
        <w:t xml:space="preserve"> </w:t>
      </w:r>
      <w:r w:rsidRPr="006A1849">
        <w:rPr>
          <w:i/>
        </w:rPr>
        <w:t>See, e.g.</w:t>
      </w:r>
      <w:r w:rsidRPr="006A1849">
        <w:t>,</w:t>
      </w:r>
      <w:r w:rsidRPr="006A1849">
        <w:rPr>
          <w:i/>
        </w:rPr>
        <w:t xml:space="preserve"> Behringer USA, Inc.</w:t>
      </w:r>
      <w:r w:rsidRPr="006A1849">
        <w:t>,</w:t>
      </w:r>
      <w:r w:rsidRPr="006A1849">
        <w:rPr>
          <w:i/>
        </w:rPr>
        <w:t xml:space="preserve"> Forfeiture Order</w:t>
      </w:r>
      <w:r w:rsidRPr="006A1849">
        <w:t>,</w:t>
      </w:r>
      <w:r w:rsidRPr="006A1849">
        <w:rPr>
          <w:i/>
        </w:rPr>
        <w:t xml:space="preserve"> </w:t>
      </w:r>
      <w:r w:rsidRPr="006A1849">
        <w:t xml:space="preserve">22 FCC Rcd 10451, 10459, para. 19 (2007) (“[T]he Commission has repeatedly found that corrective measures implemented after [the] Commission has initiated an investigation or taken enforcement action do not nullify or mitigate past violations.”); </w:t>
      </w:r>
      <w:r w:rsidRPr="006A1849">
        <w:rPr>
          <w:i/>
        </w:rPr>
        <w:t>Seawest Yacht Brokers</w:t>
      </w:r>
      <w:r w:rsidRPr="006A1849">
        <w:t>, Notice of Forfeiture, 9 FCC Rcd 6099, 6099, para. 7 (1994) (finding that corrective action taken to comply with the Rules is expected and does not mitigate any prior forfeitures or violations)</w:t>
      </w:r>
      <w:r>
        <w:t xml:space="preserve">.  </w:t>
      </w:r>
      <w:r w:rsidRPr="00624B4B">
        <w:rPr>
          <w:i/>
        </w:rPr>
        <w:t xml:space="preserve">See </w:t>
      </w:r>
      <w:r w:rsidRPr="006A1849">
        <w:rPr>
          <w:i/>
        </w:rPr>
        <w:t>also BASF Corp.</w:t>
      </w:r>
      <w:r w:rsidRPr="006A1849">
        <w:t>, Notice of Apparent Liability for Forfeiture, 25 FCC Rcd 17300, 17303, para. 10 (Enf. Bur. 2010) (declining to reduce forfeiture based on post-investigation remedial efforts).</w:t>
      </w:r>
    </w:p>
  </w:footnote>
  <w:footnote w:id="46">
    <w:p w:rsidR="002D02E2" w:rsidRDefault="002D02E2" w:rsidP="005B64A8">
      <w:pPr>
        <w:pStyle w:val="FootnoteText"/>
        <w:tabs>
          <w:tab w:val="clear" w:pos="720"/>
          <w:tab w:val="clear" w:pos="1440"/>
        </w:tabs>
        <w:spacing w:after="120"/>
        <w:ind w:firstLine="0"/>
      </w:pPr>
      <w:r w:rsidRPr="004B28DC">
        <w:rPr>
          <w:rStyle w:val="FootnoteReference"/>
          <w:sz w:val="20"/>
        </w:rPr>
        <w:footnoteRef/>
      </w:r>
      <w:r w:rsidRPr="004B28DC">
        <w:t xml:space="preserve"> </w:t>
      </w:r>
      <w:r w:rsidRPr="004B28DC">
        <w:rPr>
          <w:i/>
        </w:rPr>
        <w:t xml:space="preserve">See </w:t>
      </w:r>
      <w:r w:rsidRPr="004B28DC">
        <w:t>LOI Response at 8.</w:t>
      </w:r>
    </w:p>
  </w:footnote>
  <w:footnote w:id="47">
    <w:p w:rsidR="002D02E2" w:rsidRDefault="002D02E2" w:rsidP="005B64A8">
      <w:pPr>
        <w:pStyle w:val="FootnoteText"/>
        <w:spacing w:after="120"/>
        <w:ind w:firstLine="0"/>
      </w:pPr>
      <w:r w:rsidRPr="004B28DC">
        <w:rPr>
          <w:rStyle w:val="FootnoteReference"/>
          <w:sz w:val="20"/>
        </w:rPr>
        <w:footnoteRef/>
      </w:r>
      <w:r w:rsidRPr="004B28DC">
        <w:t xml:space="preserve"> </w:t>
      </w:r>
      <w:r w:rsidRPr="004B28DC">
        <w:rPr>
          <w:i/>
        </w:rPr>
        <w:t xml:space="preserve">See Southern California Broadcasting, </w:t>
      </w:r>
      <w:r w:rsidRPr="004B28DC">
        <w:t xml:space="preserve">6 FCC Rcd </w:t>
      </w:r>
      <w:r>
        <w:t xml:space="preserve">at </w:t>
      </w:r>
      <w:r w:rsidRPr="004B28DC">
        <w:t>4387, para. 3 (1991)</w:t>
      </w:r>
      <w:r w:rsidRPr="00166257">
        <w:t xml:space="preserve"> </w:t>
      </w:r>
      <w:r w:rsidRPr="004B28DC">
        <w:t>(stating that “inadvertence . . . is at best, ignorance of the law, which the Commission does not consider a mitigating circumstance.”)</w:t>
      </w:r>
      <w:r w:rsidRPr="004B28DC">
        <w:rPr>
          <w:i/>
        </w:rPr>
        <w:t xml:space="preserve">; Cascade Access, LLC, </w:t>
      </w:r>
      <w:r w:rsidRPr="004B28DC">
        <w:t>Forfeiture Order, 28 FCC Rcd 141, 145, para. 9 (Enf. Bur. 2013) (rejecting argument that forfeiture should be reduced because the violation was unintentional).</w:t>
      </w:r>
      <w:r>
        <w:t xml:space="preserve">  As previously discussed, we reject MacKay’s contention that the differences (it asserts) between the Guardian SOLO and a traditional Class B digital device serves to mitigate the violation.  </w:t>
      </w:r>
      <w:r w:rsidRPr="00624B4B">
        <w:rPr>
          <w:i/>
        </w:rPr>
        <w:t>See supra</w:t>
      </w:r>
      <w:r>
        <w:t xml:space="preserve"> note 25.  </w:t>
      </w:r>
    </w:p>
  </w:footnote>
  <w:footnote w:id="48">
    <w:p w:rsidR="002D02E2" w:rsidRDefault="002D02E2" w:rsidP="005B64A8">
      <w:pPr>
        <w:pStyle w:val="FootnoteText"/>
        <w:tabs>
          <w:tab w:val="clear" w:pos="720"/>
          <w:tab w:val="clear" w:pos="1440"/>
        </w:tabs>
        <w:spacing w:after="120"/>
        <w:ind w:right="0" w:firstLine="0"/>
      </w:pPr>
      <w:r w:rsidRPr="004B28DC">
        <w:rPr>
          <w:rStyle w:val="FootnoteReference"/>
          <w:sz w:val="20"/>
        </w:rPr>
        <w:footnoteRef/>
      </w:r>
      <w:r w:rsidRPr="004B28DC">
        <w:t xml:space="preserve"> 47 U.S.C. § 503(b).</w:t>
      </w:r>
    </w:p>
  </w:footnote>
  <w:footnote w:id="49">
    <w:p w:rsidR="002D02E2" w:rsidRDefault="002D02E2" w:rsidP="005B64A8">
      <w:pPr>
        <w:pStyle w:val="FootnoteText"/>
        <w:tabs>
          <w:tab w:val="clear" w:pos="720"/>
          <w:tab w:val="clear" w:pos="1440"/>
        </w:tabs>
        <w:spacing w:after="120"/>
        <w:ind w:right="0" w:firstLine="0"/>
      </w:pPr>
      <w:r w:rsidRPr="004B28DC">
        <w:rPr>
          <w:rStyle w:val="FootnoteReference"/>
          <w:sz w:val="20"/>
        </w:rPr>
        <w:footnoteRef/>
      </w:r>
      <w:r w:rsidRPr="004B28DC">
        <w:t xml:space="preserve"> 47 C.F.R. §§ 0.111, 0.311, 1.80.</w:t>
      </w:r>
    </w:p>
  </w:footnote>
  <w:footnote w:id="50">
    <w:p w:rsidR="002D02E2" w:rsidRDefault="002D02E2" w:rsidP="005B64A8">
      <w:pPr>
        <w:pStyle w:val="FootnoteText"/>
        <w:spacing w:after="120"/>
        <w:ind w:firstLine="0"/>
      </w:pPr>
      <w:r w:rsidRPr="004B28DC">
        <w:rPr>
          <w:rStyle w:val="FootnoteReference"/>
          <w:sz w:val="20"/>
        </w:rPr>
        <w:footnoteRef/>
      </w:r>
      <w:r w:rsidRPr="004B28DC">
        <w:t xml:space="preserve"> </w:t>
      </w:r>
      <w:r w:rsidRPr="00EF4980">
        <w:rPr>
          <w:i/>
        </w:rPr>
        <w:t>Id</w:t>
      </w:r>
      <w:r>
        <w:t xml:space="preserve">. </w:t>
      </w:r>
      <w:r w:rsidRPr="004B28DC">
        <w:t>§ 2.803(a) (2012).</w:t>
      </w:r>
    </w:p>
  </w:footnote>
  <w:footnote w:id="51">
    <w:p w:rsidR="002D02E2" w:rsidRDefault="002D02E2" w:rsidP="005B64A8">
      <w:pPr>
        <w:pStyle w:val="FootnoteText"/>
        <w:tabs>
          <w:tab w:val="clear" w:pos="720"/>
          <w:tab w:val="clear" w:pos="1440"/>
        </w:tabs>
        <w:spacing w:after="120"/>
        <w:ind w:right="0" w:firstLine="0"/>
      </w:pPr>
      <w:r w:rsidRPr="004B28DC">
        <w:rPr>
          <w:rStyle w:val="FootnoteReference"/>
          <w:sz w:val="20"/>
        </w:rPr>
        <w:footnoteRef/>
      </w:r>
      <w:r w:rsidRPr="004B28DC">
        <w:t xml:space="preserve"> </w:t>
      </w:r>
      <w:r w:rsidRPr="004B28DC">
        <w:rPr>
          <w:i/>
        </w:rPr>
        <w:t xml:space="preserve">Id. </w:t>
      </w:r>
      <w:r w:rsidRPr="004B28DC">
        <w:t>§ 1.80.</w:t>
      </w:r>
    </w:p>
  </w:footnote>
  <w:footnote w:id="52">
    <w:p w:rsidR="002D02E2" w:rsidRDefault="002D02E2" w:rsidP="005B64A8">
      <w:pPr>
        <w:pStyle w:val="FootnoteText"/>
        <w:tabs>
          <w:tab w:val="clear" w:pos="720"/>
          <w:tab w:val="clear" w:pos="1440"/>
        </w:tabs>
        <w:spacing w:after="120"/>
        <w:ind w:right="0" w:firstLine="0"/>
      </w:pPr>
      <w:r w:rsidRPr="004B28DC">
        <w:rPr>
          <w:rStyle w:val="FootnoteReference"/>
          <w:sz w:val="20"/>
        </w:rPr>
        <w:footnoteRef/>
      </w:r>
      <w:r w:rsidRPr="004B28DC">
        <w:t xml:space="preserve"> </w:t>
      </w:r>
      <w:r w:rsidRPr="004B28DC">
        <w:rPr>
          <w:rFonts w:eastAsia="MS Mincho" w:cs="Arial"/>
        </w:rPr>
        <w:t>An FCC Form 159 and detailed instructions for completing the form may be obtained at http://www.fcc.gov/Forms/Form159/159.pdf.</w:t>
      </w:r>
    </w:p>
  </w:footnote>
  <w:footnote w:id="53">
    <w:p w:rsidR="002D02E2" w:rsidRDefault="002D02E2" w:rsidP="005B64A8">
      <w:pPr>
        <w:pStyle w:val="FootnoteText"/>
        <w:tabs>
          <w:tab w:val="clear" w:pos="720"/>
          <w:tab w:val="clear" w:pos="1440"/>
        </w:tabs>
        <w:spacing w:after="120"/>
        <w:ind w:right="0" w:firstLine="0"/>
      </w:pPr>
      <w:r w:rsidRPr="004B28DC">
        <w:rPr>
          <w:rStyle w:val="FootnoteReference"/>
          <w:sz w:val="20"/>
        </w:rPr>
        <w:footnoteRef/>
      </w:r>
      <w:r w:rsidRPr="004B28DC">
        <w:t xml:space="preserve"> 4</w:t>
      </w:r>
      <w:r w:rsidRPr="00E7387B">
        <w:t xml:space="preserve">7 C.F.R. §§ </w:t>
      </w:r>
      <w:r>
        <w:t xml:space="preserve">1.16, </w:t>
      </w:r>
      <w:r w:rsidRPr="00E7387B">
        <w:t>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41" w:rsidRDefault="00205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2E2" w:rsidRPr="00171629" w:rsidRDefault="002D02E2" w:rsidP="00171629">
    <w:pPr>
      <w:pStyle w:val="Header"/>
      <w:pBdr>
        <w:bottom w:val="single" w:sz="12" w:space="1" w:color="auto"/>
      </w:pBdr>
    </w:pPr>
    <w:r>
      <w:tab/>
    </w:r>
    <w:r w:rsidRPr="000F3839">
      <w:t>Federal Communications Commission</w:t>
    </w:r>
    <w:r w:rsidRPr="000F3839">
      <w:tab/>
    </w:r>
    <w:r w:rsidR="00297969">
      <w:t>DA</w:t>
    </w:r>
    <w:r w:rsidRPr="000F3839">
      <w:t xml:space="preserve"> 14-</w:t>
    </w:r>
    <w:r w:rsidR="002D465E">
      <w:t>633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2E2" w:rsidRDefault="002D02E2" w:rsidP="00E863D8">
    <w:pPr>
      <w:pStyle w:val="Header"/>
      <w:pBdr>
        <w:bottom w:val="single" w:sz="12" w:space="1" w:color="auto"/>
      </w:pBdr>
    </w:pPr>
    <w:r>
      <w:tab/>
      <w:t>Federal Communications Commission</w:t>
    </w:r>
    <w:r>
      <w:tab/>
    </w:r>
    <w:r w:rsidR="00CA4CBA">
      <w:t>DA</w:t>
    </w:r>
    <w:r w:rsidRPr="006E5BDB">
      <w:t xml:space="preserve"> 14-</w:t>
    </w:r>
    <w:r w:rsidR="002D465E">
      <w:t>633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8A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7D237F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DA3524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4343D1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8425EB"/>
    <w:multiLevelType w:val="multilevel"/>
    <w:tmpl w:val="3DECD58E"/>
    <w:styleLink w:val="1ai"/>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6EC76CD"/>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7E06CBB"/>
    <w:multiLevelType w:val="multilevel"/>
    <w:tmpl w:val="C9C4F02A"/>
    <w:lvl w:ilvl="0">
      <w:start w:val="1"/>
      <w:numFmt w:val="upperRoman"/>
      <w:pStyle w:val="Heading1"/>
      <w:lvlText w:val="%1."/>
      <w:lvlJc w:val="left"/>
      <w:pPr>
        <w:tabs>
          <w:tab w:val="num" w:pos="2160"/>
        </w:tabs>
        <w:ind w:left="2160" w:hanging="720"/>
      </w:pPr>
      <w:rPr>
        <w:rFonts w:cs="Times New Roman"/>
      </w:rPr>
    </w:lvl>
    <w:lvl w:ilvl="1">
      <w:start w:val="1"/>
      <w:numFmt w:val="upperLetter"/>
      <w:pStyle w:val="Heading2"/>
      <w:lvlText w:val="%2."/>
      <w:lvlJc w:val="left"/>
      <w:pPr>
        <w:tabs>
          <w:tab w:val="num" w:pos="2880"/>
        </w:tabs>
        <w:ind w:left="2880" w:hanging="720"/>
      </w:pPr>
      <w:rPr>
        <w:rFonts w:cs="Times New Roman"/>
      </w:rPr>
    </w:lvl>
    <w:lvl w:ilvl="2">
      <w:start w:val="1"/>
      <w:numFmt w:val="decimal"/>
      <w:pStyle w:val="Heading3"/>
      <w:lvlText w:val="%3."/>
      <w:lvlJc w:val="left"/>
      <w:pPr>
        <w:tabs>
          <w:tab w:val="num" w:pos="3600"/>
        </w:tabs>
        <w:ind w:left="3600" w:hanging="720"/>
      </w:pPr>
      <w:rPr>
        <w:rFonts w:cs="Times New Roman"/>
      </w:rPr>
    </w:lvl>
    <w:lvl w:ilvl="3">
      <w:start w:val="1"/>
      <w:numFmt w:val="lowerLetter"/>
      <w:pStyle w:val="Heading4"/>
      <w:lvlText w:val="%4."/>
      <w:lvlJc w:val="left"/>
      <w:pPr>
        <w:tabs>
          <w:tab w:val="num" w:pos="4320"/>
        </w:tabs>
        <w:ind w:left="4320" w:hanging="720"/>
      </w:pPr>
      <w:rPr>
        <w:rFonts w:cs="Times New Roman"/>
      </w:rPr>
    </w:lvl>
    <w:lvl w:ilvl="4">
      <w:start w:val="1"/>
      <w:numFmt w:val="lowerRoman"/>
      <w:pStyle w:val="Heading5"/>
      <w:lvlText w:val="(%5)"/>
      <w:lvlJc w:val="left"/>
      <w:pPr>
        <w:tabs>
          <w:tab w:val="num" w:pos="5040"/>
        </w:tabs>
        <w:ind w:left="5040" w:hanging="720"/>
      </w:pPr>
      <w:rPr>
        <w:rFonts w:cs="Times New Roman"/>
      </w:rPr>
    </w:lvl>
    <w:lvl w:ilvl="5">
      <w:start w:val="1"/>
      <w:numFmt w:val="lowerLetter"/>
      <w:pStyle w:val="Heading6"/>
      <w:lvlText w:val="(%6)"/>
      <w:lvlJc w:val="left"/>
      <w:pPr>
        <w:tabs>
          <w:tab w:val="num" w:pos="5760"/>
        </w:tabs>
        <w:ind w:left="5760" w:hanging="720"/>
      </w:pPr>
      <w:rPr>
        <w:rFonts w:cs="Times New Roman"/>
      </w:rPr>
    </w:lvl>
    <w:lvl w:ilvl="6">
      <w:start w:val="1"/>
      <w:numFmt w:val="lowerRoman"/>
      <w:pStyle w:val="Heading7"/>
      <w:lvlText w:val="(%7)"/>
      <w:lvlJc w:val="left"/>
      <w:pPr>
        <w:tabs>
          <w:tab w:val="num" w:pos="6480"/>
        </w:tabs>
        <w:ind w:left="5760"/>
      </w:pPr>
      <w:rPr>
        <w:rFonts w:cs="Times New Roman"/>
      </w:rPr>
    </w:lvl>
    <w:lvl w:ilvl="7">
      <w:start w:val="1"/>
      <w:numFmt w:val="lowerLetter"/>
      <w:pStyle w:val="Heading8"/>
      <w:lvlText w:val="(%8)"/>
      <w:lvlJc w:val="left"/>
      <w:pPr>
        <w:tabs>
          <w:tab w:val="num" w:pos="6840"/>
        </w:tabs>
        <w:ind w:left="6480"/>
      </w:pPr>
      <w:rPr>
        <w:rFonts w:cs="Times New Roman"/>
      </w:rPr>
    </w:lvl>
    <w:lvl w:ilvl="8">
      <w:start w:val="1"/>
      <w:numFmt w:val="lowerRoman"/>
      <w:pStyle w:val="Heading9"/>
      <w:lvlText w:val="(%9)"/>
      <w:lvlJc w:val="left"/>
      <w:pPr>
        <w:tabs>
          <w:tab w:val="num" w:pos="7560"/>
        </w:tabs>
        <w:ind w:left="7200"/>
      </w:pPr>
      <w:rPr>
        <w:rFonts w:cs="Times New Roman"/>
      </w:rPr>
    </w:lvl>
  </w:abstractNum>
  <w:abstractNum w:abstractNumId="8">
    <w:nsid w:val="33A27CA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42D5D1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7560A1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9F93F2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BB41A0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40D435D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5">
    <w:nsid w:val="4967499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FBB02D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54DB159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5A134BA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5D42644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1182925"/>
    <w:multiLevelType w:val="singleLevel"/>
    <w:tmpl w:val="716CAEFE"/>
    <w:lvl w:ilvl="0">
      <w:start w:val="1"/>
      <w:numFmt w:val="decimal"/>
      <w:pStyle w:val="ParaNum"/>
      <w:lvlText w:val="%1."/>
      <w:lvlJc w:val="left"/>
      <w:pPr>
        <w:tabs>
          <w:tab w:val="num" w:pos="1350"/>
        </w:tabs>
        <w:ind w:left="270" w:firstLine="720"/>
      </w:pPr>
      <w:rPr>
        <w:rFonts w:cs="Times New Roman"/>
        <w:b w:val="0"/>
        <w:i w:val="0"/>
      </w:rPr>
    </w:lvl>
  </w:abstractNum>
  <w:abstractNum w:abstractNumId="21">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spacing w:val="0"/>
        <w:kern w:val="0"/>
        <w:position w:val="0"/>
        <w:u w:val="none"/>
        <w:effect w:val="none"/>
        <w:vertAlign w:val="baseline"/>
      </w:rPr>
    </w:lvl>
  </w:abstractNum>
  <w:abstractNum w:abstractNumId="22">
    <w:nsid w:val="66B9043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67F44BC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6D2B48D2"/>
    <w:multiLevelType w:val="singleLevel"/>
    <w:tmpl w:val="93C2E86E"/>
    <w:lvl w:ilvl="0">
      <w:start w:val="1"/>
      <w:numFmt w:val="decimal"/>
      <w:pStyle w:val="Paranum0"/>
      <w:lvlText w:val="%1."/>
      <w:lvlJc w:val="left"/>
      <w:pPr>
        <w:tabs>
          <w:tab w:val="num" w:pos="1260"/>
        </w:tabs>
        <w:ind w:left="1260" w:hanging="360"/>
      </w:pPr>
      <w:rPr>
        <w:rFonts w:cs="Times New Roman"/>
        <w:b w:val="0"/>
      </w:rPr>
    </w:lvl>
  </w:abstractNum>
  <w:abstractNum w:abstractNumId="25">
    <w:nsid w:val="71A4616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768E099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76E5033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7C8C654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5"/>
  </w:num>
  <w:num w:numId="2">
    <w:abstractNumId w:val="20"/>
  </w:num>
  <w:num w:numId="3">
    <w:abstractNumId w:val="7"/>
  </w:num>
  <w:num w:numId="4">
    <w:abstractNumId w:val="24"/>
  </w:num>
  <w:num w:numId="5">
    <w:abstractNumId w:val="21"/>
  </w:num>
  <w:num w:numId="6">
    <w:abstractNumId w:val="14"/>
  </w:num>
  <w:num w:numId="7">
    <w:abstractNumId w:val="4"/>
  </w:num>
  <w:num w:numId="8">
    <w:abstractNumId w:val="21"/>
    <w:lvlOverride w:ilvl="0">
      <w:startOverride w:val="1"/>
    </w:lvlOverride>
  </w:num>
  <w:num w:numId="9">
    <w:abstractNumId w:val="26"/>
  </w:num>
  <w:num w:numId="10">
    <w:abstractNumId w:val="2"/>
  </w:num>
  <w:num w:numId="11">
    <w:abstractNumId w:val="22"/>
  </w:num>
  <w:num w:numId="12">
    <w:abstractNumId w:val="27"/>
  </w:num>
  <w:num w:numId="13">
    <w:abstractNumId w:val="9"/>
  </w:num>
  <w:num w:numId="14">
    <w:abstractNumId w:val="1"/>
  </w:num>
  <w:num w:numId="15">
    <w:abstractNumId w:val="13"/>
  </w:num>
  <w:num w:numId="16">
    <w:abstractNumId w:val="12"/>
  </w:num>
  <w:num w:numId="17">
    <w:abstractNumId w:val="19"/>
  </w:num>
  <w:num w:numId="18">
    <w:abstractNumId w:val="23"/>
  </w:num>
  <w:num w:numId="19">
    <w:abstractNumId w:val="15"/>
  </w:num>
  <w:num w:numId="20">
    <w:abstractNumId w:val="6"/>
  </w:num>
  <w:num w:numId="21">
    <w:abstractNumId w:val="18"/>
  </w:num>
  <w:num w:numId="22">
    <w:abstractNumId w:val="11"/>
  </w:num>
  <w:num w:numId="23">
    <w:abstractNumId w:val="0"/>
  </w:num>
  <w:num w:numId="24">
    <w:abstractNumId w:val="28"/>
  </w:num>
  <w:num w:numId="25">
    <w:abstractNumId w:val="10"/>
  </w:num>
  <w:num w:numId="26">
    <w:abstractNumId w:val="17"/>
  </w:num>
  <w:num w:numId="27">
    <w:abstractNumId w:val="8"/>
  </w:num>
  <w:num w:numId="28">
    <w:abstractNumId w:val="16"/>
  </w:num>
  <w:num w:numId="29">
    <w:abstractNumId w:val="25"/>
  </w:num>
  <w:num w:numId="3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F8"/>
    <w:rsid w:val="00002FD0"/>
    <w:rsid w:val="00004C74"/>
    <w:rsid w:val="00006686"/>
    <w:rsid w:val="00007BB8"/>
    <w:rsid w:val="0001310C"/>
    <w:rsid w:val="00013C54"/>
    <w:rsid w:val="00016A9F"/>
    <w:rsid w:val="000170F5"/>
    <w:rsid w:val="00022B66"/>
    <w:rsid w:val="00022D59"/>
    <w:rsid w:val="000257AF"/>
    <w:rsid w:val="000300B5"/>
    <w:rsid w:val="00030AB6"/>
    <w:rsid w:val="00032AAA"/>
    <w:rsid w:val="00041435"/>
    <w:rsid w:val="00041569"/>
    <w:rsid w:val="00045372"/>
    <w:rsid w:val="00045DF8"/>
    <w:rsid w:val="00045DFB"/>
    <w:rsid w:val="000476DA"/>
    <w:rsid w:val="00052361"/>
    <w:rsid w:val="00054B69"/>
    <w:rsid w:val="000569FC"/>
    <w:rsid w:val="000657FF"/>
    <w:rsid w:val="00074D51"/>
    <w:rsid w:val="00075A4E"/>
    <w:rsid w:val="00080E1E"/>
    <w:rsid w:val="000823F3"/>
    <w:rsid w:val="000843AC"/>
    <w:rsid w:val="00086E4A"/>
    <w:rsid w:val="00087523"/>
    <w:rsid w:val="000909DF"/>
    <w:rsid w:val="00094E7F"/>
    <w:rsid w:val="00097047"/>
    <w:rsid w:val="00097063"/>
    <w:rsid w:val="000A19AD"/>
    <w:rsid w:val="000A5231"/>
    <w:rsid w:val="000C2757"/>
    <w:rsid w:val="000C2871"/>
    <w:rsid w:val="000C3563"/>
    <w:rsid w:val="000C4A02"/>
    <w:rsid w:val="000C6A83"/>
    <w:rsid w:val="000D1776"/>
    <w:rsid w:val="000D7B30"/>
    <w:rsid w:val="000E1EC5"/>
    <w:rsid w:val="000E2707"/>
    <w:rsid w:val="000E4722"/>
    <w:rsid w:val="000E6136"/>
    <w:rsid w:val="000E68F0"/>
    <w:rsid w:val="000E7ADA"/>
    <w:rsid w:val="000F3839"/>
    <w:rsid w:val="000F5816"/>
    <w:rsid w:val="000F68BA"/>
    <w:rsid w:val="00100C87"/>
    <w:rsid w:val="00101182"/>
    <w:rsid w:val="0010206E"/>
    <w:rsid w:val="00110779"/>
    <w:rsid w:val="00113096"/>
    <w:rsid w:val="0012127C"/>
    <w:rsid w:val="0013196A"/>
    <w:rsid w:val="00134AED"/>
    <w:rsid w:val="00134C00"/>
    <w:rsid w:val="0013728A"/>
    <w:rsid w:val="00142450"/>
    <w:rsid w:val="0014512E"/>
    <w:rsid w:val="00145213"/>
    <w:rsid w:val="00151045"/>
    <w:rsid w:val="00153523"/>
    <w:rsid w:val="00153909"/>
    <w:rsid w:val="00154234"/>
    <w:rsid w:val="00155C60"/>
    <w:rsid w:val="00156338"/>
    <w:rsid w:val="0015774C"/>
    <w:rsid w:val="00161B55"/>
    <w:rsid w:val="001625E5"/>
    <w:rsid w:val="0016418B"/>
    <w:rsid w:val="00166257"/>
    <w:rsid w:val="00167A1A"/>
    <w:rsid w:val="00171629"/>
    <w:rsid w:val="0017483F"/>
    <w:rsid w:val="0017579E"/>
    <w:rsid w:val="00175FF1"/>
    <w:rsid w:val="00177679"/>
    <w:rsid w:val="001779AD"/>
    <w:rsid w:val="00180CE9"/>
    <w:rsid w:val="00180DA8"/>
    <w:rsid w:val="0018130A"/>
    <w:rsid w:val="00181945"/>
    <w:rsid w:val="00182EBC"/>
    <w:rsid w:val="00184F54"/>
    <w:rsid w:val="0018539B"/>
    <w:rsid w:val="00190A4A"/>
    <w:rsid w:val="001924F0"/>
    <w:rsid w:val="001A09A0"/>
    <w:rsid w:val="001A2883"/>
    <w:rsid w:val="001A345F"/>
    <w:rsid w:val="001A6270"/>
    <w:rsid w:val="001A62A4"/>
    <w:rsid w:val="001B1A4B"/>
    <w:rsid w:val="001B33EF"/>
    <w:rsid w:val="001B5D7D"/>
    <w:rsid w:val="001C42B3"/>
    <w:rsid w:val="001C52B3"/>
    <w:rsid w:val="001D1173"/>
    <w:rsid w:val="001D35E5"/>
    <w:rsid w:val="001D7343"/>
    <w:rsid w:val="001E2405"/>
    <w:rsid w:val="001F03E0"/>
    <w:rsid w:val="001F17BE"/>
    <w:rsid w:val="001F17DA"/>
    <w:rsid w:val="001F70BB"/>
    <w:rsid w:val="00205C41"/>
    <w:rsid w:val="00207E56"/>
    <w:rsid w:val="00220DF0"/>
    <w:rsid w:val="00222AC3"/>
    <w:rsid w:val="002248C9"/>
    <w:rsid w:val="0022689B"/>
    <w:rsid w:val="00227EE5"/>
    <w:rsid w:val="00227FD5"/>
    <w:rsid w:val="0023652E"/>
    <w:rsid w:val="002369F6"/>
    <w:rsid w:val="00237696"/>
    <w:rsid w:val="00241BB3"/>
    <w:rsid w:val="00244C09"/>
    <w:rsid w:val="0024594C"/>
    <w:rsid w:val="00251AB4"/>
    <w:rsid w:val="00260156"/>
    <w:rsid w:val="002637BB"/>
    <w:rsid w:val="00270175"/>
    <w:rsid w:val="00270A4C"/>
    <w:rsid w:val="00271779"/>
    <w:rsid w:val="00274ACC"/>
    <w:rsid w:val="0027681B"/>
    <w:rsid w:val="00277422"/>
    <w:rsid w:val="002829A3"/>
    <w:rsid w:val="0028318F"/>
    <w:rsid w:val="00297546"/>
    <w:rsid w:val="00297969"/>
    <w:rsid w:val="002A0456"/>
    <w:rsid w:val="002A3CE8"/>
    <w:rsid w:val="002C2528"/>
    <w:rsid w:val="002C7920"/>
    <w:rsid w:val="002D02E2"/>
    <w:rsid w:val="002D3347"/>
    <w:rsid w:val="002D4231"/>
    <w:rsid w:val="002D465E"/>
    <w:rsid w:val="002E2105"/>
    <w:rsid w:val="002E416D"/>
    <w:rsid w:val="002E6166"/>
    <w:rsid w:val="002F064B"/>
    <w:rsid w:val="002F1ED8"/>
    <w:rsid w:val="002F2475"/>
    <w:rsid w:val="002F2794"/>
    <w:rsid w:val="002F3C76"/>
    <w:rsid w:val="002F7E94"/>
    <w:rsid w:val="00304E17"/>
    <w:rsid w:val="003140B4"/>
    <w:rsid w:val="0031470C"/>
    <w:rsid w:val="00321E57"/>
    <w:rsid w:val="00326D0F"/>
    <w:rsid w:val="00330B51"/>
    <w:rsid w:val="00330F9D"/>
    <w:rsid w:val="003329B4"/>
    <w:rsid w:val="0034186D"/>
    <w:rsid w:val="00346D76"/>
    <w:rsid w:val="003537B1"/>
    <w:rsid w:val="00353CA5"/>
    <w:rsid w:val="003540E3"/>
    <w:rsid w:val="003568EC"/>
    <w:rsid w:val="00356F7C"/>
    <w:rsid w:val="003618C6"/>
    <w:rsid w:val="003628F5"/>
    <w:rsid w:val="003631CE"/>
    <w:rsid w:val="00364982"/>
    <w:rsid w:val="00365EE7"/>
    <w:rsid w:val="00366E70"/>
    <w:rsid w:val="0037300A"/>
    <w:rsid w:val="0037540D"/>
    <w:rsid w:val="00380D8D"/>
    <w:rsid w:val="00382FC6"/>
    <w:rsid w:val="00387F7D"/>
    <w:rsid w:val="00396362"/>
    <w:rsid w:val="0039727C"/>
    <w:rsid w:val="00397938"/>
    <w:rsid w:val="003A07EC"/>
    <w:rsid w:val="003A16F7"/>
    <w:rsid w:val="003A188D"/>
    <w:rsid w:val="003A26F9"/>
    <w:rsid w:val="003A5629"/>
    <w:rsid w:val="003A5C93"/>
    <w:rsid w:val="003A7CB4"/>
    <w:rsid w:val="003B5501"/>
    <w:rsid w:val="003C1343"/>
    <w:rsid w:val="003C790C"/>
    <w:rsid w:val="003D284C"/>
    <w:rsid w:val="003D4C84"/>
    <w:rsid w:val="003D7D1B"/>
    <w:rsid w:val="003E0C2A"/>
    <w:rsid w:val="003E1336"/>
    <w:rsid w:val="003E451D"/>
    <w:rsid w:val="003F307B"/>
    <w:rsid w:val="003F4D02"/>
    <w:rsid w:val="003F5438"/>
    <w:rsid w:val="003F554A"/>
    <w:rsid w:val="003F6D61"/>
    <w:rsid w:val="0040091F"/>
    <w:rsid w:val="00410727"/>
    <w:rsid w:val="00422D43"/>
    <w:rsid w:val="004241D8"/>
    <w:rsid w:val="00424DE3"/>
    <w:rsid w:val="004277B4"/>
    <w:rsid w:val="00430B6F"/>
    <w:rsid w:val="004321E3"/>
    <w:rsid w:val="00433805"/>
    <w:rsid w:val="0043550B"/>
    <w:rsid w:val="00441661"/>
    <w:rsid w:val="0044376C"/>
    <w:rsid w:val="00451DB5"/>
    <w:rsid w:val="00455333"/>
    <w:rsid w:val="00455770"/>
    <w:rsid w:val="00461B9E"/>
    <w:rsid w:val="00463EED"/>
    <w:rsid w:val="004677F4"/>
    <w:rsid w:val="004733EC"/>
    <w:rsid w:val="004742C6"/>
    <w:rsid w:val="0047446C"/>
    <w:rsid w:val="00474EC3"/>
    <w:rsid w:val="004815CD"/>
    <w:rsid w:val="00491303"/>
    <w:rsid w:val="00492E8C"/>
    <w:rsid w:val="00493570"/>
    <w:rsid w:val="00493AA4"/>
    <w:rsid w:val="004950A1"/>
    <w:rsid w:val="004967C2"/>
    <w:rsid w:val="004A21A5"/>
    <w:rsid w:val="004A306F"/>
    <w:rsid w:val="004A6557"/>
    <w:rsid w:val="004A6A41"/>
    <w:rsid w:val="004B28DC"/>
    <w:rsid w:val="004B4C08"/>
    <w:rsid w:val="004C3717"/>
    <w:rsid w:val="004C45D0"/>
    <w:rsid w:val="004C7B6A"/>
    <w:rsid w:val="004D2997"/>
    <w:rsid w:val="004D49D8"/>
    <w:rsid w:val="004E3034"/>
    <w:rsid w:val="00501D9D"/>
    <w:rsid w:val="00502BF9"/>
    <w:rsid w:val="00502FB5"/>
    <w:rsid w:val="00503027"/>
    <w:rsid w:val="005170E5"/>
    <w:rsid w:val="005224B4"/>
    <w:rsid w:val="00525B36"/>
    <w:rsid w:val="00536726"/>
    <w:rsid w:val="005370E7"/>
    <w:rsid w:val="005406F5"/>
    <w:rsid w:val="00545096"/>
    <w:rsid w:val="005469D9"/>
    <w:rsid w:val="00546BA6"/>
    <w:rsid w:val="00550C20"/>
    <w:rsid w:val="00552ABD"/>
    <w:rsid w:val="00553231"/>
    <w:rsid w:val="005543CF"/>
    <w:rsid w:val="00554423"/>
    <w:rsid w:val="0055654C"/>
    <w:rsid w:val="005568A6"/>
    <w:rsid w:val="005613E0"/>
    <w:rsid w:val="005615E8"/>
    <w:rsid w:val="00565A02"/>
    <w:rsid w:val="00572A86"/>
    <w:rsid w:val="00582709"/>
    <w:rsid w:val="005834E6"/>
    <w:rsid w:val="005849A8"/>
    <w:rsid w:val="00590988"/>
    <w:rsid w:val="0059521B"/>
    <w:rsid w:val="0059567D"/>
    <w:rsid w:val="005A3317"/>
    <w:rsid w:val="005A4CFE"/>
    <w:rsid w:val="005A73F0"/>
    <w:rsid w:val="005A7CB8"/>
    <w:rsid w:val="005B3CE4"/>
    <w:rsid w:val="005B64A8"/>
    <w:rsid w:val="005B677E"/>
    <w:rsid w:val="005B7C10"/>
    <w:rsid w:val="005C216C"/>
    <w:rsid w:val="005C5969"/>
    <w:rsid w:val="005C60E7"/>
    <w:rsid w:val="005D04DA"/>
    <w:rsid w:val="005E3D0C"/>
    <w:rsid w:val="005E4717"/>
    <w:rsid w:val="005E6642"/>
    <w:rsid w:val="005E7D71"/>
    <w:rsid w:val="005F108F"/>
    <w:rsid w:val="005F3601"/>
    <w:rsid w:val="005F36D2"/>
    <w:rsid w:val="005F62BB"/>
    <w:rsid w:val="005F74B8"/>
    <w:rsid w:val="00603E43"/>
    <w:rsid w:val="00605ABE"/>
    <w:rsid w:val="006118CC"/>
    <w:rsid w:val="00623108"/>
    <w:rsid w:val="0062347C"/>
    <w:rsid w:val="00623511"/>
    <w:rsid w:val="006244F4"/>
    <w:rsid w:val="00624B4B"/>
    <w:rsid w:val="006257E2"/>
    <w:rsid w:val="00630C15"/>
    <w:rsid w:val="0063230B"/>
    <w:rsid w:val="00642138"/>
    <w:rsid w:val="0065365F"/>
    <w:rsid w:val="00655786"/>
    <w:rsid w:val="006562C4"/>
    <w:rsid w:val="00657247"/>
    <w:rsid w:val="0066023F"/>
    <w:rsid w:val="0066123A"/>
    <w:rsid w:val="006635C0"/>
    <w:rsid w:val="006679FC"/>
    <w:rsid w:val="00670C4B"/>
    <w:rsid w:val="00677F2E"/>
    <w:rsid w:val="00682501"/>
    <w:rsid w:val="00685FBB"/>
    <w:rsid w:val="00686D2E"/>
    <w:rsid w:val="00693367"/>
    <w:rsid w:val="0069370E"/>
    <w:rsid w:val="00693C01"/>
    <w:rsid w:val="006A1849"/>
    <w:rsid w:val="006A2E9F"/>
    <w:rsid w:val="006B560A"/>
    <w:rsid w:val="006B5691"/>
    <w:rsid w:val="006B7139"/>
    <w:rsid w:val="006C2A2A"/>
    <w:rsid w:val="006D22CD"/>
    <w:rsid w:val="006D6981"/>
    <w:rsid w:val="006E262F"/>
    <w:rsid w:val="006E5BDB"/>
    <w:rsid w:val="006F270C"/>
    <w:rsid w:val="006F46B7"/>
    <w:rsid w:val="006F6FE6"/>
    <w:rsid w:val="007028C2"/>
    <w:rsid w:val="007104BC"/>
    <w:rsid w:val="007109D9"/>
    <w:rsid w:val="00711FC5"/>
    <w:rsid w:val="00712D97"/>
    <w:rsid w:val="0071313B"/>
    <w:rsid w:val="00715938"/>
    <w:rsid w:val="00717055"/>
    <w:rsid w:val="00717811"/>
    <w:rsid w:val="00717820"/>
    <w:rsid w:val="007211CE"/>
    <w:rsid w:val="007264CB"/>
    <w:rsid w:val="00731649"/>
    <w:rsid w:val="00733F67"/>
    <w:rsid w:val="00734EC0"/>
    <w:rsid w:val="00737456"/>
    <w:rsid w:val="00740C8D"/>
    <w:rsid w:val="00743C9C"/>
    <w:rsid w:val="00743D6F"/>
    <w:rsid w:val="00744A4F"/>
    <w:rsid w:val="00745A3A"/>
    <w:rsid w:val="00746BB2"/>
    <w:rsid w:val="00751291"/>
    <w:rsid w:val="007523F9"/>
    <w:rsid w:val="00760A8B"/>
    <w:rsid w:val="00760F8C"/>
    <w:rsid w:val="007622BB"/>
    <w:rsid w:val="0076396E"/>
    <w:rsid w:val="00765D59"/>
    <w:rsid w:val="00772065"/>
    <w:rsid w:val="00785ED9"/>
    <w:rsid w:val="00787B68"/>
    <w:rsid w:val="0079141A"/>
    <w:rsid w:val="007A0184"/>
    <w:rsid w:val="007A0AEC"/>
    <w:rsid w:val="007A2B04"/>
    <w:rsid w:val="007A2C7B"/>
    <w:rsid w:val="007A2F46"/>
    <w:rsid w:val="007A3EEF"/>
    <w:rsid w:val="007A4A51"/>
    <w:rsid w:val="007A55C9"/>
    <w:rsid w:val="007A73BD"/>
    <w:rsid w:val="007B3A10"/>
    <w:rsid w:val="007B66CA"/>
    <w:rsid w:val="007C4521"/>
    <w:rsid w:val="007C608A"/>
    <w:rsid w:val="007D2A9F"/>
    <w:rsid w:val="007D4A0C"/>
    <w:rsid w:val="007D4CD1"/>
    <w:rsid w:val="007D6029"/>
    <w:rsid w:val="007E54AC"/>
    <w:rsid w:val="007F20FF"/>
    <w:rsid w:val="007F563C"/>
    <w:rsid w:val="007F683C"/>
    <w:rsid w:val="008038D8"/>
    <w:rsid w:val="00815E11"/>
    <w:rsid w:val="0081743C"/>
    <w:rsid w:val="00820371"/>
    <w:rsid w:val="00826958"/>
    <w:rsid w:val="008278F7"/>
    <w:rsid w:val="00832D96"/>
    <w:rsid w:val="00833CCD"/>
    <w:rsid w:val="00847C4E"/>
    <w:rsid w:val="008562C1"/>
    <w:rsid w:val="008565F3"/>
    <w:rsid w:val="00856959"/>
    <w:rsid w:val="00856EEF"/>
    <w:rsid w:val="00867C83"/>
    <w:rsid w:val="008721CC"/>
    <w:rsid w:val="00887DCE"/>
    <w:rsid w:val="0089148F"/>
    <w:rsid w:val="008A7596"/>
    <w:rsid w:val="008A7831"/>
    <w:rsid w:val="008B3A47"/>
    <w:rsid w:val="008B4189"/>
    <w:rsid w:val="008B5846"/>
    <w:rsid w:val="008B619E"/>
    <w:rsid w:val="008D1509"/>
    <w:rsid w:val="008D4BDB"/>
    <w:rsid w:val="008D7459"/>
    <w:rsid w:val="008D7C74"/>
    <w:rsid w:val="008E2BA0"/>
    <w:rsid w:val="008E6541"/>
    <w:rsid w:val="008E782B"/>
    <w:rsid w:val="008F2571"/>
    <w:rsid w:val="008F39BD"/>
    <w:rsid w:val="008F51F8"/>
    <w:rsid w:val="009018DB"/>
    <w:rsid w:val="00904E96"/>
    <w:rsid w:val="0090566C"/>
    <w:rsid w:val="00906499"/>
    <w:rsid w:val="00914295"/>
    <w:rsid w:val="00914585"/>
    <w:rsid w:val="009152B2"/>
    <w:rsid w:val="0091589D"/>
    <w:rsid w:val="0091725D"/>
    <w:rsid w:val="00923F4F"/>
    <w:rsid w:val="0093334A"/>
    <w:rsid w:val="00933E91"/>
    <w:rsid w:val="009364BC"/>
    <w:rsid w:val="0093719C"/>
    <w:rsid w:val="00937C5E"/>
    <w:rsid w:val="009428F4"/>
    <w:rsid w:val="00945BD6"/>
    <w:rsid w:val="009475A6"/>
    <w:rsid w:val="009631A3"/>
    <w:rsid w:val="009634E9"/>
    <w:rsid w:val="00966B1A"/>
    <w:rsid w:val="00966DC8"/>
    <w:rsid w:val="00967DD2"/>
    <w:rsid w:val="00973471"/>
    <w:rsid w:val="00981AF2"/>
    <w:rsid w:val="00990404"/>
    <w:rsid w:val="00995DD4"/>
    <w:rsid w:val="009960E4"/>
    <w:rsid w:val="00996FA2"/>
    <w:rsid w:val="0099730A"/>
    <w:rsid w:val="0099743A"/>
    <w:rsid w:val="009A4E0C"/>
    <w:rsid w:val="009A60FE"/>
    <w:rsid w:val="009B181A"/>
    <w:rsid w:val="009B32B7"/>
    <w:rsid w:val="009B347D"/>
    <w:rsid w:val="009B75AA"/>
    <w:rsid w:val="009C16F4"/>
    <w:rsid w:val="009C1ED4"/>
    <w:rsid w:val="009D0C9A"/>
    <w:rsid w:val="009D1548"/>
    <w:rsid w:val="009D2801"/>
    <w:rsid w:val="009E1FBD"/>
    <w:rsid w:val="009E318E"/>
    <w:rsid w:val="009E50F6"/>
    <w:rsid w:val="009F084D"/>
    <w:rsid w:val="009F55A2"/>
    <w:rsid w:val="00A0041C"/>
    <w:rsid w:val="00A0095B"/>
    <w:rsid w:val="00A04024"/>
    <w:rsid w:val="00A0446F"/>
    <w:rsid w:val="00A04C84"/>
    <w:rsid w:val="00A12E0C"/>
    <w:rsid w:val="00A14CBB"/>
    <w:rsid w:val="00A209EE"/>
    <w:rsid w:val="00A27F84"/>
    <w:rsid w:val="00A334C9"/>
    <w:rsid w:val="00A336BD"/>
    <w:rsid w:val="00A35BD5"/>
    <w:rsid w:val="00A3616C"/>
    <w:rsid w:val="00A369D3"/>
    <w:rsid w:val="00A40406"/>
    <w:rsid w:val="00A4084D"/>
    <w:rsid w:val="00A44117"/>
    <w:rsid w:val="00A459FE"/>
    <w:rsid w:val="00A46605"/>
    <w:rsid w:val="00A531FD"/>
    <w:rsid w:val="00A53D06"/>
    <w:rsid w:val="00A54D38"/>
    <w:rsid w:val="00A57AF8"/>
    <w:rsid w:val="00A65A0E"/>
    <w:rsid w:val="00A67434"/>
    <w:rsid w:val="00A6787D"/>
    <w:rsid w:val="00A753CE"/>
    <w:rsid w:val="00A833B1"/>
    <w:rsid w:val="00A83F1D"/>
    <w:rsid w:val="00A86CE3"/>
    <w:rsid w:val="00A922E2"/>
    <w:rsid w:val="00A9369B"/>
    <w:rsid w:val="00A943A8"/>
    <w:rsid w:val="00A9510B"/>
    <w:rsid w:val="00A97E88"/>
    <w:rsid w:val="00AA0EE8"/>
    <w:rsid w:val="00AA3CA8"/>
    <w:rsid w:val="00AA7923"/>
    <w:rsid w:val="00AB1B0E"/>
    <w:rsid w:val="00AB1B7F"/>
    <w:rsid w:val="00AB1E05"/>
    <w:rsid w:val="00AB34A6"/>
    <w:rsid w:val="00AB4017"/>
    <w:rsid w:val="00AB7EEF"/>
    <w:rsid w:val="00AC3C03"/>
    <w:rsid w:val="00AD43FD"/>
    <w:rsid w:val="00AD4E77"/>
    <w:rsid w:val="00AE1627"/>
    <w:rsid w:val="00AE21D0"/>
    <w:rsid w:val="00AE6E98"/>
    <w:rsid w:val="00AF5D77"/>
    <w:rsid w:val="00AF76BE"/>
    <w:rsid w:val="00B2535A"/>
    <w:rsid w:val="00B310E7"/>
    <w:rsid w:val="00B339B5"/>
    <w:rsid w:val="00B3444A"/>
    <w:rsid w:val="00B370D8"/>
    <w:rsid w:val="00B372C5"/>
    <w:rsid w:val="00B41324"/>
    <w:rsid w:val="00B43594"/>
    <w:rsid w:val="00B446CC"/>
    <w:rsid w:val="00B450DA"/>
    <w:rsid w:val="00B47570"/>
    <w:rsid w:val="00B527F3"/>
    <w:rsid w:val="00B6107D"/>
    <w:rsid w:val="00B61C59"/>
    <w:rsid w:val="00B709BA"/>
    <w:rsid w:val="00B72040"/>
    <w:rsid w:val="00B8511E"/>
    <w:rsid w:val="00B932C8"/>
    <w:rsid w:val="00BA7C68"/>
    <w:rsid w:val="00BB03BC"/>
    <w:rsid w:val="00BB1621"/>
    <w:rsid w:val="00BB328A"/>
    <w:rsid w:val="00BB51AD"/>
    <w:rsid w:val="00BB60F8"/>
    <w:rsid w:val="00BC0332"/>
    <w:rsid w:val="00BC08E8"/>
    <w:rsid w:val="00BC2781"/>
    <w:rsid w:val="00BC4D64"/>
    <w:rsid w:val="00BC71AC"/>
    <w:rsid w:val="00BD43DC"/>
    <w:rsid w:val="00BD5367"/>
    <w:rsid w:val="00BD5975"/>
    <w:rsid w:val="00BE1729"/>
    <w:rsid w:val="00BE4899"/>
    <w:rsid w:val="00BE69A4"/>
    <w:rsid w:val="00BE6B2D"/>
    <w:rsid w:val="00BF4AF4"/>
    <w:rsid w:val="00C04CE5"/>
    <w:rsid w:val="00C07787"/>
    <w:rsid w:val="00C12025"/>
    <w:rsid w:val="00C205E6"/>
    <w:rsid w:val="00C206D5"/>
    <w:rsid w:val="00C25272"/>
    <w:rsid w:val="00C272E1"/>
    <w:rsid w:val="00C3339A"/>
    <w:rsid w:val="00C36BEA"/>
    <w:rsid w:val="00C370C4"/>
    <w:rsid w:val="00C4177B"/>
    <w:rsid w:val="00C469AE"/>
    <w:rsid w:val="00C474F3"/>
    <w:rsid w:val="00C53DFE"/>
    <w:rsid w:val="00C56E8E"/>
    <w:rsid w:val="00C649B6"/>
    <w:rsid w:val="00C64DA2"/>
    <w:rsid w:val="00C66B8B"/>
    <w:rsid w:val="00C70D06"/>
    <w:rsid w:val="00C72EDE"/>
    <w:rsid w:val="00C75D4C"/>
    <w:rsid w:val="00C90428"/>
    <w:rsid w:val="00C91F7E"/>
    <w:rsid w:val="00C92336"/>
    <w:rsid w:val="00C928BE"/>
    <w:rsid w:val="00CA0975"/>
    <w:rsid w:val="00CA2607"/>
    <w:rsid w:val="00CA38DB"/>
    <w:rsid w:val="00CA4CBA"/>
    <w:rsid w:val="00CA74D0"/>
    <w:rsid w:val="00CB213A"/>
    <w:rsid w:val="00CB2C78"/>
    <w:rsid w:val="00CC5757"/>
    <w:rsid w:val="00CC794D"/>
    <w:rsid w:val="00CD2340"/>
    <w:rsid w:val="00CD3E53"/>
    <w:rsid w:val="00CD4549"/>
    <w:rsid w:val="00CD4C00"/>
    <w:rsid w:val="00CD6384"/>
    <w:rsid w:val="00CE5DCD"/>
    <w:rsid w:val="00CE6BA4"/>
    <w:rsid w:val="00CF644A"/>
    <w:rsid w:val="00CF6DA4"/>
    <w:rsid w:val="00D054BB"/>
    <w:rsid w:val="00D1027F"/>
    <w:rsid w:val="00D10AE3"/>
    <w:rsid w:val="00D12C4E"/>
    <w:rsid w:val="00D1326A"/>
    <w:rsid w:val="00D15631"/>
    <w:rsid w:val="00D15760"/>
    <w:rsid w:val="00D20C49"/>
    <w:rsid w:val="00D21C9F"/>
    <w:rsid w:val="00D23A47"/>
    <w:rsid w:val="00D24466"/>
    <w:rsid w:val="00D25E9D"/>
    <w:rsid w:val="00D31F08"/>
    <w:rsid w:val="00D3317C"/>
    <w:rsid w:val="00D34F28"/>
    <w:rsid w:val="00D37C5E"/>
    <w:rsid w:val="00D463F5"/>
    <w:rsid w:val="00D509E6"/>
    <w:rsid w:val="00D51095"/>
    <w:rsid w:val="00D61230"/>
    <w:rsid w:val="00D61CE9"/>
    <w:rsid w:val="00D64A07"/>
    <w:rsid w:val="00D704FD"/>
    <w:rsid w:val="00D76EBF"/>
    <w:rsid w:val="00D86F03"/>
    <w:rsid w:val="00D927B8"/>
    <w:rsid w:val="00D95A14"/>
    <w:rsid w:val="00D9640A"/>
    <w:rsid w:val="00D97325"/>
    <w:rsid w:val="00D97549"/>
    <w:rsid w:val="00DA2F77"/>
    <w:rsid w:val="00DA2FB5"/>
    <w:rsid w:val="00DB18C4"/>
    <w:rsid w:val="00DB3351"/>
    <w:rsid w:val="00DC216C"/>
    <w:rsid w:val="00DC2955"/>
    <w:rsid w:val="00DC3FCB"/>
    <w:rsid w:val="00DD6231"/>
    <w:rsid w:val="00DE020C"/>
    <w:rsid w:val="00DE498D"/>
    <w:rsid w:val="00DE6B7B"/>
    <w:rsid w:val="00DF36CC"/>
    <w:rsid w:val="00DF3B30"/>
    <w:rsid w:val="00DF5A6F"/>
    <w:rsid w:val="00DF767D"/>
    <w:rsid w:val="00E03293"/>
    <w:rsid w:val="00E06DD8"/>
    <w:rsid w:val="00E1170D"/>
    <w:rsid w:val="00E12107"/>
    <w:rsid w:val="00E1343F"/>
    <w:rsid w:val="00E147AA"/>
    <w:rsid w:val="00E270BC"/>
    <w:rsid w:val="00E30749"/>
    <w:rsid w:val="00E4232A"/>
    <w:rsid w:val="00E462BC"/>
    <w:rsid w:val="00E506CC"/>
    <w:rsid w:val="00E50BC3"/>
    <w:rsid w:val="00E511B9"/>
    <w:rsid w:val="00E51DFF"/>
    <w:rsid w:val="00E52A99"/>
    <w:rsid w:val="00E53201"/>
    <w:rsid w:val="00E6495F"/>
    <w:rsid w:val="00E72CF0"/>
    <w:rsid w:val="00E7387B"/>
    <w:rsid w:val="00E74F9C"/>
    <w:rsid w:val="00E811F7"/>
    <w:rsid w:val="00E8175B"/>
    <w:rsid w:val="00E81BBB"/>
    <w:rsid w:val="00E846AB"/>
    <w:rsid w:val="00E863D8"/>
    <w:rsid w:val="00E91D68"/>
    <w:rsid w:val="00E95248"/>
    <w:rsid w:val="00E96486"/>
    <w:rsid w:val="00EA15D2"/>
    <w:rsid w:val="00EA7705"/>
    <w:rsid w:val="00EB4820"/>
    <w:rsid w:val="00EB4FFC"/>
    <w:rsid w:val="00EB66CA"/>
    <w:rsid w:val="00EC0549"/>
    <w:rsid w:val="00EC42C4"/>
    <w:rsid w:val="00EC6462"/>
    <w:rsid w:val="00ED420D"/>
    <w:rsid w:val="00ED617F"/>
    <w:rsid w:val="00ED72DB"/>
    <w:rsid w:val="00EE73E8"/>
    <w:rsid w:val="00EF4980"/>
    <w:rsid w:val="00F002D9"/>
    <w:rsid w:val="00F00C48"/>
    <w:rsid w:val="00F100EE"/>
    <w:rsid w:val="00F102E9"/>
    <w:rsid w:val="00F12E86"/>
    <w:rsid w:val="00F1375B"/>
    <w:rsid w:val="00F13CCB"/>
    <w:rsid w:val="00F14A2D"/>
    <w:rsid w:val="00F14A96"/>
    <w:rsid w:val="00F14F12"/>
    <w:rsid w:val="00F233D1"/>
    <w:rsid w:val="00F35176"/>
    <w:rsid w:val="00F4013C"/>
    <w:rsid w:val="00F427FF"/>
    <w:rsid w:val="00F44627"/>
    <w:rsid w:val="00F53284"/>
    <w:rsid w:val="00F5652B"/>
    <w:rsid w:val="00F57D58"/>
    <w:rsid w:val="00F62272"/>
    <w:rsid w:val="00F63028"/>
    <w:rsid w:val="00F6553F"/>
    <w:rsid w:val="00F664E7"/>
    <w:rsid w:val="00F66559"/>
    <w:rsid w:val="00F70B4C"/>
    <w:rsid w:val="00F723B7"/>
    <w:rsid w:val="00F76605"/>
    <w:rsid w:val="00F77EC2"/>
    <w:rsid w:val="00F86E77"/>
    <w:rsid w:val="00F87B61"/>
    <w:rsid w:val="00F90F05"/>
    <w:rsid w:val="00F94D76"/>
    <w:rsid w:val="00FA3FB0"/>
    <w:rsid w:val="00FA3FB2"/>
    <w:rsid w:val="00FA63EB"/>
    <w:rsid w:val="00FA7181"/>
    <w:rsid w:val="00FB66C0"/>
    <w:rsid w:val="00FC3CB4"/>
    <w:rsid w:val="00FD0E5E"/>
    <w:rsid w:val="00FD4AA9"/>
    <w:rsid w:val="00FD699C"/>
    <w:rsid w:val="00FE2F9D"/>
    <w:rsid w:val="00FE7B18"/>
    <w:rsid w:val="00FF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23B7"/>
    <w:pPr>
      <w:widowControl w:val="0"/>
      <w:jc w:val="both"/>
    </w:pPr>
    <w:rPr>
      <w:kern w:val="28"/>
    </w:rPr>
  </w:style>
  <w:style w:type="paragraph" w:styleId="Heading1">
    <w:name w:val="heading 1"/>
    <w:basedOn w:val="Normal"/>
    <w:next w:val="ParaNum"/>
    <w:link w:val="Heading1Char"/>
    <w:uiPriority w:val="99"/>
    <w:qFormat/>
    <w:rsid w:val="00F723B7"/>
    <w:pPr>
      <w:keepNext/>
      <w:numPr>
        <w:numId w:val="3"/>
      </w:numPr>
      <w:tabs>
        <w:tab w:val="left" w:pos="360"/>
      </w:tabs>
      <w:suppressAutoHyphens/>
      <w:spacing w:after="220"/>
      <w:ind w:left="360" w:hanging="360"/>
      <w:outlineLvl w:val="0"/>
    </w:pPr>
    <w:rPr>
      <w:rFonts w:ascii="Times New Roman Bold" w:hAnsi="Times New Roman Bold"/>
      <w:b/>
      <w:bCs/>
      <w:caps/>
    </w:rPr>
  </w:style>
  <w:style w:type="paragraph" w:styleId="Heading2">
    <w:name w:val="heading 2"/>
    <w:basedOn w:val="Normal"/>
    <w:next w:val="ParaNum"/>
    <w:link w:val="Heading2Char"/>
    <w:uiPriority w:val="99"/>
    <w:qFormat/>
    <w:rsid w:val="00F723B7"/>
    <w:pPr>
      <w:keepNext/>
      <w:numPr>
        <w:ilvl w:val="1"/>
        <w:numId w:val="3"/>
      </w:numPr>
      <w:tabs>
        <w:tab w:val="num" w:pos="720"/>
      </w:tabs>
      <w:spacing w:after="220"/>
      <w:ind w:left="720" w:hanging="360"/>
      <w:outlineLvl w:val="1"/>
    </w:pPr>
    <w:rPr>
      <w:b/>
      <w:bCs/>
    </w:rPr>
  </w:style>
  <w:style w:type="paragraph" w:styleId="Heading3">
    <w:name w:val="heading 3"/>
    <w:basedOn w:val="Normal"/>
    <w:next w:val="ParaNum"/>
    <w:link w:val="Heading3Char"/>
    <w:uiPriority w:val="99"/>
    <w:qFormat/>
    <w:rsid w:val="00F723B7"/>
    <w:pPr>
      <w:keepNext/>
      <w:numPr>
        <w:ilvl w:val="2"/>
        <w:numId w:val="3"/>
      </w:numPr>
      <w:tabs>
        <w:tab w:val="left" w:pos="1080"/>
      </w:tabs>
      <w:spacing w:after="220"/>
      <w:ind w:left="1080" w:hanging="360"/>
      <w:outlineLvl w:val="2"/>
    </w:pPr>
    <w:rPr>
      <w:b/>
      <w:bCs/>
    </w:rPr>
  </w:style>
  <w:style w:type="paragraph" w:styleId="Heading4">
    <w:name w:val="heading 4"/>
    <w:basedOn w:val="Normal"/>
    <w:next w:val="ParaNum"/>
    <w:link w:val="Heading4Char"/>
    <w:uiPriority w:val="99"/>
    <w:qFormat/>
    <w:rsid w:val="00F723B7"/>
    <w:pPr>
      <w:keepNext/>
      <w:numPr>
        <w:ilvl w:val="3"/>
        <w:numId w:val="3"/>
      </w:numPr>
      <w:tabs>
        <w:tab w:val="left" w:pos="1440"/>
      </w:tabs>
      <w:spacing w:after="220"/>
      <w:ind w:left="1440" w:hanging="360"/>
      <w:outlineLvl w:val="3"/>
    </w:pPr>
    <w:rPr>
      <w:b/>
      <w:bCs/>
    </w:rPr>
  </w:style>
  <w:style w:type="paragraph" w:styleId="Heading5">
    <w:name w:val="heading 5"/>
    <w:basedOn w:val="Normal"/>
    <w:next w:val="ParaNum"/>
    <w:link w:val="Heading5Char"/>
    <w:uiPriority w:val="99"/>
    <w:qFormat/>
    <w:rsid w:val="00F723B7"/>
    <w:pPr>
      <w:keepNext/>
      <w:numPr>
        <w:ilvl w:val="4"/>
        <w:numId w:val="3"/>
      </w:numPr>
      <w:tabs>
        <w:tab w:val="left" w:pos="1800"/>
      </w:tabs>
      <w:suppressAutoHyphens/>
      <w:spacing w:after="220"/>
      <w:ind w:left="1800" w:hanging="360"/>
      <w:outlineLvl w:val="4"/>
    </w:pPr>
    <w:rPr>
      <w:b/>
      <w:bCs/>
    </w:rPr>
  </w:style>
  <w:style w:type="paragraph" w:styleId="Heading6">
    <w:name w:val="heading 6"/>
    <w:basedOn w:val="Normal"/>
    <w:next w:val="ParaNum"/>
    <w:link w:val="Heading6Char"/>
    <w:uiPriority w:val="99"/>
    <w:qFormat/>
    <w:rsid w:val="00F723B7"/>
    <w:pPr>
      <w:numPr>
        <w:ilvl w:val="5"/>
        <w:numId w:val="3"/>
      </w:numPr>
      <w:tabs>
        <w:tab w:val="left" w:pos="2160"/>
      </w:tabs>
      <w:spacing w:after="220"/>
      <w:ind w:left="2160" w:hanging="360"/>
      <w:outlineLvl w:val="5"/>
    </w:pPr>
    <w:rPr>
      <w:b/>
      <w:bCs/>
    </w:rPr>
  </w:style>
  <w:style w:type="paragraph" w:styleId="Heading7">
    <w:name w:val="heading 7"/>
    <w:basedOn w:val="Normal"/>
    <w:next w:val="ParaNum"/>
    <w:link w:val="Heading7Char"/>
    <w:uiPriority w:val="99"/>
    <w:qFormat/>
    <w:rsid w:val="00F723B7"/>
    <w:pPr>
      <w:numPr>
        <w:ilvl w:val="6"/>
        <w:numId w:val="3"/>
      </w:numPr>
      <w:tabs>
        <w:tab w:val="left" w:pos="2520"/>
      </w:tabs>
      <w:spacing w:after="240"/>
      <w:ind w:left="2520" w:hanging="360"/>
      <w:outlineLvl w:val="6"/>
    </w:pPr>
    <w:rPr>
      <w:b/>
      <w:bCs/>
    </w:rPr>
  </w:style>
  <w:style w:type="paragraph" w:styleId="Heading8">
    <w:name w:val="heading 8"/>
    <w:basedOn w:val="Normal"/>
    <w:next w:val="ParaNum"/>
    <w:link w:val="Heading8Char"/>
    <w:uiPriority w:val="99"/>
    <w:qFormat/>
    <w:rsid w:val="00F723B7"/>
    <w:pPr>
      <w:numPr>
        <w:ilvl w:val="7"/>
        <w:numId w:val="3"/>
      </w:numPr>
      <w:tabs>
        <w:tab w:val="left" w:pos="2880"/>
      </w:tabs>
      <w:spacing w:after="240"/>
      <w:ind w:left="2880" w:hanging="360"/>
      <w:outlineLvl w:val="7"/>
    </w:pPr>
    <w:rPr>
      <w:b/>
      <w:bCs/>
    </w:rPr>
  </w:style>
  <w:style w:type="paragraph" w:styleId="Heading9">
    <w:name w:val="heading 9"/>
    <w:basedOn w:val="Normal"/>
    <w:next w:val="ParaNum"/>
    <w:link w:val="Heading9Char"/>
    <w:uiPriority w:val="99"/>
    <w:qFormat/>
    <w:rsid w:val="00F723B7"/>
    <w:pPr>
      <w:numPr>
        <w:ilvl w:val="8"/>
        <w:numId w:val="3"/>
      </w:numPr>
      <w:tabs>
        <w:tab w:val="left" w:pos="3240"/>
      </w:tabs>
      <w:spacing w:after="240"/>
      <w:ind w:left="3240" w:hanging="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3601"/>
    <w:rPr>
      <w:rFonts w:ascii="Times New Roman Bold" w:hAnsi="Times New Roman Bold" w:cs="Times New Roman"/>
      <w:b/>
      <w:bCs/>
      <w:caps/>
      <w:kern w:val="28"/>
      <w:sz w:val="22"/>
      <w:szCs w:val="22"/>
      <w:lang w:val="en-US" w:eastAsia="en-US" w:bidi="ar-SA"/>
    </w:rPr>
  </w:style>
  <w:style w:type="character" w:customStyle="1" w:styleId="Heading2Char">
    <w:name w:val="Heading 2 Char"/>
    <w:basedOn w:val="DefaultParagraphFont"/>
    <w:link w:val="Heading2"/>
    <w:uiPriority w:val="99"/>
    <w:semiHidden/>
    <w:locked/>
    <w:rsid w:val="005F3601"/>
    <w:rPr>
      <w:rFonts w:cs="Times New Roman"/>
      <w:b/>
      <w:bCs/>
      <w:kern w:val="28"/>
      <w:sz w:val="22"/>
      <w:szCs w:val="22"/>
      <w:lang w:val="en-US" w:eastAsia="en-US" w:bidi="ar-SA"/>
    </w:rPr>
  </w:style>
  <w:style w:type="character" w:customStyle="1" w:styleId="Heading3Char">
    <w:name w:val="Heading 3 Char"/>
    <w:basedOn w:val="DefaultParagraphFont"/>
    <w:link w:val="Heading3"/>
    <w:uiPriority w:val="99"/>
    <w:semiHidden/>
    <w:locked/>
    <w:rsid w:val="005F3601"/>
    <w:rPr>
      <w:rFonts w:cs="Times New Roman"/>
      <w:b/>
      <w:bCs/>
      <w:kern w:val="28"/>
      <w:sz w:val="22"/>
      <w:szCs w:val="22"/>
      <w:lang w:val="en-US" w:eastAsia="en-US" w:bidi="ar-SA"/>
    </w:rPr>
  </w:style>
  <w:style w:type="character" w:customStyle="1" w:styleId="Heading4Char">
    <w:name w:val="Heading 4 Char"/>
    <w:basedOn w:val="DefaultParagraphFont"/>
    <w:link w:val="Heading4"/>
    <w:uiPriority w:val="99"/>
    <w:semiHidden/>
    <w:locked/>
    <w:rsid w:val="005F3601"/>
    <w:rPr>
      <w:rFonts w:cs="Times New Roman"/>
      <w:b/>
      <w:bCs/>
      <w:kern w:val="28"/>
      <w:sz w:val="22"/>
      <w:szCs w:val="22"/>
      <w:lang w:val="en-US" w:eastAsia="en-US" w:bidi="ar-SA"/>
    </w:rPr>
  </w:style>
  <w:style w:type="character" w:customStyle="1" w:styleId="Heading5Char">
    <w:name w:val="Heading 5 Char"/>
    <w:basedOn w:val="DefaultParagraphFont"/>
    <w:link w:val="Heading5"/>
    <w:uiPriority w:val="99"/>
    <w:semiHidden/>
    <w:locked/>
    <w:rsid w:val="005F3601"/>
    <w:rPr>
      <w:rFonts w:cs="Times New Roman"/>
      <w:b/>
      <w:bCs/>
      <w:kern w:val="28"/>
      <w:sz w:val="22"/>
      <w:szCs w:val="22"/>
      <w:lang w:val="en-US" w:eastAsia="en-US" w:bidi="ar-SA"/>
    </w:rPr>
  </w:style>
  <w:style w:type="character" w:customStyle="1" w:styleId="Heading6Char">
    <w:name w:val="Heading 6 Char"/>
    <w:basedOn w:val="DefaultParagraphFont"/>
    <w:link w:val="Heading6"/>
    <w:uiPriority w:val="99"/>
    <w:semiHidden/>
    <w:locked/>
    <w:rsid w:val="005F3601"/>
    <w:rPr>
      <w:rFonts w:cs="Times New Roman"/>
      <w:b/>
      <w:bCs/>
      <w:kern w:val="28"/>
      <w:sz w:val="22"/>
      <w:szCs w:val="22"/>
      <w:lang w:val="en-US" w:eastAsia="en-US" w:bidi="ar-SA"/>
    </w:rPr>
  </w:style>
  <w:style w:type="character" w:customStyle="1" w:styleId="Heading7Char">
    <w:name w:val="Heading 7 Char"/>
    <w:basedOn w:val="DefaultParagraphFont"/>
    <w:link w:val="Heading7"/>
    <w:uiPriority w:val="99"/>
    <w:semiHidden/>
    <w:locked/>
    <w:rsid w:val="005F3601"/>
    <w:rPr>
      <w:rFonts w:cs="Times New Roman"/>
      <w:b/>
      <w:bCs/>
      <w:kern w:val="28"/>
      <w:sz w:val="22"/>
      <w:szCs w:val="22"/>
      <w:lang w:val="en-US" w:eastAsia="en-US" w:bidi="ar-SA"/>
    </w:rPr>
  </w:style>
  <w:style w:type="character" w:customStyle="1" w:styleId="Heading8Char">
    <w:name w:val="Heading 8 Char"/>
    <w:basedOn w:val="DefaultParagraphFont"/>
    <w:link w:val="Heading8"/>
    <w:uiPriority w:val="99"/>
    <w:semiHidden/>
    <w:locked/>
    <w:rsid w:val="005F3601"/>
    <w:rPr>
      <w:rFonts w:cs="Times New Roman"/>
      <w:b/>
      <w:bCs/>
      <w:kern w:val="28"/>
      <w:sz w:val="22"/>
      <w:szCs w:val="22"/>
      <w:lang w:val="en-US" w:eastAsia="en-US" w:bidi="ar-SA"/>
    </w:rPr>
  </w:style>
  <w:style w:type="character" w:customStyle="1" w:styleId="Heading9Char">
    <w:name w:val="Heading 9 Char"/>
    <w:basedOn w:val="DefaultParagraphFont"/>
    <w:link w:val="Heading9"/>
    <w:uiPriority w:val="99"/>
    <w:semiHidden/>
    <w:locked/>
    <w:rsid w:val="005F3601"/>
    <w:rPr>
      <w:rFonts w:cs="Times New Roman"/>
      <w:b/>
      <w:bCs/>
      <w:kern w:val="28"/>
      <w:sz w:val="22"/>
      <w:szCs w:val="22"/>
      <w:lang w:val="en-US" w:eastAsia="en-US" w:bidi="ar-SA"/>
    </w:rPr>
  </w:style>
  <w:style w:type="paragraph" w:styleId="BalloonText">
    <w:name w:val="Balloon Text"/>
    <w:basedOn w:val="Normal"/>
    <w:link w:val="BalloonTextChar"/>
    <w:uiPriority w:val="99"/>
    <w:semiHidden/>
    <w:rsid w:val="00F723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3601"/>
    <w:rPr>
      <w:rFonts w:cs="Times New Roman"/>
      <w:kern w:val="28"/>
      <w:sz w:val="2"/>
    </w:rPr>
  </w:style>
  <w:style w:type="paragraph" w:customStyle="1" w:styleId="ParaNum">
    <w:name w:val="ParaNum"/>
    <w:basedOn w:val="Normal"/>
    <w:link w:val="ParaNumChar"/>
    <w:uiPriority w:val="99"/>
    <w:rsid w:val="00F723B7"/>
    <w:pPr>
      <w:numPr>
        <w:numId w:val="2"/>
      </w:numPr>
      <w:spacing w:after="220"/>
    </w:pPr>
    <w:rPr>
      <w:szCs w:val="20"/>
    </w:rPr>
  </w:style>
  <w:style w:type="paragraph" w:styleId="EndnoteText">
    <w:name w:val="endnote text"/>
    <w:basedOn w:val="Normal"/>
    <w:link w:val="EndnoteTextChar"/>
    <w:uiPriority w:val="99"/>
    <w:semiHidden/>
    <w:rsid w:val="00F723B7"/>
    <w:rPr>
      <w:sz w:val="20"/>
      <w:szCs w:val="20"/>
    </w:rPr>
  </w:style>
  <w:style w:type="character" w:customStyle="1" w:styleId="EndnoteTextChar">
    <w:name w:val="Endnote Text Char"/>
    <w:basedOn w:val="DefaultParagraphFont"/>
    <w:link w:val="EndnoteText"/>
    <w:uiPriority w:val="99"/>
    <w:semiHidden/>
    <w:locked/>
    <w:rsid w:val="005F3601"/>
    <w:rPr>
      <w:rFonts w:cs="Times New Roman"/>
      <w:kern w:val="28"/>
      <w:sz w:val="20"/>
      <w:szCs w:val="20"/>
    </w:rPr>
  </w:style>
  <w:style w:type="character" w:styleId="EndnoteReference">
    <w:name w:val="endnote reference"/>
    <w:basedOn w:val="DefaultParagraphFont"/>
    <w:uiPriority w:val="99"/>
    <w:semiHidden/>
    <w:rsid w:val="00F723B7"/>
    <w:rPr>
      <w:rFonts w:cs="Times New Roman"/>
      <w:vertAlign w:val="superscript"/>
    </w:rPr>
  </w:style>
  <w:style w:type="paragraph" w:styleId="FootnoteText">
    <w:name w:val="footnote text"/>
    <w:aliases w:val="Footnote Text Char,Footnote Text Char1 Char,Footnote Text Char Char Char,Footnote Text Char1 Char Char Char,Footnote Text Char Char Char Char Char,rrfootnote Char Char Char Char Char,Footnote Text Char1 Char Char Char Char1 Char,fn,Styl,f"/>
    <w:basedOn w:val="Normal"/>
    <w:link w:val="FootnoteTextChar3"/>
    <w:uiPriority w:val="99"/>
    <w:rsid w:val="00F723B7"/>
    <w:pPr>
      <w:widowControl/>
      <w:tabs>
        <w:tab w:val="left" w:pos="720"/>
        <w:tab w:val="left" w:pos="1440"/>
      </w:tabs>
      <w:spacing w:after="200"/>
      <w:ind w:right="144" w:firstLine="720"/>
      <w:jc w:val="left"/>
    </w:pPr>
    <w:rPr>
      <w:kern w:val="0"/>
      <w:sz w:val="20"/>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rrfootnote Char Char Char Char Char Char,fn Char,Styl Char"/>
    <w:basedOn w:val="DefaultParagraphFont"/>
    <w:uiPriority w:val="99"/>
    <w:semiHidden/>
    <w:locked/>
    <w:rsid w:val="005F3601"/>
    <w:rPr>
      <w:rFonts w:cs="Times New Roman"/>
      <w:kern w:val="28"/>
      <w:sz w:val="20"/>
      <w:szCs w:val="20"/>
    </w:rPr>
  </w:style>
  <w:style w:type="character" w:styleId="FootnoteReference">
    <w:name w:val="footnote reference"/>
    <w:aliases w:val="Style 4,Style 12,(NECG) Footnote Reference,Appel note de bas de p,Style 124,Style 13,o,fr,Style 3"/>
    <w:basedOn w:val="DefaultParagraphFont"/>
    <w:uiPriority w:val="99"/>
    <w:rsid w:val="00F723B7"/>
    <w:rPr>
      <w:rFonts w:ascii="Times New Roman" w:hAnsi="Times New Roman" w:cs="Times New Roman"/>
      <w:color w:val="auto"/>
      <w:sz w:val="22"/>
      <w:vertAlign w:val="superscript"/>
    </w:rPr>
  </w:style>
  <w:style w:type="paragraph" w:styleId="TOC1">
    <w:name w:val="toc 1"/>
    <w:basedOn w:val="Normal"/>
    <w:next w:val="Normal"/>
    <w:uiPriority w:val="99"/>
    <w:rsid w:val="00F723B7"/>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F723B7"/>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F723B7"/>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F723B7"/>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F723B7"/>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F723B7"/>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F723B7"/>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F723B7"/>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F723B7"/>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F723B7"/>
    <w:pPr>
      <w:tabs>
        <w:tab w:val="right" w:pos="9360"/>
      </w:tabs>
      <w:suppressAutoHyphens/>
    </w:pPr>
  </w:style>
  <w:style w:type="character" w:customStyle="1" w:styleId="EquationCaption">
    <w:name w:val="_Equation Caption"/>
    <w:uiPriority w:val="99"/>
    <w:rsid w:val="00F723B7"/>
  </w:style>
  <w:style w:type="paragraph" w:styleId="Header">
    <w:name w:val="header"/>
    <w:basedOn w:val="Normal"/>
    <w:link w:val="HeaderChar"/>
    <w:autoRedefine/>
    <w:uiPriority w:val="99"/>
    <w:rsid w:val="00F723B7"/>
    <w:pPr>
      <w:tabs>
        <w:tab w:val="center" w:pos="4680"/>
        <w:tab w:val="right" w:pos="9360"/>
      </w:tabs>
    </w:pPr>
    <w:rPr>
      <w:b/>
      <w:bCs/>
    </w:rPr>
  </w:style>
  <w:style w:type="character" w:customStyle="1" w:styleId="HeaderChar">
    <w:name w:val="Header Char"/>
    <w:basedOn w:val="DefaultParagraphFont"/>
    <w:link w:val="Header"/>
    <w:uiPriority w:val="99"/>
    <w:semiHidden/>
    <w:locked/>
    <w:rsid w:val="005F3601"/>
    <w:rPr>
      <w:rFonts w:cs="Times New Roman"/>
      <w:kern w:val="28"/>
    </w:rPr>
  </w:style>
  <w:style w:type="paragraph" w:styleId="Footer">
    <w:name w:val="footer"/>
    <w:basedOn w:val="Normal"/>
    <w:link w:val="FooterChar"/>
    <w:uiPriority w:val="99"/>
    <w:rsid w:val="00F723B7"/>
    <w:pPr>
      <w:tabs>
        <w:tab w:val="center" w:pos="4320"/>
        <w:tab w:val="right" w:pos="8640"/>
      </w:tabs>
    </w:pPr>
  </w:style>
  <w:style w:type="character" w:customStyle="1" w:styleId="FooterChar">
    <w:name w:val="Footer Char"/>
    <w:basedOn w:val="DefaultParagraphFont"/>
    <w:link w:val="Footer"/>
    <w:uiPriority w:val="99"/>
    <w:semiHidden/>
    <w:locked/>
    <w:rsid w:val="005F3601"/>
    <w:rPr>
      <w:rFonts w:cs="Times New Roman"/>
      <w:kern w:val="28"/>
    </w:rPr>
  </w:style>
  <w:style w:type="character" w:styleId="PageNumber">
    <w:name w:val="page number"/>
    <w:basedOn w:val="DefaultParagraphFont"/>
    <w:uiPriority w:val="99"/>
    <w:rsid w:val="00F723B7"/>
    <w:rPr>
      <w:rFonts w:cs="Times New Roman"/>
    </w:rPr>
  </w:style>
  <w:style w:type="paragraph" w:styleId="BlockText">
    <w:name w:val="Block Text"/>
    <w:basedOn w:val="Normal"/>
    <w:uiPriority w:val="99"/>
    <w:rsid w:val="00F723B7"/>
    <w:pPr>
      <w:spacing w:after="240"/>
      <w:ind w:left="1440" w:right="1440"/>
    </w:pPr>
  </w:style>
  <w:style w:type="paragraph" w:customStyle="1" w:styleId="Paratitle">
    <w:name w:val="Para title"/>
    <w:basedOn w:val="Normal"/>
    <w:uiPriority w:val="99"/>
    <w:rsid w:val="00F723B7"/>
    <w:pPr>
      <w:tabs>
        <w:tab w:val="center" w:pos="9270"/>
      </w:tabs>
      <w:spacing w:after="240"/>
      <w:jc w:val="left"/>
    </w:pPr>
    <w:rPr>
      <w:spacing w:val="-2"/>
    </w:rPr>
  </w:style>
  <w:style w:type="paragraph" w:customStyle="1" w:styleId="Bullet">
    <w:name w:val="Bullet"/>
    <w:basedOn w:val="Normal"/>
    <w:uiPriority w:val="99"/>
    <w:rsid w:val="00F723B7"/>
    <w:pPr>
      <w:numPr>
        <w:numId w:val="1"/>
      </w:numPr>
      <w:tabs>
        <w:tab w:val="clear" w:pos="360"/>
        <w:tab w:val="left" w:pos="2160"/>
      </w:tabs>
      <w:spacing w:after="220"/>
      <w:ind w:left="2160" w:hanging="720"/>
    </w:pPr>
  </w:style>
  <w:style w:type="paragraph" w:customStyle="1" w:styleId="TableFormat">
    <w:name w:val="TableFormat"/>
    <w:basedOn w:val="Bullet"/>
    <w:uiPriority w:val="99"/>
    <w:rsid w:val="00F723B7"/>
    <w:pPr>
      <w:numPr>
        <w:numId w:val="0"/>
      </w:numPr>
      <w:tabs>
        <w:tab w:val="clear" w:pos="2160"/>
        <w:tab w:val="left" w:pos="5040"/>
      </w:tabs>
      <w:ind w:left="5040" w:hanging="3600"/>
    </w:pPr>
  </w:style>
  <w:style w:type="paragraph" w:customStyle="1" w:styleId="TOCTitle">
    <w:name w:val="TOC Title"/>
    <w:basedOn w:val="Normal"/>
    <w:uiPriority w:val="99"/>
    <w:rsid w:val="00F723B7"/>
    <w:pPr>
      <w:spacing w:before="240" w:after="240"/>
      <w:jc w:val="center"/>
    </w:pPr>
    <w:rPr>
      <w:rFonts w:ascii="Times New Roman Bold" w:hAnsi="Times New Roman Bold"/>
      <w:b/>
      <w:bCs/>
      <w:caps/>
      <w:spacing w:val="-2"/>
    </w:rPr>
  </w:style>
  <w:style w:type="character" w:styleId="Hyperlink">
    <w:name w:val="Hyperlink"/>
    <w:basedOn w:val="DefaultParagraphFont"/>
    <w:uiPriority w:val="99"/>
    <w:rsid w:val="00F723B7"/>
    <w:rPr>
      <w:rFonts w:cs="Times New Roman"/>
      <w:color w:val="0000FF"/>
      <w:u w:val="single"/>
    </w:rPr>
  </w:style>
  <w:style w:type="character" w:customStyle="1" w:styleId="FootnoteTextCharChar2">
    <w:name w:val="Footnote Text Char Char2"/>
    <w:aliases w:val="Footnote Text Char1 Char Char1,Footnote Text Char Char Char Char1,rrfootnote Char Char Char Char1,Footnote Text Char1 Char Char Char Char3,Footnote Text Char Char Char Char Char Char3,rrfootnote Char Char Char Char Char Char3"/>
    <w:uiPriority w:val="99"/>
    <w:rsid w:val="00F723B7"/>
    <w:rPr>
      <w:lang w:val="en-US" w:eastAsia="en-US"/>
    </w:rPr>
  </w:style>
  <w:style w:type="character" w:styleId="FollowedHyperlink">
    <w:name w:val="FollowedHyperlink"/>
    <w:basedOn w:val="DefaultParagraphFont"/>
    <w:uiPriority w:val="99"/>
    <w:rsid w:val="00F723B7"/>
    <w:rPr>
      <w:rFonts w:cs="Times New Roman"/>
      <w:color w:val="800080"/>
      <w:u w:val="single"/>
    </w:rPr>
  </w:style>
  <w:style w:type="character" w:customStyle="1" w:styleId="documentbody1">
    <w:name w:val="documentbody1"/>
    <w:uiPriority w:val="99"/>
    <w:rsid w:val="00F723B7"/>
    <w:rPr>
      <w:rFonts w:ascii="Verdana" w:hAnsi="Verdana"/>
      <w:sz w:val="19"/>
      <w:shd w:val="clear" w:color="auto" w:fill="FFFFFF"/>
    </w:rPr>
  </w:style>
  <w:style w:type="character" w:customStyle="1" w:styleId="searchterm3">
    <w:name w:val="searchterm3"/>
    <w:uiPriority w:val="99"/>
    <w:rsid w:val="00F723B7"/>
    <w:rPr>
      <w:rFonts w:ascii="Verdana" w:hAnsi="Verdana"/>
      <w:b/>
      <w:sz w:val="19"/>
      <w:shd w:val="clear" w:color="auto" w:fill="FFFF00"/>
    </w:rPr>
  </w:style>
  <w:style w:type="character" w:customStyle="1" w:styleId="FootnoteTextCharChar1">
    <w:name w:val="Footnote Text Char Char1"/>
    <w:aliases w:val="Footnote Text Char1 Char Char2,Footnote Text Char Char Char Char2,Footnote Text Char1 Char Char Char Char2,Footnote Text Char Char Char Char Char Char2,rrfootnote Char Char Char Char Char Char1,Footnote Text Char2,f Char"/>
    <w:uiPriority w:val="99"/>
    <w:rsid w:val="00F723B7"/>
    <w:rPr>
      <w:lang w:val="en-US" w:eastAsia="en-US"/>
    </w:rPr>
  </w:style>
  <w:style w:type="paragraph" w:customStyle="1" w:styleId="Paranum0">
    <w:name w:val="Paranum"/>
    <w:uiPriority w:val="99"/>
    <w:rsid w:val="00F723B7"/>
    <w:pPr>
      <w:numPr>
        <w:numId w:val="4"/>
      </w:numPr>
      <w:tabs>
        <w:tab w:val="left" w:pos="1440"/>
      </w:tabs>
      <w:spacing w:after="240"/>
      <w:jc w:val="both"/>
    </w:pPr>
  </w:style>
  <w:style w:type="paragraph" w:styleId="NormalWeb">
    <w:name w:val="Normal (Web)"/>
    <w:basedOn w:val="Normal"/>
    <w:uiPriority w:val="99"/>
    <w:rsid w:val="00F723B7"/>
    <w:pPr>
      <w:widowControl/>
      <w:spacing w:before="100" w:beforeAutospacing="1" w:after="100" w:afterAutospacing="1"/>
      <w:jc w:val="left"/>
    </w:pPr>
    <w:rPr>
      <w:kern w:val="0"/>
      <w:sz w:val="24"/>
      <w:szCs w:val="24"/>
    </w:rPr>
  </w:style>
  <w:style w:type="character" w:customStyle="1" w:styleId="searchterm2">
    <w:name w:val="searchterm2"/>
    <w:uiPriority w:val="99"/>
    <w:rsid w:val="00F723B7"/>
    <w:rPr>
      <w:rFonts w:ascii="Verdana" w:hAnsi="Verdana"/>
      <w:b/>
      <w:color w:val="000099"/>
      <w:sz w:val="19"/>
      <w:shd w:val="clear" w:color="auto" w:fill="FFFF00"/>
    </w:rPr>
  </w:style>
  <w:style w:type="paragraph" w:customStyle="1" w:styleId="par1">
    <w:name w:val="par1"/>
    <w:basedOn w:val="Normal"/>
    <w:link w:val="par1Char"/>
    <w:uiPriority w:val="99"/>
    <w:rsid w:val="00F70B4C"/>
    <w:pPr>
      <w:widowControl/>
      <w:numPr>
        <w:numId w:val="5"/>
      </w:numPr>
      <w:jc w:val="left"/>
    </w:pPr>
    <w:rPr>
      <w:kern w:val="0"/>
      <w:szCs w:val="20"/>
    </w:rPr>
  </w:style>
  <w:style w:type="character" w:customStyle="1" w:styleId="FootnoteTextChar3">
    <w:name w:val="Footnote Text Char3"/>
    <w:aliases w:val="Footnote Text Char Char3,Footnote Text Char1 Char Char3,Footnote Text Char Char Char Char3,Footnote Text Char1 Char Char Char Char1,Footnote Text Char Char Char Char Char Char1,rrfootnote Char Char Char Char Char Char2,fn Char1"/>
    <w:link w:val="FootnoteText"/>
    <w:uiPriority w:val="99"/>
    <w:locked/>
    <w:rsid w:val="00A86CE3"/>
    <w:rPr>
      <w:lang w:val="en-US" w:eastAsia="en-US"/>
    </w:rPr>
  </w:style>
  <w:style w:type="character" w:styleId="Strong">
    <w:name w:val="Strong"/>
    <w:basedOn w:val="DefaultParagraphFont"/>
    <w:uiPriority w:val="99"/>
    <w:qFormat/>
    <w:rsid w:val="00A86CE3"/>
    <w:rPr>
      <w:rFonts w:cs="Times New Roman"/>
      <w:b/>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rsid w:val="000300B5"/>
    <w:rPr>
      <w:lang w:val="en-US" w:eastAsia="en-US"/>
    </w:rPr>
  </w:style>
  <w:style w:type="character" w:customStyle="1" w:styleId="ParaNumChar">
    <w:name w:val="ParaNum Char"/>
    <w:link w:val="ParaNum"/>
    <w:uiPriority w:val="99"/>
    <w:locked/>
    <w:rsid w:val="007A55C9"/>
    <w:rPr>
      <w:kern w:val="28"/>
      <w:sz w:val="22"/>
      <w:lang w:val="en-US" w:eastAsia="en-US"/>
    </w:rPr>
  </w:style>
  <w:style w:type="paragraph" w:styleId="ListParagraph">
    <w:name w:val="List Paragraph"/>
    <w:basedOn w:val="Normal"/>
    <w:uiPriority w:val="99"/>
    <w:qFormat/>
    <w:rsid w:val="0069370E"/>
    <w:pPr>
      <w:ind w:left="720"/>
    </w:pPr>
  </w:style>
  <w:style w:type="character" w:customStyle="1" w:styleId="par1Char">
    <w:name w:val="par1 Char"/>
    <w:link w:val="par1"/>
    <w:uiPriority w:val="99"/>
    <w:locked/>
    <w:rsid w:val="009D1548"/>
    <w:rPr>
      <w:sz w:val="22"/>
      <w:lang w:val="en-US" w:eastAsia="en-US"/>
    </w:rPr>
  </w:style>
  <w:style w:type="character" w:styleId="CommentReference">
    <w:name w:val="annotation reference"/>
    <w:basedOn w:val="DefaultParagraphFont"/>
    <w:uiPriority w:val="99"/>
    <w:rsid w:val="005A3317"/>
    <w:rPr>
      <w:rFonts w:cs="Times New Roman"/>
      <w:sz w:val="16"/>
      <w:szCs w:val="16"/>
    </w:rPr>
  </w:style>
  <w:style w:type="paragraph" w:styleId="CommentText">
    <w:name w:val="annotation text"/>
    <w:basedOn w:val="Normal"/>
    <w:link w:val="CommentTextChar"/>
    <w:uiPriority w:val="99"/>
    <w:rsid w:val="005A3317"/>
    <w:rPr>
      <w:sz w:val="20"/>
      <w:szCs w:val="20"/>
    </w:rPr>
  </w:style>
  <w:style w:type="character" w:customStyle="1" w:styleId="CommentTextChar">
    <w:name w:val="Comment Text Char"/>
    <w:basedOn w:val="DefaultParagraphFont"/>
    <w:link w:val="CommentText"/>
    <w:uiPriority w:val="99"/>
    <w:locked/>
    <w:rsid w:val="005A3317"/>
    <w:rPr>
      <w:rFonts w:cs="Times New Roman"/>
      <w:snapToGrid w:val="0"/>
      <w:kern w:val="28"/>
    </w:rPr>
  </w:style>
  <w:style w:type="paragraph" w:styleId="CommentSubject">
    <w:name w:val="annotation subject"/>
    <w:basedOn w:val="CommentText"/>
    <w:next w:val="CommentText"/>
    <w:link w:val="CommentSubjectChar"/>
    <w:uiPriority w:val="99"/>
    <w:rsid w:val="005A3317"/>
    <w:rPr>
      <w:b/>
      <w:bCs/>
    </w:rPr>
  </w:style>
  <w:style w:type="character" w:customStyle="1" w:styleId="CommentSubjectChar">
    <w:name w:val="Comment Subject Char"/>
    <w:basedOn w:val="CommentTextChar"/>
    <w:link w:val="CommentSubject"/>
    <w:uiPriority w:val="99"/>
    <w:locked/>
    <w:rsid w:val="005A3317"/>
    <w:rPr>
      <w:rFonts w:cs="Times New Roman"/>
      <w:b/>
      <w:bCs/>
      <w:snapToGrid w:val="0"/>
      <w:kern w:val="28"/>
    </w:rPr>
  </w:style>
  <w:style w:type="paragraph" w:styleId="Revision">
    <w:name w:val="Revision"/>
    <w:hidden/>
    <w:uiPriority w:val="99"/>
    <w:semiHidden/>
    <w:rsid w:val="000823F3"/>
    <w:rPr>
      <w:kern w:val="28"/>
    </w:rPr>
  </w:style>
  <w:style w:type="numbering" w:styleId="1ai">
    <w:name w:val="Outline List 1"/>
    <w:basedOn w:val="NoList"/>
    <w:uiPriority w:val="99"/>
    <w:semiHidden/>
    <w:unhideWhenUsed/>
    <w:locked/>
    <w:rsid w:val="00F3583E"/>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23B7"/>
    <w:pPr>
      <w:widowControl w:val="0"/>
      <w:jc w:val="both"/>
    </w:pPr>
    <w:rPr>
      <w:kern w:val="28"/>
    </w:rPr>
  </w:style>
  <w:style w:type="paragraph" w:styleId="Heading1">
    <w:name w:val="heading 1"/>
    <w:basedOn w:val="Normal"/>
    <w:next w:val="ParaNum"/>
    <w:link w:val="Heading1Char"/>
    <w:uiPriority w:val="99"/>
    <w:qFormat/>
    <w:rsid w:val="00F723B7"/>
    <w:pPr>
      <w:keepNext/>
      <w:numPr>
        <w:numId w:val="3"/>
      </w:numPr>
      <w:tabs>
        <w:tab w:val="left" w:pos="360"/>
      </w:tabs>
      <w:suppressAutoHyphens/>
      <w:spacing w:after="220"/>
      <w:ind w:left="360" w:hanging="360"/>
      <w:outlineLvl w:val="0"/>
    </w:pPr>
    <w:rPr>
      <w:rFonts w:ascii="Times New Roman Bold" w:hAnsi="Times New Roman Bold"/>
      <w:b/>
      <w:bCs/>
      <w:caps/>
    </w:rPr>
  </w:style>
  <w:style w:type="paragraph" w:styleId="Heading2">
    <w:name w:val="heading 2"/>
    <w:basedOn w:val="Normal"/>
    <w:next w:val="ParaNum"/>
    <w:link w:val="Heading2Char"/>
    <w:uiPriority w:val="99"/>
    <w:qFormat/>
    <w:rsid w:val="00F723B7"/>
    <w:pPr>
      <w:keepNext/>
      <w:numPr>
        <w:ilvl w:val="1"/>
        <w:numId w:val="3"/>
      </w:numPr>
      <w:tabs>
        <w:tab w:val="num" w:pos="720"/>
      </w:tabs>
      <w:spacing w:after="220"/>
      <w:ind w:left="720" w:hanging="360"/>
      <w:outlineLvl w:val="1"/>
    </w:pPr>
    <w:rPr>
      <w:b/>
      <w:bCs/>
    </w:rPr>
  </w:style>
  <w:style w:type="paragraph" w:styleId="Heading3">
    <w:name w:val="heading 3"/>
    <w:basedOn w:val="Normal"/>
    <w:next w:val="ParaNum"/>
    <w:link w:val="Heading3Char"/>
    <w:uiPriority w:val="99"/>
    <w:qFormat/>
    <w:rsid w:val="00F723B7"/>
    <w:pPr>
      <w:keepNext/>
      <w:numPr>
        <w:ilvl w:val="2"/>
        <w:numId w:val="3"/>
      </w:numPr>
      <w:tabs>
        <w:tab w:val="left" w:pos="1080"/>
      </w:tabs>
      <w:spacing w:after="220"/>
      <w:ind w:left="1080" w:hanging="360"/>
      <w:outlineLvl w:val="2"/>
    </w:pPr>
    <w:rPr>
      <w:b/>
      <w:bCs/>
    </w:rPr>
  </w:style>
  <w:style w:type="paragraph" w:styleId="Heading4">
    <w:name w:val="heading 4"/>
    <w:basedOn w:val="Normal"/>
    <w:next w:val="ParaNum"/>
    <w:link w:val="Heading4Char"/>
    <w:uiPriority w:val="99"/>
    <w:qFormat/>
    <w:rsid w:val="00F723B7"/>
    <w:pPr>
      <w:keepNext/>
      <w:numPr>
        <w:ilvl w:val="3"/>
        <w:numId w:val="3"/>
      </w:numPr>
      <w:tabs>
        <w:tab w:val="left" w:pos="1440"/>
      </w:tabs>
      <w:spacing w:after="220"/>
      <w:ind w:left="1440" w:hanging="360"/>
      <w:outlineLvl w:val="3"/>
    </w:pPr>
    <w:rPr>
      <w:b/>
      <w:bCs/>
    </w:rPr>
  </w:style>
  <w:style w:type="paragraph" w:styleId="Heading5">
    <w:name w:val="heading 5"/>
    <w:basedOn w:val="Normal"/>
    <w:next w:val="ParaNum"/>
    <w:link w:val="Heading5Char"/>
    <w:uiPriority w:val="99"/>
    <w:qFormat/>
    <w:rsid w:val="00F723B7"/>
    <w:pPr>
      <w:keepNext/>
      <w:numPr>
        <w:ilvl w:val="4"/>
        <w:numId w:val="3"/>
      </w:numPr>
      <w:tabs>
        <w:tab w:val="left" w:pos="1800"/>
      </w:tabs>
      <w:suppressAutoHyphens/>
      <w:spacing w:after="220"/>
      <w:ind w:left="1800" w:hanging="360"/>
      <w:outlineLvl w:val="4"/>
    </w:pPr>
    <w:rPr>
      <w:b/>
      <w:bCs/>
    </w:rPr>
  </w:style>
  <w:style w:type="paragraph" w:styleId="Heading6">
    <w:name w:val="heading 6"/>
    <w:basedOn w:val="Normal"/>
    <w:next w:val="ParaNum"/>
    <w:link w:val="Heading6Char"/>
    <w:uiPriority w:val="99"/>
    <w:qFormat/>
    <w:rsid w:val="00F723B7"/>
    <w:pPr>
      <w:numPr>
        <w:ilvl w:val="5"/>
        <w:numId w:val="3"/>
      </w:numPr>
      <w:tabs>
        <w:tab w:val="left" w:pos="2160"/>
      </w:tabs>
      <w:spacing w:after="220"/>
      <w:ind w:left="2160" w:hanging="360"/>
      <w:outlineLvl w:val="5"/>
    </w:pPr>
    <w:rPr>
      <w:b/>
      <w:bCs/>
    </w:rPr>
  </w:style>
  <w:style w:type="paragraph" w:styleId="Heading7">
    <w:name w:val="heading 7"/>
    <w:basedOn w:val="Normal"/>
    <w:next w:val="ParaNum"/>
    <w:link w:val="Heading7Char"/>
    <w:uiPriority w:val="99"/>
    <w:qFormat/>
    <w:rsid w:val="00F723B7"/>
    <w:pPr>
      <w:numPr>
        <w:ilvl w:val="6"/>
        <w:numId w:val="3"/>
      </w:numPr>
      <w:tabs>
        <w:tab w:val="left" w:pos="2520"/>
      </w:tabs>
      <w:spacing w:after="240"/>
      <w:ind w:left="2520" w:hanging="360"/>
      <w:outlineLvl w:val="6"/>
    </w:pPr>
    <w:rPr>
      <w:b/>
      <w:bCs/>
    </w:rPr>
  </w:style>
  <w:style w:type="paragraph" w:styleId="Heading8">
    <w:name w:val="heading 8"/>
    <w:basedOn w:val="Normal"/>
    <w:next w:val="ParaNum"/>
    <w:link w:val="Heading8Char"/>
    <w:uiPriority w:val="99"/>
    <w:qFormat/>
    <w:rsid w:val="00F723B7"/>
    <w:pPr>
      <w:numPr>
        <w:ilvl w:val="7"/>
        <w:numId w:val="3"/>
      </w:numPr>
      <w:tabs>
        <w:tab w:val="left" w:pos="2880"/>
      </w:tabs>
      <w:spacing w:after="240"/>
      <w:ind w:left="2880" w:hanging="360"/>
      <w:outlineLvl w:val="7"/>
    </w:pPr>
    <w:rPr>
      <w:b/>
      <w:bCs/>
    </w:rPr>
  </w:style>
  <w:style w:type="paragraph" w:styleId="Heading9">
    <w:name w:val="heading 9"/>
    <w:basedOn w:val="Normal"/>
    <w:next w:val="ParaNum"/>
    <w:link w:val="Heading9Char"/>
    <w:uiPriority w:val="99"/>
    <w:qFormat/>
    <w:rsid w:val="00F723B7"/>
    <w:pPr>
      <w:numPr>
        <w:ilvl w:val="8"/>
        <w:numId w:val="3"/>
      </w:numPr>
      <w:tabs>
        <w:tab w:val="left" w:pos="3240"/>
      </w:tabs>
      <w:spacing w:after="240"/>
      <w:ind w:left="3240" w:hanging="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3601"/>
    <w:rPr>
      <w:rFonts w:ascii="Times New Roman Bold" w:hAnsi="Times New Roman Bold" w:cs="Times New Roman"/>
      <w:b/>
      <w:bCs/>
      <w:caps/>
      <w:kern w:val="28"/>
      <w:sz w:val="22"/>
      <w:szCs w:val="22"/>
      <w:lang w:val="en-US" w:eastAsia="en-US" w:bidi="ar-SA"/>
    </w:rPr>
  </w:style>
  <w:style w:type="character" w:customStyle="1" w:styleId="Heading2Char">
    <w:name w:val="Heading 2 Char"/>
    <w:basedOn w:val="DefaultParagraphFont"/>
    <w:link w:val="Heading2"/>
    <w:uiPriority w:val="99"/>
    <w:semiHidden/>
    <w:locked/>
    <w:rsid w:val="005F3601"/>
    <w:rPr>
      <w:rFonts w:cs="Times New Roman"/>
      <w:b/>
      <w:bCs/>
      <w:kern w:val="28"/>
      <w:sz w:val="22"/>
      <w:szCs w:val="22"/>
      <w:lang w:val="en-US" w:eastAsia="en-US" w:bidi="ar-SA"/>
    </w:rPr>
  </w:style>
  <w:style w:type="character" w:customStyle="1" w:styleId="Heading3Char">
    <w:name w:val="Heading 3 Char"/>
    <w:basedOn w:val="DefaultParagraphFont"/>
    <w:link w:val="Heading3"/>
    <w:uiPriority w:val="99"/>
    <w:semiHidden/>
    <w:locked/>
    <w:rsid w:val="005F3601"/>
    <w:rPr>
      <w:rFonts w:cs="Times New Roman"/>
      <w:b/>
      <w:bCs/>
      <w:kern w:val="28"/>
      <w:sz w:val="22"/>
      <w:szCs w:val="22"/>
      <w:lang w:val="en-US" w:eastAsia="en-US" w:bidi="ar-SA"/>
    </w:rPr>
  </w:style>
  <w:style w:type="character" w:customStyle="1" w:styleId="Heading4Char">
    <w:name w:val="Heading 4 Char"/>
    <w:basedOn w:val="DefaultParagraphFont"/>
    <w:link w:val="Heading4"/>
    <w:uiPriority w:val="99"/>
    <w:semiHidden/>
    <w:locked/>
    <w:rsid w:val="005F3601"/>
    <w:rPr>
      <w:rFonts w:cs="Times New Roman"/>
      <w:b/>
      <w:bCs/>
      <w:kern w:val="28"/>
      <w:sz w:val="22"/>
      <w:szCs w:val="22"/>
      <w:lang w:val="en-US" w:eastAsia="en-US" w:bidi="ar-SA"/>
    </w:rPr>
  </w:style>
  <w:style w:type="character" w:customStyle="1" w:styleId="Heading5Char">
    <w:name w:val="Heading 5 Char"/>
    <w:basedOn w:val="DefaultParagraphFont"/>
    <w:link w:val="Heading5"/>
    <w:uiPriority w:val="99"/>
    <w:semiHidden/>
    <w:locked/>
    <w:rsid w:val="005F3601"/>
    <w:rPr>
      <w:rFonts w:cs="Times New Roman"/>
      <w:b/>
      <w:bCs/>
      <w:kern w:val="28"/>
      <w:sz w:val="22"/>
      <w:szCs w:val="22"/>
      <w:lang w:val="en-US" w:eastAsia="en-US" w:bidi="ar-SA"/>
    </w:rPr>
  </w:style>
  <w:style w:type="character" w:customStyle="1" w:styleId="Heading6Char">
    <w:name w:val="Heading 6 Char"/>
    <w:basedOn w:val="DefaultParagraphFont"/>
    <w:link w:val="Heading6"/>
    <w:uiPriority w:val="99"/>
    <w:semiHidden/>
    <w:locked/>
    <w:rsid w:val="005F3601"/>
    <w:rPr>
      <w:rFonts w:cs="Times New Roman"/>
      <w:b/>
      <w:bCs/>
      <w:kern w:val="28"/>
      <w:sz w:val="22"/>
      <w:szCs w:val="22"/>
      <w:lang w:val="en-US" w:eastAsia="en-US" w:bidi="ar-SA"/>
    </w:rPr>
  </w:style>
  <w:style w:type="character" w:customStyle="1" w:styleId="Heading7Char">
    <w:name w:val="Heading 7 Char"/>
    <w:basedOn w:val="DefaultParagraphFont"/>
    <w:link w:val="Heading7"/>
    <w:uiPriority w:val="99"/>
    <w:semiHidden/>
    <w:locked/>
    <w:rsid w:val="005F3601"/>
    <w:rPr>
      <w:rFonts w:cs="Times New Roman"/>
      <w:b/>
      <w:bCs/>
      <w:kern w:val="28"/>
      <w:sz w:val="22"/>
      <w:szCs w:val="22"/>
      <w:lang w:val="en-US" w:eastAsia="en-US" w:bidi="ar-SA"/>
    </w:rPr>
  </w:style>
  <w:style w:type="character" w:customStyle="1" w:styleId="Heading8Char">
    <w:name w:val="Heading 8 Char"/>
    <w:basedOn w:val="DefaultParagraphFont"/>
    <w:link w:val="Heading8"/>
    <w:uiPriority w:val="99"/>
    <w:semiHidden/>
    <w:locked/>
    <w:rsid w:val="005F3601"/>
    <w:rPr>
      <w:rFonts w:cs="Times New Roman"/>
      <w:b/>
      <w:bCs/>
      <w:kern w:val="28"/>
      <w:sz w:val="22"/>
      <w:szCs w:val="22"/>
      <w:lang w:val="en-US" w:eastAsia="en-US" w:bidi="ar-SA"/>
    </w:rPr>
  </w:style>
  <w:style w:type="character" w:customStyle="1" w:styleId="Heading9Char">
    <w:name w:val="Heading 9 Char"/>
    <w:basedOn w:val="DefaultParagraphFont"/>
    <w:link w:val="Heading9"/>
    <w:uiPriority w:val="99"/>
    <w:semiHidden/>
    <w:locked/>
    <w:rsid w:val="005F3601"/>
    <w:rPr>
      <w:rFonts w:cs="Times New Roman"/>
      <w:b/>
      <w:bCs/>
      <w:kern w:val="28"/>
      <w:sz w:val="22"/>
      <w:szCs w:val="22"/>
      <w:lang w:val="en-US" w:eastAsia="en-US" w:bidi="ar-SA"/>
    </w:rPr>
  </w:style>
  <w:style w:type="paragraph" w:styleId="BalloonText">
    <w:name w:val="Balloon Text"/>
    <w:basedOn w:val="Normal"/>
    <w:link w:val="BalloonTextChar"/>
    <w:uiPriority w:val="99"/>
    <w:semiHidden/>
    <w:rsid w:val="00F723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3601"/>
    <w:rPr>
      <w:rFonts w:cs="Times New Roman"/>
      <w:kern w:val="28"/>
      <w:sz w:val="2"/>
    </w:rPr>
  </w:style>
  <w:style w:type="paragraph" w:customStyle="1" w:styleId="ParaNum">
    <w:name w:val="ParaNum"/>
    <w:basedOn w:val="Normal"/>
    <w:link w:val="ParaNumChar"/>
    <w:uiPriority w:val="99"/>
    <w:rsid w:val="00F723B7"/>
    <w:pPr>
      <w:numPr>
        <w:numId w:val="2"/>
      </w:numPr>
      <w:spacing w:after="220"/>
    </w:pPr>
    <w:rPr>
      <w:szCs w:val="20"/>
    </w:rPr>
  </w:style>
  <w:style w:type="paragraph" w:styleId="EndnoteText">
    <w:name w:val="endnote text"/>
    <w:basedOn w:val="Normal"/>
    <w:link w:val="EndnoteTextChar"/>
    <w:uiPriority w:val="99"/>
    <w:semiHidden/>
    <w:rsid w:val="00F723B7"/>
    <w:rPr>
      <w:sz w:val="20"/>
      <w:szCs w:val="20"/>
    </w:rPr>
  </w:style>
  <w:style w:type="character" w:customStyle="1" w:styleId="EndnoteTextChar">
    <w:name w:val="Endnote Text Char"/>
    <w:basedOn w:val="DefaultParagraphFont"/>
    <w:link w:val="EndnoteText"/>
    <w:uiPriority w:val="99"/>
    <w:semiHidden/>
    <w:locked/>
    <w:rsid w:val="005F3601"/>
    <w:rPr>
      <w:rFonts w:cs="Times New Roman"/>
      <w:kern w:val="28"/>
      <w:sz w:val="20"/>
      <w:szCs w:val="20"/>
    </w:rPr>
  </w:style>
  <w:style w:type="character" w:styleId="EndnoteReference">
    <w:name w:val="endnote reference"/>
    <w:basedOn w:val="DefaultParagraphFont"/>
    <w:uiPriority w:val="99"/>
    <w:semiHidden/>
    <w:rsid w:val="00F723B7"/>
    <w:rPr>
      <w:rFonts w:cs="Times New Roman"/>
      <w:vertAlign w:val="superscript"/>
    </w:rPr>
  </w:style>
  <w:style w:type="paragraph" w:styleId="FootnoteText">
    <w:name w:val="footnote text"/>
    <w:aliases w:val="Footnote Text Char,Footnote Text Char1 Char,Footnote Text Char Char Char,Footnote Text Char1 Char Char Char,Footnote Text Char Char Char Char Char,rrfootnote Char Char Char Char Char,Footnote Text Char1 Char Char Char Char1 Char,fn,Styl,f"/>
    <w:basedOn w:val="Normal"/>
    <w:link w:val="FootnoteTextChar3"/>
    <w:uiPriority w:val="99"/>
    <w:rsid w:val="00F723B7"/>
    <w:pPr>
      <w:widowControl/>
      <w:tabs>
        <w:tab w:val="left" w:pos="720"/>
        <w:tab w:val="left" w:pos="1440"/>
      </w:tabs>
      <w:spacing w:after="200"/>
      <w:ind w:right="144" w:firstLine="720"/>
      <w:jc w:val="left"/>
    </w:pPr>
    <w:rPr>
      <w:kern w:val="0"/>
      <w:sz w:val="20"/>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rrfootnote Char Char Char Char Char Char,fn Char,Styl Char"/>
    <w:basedOn w:val="DefaultParagraphFont"/>
    <w:uiPriority w:val="99"/>
    <w:semiHidden/>
    <w:locked/>
    <w:rsid w:val="005F3601"/>
    <w:rPr>
      <w:rFonts w:cs="Times New Roman"/>
      <w:kern w:val="28"/>
      <w:sz w:val="20"/>
      <w:szCs w:val="20"/>
    </w:rPr>
  </w:style>
  <w:style w:type="character" w:styleId="FootnoteReference">
    <w:name w:val="footnote reference"/>
    <w:aliases w:val="Style 4,Style 12,(NECG) Footnote Reference,Appel note de bas de p,Style 124,Style 13,o,fr,Style 3"/>
    <w:basedOn w:val="DefaultParagraphFont"/>
    <w:uiPriority w:val="99"/>
    <w:rsid w:val="00F723B7"/>
    <w:rPr>
      <w:rFonts w:ascii="Times New Roman" w:hAnsi="Times New Roman" w:cs="Times New Roman"/>
      <w:color w:val="auto"/>
      <w:sz w:val="22"/>
      <w:vertAlign w:val="superscript"/>
    </w:rPr>
  </w:style>
  <w:style w:type="paragraph" w:styleId="TOC1">
    <w:name w:val="toc 1"/>
    <w:basedOn w:val="Normal"/>
    <w:next w:val="Normal"/>
    <w:uiPriority w:val="99"/>
    <w:rsid w:val="00F723B7"/>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F723B7"/>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F723B7"/>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F723B7"/>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F723B7"/>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F723B7"/>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F723B7"/>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F723B7"/>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F723B7"/>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F723B7"/>
    <w:pPr>
      <w:tabs>
        <w:tab w:val="right" w:pos="9360"/>
      </w:tabs>
      <w:suppressAutoHyphens/>
    </w:pPr>
  </w:style>
  <w:style w:type="character" w:customStyle="1" w:styleId="EquationCaption">
    <w:name w:val="_Equation Caption"/>
    <w:uiPriority w:val="99"/>
    <w:rsid w:val="00F723B7"/>
  </w:style>
  <w:style w:type="paragraph" w:styleId="Header">
    <w:name w:val="header"/>
    <w:basedOn w:val="Normal"/>
    <w:link w:val="HeaderChar"/>
    <w:autoRedefine/>
    <w:uiPriority w:val="99"/>
    <w:rsid w:val="00F723B7"/>
    <w:pPr>
      <w:tabs>
        <w:tab w:val="center" w:pos="4680"/>
        <w:tab w:val="right" w:pos="9360"/>
      </w:tabs>
    </w:pPr>
    <w:rPr>
      <w:b/>
      <w:bCs/>
    </w:rPr>
  </w:style>
  <w:style w:type="character" w:customStyle="1" w:styleId="HeaderChar">
    <w:name w:val="Header Char"/>
    <w:basedOn w:val="DefaultParagraphFont"/>
    <w:link w:val="Header"/>
    <w:uiPriority w:val="99"/>
    <w:semiHidden/>
    <w:locked/>
    <w:rsid w:val="005F3601"/>
    <w:rPr>
      <w:rFonts w:cs="Times New Roman"/>
      <w:kern w:val="28"/>
    </w:rPr>
  </w:style>
  <w:style w:type="paragraph" w:styleId="Footer">
    <w:name w:val="footer"/>
    <w:basedOn w:val="Normal"/>
    <w:link w:val="FooterChar"/>
    <w:uiPriority w:val="99"/>
    <w:rsid w:val="00F723B7"/>
    <w:pPr>
      <w:tabs>
        <w:tab w:val="center" w:pos="4320"/>
        <w:tab w:val="right" w:pos="8640"/>
      </w:tabs>
    </w:pPr>
  </w:style>
  <w:style w:type="character" w:customStyle="1" w:styleId="FooterChar">
    <w:name w:val="Footer Char"/>
    <w:basedOn w:val="DefaultParagraphFont"/>
    <w:link w:val="Footer"/>
    <w:uiPriority w:val="99"/>
    <w:semiHidden/>
    <w:locked/>
    <w:rsid w:val="005F3601"/>
    <w:rPr>
      <w:rFonts w:cs="Times New Roman"/>
      <w:kern w:val="28"/>
    </w:rPr>
  </w:style>
  <w:style w:type="character" w:styleId="PageNumber">
    <w:name w:val="page number"/>
    <w:basedOn w:val="DefaultParagraphFont"/>
    <w:uiPriority w:val="99"/>
    <w:rsid w:val="00F723B7"/>
    <w:rPr>
      <w:rFonts w:cs="Times New Roman"/>
    </w:rPr>
  </w:style>
  <w:style w:type="paragraph" w:styleId="BlockText">
    <w:name w:val="Block Text"/>
    <w:basedOn w:val="Normal"/>
    <w:uiPriority w:val="99"/>
    <w:rsid w:val="00F723B7"/>
    <w:pPr>
      <w:spacing w:after="240"/>
      <w:ind w:left="1440" w:right="1440"/>
    </w:pPr>
  </w:style>
  <w:style w:type="paragraph" w:customStyle="1" w:styleId="Paratitle">
    <w:name w:val="Para title"/>
    <w:basedOn w:val="Normal"/>
    <w:uiPriority w:val="99"/>
    <w:rsid w:val="00F723B7"/>
    <w:pPr>
      <w:tabs>
        <w:tab w:val="center" w:pos="9270"/>
      </w:tabs>
      <w:spacing w:after="240"/>
      <w:jc w:val="left"/>
    </w:pPr>
    <w:rPr>
      <w:spacing w:val="-2"/>
    </w:rPr>
  </w:style>
  <w:style w:type="paragraph" w:customStyle="1" w:styleId="Bullet">
    <w:name w:val="Bullet"/>
    <w:basedOn w:val="Normal"/>
    <w:uiPriority w:val="99"/>
    <w:rsid w:val="00F723B7"/>
    <w:pPr>
      <w:numPr>
        <w:numId w:val="1"/>
      </w:numPr>
      <w:tabs>
        <w:tab w:val="clear" w:pos="360"/>
        <w:tab w:val="left" w:pos="2160"/>
      </w:tabs>
      <w:spacing w:after="220"/>
      <w:ind w:left="2160" w:hanging="720"/>
    </w:pPr>
  </w:style>
  <w:style w:type="paragraph" w:customStyle="1" w:styleId="TableFormat">
    <w:name w:val="TableFormat"/>
    <w:basedOn w:val="Bullet"/>
    <w:uiPriority w:val="99"/>
    <w:rsid w:val="00F723B7"/>
    <w:pPr>
      <w:numPr>
        <w:numId w:val="0"/>
      </w:numPr>
      <w:tabs>
        <w:tab w:val="clear" w:pos="2160"/>
        <w:tab w:val="left" w:pos="5040"/>
      </w:tabs>
      <w:ind w:left="5040" w:hanging="3600"/>
    </w:pPr>
  </w:style>
  <w:style w:type="paragraph" w:customStyle="1" w:styleId="TOCTitle">
    <w:name w:val="TOC Title"/>
    <w:basedOn w:val="Normal"/>
    <w:uiPriority w:val="99"/>
    <w:rsid w:val="00F723B7"/>
    <w:pPr>
      <w:spacing w:before="240" w:after="240"/>
      <w:jc w:val="center"/>
    </w:pPr>
    <w:rPr>
      <w:rFonts w:ascii="Times New Roman Bold" w:hAnsi="Times New Roman Bold"/>
      <w:b/>
      <w:bCs/>
      <w:caps/>
      <w:spacing w:val="-2"/>
    </w:rPr>
  </w:style>
  <w:style w:type="character" w:styleId="Hyperlink">
    <w:name w:val="Hyperlink"/>
    <w:basedOn w:val="DefaultParagraphFont"/>
    <w:uiPriority w:val="99"/>
    <w:rsid w:val="00F723B7"/>
    <w:rPr>
      <w:rFonts w:cs="Times New Roman"/>
      <w:color w:val="0000FF"/>
      <w:u w:val="single"/>
    </w:rPr>
  </w:style>
  <w:style w:type="character" w:customStyle="1" w:styleId="FootnoteTextCharChar2">
    <w:name w:val="Footnote Text Char Char2"/>
    <w:aliases w:val="Footnote Text Char1 Char Char1,Footnote Text Char Char Char Char1,rrfootnote Char Char Char Char1,Footnote Text Char1 Char Char Char Char3,Footnote Text Char Char Char Char Char Char3,rrfootnote Char Char Char Char Char Char3"/>
    <w:uiPriority w:val="99"/>
    <w:rsid w:val="00F723B7"/>
    <w:rPr>
      <w:lang w:val="en-US" w:eastAsia="en-US"/>
    </w:rPr>
  </w:style>
  <w:style w:type="character" w:styleId="FollowedHyperlink">
    <w:name w:val="FollowedHyperlink"/>
    <w:basedOn w:val="DefaultParagraphFont"/>
    <w:uiPriority w:val="99"/>
    <w:rsid w:val="00F723B7"/>
    <w:rPr>
      <w:rFonts w:cs="Times New Roman"/>
      <w:color w:val="800080"/>
      <w:u w:val="single"/>
    </w:rPr>
  </w:style>
  <w:style w:type="character" w:customStyle="1" w:styleId="documentbody1">
    <w:name w:val="documentbody1"/>
    <w:uiPriority w:val="99"/>
    <w:rsid w:val="00F723B7"/>
    <w:rPr>
      <w:rFonts w:ascii="Verdana" w:hAnsi="Verdana"/>
      <w:sz w:val="19"/>
      <w:shd w:val="clear" w:color="auto" w:fill="FFFFFF"/>
    </w:rPr>
  </w:style>
  <w:style w:type="character" w:customStyle="1" w:styleId="searchterm3">
    <w:name w:val="searchterm3"/>
    <w:uiPriority w:val="99"/>
    <w:rsid w:val="00F723B7"/>
    <w:rPr>
      <w:rFonts w:ascii="Verdana" w:hAnsi="Verdana"/>
      <w:b/>
      <w:sz w:val="19"/>
      <w:shd w:val="clear" w:color="auto" w:fill="FFFF00"/>
    </w:rPr>
  </w:style>
  <w:style w:type="character" w:customStyle="1" w:styleId="FootnoteTextCharChar1">
    <w:name w:val="Footnote Text Char Char1"/>
    <w:aliases w:val="Footnote Text Char1 Char Char2,Footnote Text Char Char Char Char2,Footnote Text Char1 Char Char Char Char2,Footnote Text Char Char Char Char Char Char2,rrfootnote Char Char Char Char Char Char1,Footnote Text Char2,f Char"/>
    <w:uiPriority w:val="99"/>
    <w:rsid w:val="00F723B7"/>
    <w:rPr>
      <w:lang w:val="en-US" w:eastAsia="en-US"/>
    </w:rPr>
  </w:style>
  <w:style w:type="paragraph" w:customStyle="1" w:styleId="Paranum0">
    <w:name w:val="Paranum"/>
    <w:uiPriority w:val="99"/>
    <w:rsid w:val="00F723B7"/>
    <w:pPr>
      <w:numPr>
        <w:numId w:val="4"/>
      </w:numPr>
      <w:tabs>
        <w:tab w:val="left" w:pos="1440"/>
      </w:tabs>
      <w:spacing w:after="240"/>
      <w:jc w:val="both"/>
    </w:pPr>
  </w:style>
  <w:style w:type="paragraph" w:styleId="NormalWeb">
    <w:name w:val="Normal (Web)"/>
    <w:basedOn w:val="Normal"/>
    <w:uiPriority w:val="99"/>
    <w:rsid w:val="00F723B7"/>
    <w:pPr>
      <w:widowControl/>
      <w:spacing w:before="100" w:beforeAutospacing="1" w:after="100" w:afterAutospacing="1"/>
      <w:jc w:val="left"/>
    </w:pPr>
    <w:rPr>
      <w:kern w:val="0"/>
      <w:sz w:val="24"/>
      <w:szCs w:val="24"/>
    </w:rPr>
  </w:style>
  <w:style w:type="character" w:customStyle="1" w:styleId="searchterm2">
    <w:name w:val="searchterm2"/>
    <w:uiPriority w:val="99"/>
    <w:rsid w:val="00F723B7"/>
    <w:rPr>
      <w:rFonts w:ascii="Verdana" w:hAnsi="Verdana"/>
      <w:b/>
      <w:color w:val="000099"/>
      <w:sz w:val="19"/>
      <w:shd w:val="clear" w:color="auto" w:fill="FFFF00"/>
    </w:rPr>
  </w:style>
  <w:style w:type="paragraph" w:customStyle="1" w:styleId="par1">
    <w:name w:val="par1"/>
    <w:basedOn w:val="Normal"/>
    <w:link w:val="par1Char"/>
    <w:uiPriority w:val="99"/>
    <w:rsid w:val="00F70B4C"/>
    <w:pPr>
      <w:widowControl/>
      <w:numPr>
        <w:numId w:val="5"/>
      </w:numPr>
      <w:jc w:val="left"/>
    </w:pPr>
    <w:rPr>
      <w:kern w:val="0"/>
      <w:szCs w:val="20"/>
    </w:rPr>
  </w:style>
  <w:style w:type="character" w:customStyle="1" w:styleId="FootnoteTextChar3">
    <w:name w:val="Footnote Text Char3"/>
    <w:aliases w:val="Footnote Text Char Char3,Footnote Text Char1 Char Char3,Footnote Text Char Char Char Char3,Footnote Text Char1 Char Char Char Char1,Footnote Text Char Char Char Char Char Char1,rrfootnote Char Char Char Char Char Char2,fn Char1"/>
    <w:link w:val="FootnoteText"/>
    <w:uiPriority w:val="99"/>
    <w:locked/>
    <w:rsid w:val="00A86CE3"/>
    <w:rPr>
      <w:lang w:val="en-US" w:eastAsia="en-US"/>
    </w:rPr>
  </w:style>
  <w:style w:type="character" w:styleId="Strong">
    <w:name w:val="Strong"/>
    <w:basedOn w:val="DefaultParagraphFont"/>
    <w:uiPriority w:val="99"/>
    <w:qFormat/>
    <w:rsid w:val="00A86CE3"/>
    <w:rPr>
      <w:rFonts w:cs="Times New Roman"/>
      <w:b/>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rsid w:val="000300B5"/>
    <w:rPr>
      <w:lang w:val="en-US" w:eastAsia="en-US"/>
    </w:rPr>
  </w:style>
  <w:style w:type="character" w:customStyle="1" w:styleId="ParaNumChar">
    <w:name w:val="ParaNum Char"/>
    <w:link w:val="ParaNum"/>
    <w:uiPriority w:val="99"/>
    <w:locked/>
    <w:rsid w:val="007A55C9"/>
    <w:rPr>
      <w:kern w:val="28"/>
      <w:sz w:val="22"/>
      <w:lang w:val="en-US" w:eastAsia="en-US"/>
    </w:rPr>
  </w:style>
  <w:style w:type="paragraph" w:styleId="ListParagraph">
    <w:name w:val="List Paragraph"/>
    <w:basedOn w:val="Normal"/>
    <w:uiPriority w:val="99"/>
    <w:qFormat/>
    <w:rsid w:val="0069370E"/>
    <w:pPr>
      <w:ind w:left="720"/>
    </w:pPr>
  </w:style>
  <w:style w:type="character" w:customStyle="1" w:styleId="par1Char">
    <w:name w:val="par1 Char"/>
    <w:link w:val="par1"/>
    <w:uiPriority w:val="99"/>
    <w:locked/>
    <w:rsid w:val="009D1548"/>
    <w:rPr>
      <w:sz w:val="22"/>
      <w:lang w:val="en-US" w:eastAsia="en-US"/>
    </w:rPr>
  </w:style>
  <w:style w:type="character" w:styleId="CommentReference">
    <w:name w:val="annotation reference"/>
    <w:basedOn w:val="DefaultParagraphFont"/>
    <w:uiPriority w:val="99"/>
    <w:rsid w:val="005A3317"/>
    <w:rPr>
      <w:rFonts w:cs="Times New Roman"/>
      <w:sz w:val="16"/>
      <w:szCs w:val="16"/>
    </w:rPr>
  </w:style>
  <w:style w:type="paragraph" w:styleId="CommentText">
    <w:name w:val="annotation text"/>
    <w:basedOn w:val="Normal"/>
    <w:link w:val="CommentTextChar"/>
    <w:uiPriority w:val="99"/>
    <w:rsid w:val="005A3317"/>
    <w:rPr>
      <w:sz w:val="20"/>
      <w:szCs w:val="20"/>
    </w:rPr>
  </w:style>
  <w:style w:type="character" w:customStyle="1" w:styleId="CommentTextChar">
    <w:name w:val="Comment Text Char"/>
    <w:basedOn w:val="DefaultParagraphFont"/>
    <w:link w:val="CommentText"/>
    <w:uiPriority w:val="99"/>
    <w:locked/>
    <w:rsid w:val="005A3317"/>
    <w:rPr>
      <w:rFonts w:cs="Times New Roman"/>
      <w:snapToGrid w:val="0"/>
      <w:kern w:val="28"/>
    </w:rPr>
  </w:style>
  <w:style w:type="paragraph" w:styleId="CommentSubject">
    <w:name w:val="annotation subject"/>
    <w:basedOn w:val="CommentText"/>
    <w:next w:val="CommentText"/>
    <w:link w:val="CommentSubjectChar"/>
    <w:uiPriority w:val="99"/>
    <w:rsid w:val="005A3317"/>
    <w:rPr>
      <w:b/>
      <w:bCs/>
    </w:rPr>
  </w:style>
  <w:style w:type="character" w:customStyle="1" w:styleId="CommentSubjectChar">
    <w:name w:val="Comment Subject Char"/>
    <w:basedOn w:val="CommentTextChar"/>
    <w:link w:val="CommentSubject"/>
    <w:uiPriority w:val="99"/>
    <w:locked/>
    <w:rsid w:val="005A3317"/>
    <w:rPr>
      <w:rFonts w:cs="Times New Roman"/>
      <w:b/>
      <w:bCs/>
      <w:snapToGrid w:val="0"/>
      <w:kern w:val="28"/>
    </w:rPr>
  </w:style>
  <w:style w:type="paragraph" w:styleId="Revision">
    <w:name w:val="Revision"/>
    <w:hidden/>
    <w:uiPriority w:val="99"/>
    <w:semiHidden/>
    <w:rsid w:val="000823F3"/>
    <w:rPr>
      <w:kern w:val="28"/>
    </w:rPr>
  </w:style>
  <w:style w:type="numbering" w:styleId="1ai">
    <w:name w:val="Outline List 1"/>
    <w:basedOn w:val="NoList"/>
    <w:uiPriority w:val="99"/>
    <w:semiHidden/>
    <w:unhideWhenUsed/>
    <w:locked/>
    <w:rsid w:val="00F3583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810652">
      <w:marLeft w:val="0"/>
      <w:marRight w:val="0"/>
      <w:marTop w:val="0"/>
      <w:marBottom w:val="0"/>
      <w:divBdr>
        <w:top w:val="none" w:sz="0" w:space="0" w:color="auto"/>
        <w:left w:val="none" w:sz="0" w:space="0" w:color="auto"/>
        <w:bottom w:val="none" w:sz="0" w:space="0" w:color="auto"/>
        <w:right w:val="none" w:sz="0" w:space="0" w:color="auto"/>
      </w:divBdr>
    </w:div>
    <w:div w:id="1769810653">
      <w:marLeft w:val="0"/>
      <w:marRight w:val="0"/>
      <w:marTop w:val="0"/>
      <w:marBottom w:val="0"/>
      <w:divBdr>
        <w:top w:val="none" w:sz="0" w:space="0" w:color="auto"/>
        <w:left w:val="none" w:sz="0" w:space="0" w:color="auto"/>
        <w:bottom w:val="none" w:sz="0" w:space="0" w:color="auto"/>
        <w:right w:val="none" w:sz="0" w:space="0" w:color="auto"/>
      </w:divBdr>
    </w:div>
    <w:div w:id="1769810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2559</Words>
  <Characters>14115</Characters>
  <Application>Microsoft Office Word</Application>
  <DocSecurity>0</DocSecurity>
  <Lines>232</Lines>
  <Paragraphs>55</Paragraphs>
  <ScaleCrop>false</ScaleCrop>
  <HeadingPairs>
    <vt:vector size="2" baseType="variant">
      <vt:variant>
        <vt:lpstr>Title</vt:lpstr>
      </vt:variant>
      <vt:variant>
        <vt:i4>1</vt:i4>
      </vt:variant>
    </vt:vector>
  </HeadingPairs>
  <TitlesOfParts>
    <vt:vector size="1" baseType="lpstr">
      <vt:lpstr>errata</vt:lpstr>
    </vt:vector>
  </TitlesOfParts>
  <Manager/>
  <Company/>
  <LinksUpToDate>false</LinksUpToDate>
  <CharactersWithSpaces>16793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2014-05-12T15:28:00Z</cp:lastPrinted>
  <dcterms:created xsi:type="dcterms:W3CDTF">2014-05-12T18:00:00Z</dcterms:created>
  <dcterms:modified xsi:type="dcterms:W3CDTF">2014-05-12T18:00:00Z</dcterms:modified>
  <cp:category> </cp:category>
  <cp:contentStatus> </cp:contentStatus>
</cp:coreProperties>
</file>