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BA" w:rsidRDefault="007429BA" w:rsidP="007429BA">
      <w:pPr>
        <w:widowControl w:val="0"/>
        <w:rPr>
          <w:sz w:val="22"/>
          <w:szCs w:val="22"/>
        </w:rPr>
      </w:pPr>
      <w:bookmarkStart w:id="0" w:name="_GoBack"/>
      <w:bookmarkEnd w:id="0"/>
    </w:p>
    <w:p w:rsidR="007429BA" w:rsidRDefault="007429BA" w:rsidP="007429BA">
      <w:pPr>
        <w:widowControl w:val="0"/>
        <w:rPr>
          <w:sz w:val="22"/>
          <w:szCs w:val="22"/>
        </w:rPr>
      </w:pPr>
    </w:p>
    <w:p w:rsidR="00B853CB" w:rsidRPr="0031096C" w:rsidRDefault="006349C2" w:rsidP="006256FF">
      <w:pPr>
        <w:widowControl w:val="0"/>
        <w:jc w:val="right"/>
        <w:rPr>
          <w:i/>
          <w:color w:val="FF0000"/>
          <w:sz w:val="18"/>
          <w:szCs w:val="18"/>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256FF">
        <w:rPr>
          <w:b/>
          <w:sz w:val="22"/>
          <w:szCs w:val="22"/>
        </w:rPr>
        <w:t>DA 14-637</w:t>
      </w:r>
      <w:r>
        <w:rPr>
          <w:sz w:val="22"/>
          <w:szCs w:val="22"/>
        </w:rPr>
        <w:tab/>
      </w:r>
    </w:p>
    <w:p w:rsidR="006256FF" w:rsidRDefault="006256FF" w:rsidP="007429BA">
      <w:pPr>
        <w:widowControl w:val="0"/>
        <w:rPr>
          <w:sz w:val="22"/>
          <w:szCs w:val="22"/>
        </w:rPr>
      </w:pPr>
    </w:p>
    <w:p w:rsidR="007429BA" w:rsidRPr="007429BA" w:rsidRDefault="007429BA" w:rsidP="007429BA">
      <w:pPr>
        <w:widowControl w:val="0"/>
        <w:rPr>
          <w:sz w:val="22"/>
          <w:szCs w:val="22"/>
        </w:rPr>
      </w:pPr>
      <w:r w:rsidRPr="007429BA">
        <w:rPr>
          <w:sz w:val="22"/>
          <w:szCs w:val="22"/>
        </w:rPr>
        <w:t>Ms. Joslyn Read</w:t>
      </w:r>
    </w:p>
    <w:p w:rsidR="007429BA" w:rsidRPr="007429BA" w:rsidRDefault="007429BA" w:rsidP="007429BA">
      <w:pPr>
        <w:widowControl w:val="0"/>
        <w:rPr>
          <w:sz w:val="22"/>
          <w:szCs w:val="22"/>
        </w:rPr>
      </w:pPr>
      <w:r w:rsidRPr="007429BA">
        <w:rPr>
          <w:sz w:val="22"/>
          <w:szCs w:val="22"/>
        </w:rPr>
        <w:t>Vice President, Regulatory Affairs</w:t>
      </w:r>
    </w:p>
    <w:p w:rsidR="007429BA" w:rsidRPr="007429BA" w:rsidRDefault="007429BA" w:rsidP="007429BA">
      <w:pPr>
        <w:widowControl w:val="0"/>
        <w:rPr>
          <w:sz w:val="22"/>
          <w:szCs w:val="22"/>
        </w:rPr>
      </w:pPr>
      <w:r w:rsidRPr="007429BA">
        <w:rPr>
          <w:sz w:val="22"/>
          <w:szCs w:val="22"/>
        </w:rPr>
        <w:t>O3b Limited</w:t>
      </w:r>
    </w:p>
    <w:p w:rsidR="007429BA" w:rsidRPr="007429BA" w:rsidRDefault="007429BA" w:rsidP="007429BA">
      <w:pPr>
        <w:widowControl w:val="0"/>
        <w:rPr>
          <w:sz w:val="22"/>
          <w:szCs w:val="22"/>
        </w:rPr>
      </w:pPr>
      <w:r w:rsidRPr="007429BA">
        <w:rPr>
          <w:sz w:val="22"/>
          <w:szCs w:val="22"/>
        </w:rPr>
        <w:t>900 17</w:t>
      </w:r>
      <w:r w:rsidRPr="007429BA">
        <w:rPr>
          <w:sz w:val="22"/>
          <w:szCs w:val="22"/>
          <w:vertAlign w:val="superscript"/>
        </w:rPr>
        <w:t>th</w:t>
      </w:r>
      <w:r w:rsidRPr="007429BA">
        <w:rPr>
          <w:sz w:val="22"/>
          <w:szCs w:val="22"/>
        </w:rPr>
        <w:t xml:space="preserve"> Street NW, Suite 300</w:t>
      </w:r>
    </w:p>
    <w:p w:rsidR="007429BA" w:rsidRPr="007429BA" w:rsidRDefault="007429BA" w:rsidP="007429BA">
      <w:pPr>
        <w:widowControl w:val="0"/>
        <w:rPr>
          <w:sz w:val="22"/>
          <w:szCs w:val="22"/>
        </w:rPr>
      </w:pPr>
      <w:r w:rsidRPr="007429BA">
        <w:rPr>
          <w:sz w:val="22"/>
          <w:szCs w:val="22"/>
        </w:rPr>
        <w:t>Washington, DC 20006</w:t>
      </w:r>
    </w:p>
    <w:p w:rsidR="003708EA" w:rsidRDefault="007429BA" w:rsidP="003708EA">
      <w:pPr>
        <w:widowControl w:val="0"/>
        <w:rPr>
          <w:sz w:val="22"/>
          <w:szCs w:val="22"/>
        </w:rPr>
      </w:pPr>
      <w:r w:rsidRPr="007429BA">
        <w:rPr>
          <w:sz w:val="22"/>
          <w:szCs w:val="22"/>
        </w:rPr>
        <w:tab/>
      </w:r>
    </w:p>
    <w:p w:rsidR="005071A7" w:rsidRDefault="005071A7" w:rsidP="005071A7">
      <w:pPr>
        <w:widowControl w:val="0"/>
        <w:ind w:left="2880" w:firstLine="720"/>
        <w:rPr>
          <w:color w:val="2A2A2A"/>
          <w:w w:val="102"/>
          <w:sz w:val="22"/>
          <w:szCs w:val="22"/>
        </w:rPr>
      </w:pPr>
      <w:r>
        <w:rPr>
          <w:color w:val="2A2A2A"/>
          <w:sz w:val="22"/>
          <w:szCs w:val="22"/>
        </w:rPr>
        <w:t>R</w:t>
      </w:r>
      <w:r w:rsidR="007429BA" w:rsidRPr="007429BA">
        <w:rPr>
          <w:color w:val="2A2A2A"/>
          <w:sz w:val="22"/>
          <w:szCs w:val="22"/>
        </w:rPr>
        <w:t>e:</w:t>
      </w:r>
      <w:r>
        <w:rPr>
          <w:color w:val="2A2A2A"/>
          <w:sz w:val="22"/>
          <w:szCs w:val="22"/>
        </w:rPr>
        <w:tab/>
      </w:r>
      <w:r w:rsidR="007429BA" w:rsidRPr="007429BA">
        <w:rPr>
          <w:color w:val="2A2A2A"/>
          <w:sz w:val="22"/>
          <w:szCs w:val="22"/>
        </w:rPr>
        <w:t xml:space="preserve">O3b </w:t>
      </w:r>
      <w:r w:rsidR="007429BA" w:rsidRPr="007429BA">
        <w:rPr>
          <w:color w:val="2A2A2A"/>
          <w:w w:val="102"/>
          <w:sz w:val="22"/>
          <w:szCs w:val="22"/>
        </w:rPr>
        <w:t>Limited</w:t>
      </w:r>
    </w:p>
    <w:p w:rsidR="007429BA" w:rsidRPr="005071A7" w:rsidRDefault="003708EA" w:rsidP="005071A7">
      <w:pPr>
        <w:widowControl w:val="0"/>
        <w:ind w:left="4320"/>
        <w:rPr>
          <w:color w:val="2A2A2A"/>
          <w:sz w:val="22"/>
          <w:szCs w:val="22"/>
        </w:rPr>
      </w:pPr>
      <w:r>
        <w:rPr>
          <w:color w:val="2A2A2A"/>
          <w:sz w:val="22"/>
          <w:szCs w:val="22"/>
        </w:rPr>
        <w:t>Earth Stations on Non-U.S.</w:t>
      </w:r>
      <w:r w:rsidR="005071A7">
        <w:rPr>
          <w:color w:val="2A2A2A"/>
          <w:sz w:val="22"/>
          <w:szCs w:val="22"/>
        </w:rPr>
        <w:t xml:space="preserve"> Registered </w:t>
      </w:r>
      <w:r>
        <w:rPr>
          <w:color w:val="2A2A2A"/>
          <w:sz w:val="22"/>
          <w:szCs w:val="22"/>
        </w:rPr>
        <w:t>Maritime Vessels</w:t>
      </w:r>
      <w:r w:rsidR="005071A7">
        <w:rPr>
          <w:color w:val="2A2A2A"/>
          <w:sz w:val="22"/>
          <w:szCs w:val="22"/>
        </w:rPr>
        <w:t xml:space="preserve"> using the </w:t>
      </w:r>
      <w:r w:rsidR="005071A7">
        <w:rPr>
          <w:sz w:val="22"/>
          <w:szCs w:val="22"/>
        </w:rPr>
        <w:t xml:space="preserve">28.6 - </w:t>
      </w:r>
      <w:r w:rsidR="005071A7" w:rsidRPr="007429BA">
        <w:rPr>
          <w:sz w:val="22"/>
          <w:szCs w:val="22"/>
        </w:rPr>
        <w:t xml:space="preserve">29.1 GHz </w:t>
      </w:r>
      <w:r w:rsidR="005071A7">
        <w:rPr>
          <w:sz w:val="22"/>
          <w:szCs w:val="22"/>
        </w:rPr>
        <w:t xml:space="preserve">and </w:t>
      </w:r>
      <w:r w:rsidR="005071A7" w:rsidRPr="007429BA">
        <w:rPr>
          <w:sz w:val="22"/>
          <w:szCs w:val="22"/>
        </w:rPr>
        <w:t>the 18.8-19.3 GHz frequency band</w:t>
      </w:r>
      <w:r w:rsidR="005071A7">
        <w:rPr>
          <w:sz w:val="22"/>
          <w:szCs w:val="22"/>
        </w:rPr>
        <w:t>s</w:t>
      </w:r>
    </w:p>
    <w:p w:rsidR="005071A7" w:rsidRPr="007429BA" w:rsidRDefault="005071A7" w:rsidP="005071A7">
      <w:pPr>
        <w:widowControl w:val="0"/>
        <w:ind w:left="720" w:firstLine="720"/>
        <w:rPr>
          <w:sz w:val="22"/>
          <w:szCs w:val="22"/>
        </w:rPr>
      </w:pPr>
    </w:p>
    <w:p w:rsidR="007429BA" w:rsidRPr="007429BA" w:rsidRDefault="007429BA" w:rsidP="007429BA">
      <w:pPr>
        <w:widowControl w:val="0"/>
        <w:rPr>
          <w:sz w:val="22"/>
          <w:szCs w:val="22"/>
        </w:rPr>
      </w:pPr>
      <w:r w:rsidRPr="007429BA">
        <w:rPr>
          <w:sz w:val="22"/>
          <w:szCs w:val="22"/>
        </w:rPr>
        <w:t>Dear Ms. Read:</w:t>
      </w:r>
    </w:p>
    <w:p w:rsidR="007429BA" w:rsidRPr="007429BA" w:rsidRDefault="007429BA" w:rsidP="007429BA">
      <w:pPr>
        <w:widowControl w:val="0"/>
        <w:rPr>
          <w:sz w:val="22"/>
          <w:szCs w:val="22"/>
        </w:rPr>
      </w:pPr>
    </w:p>
    <w:p w:rsidR="005E5C37" w:rsidRDefault="007429BA" w:rsidP="005E5C37">
      <w:pPr>
        <w:widowControl w:val="0"/>
        <w:spacing w:before="6"/>
        <w:rPr>
          <w:sz w:val="22"/>
          <w:szCs w:val="22"/>
        </w:rPr>
      </w:pPr>
      <w:r>
        <w:rPr>
          <w:sz w:val="22"/>
          <w:szCs w:val="22"/>
        </w:rPr>
        <w:tab/>
      </w:r>
      <w:r w:rsidR="005E5C37" w:rsidRPr="007429BA">
        <w:rPr>
          <w:sz w:val="22"/>
          <w:szCs w:val="22"/>
        </w:rPr>
        <w:t>On</w:t>
      </w:r>
      <w:r w:rsidR="005E5C37">
        <w:rPr>
          <w:sz w:val="22"/>
          <w:szCs w:val="22"/>
        </w:rPr>
        <w:t xml:space="preserve"> </w:t>
      </w:r>
      <w:r w:rsidR="00E753B9">
        <w:rPr>
          <w:sz w:val="22"/>
          <w:szCs w:val="22"/>
        </w:rPr>
        <w:t>October 23, 2013</w:t>
      </w:r>
      <w:r w:rsidR="005E5C37" w:rsidRPr="007429BA">
        <w:rPr>
          <w:sz w:val="22"/>
          <w:szCs w:val="22"/>
        </w:rPr>
        <w:t>, O3b Limited (O3b) filed a request for waiver of the United States Table of Frequency Allocations and the Commission’s Ka-band Plan</w:t>
      </w:r>
      <w:r w:rsidR="005E5C37" w:rsidRPr="007429BA">
        <w:rPr>
          <w:sz w:val="22"/>
          <w:szCs w:val="22"/>
          <w:vertAlign w:val="superscript"/>
        </w:rPr>
        <w:footnoteReference w:id="2"/>
      </w:r>
      <w:r w:rsidR="005E5C37" w:rsidRPr="007429BA">
        <w:rPr>
          <w:sz w:val="22"/>
          <w:szCs w:val="22"/>
        </w:rPr>
        <w:t xml:space="preserve"> in connection with </w:t>
      </w:r>
      <w:r w:rsidR="007819E8">
        <w:rPr>
          <w:sz w:val="22"/>
          <w:szCs w:val="22"/>
        </w:rPr>
        <w:t xml:space="preserve">its </w:t>
      </w:r>
      <w:r w:rsidR="005E5C37" w:rsidRPr="007429BA">
        <w:rPr>
          <w:sz w:val="22"/>
          <w:szCs w:val="22"/>
        </w:rPr>
        <w:t xml:space="preserve">plan to </w:t>
      </w:r>
      <w:r w:rsidR="005E5C37">
        <w:rPr>
          <w:sz w:val="22"/>
          <w:szCs w:val="22"/>
        </w:rPr>
        <w:t>operate a network of earth stations aboard non-U.S. registered maritime vessels in an</w:t>
      </w:r>
      <w:r w:rsidR="007819E8">
        <w:rPr>
          <w:sz w:val="22"/>
          <w:szCs w:val="22"/>
        </w:rPr>
        <w:t>d</w:t>
      </w:r>
      <w:r w:rsidR="005E5C37">
        <w:rPr>
          <w:sz w:val="22"/>
          <w:szCs w:val="22"/>
        </w:rPr>
        <w:t xml:space="preserve"> near U.S. territorial waters.  O3b filed </w:t>
      </w:r>
      <w:r w:rsidR="00465CB2">
        <w:rPr>
          <w:sz w:val="22"/>
          <w:szCs w:val="22"/>
        </w:rPr>
        <w:t xml:space="preserve">its waiver </w:t>
      </w:r>
      <w:r w:rsidR="005E5C37">
        <w:rPr>
          <w:sz w:val="22"/>
          <w:szCs w:val="22"/>
        </w:rPr>
        <w:t xml:space="preserve">request </w:t>
      </w:r>
      <w:r w:rsidR="005071A7">
        <w:rPr>
          <w:sz w:val="22"/>
          <w:szCs w:val="22"/>
        </w:rPr>
        <w:t xml:space="preserve">in conjunction with its </w:t>
      </w:r>
      <w:r w:rsidR="00465CB2">
        <w:rPr>
          <w:sz w:val="22"/>
          <w:szCs w:val="22"/>
        </w:rPr>
        <w:t>blanket license</w:t>
      </w:r>
      <w:r w:rsidR="005E5C37">
        <w:rPr>
          <w:sz w:val="22"/>
          <w:szCs w:val="22"/>
        </w:rPr>
        <w:t xml:space="preserve"> application to </w:t>
      </w:r>
      <w:r w:rsidR="00465CB2" w:rsidRPr="007429BA">
        <w:rPr>
          <w:sz w:val="22"/>
          <w:szCs w:val="22"/>
        </w:rPr>
        <w:t xml:space="preserve">operate earth stations aboard U.S.-registered maritime vessels that will communicate with O3b’s Ka-band NGSO FSS system </w:t>
      </w:r>
      <w:r w:rsidR="00C06D90" w:rsidRPr="00C06D90">
        <w:rPr>
          <w:sz w:val="22"/>
          <w:szCs w:val="22"/>
        </w:rPr>
        <w:t>in U.S. territorial waters, international waters, and foreign waters</w:t>
      </w:r>
      <w:r w:rsidR="00C06D90">
        <w:rPr>
          <w:sz w:val="22"/>
          <w:szCs w:val="22"/>
        </w:rPr>
        <w:t>.</w:t>
      </w:r>
      <w:r w:rsidR="00FC38C7">
        <w:rPr>
          <w:rStyle w:val="FootnoteReference"/>
          <w:sz w:val="22"/>
          <w:szCs w:val="22"/>
        </w:rPr>
        <w:footnoteReference w:id="3"/>
      </w:r>
      <w:r w:rsidR="005E5C37">
        <w:rPr>
          <w:sz w:val="22"/>
          <w:szCs w:val="22"/>
        </w:rPr>
        <w:t xml:space="preserve">  </w:t>
      </w:r>
      <w:r w:rsidR="007819E8">
        <w:rPr>
          <w:sz w:val="22"/>
          <w:szCs w:val="22"/>
        </w:rPr>
        <w:t>In its</w:t>
      </w:r>
      <w:r w:rsidR="005E7375">
        <w:rPr>
          <w:sz w:val="22"/>
          <w:szCs w:val="22"/>
        </w:rPr>
        <w:t xml:space="preserve"> application</w:t>
      </w:r>
      <w:r w:rsidR="007819E8">
        <w:rPr>
          <w:sz w:val="22"/>
          <w:szCs w:val="22"/>
        </w:rPr>
        <w:t>, O3b explains that</w:t>
      </w:r>
      <w:r w:rsidR="007474AF">
        <w:rPr>
          <w:sz w:val="22"/>
          <w:szCs w:val="22"/>
        </w:rPr>
        <w:t xml:space="preserve"> it</w:t>
      </w:r>
      <w:r w:rsidR="007819E8">
        <w:rPr>
          <w:sz w:val="22"/>
          <w:szCs w:val="22"/>
        </w:rPr>
        <w:t xml:space="preserve"> </w:t>
      </w:r>
      <w:r w:rsidR="00465CB2">
        <w:rPr>
          <w:sz w:val="22"/>
          <w:szCs w:val="22"/>
        </w:rPr>
        <w:t xml:space="preserve">will operate its earth stations </w:t>
      </w:r>
      <w:r w:rsidR="007819E8">
        <w:rPr>
          <w:sz w:val="22"/>
          <w:szCs w:val="22"/>
        </w:rPr>
        <w:t>aboard both U.S. registered maritime vessels and non-U.S. registered maritime vessels under the same technical characteristics and operating parameters.</w:t>
      </w:r>
      <w:r w:rsidR="007819E8">
        <w:rPr>
          <w:rStyle w:val="FootnoteReference"/>
          <w:sz w:val="22"/>
          <w:szCs w:val="22"/>
        </w:rPr>
        <w:footnoteReference w:id="4"/>
      </w:r>
      <w:r w:rsidR="007819E8">
        <w:rPr>
          <w:sz w:val="22"/>
          <w:szCs w:val="22"/>
        </w:rPr>
        <w:t xml:space="preserve">  In both circumstances, </w:t>
      </w:r>
      <w:r w:rsidR="00DB3F68">
        <w:rPr>
          <w:sz w:val="22"/>
          <w:szCs w:val="22"/>
        </w:rPr>
        <w:t>O</w:t>
      </w:r>
      <w:r w:rsidR="00C06D90">
        <w:rPr>
          <w:sz w:val="22"/>
          <w:szCs w:val="22"/>
        </w:rPr>
        <w:t>3b will use 2.2 meter and 1.2 meter antennas to communicate with its non-geostationary o</w:t>
      </w:r>
      <w:r w:rsidR="00A309B3">
        <w:rPr>
          <w:sz w:val="22"/>
          <w:szCs w:val="22"/>
        </w:rPr>
        <w:t>rbit (NGSO) Fixed-Satellite Service</w:t>
      </w:r>
      <w:r w:rsidR="00C06D90">
        <w:rPr>
          <w:sz w:val="22"/>
          <w:szCs w:val="22"/>
        </w:rPr>
        <w:t xml:space="preserve"> (FSS) system licensed by the United Kingdom.</w:t>
      </w:r>
      <w:r w:rsidR="009844F8" w:rsidRPr="007429BA">
        <w:rPr>
          <w:sz w:val="22"/>
          <w:szCs w:val="22"/>
          <w:vertAlign w:val="superscript"/>
        </w:rPr>
        <w:footnoteReference w:id="5"/>
      </w:r>
      <w:r w:rsidR="00C06D90">
        <w:rPr>
          <w:sz w:val="22"/>
          <w:szCs w:val="22"/>
        </w:rPr>
        <w:t xml:space="preserve"> </w:t>
      </w:r>
      <w:r w:rsidRPr="007429BA">
        <w:rPr>
          <w:sz w:val="22"/>
          <w:szCs w:val="22"/>
        </w:rPr>
        <w:t xml:space="preserve"> The antennas will </w:t>
      </w:r>
      <w:r w:rsidRPr="007429BA">
        <w:rPr>
          <w:sz w:val="22"/>
          <w:szCs w:val="22"/>
        </w:rPr>
        <w:lastRenderedPageBreak/>
        <w:t>transmit in the 28.6-29.1 GHz frequency band and receive in the 18.8-19.3 GHz frequency band</w:t>
      </w:r>
      <w:r w:rsidRPr="007429BA">
        <w:rPr>
          <w:sz w:val="22"/>
          <w:szCs w:val="22"/>
          <w:vertAlign w:val="superscript"/>
        </w:rPr>
        <w:footnoteReference w:id="6"/>
      </w:r>
      <w:r w:rsidR="007819E8">
        <w:rPr>
          <w:sz w:val="22"/>
          <w:szCs w:val="22"/>
        </w:rPr>
        <w:t xml:space="preserve"> and t</w:t>
      </w:r>
      <w:r w:rsidR="005E5C37">
        <w:rPr>
          <w:sz w:val="22"/>
          <w:szCs w:val="22"/>
        </w:rPr>
        <w:t>he same models of antennas will be installed on the U</w:t>
      </w:r>
      <w:r w:rsidR="00465CB2">
        <w:rPr>
          <w:sz w:val="22"/>
          <w:szCs w:val="22"/>
        </w:rPr>
        <w:t>.</w:t>
      </w:r>
      <w:r w:rsidR="005E5C37">
        <w:rPr>
          <w:sz w:val="22"/>
          <w:szCs w:val="22"/>
        </w:rPr>
        <w:t>S</w:t>
      </w:r>
      <w:r w:rsidR="00465CB2">
        <w:rPr>
          <w:sz w:val="22"/>
          <w:szCs w:val="22"/>
        </w:rPr>
        <w:t>.</w:t>
      </w:r>
      <w:r w:rsidR="005E5C37">
        <w:rPr>
          <w:sz w:val="22"/>
          <w:szCs w:val="22"/>
        </w:rPr>
        <w:t>-registered vessels and the non-U.S. registered vessels</w:t>
      </w:r>
      <w:r w:rsidR="00465CB2">
        <w:rPr>
          <w:sz w:val="22"/>
          <w:szCs w:val="22"/>
        </w:rPr>
        <w:t>.</w:t>
      </w:r>
      <w:r w:rsidR="005E5C37">
        <w:rPr>
          <w:rStyle w:val="FootnoteReference"/>
          <w:sz w:val="22"/>
          <w:szCs w:val="22"/>
        </w:rPr>
        <w:footnoteReference w:id="7"/>
      </w:r>
      <w:r w:rsidR="00465CB2">
        <w:rPr>
          <w:sz w:val="22"/>
          <w:szCs w:val="22"/>
        </w:rPr>
        <w:t xml:space="preserve">  </w:t>
      </w:r>
      <w:r w:rsidR="005071A7">
        <w:rPr>
          <w:sz w:val="22"/>
          <w:szCs w:val="22"/>
        </w:rPr>
        <w:t>O3b indicates that its operations aboard non-U.S.-registered vessels will be pursuant to an authorization from the country of registry of the respective maritime vessel.</w:t>
      </w:r>
      <w:r w:rsidR="005E7375">
        <w:rPr>
          <w:rStyle w:val="FootnoteReference"/>
          <w:sz w:val="22"/>
          <w:szCs w:val="22"/>
        </w:rPr>
        <w:footnoteReference w:id="8"/>
      </w:r>
      <w:r w:rsidR="005071A7">
        <w:rPr>
          <w:sz w:val="22"/>
          <w:szCs w:val="22"/>
        </w:rPr>
        <w:t xml:space="preserve">  </w:t>
      </w:r>
    </w:p>
    <w:p w:rsidR="005E5C37" w:rsidRDefault="005E5C37" w:rsidP="007429BA">
      <w:pPr>
        <w:widowControl w:val="0"/>
        <w:spacing w:before="6"/>
        <w:rPr>
          <w:rFonts w:eastAsia="Calibri"/>
          <w:sz w:val="22"/>
          <w:szCs w:val="22"/>
        </w:rPr>
      </w:pPr>
    </w:p>
    <w:p w:rsidR="00FC38C7" w:rsidRDefault="00A309B3" w:rsidP="007429BA">
      <w:pPr>
        <w:widowControl w:val="0"/>
        <w:spacing w:before="6"/>
        <w:rPr>
          <w:sz w:val="22"/>
          <w:szCs w:val="22"/>
        </w:rPr>
      </w:pPr>
      <w:r>
        <w:rPr>
          <w:sz w:val="22"/>
          <w:szCs w:val="22"/>
        </w:rPr>
        <w:tab/>
      </w:r>
      <w:r w:rsidR="007429BA" w:rsidRPr="007429BA">
        <w:rPr>
          <w:rFonts w:eastAsia="Calibri"/>
          <w:sz w:val="22"/>
          <w:szCs w:val="22"/>
        </w:rPr>
        <w:t xml:space="preserve">Although the Commission does not license transmissions on non-U.S. registered </w:t>
      </w:r>
      <w:r w:rsidR="005B2927">
        <w:rPr>
          <w:rFonts w:eastAsia="Calibri"/>
          <w:sz w:val="22"/>
          <w:szCs w:val="22"/>
        </w:rPr>
        <w:t xml:space="preserve">maritime </w:t>
      </w:r>
      <w:r w:rsidR="007429BA" w:rsidRPr="007429BA">
        <w:rPr>
          <w:rFonts w:eastAsia="Calibri"/>
          <w:sz w:val="22"/>
          <w:szCs w:val="22"/>
        </w:rPr>
        <w:t>vessels, O3b is nevertheless required to comply with the Commission’s interference regulations to the extent its signals are received within the United States.</w:t>
      </w:r>
      <w:r w:rsidR="007429BA" w:rsidRPr="007429BA">
        <w:rPr>
          <w:rFonts w:eastAsia="Calibri"/>
          <w:sz w:val="22"/>
          <w:szCs w:val="22"/>
          <w:vertAlign w:val="superscript"/>
        </w:rPr>
        <w:footnoteReference w:id="9"/>
      </w:r>
      <w:r w:rsidR="007429BA" w:rsidRPr="007429BA">
        <w:rPr>
          <w:rFonts w:eastAsia="Calibri"/>
          <w:sz w:val="22"/>
          <w:szCs w:val="22"/>
        </w:rPr>
        <w:t xml:space="preserve">  </w:t>
      </w:r>
      <w:r w:rsidR="007429BA" w:rsidRPr="007429BA">
        <w:rPr>
          <w:rFonts w:eastAsia="Calibri"/>
          <w:color w:val="000000"/>
          <w:sz w:val="22"/>
          <w:szCs w:val="22"/>
        </w:rPr>
        <w:t xml:space="preserve">The use of the radiocommunication frequencies in the United States must be in accordance with the Table of Frequency Allocations </w:t>
      </w:r>
      <w:bookmarkStart w:id="5" w:name="SR;1741"/>
      <w:bookmarkStart w:id="6" w:name="SR;1743"/>
      <w:bookmarkEnd w:id="5"/>
      <w:bookmarkEnd w:id="6"/>
      <w:r w:rsidR="007429BA" w:rsidRPr="007429BA">
        <w:rPr>
          <w:rFonts w:eastAsia="Calibri"/>
          <w:color w:val="000000"/>
          <w:sz w:val="22"/>
          <w:szCs w:val="22"/>
        </w:rPr>
        <w:t>contained in Section 2.106 of the Commission’s rules</w:t>
      </w:r>
      <w:bookmarkStart w:id="7" w:name="FN[FN32]"/>
      <w:bookmarkEnd w:id="7"/>
      <w:r w:rsidR="007429BA" w:rsidRPr="007429BA">
        <w:rPr>
          <w:rFonts w:eastAsia="Calibri"/>
          <w:color w:val="000000"/>
          <w:sz w:val="22"/>
          <w:szCs w:val="22"/>
        </w:rPr>
        <w:t xml:space="preserve">.  O3b plans to </w:t>
      </w:r>
      <w:r w:rsidR="007740FD">
        <w:rPr>
          <w:rFonts w:eastAsia="Calibri"/>
          <w:color w:val="000000"/>
          <w:sz w:val="22"/>
          <w:szCs w:val="22"/>
        </w:rPr>
        <w:t>operate the earth stations</w:t>
      </w:r>
      <w:r>
        <w:rPr>
          <w:rFonts w:eastAsia="Calibri"/>
          <w:color w:val="000000"/>
          <w:sz w:val="22"/>
          <w:szCs w:val="22"/>
        </w:rPr>
        <w:t xml:space="preserve"> on non-U.S. registered vessels </w:t>
      </w:r>
      <w:r w:rsidR="007429BA" w:rsidRPr="007429BA">
        <w:rPr>
          <w:rFonts w:eastAsia="Calibri"/>
          <w:color w:val="000000"/>
          <w:sz w:val="22"/>
          <w:szCs w:val="22"/>
        </w:rPr>
        <w:t xml:space="preserve">in frequency bands allocated to NGSO FSS on a primary basis, and seeks a waiver to the extent necessary to allow use of these bands aboard </w:t>
      </w:r>
      <w:r>
        <w:rPr>
          <w:rFonts w:eastAsia="Calibri"/>
          <w:color w:val="000000"/>
          <w:sz w:val="22"/>
          <w:szCs w:val="22"/>
        </w:rPr>
        <w:t>non-U.S. registered vessels when operating in U.S. territorial waters.  Because</w:t>
      </w:r>
      <w:r w:rsidR="007429BA" w:rsidRPr="007429BA">
        <w:rPr>
          <w:rFonts w:eastAsia="Calibri"/>
          <w:color w:val="000000"/>
          <w:sz w:val="22"/>
          <w:szCs w:val="22"/>
        </w:rPr>
        <w:t xml:space="preserve"> the Commission has not adopted technical rules governing satellite operations in the Ka-band NGSO FSS bands aboard maritime vessels,</w:t>
      </w:r>
      <w:r w:rsidR="007429BA" w:rsidRPr="007429BA">
        <w:rPr>
          <w:sz w:val="22"/>
          <w:szCs w:val="22"/>
          <w:vertAlign w:val="superscript"/>
        </w:rPr>
        <w:footnoteReference w:id="10"/>
      </w:r>
      <w:r w:rsidR="007429BA" w:rsidRPr="007429BA">
        <w:rPr>
          <w:sz w:val="22"/>
          <w:szCs w:val="22"/>
        </w:rPr>
        <w:t xml:space="preserve"> </w:t>
      </w:r>
      <w:r w:rsidR="007429BA" w:rsidRPr="007429BA">
        <w:rPr>
          <w:rFonts w:eastAsia="Calibri"/>
          <w:color w:val="000000"/>
          <w:sz w:val="22"/>
          <w:szCs w:val="22"/>
        </w:rPr>
        <w:t>we</w:t>
      </w:r>
      <w:r w:rsidR="007429BA" w:rsidRPr="007429BA">
        <w:rPr>
          <w:rFonts w:eastAsia="Calibri"/>
          <w:sz w:val="22"/>
          <w:szCs w:val="22"/>
        </w:rPr>
        <w:t xml:space="preserve"> view O3b’s planned </w:t>
      </w:r>
      <w:r w:rsidR="007740FD">
        <w:rPr>
          <w:rFonts w:eastAsia="Calibri"/>
          <w:sz w:val="22"/>
          <w:szCs w:val="22"/>
        </w:rPr>
        <w:t xml:space="preserve">operations </w:t>
      </w:r>
      <w:r w:rsidR="007429BA" w:rsidRPr="007429BA">
        <w:rPr>
          <w:rFonts w:eastAsia="Calibri"/>
          <w:sz w:val="22"/>
          <w:szCs w:val="22"/>
        </w:rPr>
        <w:t xml:space="preserve">as requiring a waiver </w:t>
      </w:r>
      <w:r w:rsidR="007429BA" w:rsidRPr="007429BA">
        <w:rPr>
          <w:sz w:val="22"/>
          <w:szCs w:val="22"/>
        </w:rPr>
        <w:t>of the Commission’s Table of Frequency Allocations and the Ka-band Plan.</w:t>
      </w:r>
      <w:bookmarkStart w:id="8" w:name="SearchTerm"/>
      <w:r w:rsidR="007429BA" w:rsidRPr="007429BA">
        <w:rPr>
          <w:sz w:val="22"/>
          <w:szCs w:val="22"/>
        </w:rPr>
        <w:t xml:space="preserve">  </w:t>
      </w:r>
    </w:p>
    <w:p w:rsidR="00FC38C7" w:rsidRDefault="00FC38C7" w:rsidP="007429BA">
      <w:pPr>
        <w:widowControl w:val="0"/>
        <w:spacing w:before="6"/>
        <w:rPr>
          <w:sz w:val="22"/>
          <w:szCs w:val="22"/>
        </w:rPr>
      </w:pPr>
    </w:p>
    <w:p w:rsidR="007429BA" w:rsidRPr="007429BA" w:rsidRDefault="00FC38C7" w:rsidP="007429BA">
      <w:pPr>
        <w:widowControl w:val="0"/>
        <w:spacing w:before="6"/>
        <w:rPr>
          <w:rFonts w:eastAsia="Calibri"/>
          <w:color w:val="000000"/>
          <w:sz w:val="22"/>
          <w:szCs w:val="22"/>
        </w:rPr>
      </w:pPr>
      <w:r>
        <w:rPr>
          <w:sz w:val="22"/>
          <w:szCs w:val="22"/>
        </w:rPr>
        <w:tab/>
      </w:r>
      <w:r w:rsidR="007429BA" w:rsidRPr="007429BA">
        <w:rPr>
          <w:sz w:val="22"/>
          <w:szCs w:val="22"/>
        </w:rPr>
        <w:t xml:space="preserve">In </w:t>
      </w:r>
      <w:r w:rsidR="007429BA" w:rsidRPr="007429BA">
        <w:rPr>
          <w:rFonts w:eastAsia="Calibri"/>
          <w:color w:val="000000"/>
          <w:sz w:val="22"/>
          <w:szCs w:val="22"/>
        </w:rPr>
        <w:t xml:space="preserve">considering requests for non-conforming spectrum uses, the Commission has indicated it would generally grant such waivers when there is little potential for interference into any service authorized under the Table of Frequency Allocations and when the non-conforming operator accepts any </w:t>
      </w:r>
      <w:r w:rsidR="007429BA" w:rsidRPr="007429BA">
        <w:rPr>
          <w:rFonts w:eastAsia="Calibri"/>
          <w:color w:val="000000"/>
          <w:sz w:val="22"/>
          <w:szCs w:val="22"/>
        </w:rPr>
        <w:lastRenderedPageBreak/>
        <w:t>interference from authorized services.</w:t>
      </w:r>
      <w:r w:rsidR="007429BA" w:rsidRPr="007429BA">
        <w:rPr>
          <w:rFonts w:eastAsia="Calibri"/>
          <w:color w:val="000000"/>
          <w:sz w:val="22"/>
          <w:szCs w:val="22"/>
          <w:vertAlign w:val="superscript"/>
        </w:rPr>
        <w:footnoteReference w:id="11"/>
      </w:r>
      <w:bookmarkEnd w:id="8"/>
      <w:r w:rsidR="007429BA" w:rsidRPr="007429BA">
        <w:rPr>
          <w:rFonts w:eastAsia="Calibri"/>
          <w:color w:val="000000"/>
          <w:sz w:val="22"/>
          <w:szCs w:val="22"/>
        </w:rPr>
        <w:t xml:space="preserve">  O3b represents that its operations will not cause harmful int</w:t>
      </w:r>
      <w:r w:rsidR="009844F8">
        <w:rPr>
          <w:rFonts w:eastAsia="Calibri"/>
          <w:color w:val="000000"/>
          <w:sz w:val="22"/>
          <w:szCs w:val="22"/>
        </w:rPr>
        <w:t>e</w:t>
      </w:r>
      <w:r w:rsidR="007429BA" w:rsidRPr="007429BA">
        <w:rPr>
          <w:rFonts w:eastAsia="Calibri"/>
          <w:color w:val="000000"/>
          <w:sz w:val="22"/>
          <w:szCs w:val="22"/>
        </w:rPr>
        <w:t>rference to present or future users.</w:t>
      </w:r>
      <w:r w:rsidR="00A309B3">
        <w:rPr>
          <w:rFonts w:eastAsia="Calibri"/>
          <w:color w:val="000000"/>
          <w:sz w:val="22"/>
          <w:szCs w:val="22"/>
          <w:vertAlign w:val="superscript"/>
        </w:rPr>
        <w:t xml:space="preserve"> </w:t>
      </w:r>
      <w:r w:rsidR="008312BA">
        <w:rPr>
          <w:rFonts w:eastAsia="Calibri"/>
          <w:color w:val="000000"/>
          <w:sz w:val="22"/>
          <w:szCs w:val="22"/>
          <w:vertAlign w:val="superscript"/>
        </w:rPr>
        <w:t xml:space="preserve"> </w:t>
      </w:r>
      <w:r w:rsidR="007429BA" w:rsidRPr="007429BA">
        <w:rPr>
          <w:rFonts w:eastAsia="Calibri"/>
          <w:color w:val="000000"/>
          <w:sz w:val="22"/>
          <w:szCs w:val="22"/>
        </w:rPr>
        <w:t>In particular, O3b provides an analysis that</w:t>
      </w:r>
      <w:r w:rsidR="007429BA" w:rsidRPr="007429BA">
        <w:rPr>
          <w:rFonts w:eastAsia="Calibri"/>
          <w:sz w:val="22"/>
          <w:szCs w:val="22"/>
        </w:rPr>
        <w:t xml:space="preserve"> it will not cause interference to any GSO satellite network operating in these bands</w:t>
      </w:r>
      <w:r w:rsidR="007429BA" w:rsidRPr="007429BA">
        <w:rPr>
          <w:rFonts w:eastAsia="Calibri"/>
          <w:sz w:val="22"/>
          <w:szCs w:val="22"/>
          <w:vertAlign w:val="superscript"/>
        </w:rPr>
        <w:footnoteReference w:id="12"/>
      </w:r>
      <w:r w:rsidR="007429BA" w:rsidRPr="007429BA">
        <w:rPr>
          <w:rFonts w:eastAsia="Calibri"/>
          <w:sz w:val="22"/>
          <w:szCs w:val="22"/>
        </w:rPr>
        <w:t xml:space="preserve"> and will accept interference from any terrestrial users.</w:t>
      </w:r>
      <w:r w:rsidR="007429BA" w:rsidRPr="007429BA">
        <w:rPr>
          <w:rFonts w:eastAsia="Calibri"/>
          <w:sz w:val="22"/>
          <w:szCs w:val="22"/>
          <w:vertAlign w:val="superscript"/>
        </w:rPr>
        <w:footnoteReference w:id="13"/>
      </w:r>
      <w:r w:rsidR="007429BA" w:rsidRPr="007429BA">
        <w:rPr>
          <w:rFonts w:eastAsia="Calibri"/>
          <w:sz w:val="22"/>
          <w:szCs w:val="22"/>
        </w:rPr>
        <w:t xml:space="preserve">  At present, there are no other NGSO FSS satellite systems operating in these bands.  No parties commented on its proposed operations</w:t>
      </w:r>
      <w:r w:rsidR="003708EA" w:rsidRPr="007429BA">
        <w:rPr>
          <w:rFonts w:eastAsia="Calibri"/>
          <w:sz w:val="22"/>
          <w:szCs w:val="22"/>
        </w:rPr>
        <w:t>.</w:t>
      </w:r>
      <w:r w:rsidR="005E7375">
        <w:rPr>
          <w:rFonts w:eastAsia="Calibri"/>
          <w:sz w:val="22"/>
          <w:szCs w:val="22"/>
        </w:rPr>
        <w:t xml:space="preserve">  </w:t>
      </w:r>
      <w:r w:rsidR="007429BA" w:rsidRPr="007429BA">
        <w:rPr>
          <w:rFonts w:eastAsia="Calibri"/>
          <w:color w:val="000000"/>
          <w:sz w:val="22"/>
          <w:szCs w:val="22"/>
        </w:rPr>
        <w:t>Based on the information on file with the Commission, the</w:t>
      </w:r>
      <w:r w:rsidR="00A309B3">
        <w:rPr>
          <w:rFonts w:eastAsia="Calibri"/>
          <w:color w:val="000000"/>
          <w:sz w:val="22"/>
          <w:szCs w:val="22"/>
        </w:rPr>
        <w:t xml:space="preserve"> proposed operations </w:t>
      </w:r>
      <w:r w:rsidR="007429BA" w:rsidRPr="007429BA">
        <w:rPr>
          <w:rFonts w:eastAsia="Calibri"/>
          <w:color w:val="000000"/>
          <w:sz w:val="22"/>
          <w:szCs w:val="22"/>
        </w:rPr>
        <w:t>do not pose a risk of interference to other users of the band.  Consequently,</w:t>
      </w:r>
      <w:r w:rsidR="007C46F1">
        <w:rPr>
          <w:rFonts w:eastAsia="Calibri"/>
          <w:color w:val="000000"/>
          <w:sz w:val="22"/>
          <w:szCs w:val="22"/>
        </w:rPr>
        <w:t xml:space="preserve"> we grant O3b’s waiver request</w:t>
      </w:r>
      <w:r w:rsidR="007429BA" w:rsidRPr="007429BA">
        <w:rPr>
          <w:rFonts w:eastAsia="Calibri"/>
          <w:color w:val="000000"/>
          <w:sz w:val="22"/>
          <w:szCs w:val="22"/>
        </w:rPr>
        <w:t xml:space="preserve"> conditioned on operations on an unprotected, non-interference basis in the 28.6-29.1 GHz (Earth-to-space) and 18.8-19.3 GHz (space-to-Earth) bands.</w:t>
      </w:r>
      <w:r w:rsidR="005071A7">
        <w:rPr>
          <w:rFonts w:eastAsia="Calibri"/>
          <w:color w:val="000000"/>
          <w:sz w:val="22"/>
          <w:szCs w:val="22"/>
        </w:rPr>
        <w:t xml:space="preserve">  </w:t>
      </w:r>
      <w:r w:rsidR="007429BA" w:rsidRPr="007429BA">
        <w:rPr>
          <w:rFonts w:eastAsia="Calibri"/>
          <w:color w:val="000000"/>
          <w:sz w:val="22"/>
          <w:szCs w:val="22"/>
        </w:rPr>
        <w:t>Accordingly, O3b’s operations</w:t>
      </w:r>
      <w:r w:rsidR="00191807">
        <w:rPr>
          <w:rFonts w:eastAsia="Calibri"/>
          <w:color w:val="000000"/>
          <w:sz w:val="22"/>
          <w:szCs w:val="22"/>
        </w:rPr>
        <w:t xml:space="preserve"> on non-U.S. registered maritime vessels</w:t>
      </w:r>
      <w:r w:rsidR="007429BA" w:rsidRPr="007429BA">
        <w:rPr>
          <w:rFonts w:eastAsia="Calibri"/>
          <w:color w:val="000000"/>
          <w:sz w:val="22"/>
          <w:szCs w:val="22"/>
        </w:rPr>
        <w:t xml:space="preserve"> must accept interference from any authorized users in these bands and may not cause harmful interference to any authorized user in these bands.  </w:t>
      </w:r>
    </w:p>
    <w:p w:rsidR="007429BA" w:rsidRPr="007429BA" w:rsidRDefault="007429BA" w:rsidP="007429BA">
      <w:pPr>
        <w:widowControl w:val="0"/>
        <w:spacing w:before="6"/>
        <w:rPr>
          <w:rFonts w:eastAsia="Calibri"/>
          <w:color w:val="000000"/>
          <w:sz w:val="22"/>
          <w:szCs w:val="22"/>
        </w:rPr>
      </w:pPr>
    </w:p>
    <w:p w:rsidR="007429BA" w:rsidRPr="007429BA" w:rsidRDefault="007429BA" w:rsidP="007429BA">
      <w:pPr>
        <w:widowControl w:val="0"/>
        <w:spacing w:before="6"/>
        <w:rPr>
          <w:rFonts w:eastAsia="Calibri"/>
          <w:color w:val="000000"/>
          <w:sz w:val="22"/>
          <w:szCs w:val="22"/>
        </w:rPr>
      </w:pPr>
    </w:p>
    <w:p w:rsidR="007429BA" w:rsidRPr="007429BA" w:rsidRDefault="007429BA" w:rsidP="007429BA">
      <w:pPr>
        <w:widowControl w:val="0"/>
        <w:spacing w:before="6"/>
        <w:rPr>
          <w:rFonts w:eastAsia="Calibri"/>
          <w:color w:val="000000"/>
          <w:sz w:val="22"/>
          <w:szCs w:val="22"/>
        </w:rPr>
      </w:pPr>
    </w:p>
    <w:p w:rsidR="007429BA" w:rsidRPr="007429BA" w:rsidRDefault="007429BA" w:rsidP="007429BA">
      <w:pPr>
        <w:widowControl w:val="0"/>
        <w:spacing w:before="6"/>
        <w:rPr>
          <w:rFonts w:eastAsia="Calibri"/>
          <w:color w:val="000000"/>
          <w:sz w:val="22"/>
          <w:szCs w:val="22"/>
        </w:rPr>
      </w:pPr>
      <w:r w:rsidRPr="007429BA">
        <w:rPr>
          <w:rFonts w:eastAsia="Calibri"/>
          <w:color w:val="000000"/>
          <w:sz w:val="22"/>
          <w:szCs w:val="22"/>
        </w:rPr>
        <w:tab/>
      </w:r>
      <w:r w:rsidRPr="007429BA">
        <w:rPr>
          <w:rFonts w:eastAsia="Calibri"/>
          <w:color w:val="000000"/>
          <w:sz w:val="22"/>
          <w:szCs w:val="22"/>
        </w:rPr>
        <w:tab/>
      </w:r>
      <w:r w:rsidRPr="007429BA">
        <w:rPr>
          <w:rFonts w:eastAsia="Calibri"/>
          <w:color w:val="000000"/>
          <w:sz w:val="22"/>
          <w:szCs w:val="22"/>
        </w:rPr>
        <w:tab/>
      </w:r>
      <w:r w:rsidRPr="007429BA">
        <w:rPr>
          <w:rFonts w:eastAsia="Calibri"/>
          <w:color w:val="000000"/>
          <w:sz w:val="22"/>
          <w:szCs w:val="22"/>
        </w:rPr>
        <w:tab/>
      </w:r>
      <w:r w:rsidRPr="007429BA">
        <w:rPr>
          <w:rFonts w:eastAsia="Calibri"/>
          <w:color w:val="000000"/>
          <w:sz w:val="22"/>
          <w:szCs w:val="22"/>
        </w:rPr>
        <w:tab/>
      </w:r>
      <w:r w:rsidRPr="007429BA">
        <w:rPr>
          <w:rFonts w:eastAsia="Calibri"/>
          <w:color w:val="000000"/>
          <w:sz w:val="22"/>
          <w:szCs w:val="22"/>
        </w:rPr>
        <w:tab/>
      </w:r>
      <w:r w:rsidRPr="007429BA">
        <w:rPr>
          <w:rFonts w:eastAsia="Calibri"/>
          <w:sz w:val="22"/>
          <w:szCs w:val="22"/>
        </w:rPr>
        <w:t>Sincerely,</w:t>
      </w:r>
    </w:p>
    <w:p w:rsidR="007429BA" w:rsidRPr="007429BA" w:rsidRDefault="007429BA" w:rsidP="007429BA">
      <w:pPr>
        <w:widowControl w:val="0"/>
        <w:spacing w:before="6"/>
        <w:ind w:firstLine="720"/>
        <w:jc w:val="center"/>
        <w:rPr>
          <w:rFonts w:eastAsia="Calibri"/>
          <w:sz w:val="22"/>
          <w:szCs w:val="22"/>
        </w:rPr>
      </w:pPr>
    </w:p>
    <w:p w:rsidR="007429BA" w:rsidRPr="007429BA" w:rsidRDefault="007429BA" w:rsidP="007429BA">
      <w:pPr>
        <w:widowControl w:val="0"/>
        <w:spacing w:before="6"/>
        <w:ind w:firstLine="720"/>
        <w:jc w:val="center"/>
        <w:rPr>
          <w:rFonts w:eastAsia="Calibri"/>
          <w:sz w:val="22"/>
          <w:szCs w:val="22"/>
        </w:rPr>
      </w:pPr>
    </w:p>
    <w:p w:rsidR="007429BA" w:rsidRPr="007429BA" w:rsidRDefault="007429BA" w:rsidP="007429BA">
      <w:pPr>
        <w:widowControl w:val="0"/>
        <w:spacing w:before="6"/>
        <w:jc w:val="center"/>
        <w:rPr>
          <w:rFonts w:eastAsia="Calibri"/>
          <w:sz w:val="22"/>
          <w:szCs w:val="22"/>
        </w:rPr>
      </w:pPr>
    </w:p>
    <w:p w:rsidR="007429BA" w:rsidRPr="007429BA" w:rsidRDefault="007429BA" w:rsidP="007429BA">
      <w:pPr>
        <w:widowControl w:val="0"/>
        <w:spacing w:before="6"/>
        <w:jc w:val="both"/>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t xml:space="preserve">Jose </w:t>
      </w:r>
      <w:r w:rsidR="005E2665">
        <w:rPr>
          <w:rFonts w:eastAsia="Calibri"/>
          <w:sz w:val="22"/>
          <w:szCs w:val="22"/>
        </w:rPr>
        <w:t xml:space="preserve">P. </w:t>
      </w:r>
      <w:r w:rsidRPr="007429BA">
        <w:rPr>
          <w:rFonts w:eastAsia="Calibri"/>
          <w:sz w:val="22"/>
          <w:szCs w:val="22"/>
        </w:rPr>
        <w:t>Albuquerque</w:t>
      </w:r>
    </w:p>
    <w:p w:rsidR="007429BA" w:rsidRPr="007429BA" w:rsidRDefault="007429BA" w:rsidP="007429BA">
      <w:pPr>
        <w:widowControl w:val="0"/>
        <w:spacing w:before="6"/>
        <w:jc w:val="both"/>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t>Chief, Satellite Division</w:t>
      </w:r>
    </w:p>
    <w:p w:rsidR="007429BA" w:rsidRPr="007429BA" w:rsidRDefault="007429BA" w:rsidP="007429BA">
      <w:pPr>
        <w:widowControl w:val="0"/>
        <w:spacing w:before="6"/>
        <w:jc w:val="both"/>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t>International Bureau</w:t>
      </w:r>
      <w:r w:rsidRPr="007429BA">
        <w:rPr>
          <w:rFonts w:eastAsia="Calibri"/>
          <w:sz w:val="22"/>
          <w:szCs w:val="22"/>
        </w:rPr>
        <w:tab/>
      </w:r>
    </w:p>
    <w:p w:rsidR="007429BA" w:rsidRPr="007429BA" w:rsidRDefault="007429BA" w:rsidP="007429BA">
      <w:pPr>
        <w:widowControl w:val="0"/>
        <w:spacing w:before="6"/>
        <w:rPr>
          <w:rFonts w:eastAsia="Calibri"/>
          <w:sz w:val="22"/>
          <w:szCs w:val="22"/>
        </w:rPr>
      </w:pPr>
    </w:p>
    <w:p w:rsidR="007429BA" w:rsidRPr="007429BA" w:rsidRDefault="007429BA" w:rsidP="007429BA">
      <w:pPr>
        <w:widowControl w:val="0"/>
        <w:spacing w:before="6"/>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p>
    <w:p w:rsidR="007429BA" w:rsidRPr="007429BA" w:rsidRDefault="007429BA" w:rsidP="007429BA">
      <w:pPr>
        <w:widowControl w:val="0"/>
        <w:spacing w:before="6"/>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p>
    <w:p w:rsidR="00ED14FE" w:rsidRDefault="007429BA" w:rsidP="007429BA">
      <w:pPr>
        <w:widowControl w:val="0"/>
        <w:spacing w:before="6"/>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p>
    <w:p w:rsidR="007429BA" w:rsidRPr="007429BA" w:rsidRDefault="00ED14FE" w:rsidP="007429BA">
      <w:pPr>
        <w:widowControl w:val="0"/>
        <w:spacing w:before="6"/>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sidR="007429BA" w:rsidRPr="007429BA">
        <w:rPr>
          <w:rFonts w:eastAsia="Calibri"/>
          <w:sz w:val="22"/>
          <w:szCs w:val="22"/>
        </w:rPr>
        <w:t>Mark Settle</w:t>
      </w:r>
    </w:p>
    <w:p w:rsidR="007429BA" w:rsidRPr="007429BA" w:rsidRDefault="007429BA" w:rsidP="007429BA">
      <w:pPr>
        <w:widowControl w:val="0"/>
        <w:spacing w:before="6"/>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t>Chief, Policy and Rules Division</w:t>
      </w:r>
    </w:p>
    <w:p w:rsidR="00204CE3" w:rsidRDefault="007429BA" w:rsidP="007429BA">
      <w:pPr>
        <w:rPr>
          <w:rFonts w:eastAsia="Calibri"/>
          <w:sz w:val="22"/>
          <w:szCs w:val="22"/>
        </w:rPr>
      </w:pP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r>
      <w:r w:rsidRPr="007429BA">
        <w:rPr>
          <w:rFonts w:eastAsia="Calibri"/>
          <w:sz w:val="22"/>
          <w:szCs w:val="22"/>
        </w:rPr>
        <w:tab/>
        <w:t xml:space="preserve">Office of Engineering and </w:t>
      </w:r>
      <w:r w:rsidR="00B853CB" w:rsidRPr="007429BA">
        <w:rPr>
          <w:rFonts w:eastAsia="Calibri"/>
          <w:sz w:val="22"/>
          <w:szCs w:val="22"/>
        </w:rPr>
        <w:t>Technology</w:t>
      </w:r>
    </w:p>
    <w:p w:rsidR="001F2BD3" w:rsidRDefault="001F2BD3">
      <w:pPr>
        <w:rPr>
          <w:rFonts w:eastAsia="Calibri"/>
          <w:sz w:val="22"/>
          <w:szCs w:val="22"/>
        </w:rPr>
      </w:pPr>
      <w:r>
        <w:rPr>
          <w:rFonts w:eastAsia="Calibri"/>
          <w:sz w:val="22"/>
          <w:szCs w:val="22"/>
        </w:rPr>
        <w:br w:type="page"/>
      </w:r>
    </w:p>
    <w:p w:rsidR="001F2BD3" w:rsidRDefault="001F2BD3" w:rsidP="001F2BD3">
      <w:pPr>
        <w:jc w:val="center"/>
        <w:rPr>
          <w:rFonts w:eastAsia="Calibri"/>
          <w:b/>
          <w:sz w:val="22"/>
          <w:szCs w:val="22"/>
        </w:rPr>
      </w:pPr>
      <w:r>
        <w:rPr>
          <w:rFonts w:eastAsia="Calibri"/>
          <w:b/>
          <w:sz w:val="22"/>
          <w:szCs w:val="22"/>
        </w:rPr>
        <w:lastRenderedPageBreak/>
        <w:t>ATTACHMENT</w:t>
      </w:r>
    </w:p>
    <w:p w:rsidR="001F2BD3" w:rsidRDefault="001F2BD3" w:rsidP="001F2BD3">
      <w:pPr>
        <w:jc w:val="center"/>
        <w:rPr>
          <w:rFonts w:eastAsia="Calibri"/>
          <w:b/>
          <w:sz w:val="22"/>
          <w:szCs w:val="22"/>
        </w:rPr>
      </w:pPr>
    </w:p>
    <w:p w:rsidR="001F2BD3" w:rsidRPr="001F2BD3" w:rsidRDefault="00390C80" w:rsidP="001F2BD3">
      <w:pPr>
        <w:rPr>
          <w:rFonts w:eastAsia="Calibri"/>
          <w:b/>
          <w:sz w:val="22"/>
          <w:szCs w:val="22"/>
        </w:rPr>
      </w:pPr>
      <w:r>
        <w:rPr>
          <w:rFonts w:eastAsia="Calibri"/>
          <w:b/>
          <w:noProof/>
          <w:sz w:val="22"/>
          <w:szCs w:val="22"/>
        </w:rPr>
        <w:drawing>
          <wp:inline distT="0" distB="0" distL="0" distR="0">
            <wp:extent cx="5943600" cy="7690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594B72" w:rsidRDefault="00594B72" w:rsidP="007429BA">
      <w:pPr>
        <w:rPr>
          <w:rFonts w:eastAsia="Calibri"/>
          <w:sz w:val="22"/>
          <w:szCs w:val="22"/>
        </w:rPr>
      </w:pPr>
    </w:p>
    <w:p w:rsidR="00594B72" w:rsidRDefault="00594B72" w:rsidP="007429BA">
      <w:pPr>
        <w:rPr>
          <w:rFonts w:eastAsia="Calibri"/>
          <w:sz w:val="22"/>
          <w:szCs w:val="22"/>
        </w:rPr>
      </w:pPr>
    </w:p>
    <w:p w:rsidR="00390C80" w:rsidRDefault="00390C80" w:rsidP="007429BA">
      <w:pPr>
        <w:rPr>
          <w:sz w:val="22"/>
          <w:szCs w:val="22"/>
        </w:rPr>
      </w:pPr>
      <w:r>
        <w:rPr>
          <w:noProof/>
          <w:sz w:val="22"/>
          <w:szCs w:val="22"/>
        </w:rPr>
        <w:drawing>
          <wp:inline distT="0" distB="0" distL="0" distR="0">
            <wp:extent cx="5943600" cy="7690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lastRenderedPageBreak/>
        <w:drawing>
          <wp:inline distT="0" distB="0" distL="0" distR="0" wp14:anchorId="65ECA81B" wp14:editId="42FA0FF7">
            <wp:extent cx="5943600" cy="7690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drawing>
          <wp:inline distT="0" distB="0" distL="0" distR="0">
            <wp:extent cx="5943600" cy="7690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drawing>
          <wp:inline distT="0" distB="0" distL="0" distR="0">
            <wp:extent cx="5943600" cy="7690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drawing>
          <wp:inline distT="0" distB="0" distL="0" distR="0">
            <wp:extent cx="5943600" cy="769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drawing>
          <wp:inline distT="0" distB="0" distL="0" distR="0">
            <wp:extent cx="5943600" cy="7690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390C80" w:rsidRDefault="00390C80" w:rsidP="007429BA">
      <w:pPr>
        <w:rPr>
          <w:sz w:val="22"/>
          <w:szCs w:val="22"/>
        </w:rPr>
      </w:pPr>
      <w:r>
        <w:rPr>
          <w:noProof/>
          <w:sz w:val="22"/>
          <w:szCs w:val="22"/>
        </w:rPr>
        <w:drawing>
          <wp:inline distT="0" distB="0" distL="0" distR="0">
            <wp:extent cx="5943600" cy="7690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90C80" w:rsidRDefault="00390C80">
      <w:pPr>
        <w:rPr>
          <w:sz w:val="22"/>
          <w:szCs w:val="22"/>
        </w:rPr>
      </w:pPr>
      <w:r>
        <w:rPr>
          <w:sz w:val="22"/>
          <w:szCs w:val="22"/>
        </w:rPr>
        <w:br w:type="page"/>
      </w:r>
    </w:p>
    <w:p w:rsidR="00594B72" w:rsidRPr="00204CE3" w:rsidRDefault="00390C80" w:rsidP="007429BA">
      <w:pPr>
        <w:rPr>
          <w:sz w:val="22"/>
          <w:szCs w:val="22"/>
        </w:rPr>
      </w:pPr>
      <w:r>
        <w:rPr>
          <w:noProof/>
          <w:sz w:val="22"/>
          <w:szCs w:val="22"/>
        </w:rPr>
        <w:drawing>
          <wp:inline distT="0" distB="0" distL="0" distR="0">
            <wp:extent cx="5943600" cy="7690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LIC2013052800455_Page_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594B72" w:rsidRPr="00204CE3" w:rsidSect="00D2400F">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06" w:rsidRDefault="00D33A06">
      <w:r>
        <w:separator/>
      </w:r>
    </w:p>
  </w:endnote>
  <w:endnote w:type="continuationSeparator" w:id="0">
    <w:p w:rsidR="00D33A06" w:rsidRDefault="00D33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72" w:rsidRDefault="00E578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926216"/>
      <w:docPartObj>
        <w:docPartGallery w:val="Page Numbers (Bottom of Page)"/>
        <w:docPartUnique/>
      </w:docPartObj>
    </w:sdtPr>
    <w:sdtEndPr>
      <w:rPr>
        <w:noProof/>
      </w:rPr>
    </w:sdtEndPr>
    <w:sdtContent>
      <w:p w:rsidR="00594B72" w:rsidRDefault="00594B72">
        <w:pPr>
          <w:pStyle w:val="Footer"/>
          <w:jc w:val="center"/>
        </w:pPr>
        <w:r>
          <w:fldChar w:fldCharType="begin"/>
        </w:r>
        <w:r>
          <w:instrText xml:space="preserve"> PAGE   \* MERGEFORMAT </w:instrText>
        </w:r>
        <w:r>
          <w:fldChar w:fldCharType="separate"/>
        </w:r>
        <w:r w:rsidR="005D1A7A">
          <w:rPr>
            <w:noProof/>
          </w:rPr>
          <w:t>5</w:t>
        </w:r>
        <w:r>
          <w:rPr>
            <w:noProof/>
          </w:rPr>
          <w:fldChar w:fldCharType="end"/>
        </w:r>
      </w:p>
    </w:sdtContent>
  </w:sdt>
  <w:p w:rsidR="00594B72" w:rsidRDefault="00594B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B72" w:rsidRDefault="00594B72">
    <w:pPr>
      <w:pStyle w:val="Footer"/>
      <w:jc w:val="center"/>
    </w:pPr>
  </w:p>
  <w:p w:rsidR="00594B72" w:rsidRDefault="00594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06" w:rsidRDefault="00D33A06">
      <w:r>
        <w:separator/>
      </w:r>
    </w:p>
  </w:footnote>
  <w:footnote w:type="continuationSeparator" w:id="0">
    <w:p w:rsidR="00D33A06" w:rsidRDefault="00D33A06" w:rsidP="00D250E8">
      <w:pPr>
        <w:spacing w:before="120"/>
      </w:pPr>
      <w:r>
        <w:t xml:space="preserve">(Continued from previous page)  </w:t>
      </w:r>
      <w:r>
        <w:separator/>
      </w:r>
    </w:p>
    <w:p w:rsidR="00D33A06" w:rsidRPr="00D250E8" w:rsidRDefault="00D33A06" w:rsidP="00D250E8">
      <w:pPr>
        <w:pStyle w:val="Footer"/>
      </w:pPr>
    </w:p>
  </w:footnote>
  <w:footnote w:type="continuationNotice" w:id="1">
    <w:p w:rsidR="00D33A06" w:rsidRDefault="00D33A06" w:rsidP="00D250E8">
      <w:pPr>
        <w:jc w:val="right"/>
      </w:pPr>
      <w:r>
        <w:t>(continued….)</w:t>
      </w:r>
    </w:p>
    <w:p w:rsidR="00D33A06" w:rsidRDefault="00D33A06"/>
  </w:footnote>
  <w:footnote w:id="2">
    <w:p w:rsidR="005E5C37" w:rsidRPr="007474AF" w:rsidRDefault="005E5C37" w:rsidP="005E5C37">
      <w:pPr>
        <w:pStyle w:val="FootnoteText"/>
        <w:rPr>
          <w:rFonts w:ascii="Times New Roman" w:hAnsi="Times New Roman"/>
          <w:color w:val="000000"/>
        </w:rPr>
      </w:pPr>
      <w:r w:rsidRPr="007474AF">
        <w:rPr>
          <w:rStyle w:val="FootnoteReference"/>
          <w:rFonts w:ascii="Times New Roman" w:hAnsi="Times New Roman"/>
        </w:rPr>
        <w:footnoteRef/>
      </w:r>
      <w:r w:rsidRPr="007474AF">
        <w:rPr>
          <w:rFonts w:ascii="Times New Roman" w:hAnsi="Times New Roman"/>
        </w:rPr>
        <w:t xml:space="preserve"> The Commission issued a series of related Orders in CC Docket No. 92-297.  </w:t>
      </w:r>
      <w:r w:rsidRPr="007474AF">
        <w:rPr>
          <w:rFonts w:ascii="Times New Roman" w:hAnsi="Times New Roman"/>
          <w:i/>
        </w:rPr>
        <w:t>The First Report and Order</w:t>
      </w:r>
      <w:r w:rsidRPr="007474AF">
        <w:rPr>
          <w:rFonts w:ascii="Times New Roman" w:hAnsi="Times New Roman"/>
        </w:rPr>
        <w:t xml:space="preserve"> in the proceeding established an allocation plan for use of the Ka-band by non-Federal users.  </w:t>
      </w:r>
      <w:r w:rsidRPr="007474AF">
        <w:rPr>
          <w:rFonts w:ascii="Times New Roman" w:hAnsi="Times New Roman"/>
          <w:color w:val="000000"/>
        </w:rPr>
        <w:t xml:space="preserve">Rulemaking to Amend Parts 1, 2, 21, and 25 of the Commission's Rules to Redesignate the 27.5-29.5 GHz Frequency Band, to Reallocate the 29.5-30.0 GHz Frequency Band, to Establish Rules and Policies for Local Multipoint Distribution Service and for Fixed Satellite Services, </w:t>
      </w:r>
      <w:r w:rsidRPr="007474AF">
        <w:rPr>
          <w:rFonts w:ascii="Times New Roman" w:hAnsi="Times New Roman"/>
          <w:i/>
          <w:iCs/>
          <w:color w:val="000000"/>
        </w:rPr>
        <w:t xml:space="preserve">First Report and Order and Fourth Notice of Proposed </w:t>
      </w:r>
      <w:r w:rsidRPr="007474AF">
        <w:rPr>
          <w:rFonts w:ascii="Times New Roman" w:hAnsi="Times New Roman"/>
          <w:i/>
          <w:color w:val="000000"/>
        </w:rPr>
        <w:t>Rulemaking</w:t>
      </w:r>
      <w:r w:rsidRPr="007474AF">
        <w:rPr>
          <w:rFonts w:ascii="Times New Roman" w:hAnsi="Times New Roman"/>
          <w:color w:val="000000"/>
        </w:rPr>
        <w:t>, 11 FCC Rcd 19005 (1996) (</w:t>
      </w:r>
      <w:bookmarkStart w:id="1" w:name="SR;21101"/>
      <w:bookmarkStart w:id="2" w:name="SR;21102"/>
      <w:bookmarkStart w:id="3" w:name="SR;21103"/>
      <w:bookmarkEnd w:id="1"/>
      <w:bookmarkEnd w:id="2"/>
      <w:bookmarkEnd w:id="3"/>
      <w:r w:rsidRPr="007474AF">
        <w:rPr>
          <w:rFonts w:ascii="Times New Roman" w:hAnsi="Times New Roman"/>
          <w:color w:val="000000"/>
        </w:rPr>
        <w:t>Ka-band Report and Order),</w:t>
      </w:r>
      <w:bookmarkStart w:id="4" w:name="SR;38396"/>
      <w:bookmarkEnd w:id="4"/>
      <w:r w:rsidRPr="007474AF">
        <w:rPr>
          <w:rFonts w:ascii="Times New Roman" w:hAnsi="Times New Roman"/>
          <w:color w:val="000000"/>
        </w:rPr>
        <w:t xml:space="preserve"> modified by</w:t>
      </w:r>
      <w:r w:rsidRPr="007474AF">
        <w:rPr>
          <w:rFonts w:ascii="Times New Roman" w:hAnsi="Times New Roman"/>
        </w:rPr>
        <w:t xml:space="preserve"> </w:t>
      </w:r>
      <w:r w:rsidRPr="007474AF">
        <w:rPr>
          <w:rFonts w:ascii="Times New Roman" w:hAnsi="Times New Roman"/>
          <w:i/>
          <w:color w:val="000000"/>
        </w:rPr>
        <w:t>Third Report and Order</w:t>
      </w:r>
      <w:r w:rsidRPr="007474AF">
        <w:rPr>
          <w:rFonts w:ascii="Times New Roman" w:hAnsi="Times New Roman"/>
          <w:color w:val="000000"/>
        </w:rPr>
        <w:t>, 12 FCC Rcd 22310 (1997).</w:t>
      </w:r>
    </w:p>
    <w:p w:rsidR="005E5C37" w:rsidRPr="003A171B" w:rsidRDefault="005E5C37" w:rsidP="005E5C37">
      <w:pPr>
        <w:pStyle w:val="FootnoteText"/>
        <w:rPr>
          <w:rFonts w:ascii="Times New Roman" w:hAnsi="Times New Roman"/>
        </w:rPr>
      </w:pPr>
    </w:p>
  </w:footnote>
  <w:footnote w:id="3">
    <w:p w:rsidR="003A171B" w:rsidRPr="003A171B" w:rsidRDefault="00FC38C7" w:rsidP="003A171B">
      <w:pPr>
        <w:widowControl w:val="0"/>
        <w:spacing w:before="6"/>
      </w:pPr>
      <w:r w:rsidRPr="003A171B">
        <w:rPr>
          <w:rStyle w:val="FootnoteReference"/>
        </w:rPr>
        <w:footnoteRef/>
      </w:r>
      <w:r w:rsidRPr="003A171B">
        <w:t xml:space="preserve"> O3b Limited, IBFS File No</w:t>
      </w:r>
      <w:r w:rsidR="00183989">
        <w:t>s</w:t>
      </w:r>
      <w:r w:rsidRPr="003A171B">
        <w:t>. SES-LIC-20130528-00455</w:t>
      </w:r>
      <w:r w:rsidR="00183989">
        <w:t xml:space="preserve"> and SES-AMD-20131025-01138,</w:t>
      </w:r>
      <w:r w:rsidRPr="003A171B">
        <w:t xml:space="preserve"> </w:t>
      </w:r>
      <w:r w:rsidR="005E5C37" w:rsidRPr="003A171B">
        <w:t>Call Sign: E130098 (O3b Blanket Application)</w:t>
      </w:r>
      <w:r w:rsidRPr="003A171B">
        <w:t>.</w:t>
      </w:r>
      <w:r w:rsidR="007474AF" w:rsidRPr="003A171B">
        <w:t xml:space="preserve"> The Blanket Application was placed on Public Notice as acceptable for filing.  Satellite Applications Accepted for Filing,</w:t>
      </w:r>
      <w:r w:rsidR="00183989">
        <w:t xml:space="preserve"> </w:t>
      </w:r>
      <w:r w:rsidR="007474AF" w:rsidRPr="003A171B">
        <w:t>Public Notice, Report No. SES-01600 (Nov. 27, 2013).  No comments were filed.</w:t>
      </w:r>
      <w:r w:rsidR="003A171B" w:rsidRPr="003A171B">
        <w:t xml:space="preserve">  </w:t>
      </w:r>
      <w:r w:rsidR="003A171B">
        <w:t>Earlier today, t</w:t>
      </w:r>
      <w:r w:rsidR="003A171B" w:rsidRPr="003A171B">
        <w:t xml:space="preserve">he Commission granted O3b’s Blanket License Application, a copy of which is attached to this letter. </w:t>
      </w:r>
    </w:p>
    <w:p w:rsidR="00FC38C7" w:rsidRPr="007474AF" w:rsidRDefault="00FC38C7">
      <w:pPr>
        <w:pStyle w:val="FootnoteText"/>
      </w:pPr>
    </w:p>
  </w:footnote>
  <w:footnote w:id="4">
    <w:p w:rsidR="007819E8" w:rsidRPr="007474AF" w:rsidRDefault="007819E8" w:rsidP="007819E8">
      <w:pPr>
        <w:pStyle w:val="FootnoteText"/>
        <w:rPr>
          <w:rFonts w:ascii="Times New Roman" w:hAnsi="Times New Roman"/>
        </w:rPr>
      </w:pPr>
      <w:r w:rsidRPr="007474AF">
        <w:rPr>
          <w:rStyle w:val="FootnoteReference"/>
        </w:rPr>
        <w:footnoteRef/>
      </w:r>
      <w:r w:rsidRPr="007474AF">
        <w:t xml:space="preserve"> </w:t>
      </w:r>
      <w:r w:rsidRPr="007474AF">
        <w:rPr>
          <w:rFonts w:ascii="Times New Roman" w:hAnsi="Times New Roman"/>
        </w:rPr>
        <w:t>O3b Limited, IBFS File No. SES-LIC-20130528-00455 (Blanket Application) at 2, 6, and Response to FCC Questions at 3 (Supplement) (Filed Oct. 25, 2013).</w:t>
      </w:r>
    </w:p>
    <w:p w:rsidR="007819E8" w:rsidRPr="007474AF" w:rsidRDefault="007819E8" w:rsidP="007819E8">
      <w:pPr>
        <w:pStyle w:val="FootnoteText"/>
        <w:rPr>
          <w:rFonts w:ascii="Times New Roman" w:hAnsi="Times New Roman"/>
        </w:rPr>
      </w:pPr>
    </w:p>
  </w:footnote>
  <w:footnote w:id="5">
    <w:p w:rsidR="00446322" w:rsidRDefault="009844F8" w:rsidP="009844F8">
      <w:pPr>
        <w:widowControl w:val="0"/>
        <w:spacing w:before="6"/>
      </w:pPr>
      <w:r w:rsidRPr="007474AF">
        <w:rPr>
          <w:rStyle w:val="FootnoteReference"/>
        </w:rPr>
        <w:footnoteRef/>
      </w:r>
      <w:r w:rsidRPr="007474AF">
        <w:t xml:space="preserve"> O3b launched its first set of four satellites in 2013.  The second set of four satellites is planned to launch in 2014.  The Commission previously authorized O3b to operate two FSS earth stations to communicate with O3b’s NGSO FSS Ka-band system.  The first authorization was for a fixed earth station in Haleiwa, Hawaii, and the second authorization was for a fixed earth station in Vernon, Texas.  O3b Limited, IBFS File No. SES-LIC-20130124-</w:t>
      </w:r>
    </w:p>
    <w:p w:rsidR="00446322" w:rsidRDefault="009844F8" w:rsidP="009844F8">
      <w:pPr>
        <w:widowControl w:val="0"/>
        <w:spacing w:before="6"/>
      </w:pPr>
      <w:r w:rsidRPr="007474AF">
        <w:t xml:space="preserve">00089 (Vernon, Texas, Call Sign E130021), granted June 20, 2013 and IBFS File No. SES-LIC-20100723-00952 </w:t>
      </w:r>
    </w:p>
    <w:p w:rsidR="00446322" w:rsidRDefault="009844F8" w:rsidP="009844F8">
      <w:pPr>
        <w:widowControl w:val="0"/>
        <w:spacing w:before="6"/>
      </w:pPr>
      <w:r w:rsidRPr="007474AF">
        <w:t xml:space="preserve">(Haleiwa, Hawaii, Call Sign E100088), granted Sept. 25, 2012.  The Haleiwa, Hawaii, earth station provides </w:t>
      </w:r>
    </w:p>
    <w:p w:rsidR="009844F8" w:rsidRPr="007474AF" w:rsidRDefault="009844F8" w:rsidP="009844F8">
      <w:pPr>
        <w:widowControl w:val="0"/>
        <w:spacing w:before="6"/>
      </w:pPr>
      <w:r w:rsidRPr="007474AF">
        <w:rPr>
          <w:rFonts w:eastAsia="Calibri"/>
        </w:rPr>
        <w:t xml:space="preserve">gateway and telemetry, tracking and command (TT&amp;C) services and the Vernon, Texas, earth station provides gateway and back-up TT&amp;C services. </w:t>
      </w:r>
    </w:p>
    <w:p w:rsidR="009844F8" w:rsidRPr="007474AF" w:rsidRDefault="009844F8" w:rsidP="009844F8">
      <w:pPr>
        <w:pStyle w:val="FootnoteText"/>
        <w:rPr>
          <w:rFonts w:ascii="Times New Roman" w:hAnsi="Times New Roman"/>
        </w:rPr>
      </w:pPr>
    </w:p>
  </w:footnote>
  <w:footnote w:id="6">
    <w:p w:rsidR="00594B72" w:rsidRPr="007474AF" w:rsidRDefault="00594B72" w:rsidP="007429BA">
      <w:pPr>
        <w:autoSpaceDE w:val="0"/>
        <w:autoSpaceDN w:val="0"/>
        <w:adjustRightInd w:val="0"/>
      </w:pPr>
      <w:r w:rsidRPr="007474AF">
        <w:rPr>
          <w:rStyle w:val="FootnoteReference"/>
        </w:rPr>
        <w:footnoteRef/>
      </w:r>
      <w:r w:rsidRPr="007474AF">
        <w:t xml:space="preserve"> It is our understanding that O3b’s operations will comply with coordination agreements reached between the United Kingdom and other Administrations, including all coordination agreements reached between the United Kingdom and the United States (</w:t>
      </w:r>
      <w:r w:rsidRPr="007474AF">
        <w:rPr>
          <w:i/>
        </w:rPr>
        <w:t>see e.g</w:t>
      </w:r>
      <w:r w:rsidRPr="007474AF">
        <w:t xml:space="preserve">., UK Telefax SSU 2000 dated 29 May 2009).  Further, O3b will not receive transmissions from O3b’s NGSO space stations in the 18.8-19.3 GHz frequency band (space-to-Earth) until O3b  has completed coordination of its NGSO FSS system with all Federal FSS systems in the 18.8-19.3 GHz frequency band under 47 C.F.R. § 2.106, Footnote US334. </w:t>
      </w:r>
    </w:p>
    <w:p w:rsidR="00594B72" w:rsidRPr="007474AF" w:rsidRDefault="00594B72" w:rsidP="007429BA">
      <w:pPr>
        <w:pStyle w:val="FootnoteText"/>
        <w:rPr>
          <w:rFonts w:ascii="Times New Roman" w:hAnsi="Times New Roman"/>
        </w:rPr>
      </w:pPr>
    </w:p>
  </w:footnote>
  <w:footnote w:id="7">
    <w:p w:rsidR="005E5C37" w:rsidRPr="007474AF" w:rsidRDefault="005E5C37" w:rsidP="005E5C37">
      <w:pPr>
        <w:pStyle w:val="FootnoteText"/>
        <w:rPr>
          <w:rFonts w:ascii="Times New Roman" w:hAnsi="Times New Roman"/>
        </w:rPr>
      </w:pPr>
      <w:r w:rsidRPr="007474AF">
        <w:rPr>
          <w:rStyle w:val="FootnoteReference"/>
        </w:rPr>
        <w:footnoteRef/>
      </w:r>
      <w:r w:rsidRPr="007474AF">
        <w:t xml:space="preserve"> </w:t>
      </w:r>
      <w:r w:rsidRPr="007474AF">
        <w:rPr>
          <w:rFonts w:ascii="Times New Roman" w:hAnsi="Times New Roman"/>
        </w:rPr>
        <w:t>Supplement at 3-4.</w:t>
      </w:r>
    </w:p>
    <w:p w:rsidR="005E5C37" w:rsidRPr="007474AF" w:rsidRDefault="005E5C37" w:rsidP="005E5C37">
      <w:pPr>
        <w:pStyle w:val="FootnoteText"/>
      </w:pPr>
    </w:p>
  </w:footnote>
  <w:footnote w:id="8">
    <w:p w:rsidR="005E7375" w:rsidRPr="007A15EB" w:rsidRDefault="005E7375">
      <w:pPr>
        <w:pStyle w:val="FootnoteText"/>
        <w:rPr>
          <w:rFonts w:ascii="Times New Roman" w:hAnsi="Times New Roman"/>
        </w:rPr>
      </w:pPr>
      <w:r>
        <w:rPr>
          <w:rStyle w:val="FootnoteReference"/>
        </w:rPr>
        <w:footnoteRef/>
      </w:r>
      <w:r>
        <w:t xml:space="preserve"> </w:t>
      </w:r>
      <w:r w:rsidR="007A15EB" w:rsidRPr="007A15EB">
        <w:rPr>
          <w:rFonts w:ascii="Times New Roman" w:hAnsi="Times New Roman"/>
        </w:rPr>
        <w:t xml:space="preserve">Letter to Marlene H. </w:t>
      </w:r>
      <w:r w:rsidR="006256FF">
        <w:rPr>
          <w:rFonts w:ascii="Times New Roman" w:hAnsi="Times New Roman"/>
        </w:rPr>
        <w:t>Dortch, Secretary FCC, from Jos</w:t>
      </w:r>
      <w:r w:rsidR="007A15EB" w:rsidRPr="007A15EB">
        <w:rPr>
          <w:rFonts w:ascii="Times New Roman" w:hAnsi="Times New Roman"/>
        </w:rPr>
        <w:t xml:space="preserve">lyn Read, Vice President, Regulatory Affairs, O3b Limited (March 10, 2014). </w:t>
      </w:r>
      <w:r w:rsidRPr="007A15EB">
        <w:rPr>
          <w:rFonts w:ascii="Times New Roman" w:hAnsi="Times New Roman"/>
        </w:rPr>
        <w:t xml:space="preserve"> </w:t>
      </w:r>
    </w:p>
    <w:p w:rsidR="005E7375" w:rsidRDefault="005E7375">
      <w:pPr>
        <w:pStyle w:val="FootnoteText"/>
      </w:pPr>
    </w:p>
  </w:footnote>
  <w:footnote w:id="9">
    <w:p w:rsidR="00594B72" w:rsidRPr="007474AF" w:rsidRDefault="00594B72" w:rsidP="007429BA">
      <w:pPr>
        <w:pStyle w:val="FootnoteText"/>
        <w:rPr>
          <w:rFonts w:ascii="Times New Roman" w:hAnsi="Times New Roman"/>
        </w:rPr>
      </w:pPr>
      <w:r w:rsidRPr="007474AF">
        <w:rPr>
          <w:rStyle w:val="FootnoteReference"/>
          <w:rFonts w:ascii="Times New Roman" w:hAnsi="Times New Roman"/>
        </w:rPr>
        <w:footnoteRef/>
      </w:r>
      <w:r w:rsidRPr="007474AF">
        <w:rPr>
          <w:rFonts w:ascii="Times New Roman" w:hAnsi="Times New Roman"/>
        </w:rPr>
        <w:t xml:space="preserve"> </w:t>
      </w:r>
      <w:r w:rsidRPr="007474AF">
        <w:rPr>
          <w:rFonts w:ascii="Times New Roman" w:hAnsi="Times New Roman"/>
          <w:i/>
        </w:rPr>
        <w:t>See</w:t>
      </w:r>
      <w:r w:rsidRPr="007474AF">
        <w:rPr>
          <w:rFonts w:ascii="Times New Roman" w:hAnsi="Times New Roman"/>
        </w:rPr>
        <w:t xml:space="preserve"> 47 U.S.C. § 306.  This section provides that Section 301 of this title shall not apply to any person sending radio communications or signals on a foreign ship while the same is within the jurisdiction of the United States, but such communications or signals shall be transmitted only in accordance with such regulations designed to prevent interference as may be promulgated under the authority of this chapter.  </w:t>
      </w:r>
      <w:r w:rsidRPr="007474AF">
        <w:rPr>
          <w:rFonts w:ascii="Times New Roman" w:hAnsi="Times New Roman"/>
          <w:i/>
        </w:rPr>
        <w:t>See also</w:t>
      </w:r>
      <w:r w:rsidRPr="007474AF">
        <w:rPr>
          <w:rFonts w:ascii="Times New Roman" w:hAnsi="Times New Roman"/>
        </w:rPr>
        <w:t xml:space="preserve"> </w:t>
      </w:r>
      <w:r w:rsidRPr="007474AF">
        <w:rPr>
          <w:rFonts w:ascii="Times New Roman" w:hAnsi="Times New Roman"/>
          <w:i/>
        </w:rPr>
        <w:t>United States v. McIntire</w:t>
      </w:r>
      <w:r w:rsidRPr="007474AF">
        <w:rPr>
          <w:rFonts w:ascii="Times New Roman" w:hAnsi="Times New Roman"/>
        </w:rPr>
        <w:t>, 365 F. Supp. 618, 622 n.11 (D.N.J.,</w:t>
      </w:r>
      <w:r w:rsidR="008312BA" w:rsidRPr="007474AF">
        <w:rPr>
          <w:rFonts w:ascii="Times New Roman" w:hAnsi="Times New Roman"/>
        </w:rPr>
        <w:t xml:space="preserve"> </w:t>
      </w:r>
      <w:r w:rsidRPr="007474AF">
        <w:rPr>
          <w:rFonts w:ascii="Times New Roman" w:hAnsi="Times New Roman"/>
        </w:rPr>
        <w:t xml:space="preserve">1973)(The Commission has authority to take action against a party broadcasting in violation of its rules, without a license, and whose broadcasts causes interference to Commission-licensed broadcasters, even though the broadcaster was operating from a boat outside U.S. territorial waters). </w:t>
      </w:r>
    </w:p>
    <w:p w:rsidR="00594B72" w:rsidRPr="007474AF" w:rsidRDefault="00594B72" w:rsidP="007429BA">
      <w:pPr>
        <w:pStyle w:val="FootnoteText"/>
        <w:rPr>
          <w:rFonts w:ascii="Times New Roman" w:hAnsi="Times New Roman"/>
        </w:rPr>
      </w:pPr>
    </w:p>
  </w:footnote>
  <w:footnote w:id="10">
    <w:p w:rsidR="00594B72" w:rsidRPr="007474AF" w:rsidRDefault="00594B72" w:rsidP="007429BA">
      <w:pPr>
        <w:pStyle w:val="FootnoteText"/>
        <w:rPr>
          <w:rFonts w:ascii="Times New Roman" w:hAnsi="Times New Roman"/>
          <w:color w:val="000000"/>
        </w:rPr>
      </w:pPr>
      <w:r w:rsidRPr="007474AF">
        <w:rPr>
          <w:rStyle w:val="FootnoteReference"/>
          <w:rFonts w:ascii="Times New Roman" w:hAnsi="Times New Roman"/>
        </w:rPr>
        <w:footnoteRef/>
      </w:r>
      <w:r w:rsidRPr="007474AF">
        <w:rPr>
          <w:rFonts w:ascii="Times New Roman" w:hAnsi="Times New Roman"/>
        </w:rPr>
        <w:t xml:space="preserve"> 47 C.F.R. § 2.106; </w:t>
      </w:r>
      <w:r w:rsidRPr="007474AF">
        <w:rPr>
          <w:rFonts w:ascii="Times New Roman" w:hAnsi="Times New Roman"/>
          <w:i/>
          <w:color w:val="000000"/>
        </w:rPr>
        <w:t>Ka-band Report and Order</w:t>
      </w:r>
      <w:r w:rsidRPr="007474AF">
        <w:rPr>
          <w:rFonts w:ascii="Times New Roman" w:hAnsi="Times New Roman"/>
          <w:color w:val="000000"/>
        </w:rPr>
        <w:t xml:space="preserve">, 11 FCC Rcd 19005 (1996) and </w:t>
      </w:r>
      <w:r w:rsidRPr="007474AF">
        <w:rPr>
          <w:rFonts w:ascii="Times New Roman" w:hAnsi="Times New Roman"/>
          <w:i/>
          <w:color w:val="000000"/>
        </w:rPr>
        <w:t>Third Report and Order</w:t>
      </w:r>
      <w:r w:rsidRPr="007474AF">
        <w:rPr>
          <w:rFonts w:ascii="Times New Roman" w:hAnsi="Times New Roman"/>
          <w:color w:val="000000"/>
        </w:rPr>
        <w:t xml:space="preserve">, 12 FCC Rcd 22310 (1997).  </w:t>
      </w:r>
    </w:p>
    <w:p w:rsidR="00594B72" w:rsidRPr="007474AF" w:rsidRDefault="00594B72" w:rsidP="007429BA">
      <w:pPr>
        <w:pStyle w:val="FootnoteText"/>
        <w:ind w:firstLine="720"/>
        <w:rPr>
          <w:rFonts w:ascii="Times New Roman" w:hAnsi="Times New Roman"/>
        </w:rPr>
      </w:pPr>
    </w:p>
  </w:footnote>
  <w:footnote w:id="11">
    <w:p w:rsidR="00594B72" w:rsidRPr="007474AF" w:rsidRDefault="00594B72" w:rsidP="007429BA">
      <w:pPr>
        <w:pStyle w:val="FootnoteText"/>
        <w:rPr>
          <w:rFonts w:ascii="Times New Roman" w:hAnsi="Times New Roman"/>
        </w:rPr>
      </w:pPr>
      <w:r w:rsidRPr="007474AF">
        <w:rPr>
          <w:rStyle w:val="FootnoteReference"/>
          <w:rFonts w:ascii="Times New Roman" w:hAnsi="Times New Roman"/>
        </w:rPr>
        <w:footnoteRef/>
      </w:r>
      <w:r w:rsidRPr="007474AF">
        <w:rPr>
          <w:rFonts w:ascii="Times New Roman" w:hAnsi="Times New Roman"/>
        </w:rPr>
        <w:t xml:space="preserve"> </w:t>
      </w:r>
      <w:r w:rsidRPr="007474AF">
        <w:rPr>
          <w:rFonts w:ascii="Times New Roman" w:hAnsi="Times New Roman"/>
          <w:i/>
        </w:rPr>
        <w:t>Contactmeo Communications, LLC</w:t>
      </w:r>
      <w:r w:rsidRPr="007474AF">
        <w:rPr>
          <w:rFonts w:ascii="Times New Roman" w:hAnsi="Times New Roman"/>
        </w:rPr>
        <w:t xml:space="preserve">, Order and Authorization, 21 FCC Rcd 4035, 4044 (IB 2006); </w:t>
      </w:r>
      <w:r w:rsidRPr="007474AF">
        <w:rPr>
          <w:rFonts w:ascii="Times New Roman" w:hAnsi="Times New Roman"/>
          <w:i/>
        </w:rPr>
        <w:t>see also</w:t>
      </w:r>
      <w:r w:rsidRPr="007474AF">
        <w:rPr>
          <w:rFonts w:ascii="Times New Roman" w:hAnsi="Times New Roman"/>
        </w:rPr>
        <w:t xml:space="preserve"> 47 C.F.R. § 1.3.</w:t>
      </w:r>
    </w:p>
    <w:p w:rsidR="00594B72" w:rsidRPr="007474AF" w:rsidRDefault="00594B72" w:rsidP="007429BA">
      <w:pPr>
        <w:pStyle w:val="FootnoteText"/>
        <w:rPr>
          <w:rFonts w:ascii="Times New Roman" w:hAnsi="Times New Roman"/>
        </w:rPr>
      </w:pPr>
    </w:p>
  </w:footnote>
  <w:footnote w:id="12">
    <w:p w:rsidR="00594B72" w:rsidRPr="007474AF" w:rsidRDefault="00594B72" w:rsidP="007429BA">
      <w:pPr>
        <w:pStyle w:val="FootnoteText"/>
        <w:rPr>
          <w:rFonts w:ascii="Times New Roman" w:hAnsi="Times New Roman"/>
        </w:rPr>
      </w:pPr>
      <w:r w:rsidRPr="007474AF">
        <w:rPr>
          <w:rStyle w:val="FootnoteReference"/>
          <w:rFonts w:ascii="Times New Roman" w:hAnsi="Times New Roman"/>
        </w:rPr>
        <w:footnoteRef/>
      </w:r>
      <w:r w:rsidRPr="007474AF">
        <w:rPr>
          <w:rFonts w:ascii="Times New Roman" w:hAnsi="Times New Roman"/>
        </w:rPr>
        <w:t xml:space="preserve"> GSO FSS satellites operate in the 28.6</w:t>
      </w:r>
      <w:r w:rsidRPr="007474AF">
        <w:rPr>
          <w:rFonts w:ascii="Times New Roman" w:eastAsia="Times New Roman" w:hAnsi="Times New Roman"/>
        </w:rPr>
        <w:t xml:space="preserve">-29.1 GHz frequency band (Earth-to-space) on a secondary basis and in the 18.8-19.3 GHz frequency band on a non-interference basis (space-to-Earth).  Among other things, in its blanket license application, O3b explained that there will always be an off-axis discrimination of more than 2.6 degrees between GSO orbits and O3b’s NGSO orbit as viewed from the terminals aboard the ships and O3b’s system will operate within acceptable power flux density limits applicable to GSO FSS operations.  O3b Blanket Application at 17-20).  </w:t>
      </w:r>
    </w:p>
    <w:p w:rsidR="00594B72" w:rsidRPr="007474AF" w:rsidRDefault="00594B72" w:rsidP="007429BA">
      <w:pPr>
        <w:pStyle w:val="FootnoteText"/>
        <w:rPr>
          <w:rFonts w:ascii="Times New Roman" w:hAnsi="Times New Roman"/>
        </w:rPr>
      </w:pPr>
    </w:p>
  </w:footnote>
  <w:footnote w:id="13">
    <w:p w:rsidR="00594B72" w:rsidRPr="007474AF" w:rsidRDefault="00594B72" w:rsidP="007429BA">
      <w:pPr>
        <w:pStyle w:val="FootnoteText"/>
        <w:rPr>
          <w:rFonts w:ascii="Times New Roman" w:hAnsi="Times New Roman"/>
          <w:color w:val="000000"/>
        </w:rPr>
      </w:pPr>
      <w:r w:rsidRPr="007474AF">
        <w:rPr>
          <w:rStyle w:val="FootnoteReference"/>
          <w:rFonts w:ascii="Times New Roman" w:hAnsi="Times New Roman"/>
        </w:rPr>
        <w:footnoteRef/>
      </w:r>
      <w:r w:rsidRPr="007474AF">
        <w:rPr>
          <w:rFonts w:ascii="Times New Roman" w:hAnsi="Times New Roman"/>
        </w:rPr>
        <w:t xml:space="preserve"> There are no Fixed Service allocations in the </w:t>
      </w:r>
      <w:r w:rsidRPr="007474AF">
        <w:rPr>
          <w:rFonts w:ascii="Times New Roman" w:eastAsia="Times New Roman" w:hAnsi="Times New Roman"/>
        </w:rPr>
        <w:t xml:space="preserve">28.6-29.1 GHz frequency band.  Terrestrial fixed licenses in the </w:t>
      </w:r>
      <w:r w:rsidRPr="007474AF">
        <w:rPr>
          <w:rFonts w:ascii="Times New Roman" w:hAnsi="Times New Roman"/>
          <w:color w:val="000000"/>
        </w:rPr>
        <w:t xml:space="preserve">18.8-19.3 GHz are no longer grandfathered.  </w:t>
      </w:r>
      <w:r w:rsidRPr="007474AF">
        <w:rPr>
          <w:rFonts w:ascii="Times New Roman" w:hAnsi="Times New Roman"/>
          <w:i/>
          <w:iCs/>
        </w:rPr>
        <w:t xml:space="preserve">See </w:t>
      </w:r>
      <w:r w:rsidRPr="007474AF">
        <w:rPr>
          <w:rFonts w:ascii="Times New Roman" w:hAnsi="Times New Roman"/>
        </w:rPr>
        <w:t xml:space="preserve">47 C.F.R. § 101.85(b)(2).  </w:t>
      </w:r>
      <w:r w:rsidRPr="007474AF">
        <w:rPr>
          <w:rFonts w:ascii="Times New Roman" w:hAnsi="Times New Roman"/>
          <w:color w:val="000000"/>
        </w:rPr>
        <w:t>O3b</w:t>
      </w:r>
      <w:r w:rsidR="00FC38C7" w:rsidRPr="007474AF">
        <w:rPr>
          <w:rFonts w:ascii="Times New Roman" w:hAnsi="Times New Roman"/>
          <w:color w:val="000000"/>
        </w:rPr>
        <w:t xml:space="preserve"> Limited</w:t>
      </w:r>
      <w:r w:rsidRPr="007474AF">
        <w:rPr>
          <w:rFonts w:ascii="Times New Roman" w:hAnsi="Times New Roman"/>
          <w:color w:val="000000"/>
        </w:rPr>
        <w:t xml:space="preserve">’s earth stations receive in the 18.8-19.3 </w:t>
      </w:r>
      <w:r w:rsidR="00FC38C7" w:rsidRPr="007474AF">
        <w:rPr>
          <w:rFonts w:ascii="Times New Roman" w:hAnsi="Times New Roman"/>
          <w:color w:val="000000"/>
        </w:rPr>
        <w:t xml:space="preserve">GHz frequency band </w:t>
      </w:r>
      <w:r w:rsidRPr="007474AF">
        <w:rPr>
          <w:rFonts w:ascii="Times New Roman" w:hAnsi="Times New Roman"/>
          <w:color w:val="000000"/>
        </w:rPr>
        <w:t xml:space="preserve">and </w:t>
      </w:r>
      <w:r w:rsidR="00FC38C7" w:rsidRPr="007474AF">
        <w:rPr>
          <w:rFonts w:ascii="Times New Roman" w:hAnsi="Times New Roman"/>
          <w:color w:val="000000"/>
        </w:rPr>
        <w:t xml:space="preserve">it </w:t>
      </w:r>
      <w:r w:rsidRPr="007474AF">
        <w:rPr>
          <w:rFonts w:ascii="Times New Roman" w:hAnsi="Times New Roman"/>
          <w:color w:val="000000"/>
        </w:rPr>
        <w:t>agree</w:t>
      </w:r>
      <w:r w:rsidR="00FC38C7" w:rsidRPr="007474AF">
        <w:rPr>
          <w:rFonts w:ascii="Times New Roman" w:hAnsi="Times New Roman"/>
          <w:color w:val="000000"/>
        </w:rPr>
        <w:t>s</w:t>
      </w:r>
      <w:r w:rsidRPr="007474AF">
        <w:rPr>
          <w:rFonts w:ascii="Times New Roman" w:hAnsi="Times New Roman"/>
          <w:color w:val="000000"/>
        </w:rPr>
        <w:t xml:space="preserve"> to accept any interference from any terrestrial users</w:t>
      </w:r>
      <w:r w:rsidR="003708EA" w:rsidRPr="007474AF">
        <w:rPr>
          <w:rFonts w:ascii="Times New Roman" w:hAnsi="Times New Roman"/>
          <w:color w:val="000000"/>
        </w:rPr>
        <w:t xml:space="preserve">.  </w:t>
      </w:r>
      <w:r w:rsidR="00FC38C7" w:rsidRPr="007474AF">
        <w:rPr>
          <w:rFonts w:ascii="Times New Roman" w:hAnsi="Times New Roman"/>
          <w:color w:val="000000"/>
        </w:rPr>
        <w:t>Blanket Application at 7.</w:t>
      </w:r>
    </w:p>
    <w:p w:rsidR="008312BA" w:rsidRPr="007474AF" w:rsidRDefault="008312BA" w:rsidP="007429BA">
      <w:pPr>
        <w:pStyle w:val="FootnoteText"/>
        <w:rPr>
          <w:rFonts w:ascii="Times New Roman" w:hAnsi="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872" w:rsidRDefault="00E578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B72" w:rsidRPr="00043524" w:rsidRDefault="00594B72" w:rsidP="00043524">
    <w:pPr>
      <w:tabs>
        <w:tab w:val="center" w:pos="4680"/>
        <w:tab w:val="right" w:pos="9360"/>
      </w:tabs>
      <w:rPr>
        <w:b/>
        <w:snapToGrid w:val="0"/>
        <w:color w:val="000000"/>
        <w:sz w:val="22"/>
        <w:szCs w:val="22"/>
        <w:u w:val="single"/>
      </w:rPr>
    </w:pPr>
    <w:r w:rsidRPr="00043524">
      <w:rPr>
        <w:b/>
        <w:snapToGrid w:val="0"/>
        <w:color w:val="000000"/>
        <w:sz w:val="22"/>
        <w:szCs w:val="22"/>
        <w:u w:val="single"/>
      </w:rPr>
      <w:tab/>
      <w:t xml:space="preserve">                                         Federal Communications Commission                  DA </w:t>
    </w:r>
    <w:r w:rsidR="008D7A75">
      <w:rPr>
        <w:b/>
        <w:snapToGrid w:val="0"/>
        <w:color w:val="000000"/>
        <w:sz w:val="22"/>
        <w:szCs w:val="22"/>
        <w:u w:val="single"/>
      </w:rPr>
      <w:t>14-637</w:t>
    </w:r>
  </w:p>
  <w:p w:rsidR="00594B72" w:rsidRDefault="00594B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B72" w:rsidRDefault="005D1A7A">
    <w:pPr>
      <w:pStyle w:val="Header"/>
      <w:tabs>
        <w:tab w:val="clear" w:pos="4320"/>
        <w:tab w:val="clear" w:pos="8640"/>
      </w:tabs>
      <w:spacing w:before="360" w:line="228" w:lineRule="auto"/>
      <w:jc w:val="center"/>
    </w:pPr>
    <w:r>
      <w:rPr>
        <w:rFonts w:ascii="CG Times (W1)" w:hAnsi="CG Times (W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1.8pt;margin-top:0;width:64.8pt;height:64.8pt;z-index:251657728;visibility:visible;mso-wrap-edited:f" o:allowincell="f" filled="t" fillcolor="#3cc">
          <v:imagedata r:id="rId1" o:title="" gain="69719f"/>
          <w10:wrap type="topAndBottom"/>
        </v:shape>
        <o:OLEObject Type="Embed" ProgID="Word.Picture.8" ShapeID="_x0000_s2049" DrawAspect="Content" ObjectID="_1461502501" r:id="rId2"/>
      </w:pict>
    </w:r>
    <w:r w:rsidR="00594B72">
      <w:rPr>
        <w:rFonts w:ascii="CG Times (W1)" w:hAnsi="CG Times (W1)"/>
        <w:sz w:val="28"/>
      </w:rPr>
      <w:t>Federal Communications Commission</w:t>
    </w:r>
  </w:p>
  <w:p w:rsidR="00594B72" w:rsidRDefault="00594B72">
    <w:pPr>
      <w:jc w:val="center"/>
    </w:pPr>
    <w:r>
      <w:rPr>
        <w:rFonts w:ascii="CG Times (W1)" w:hAnsi="CG Times (W1)"/>
        <w:sz w:val="28"/>
      </w:rPr>
      <w:t>Washington, D.C. 20554</w:t>
    </w:r>
  </w:p>
  <w:p w:rsidR="00594B72" w:rsidRDefault="00594B72">
    <w:pPr>
      <w:pStyle w:val="Header"/>
      <w:tabs>
        <w:tab w:val="clear" w:pos="4320"/>
      </w:tabs>
      <w:jc w:val="center"/>
      <w:rPr>
        <w:sz w:val="22"/>
      </w:rPr>
    </w:pPr>
  </w:p>
  <w:p w:rsidR="00594B72" w:rsidRDefault="00594B72">
    <w:pPr>
      <w:pStyle w:val="Header"/>
      <w:tabs>
        <w:tab w:val="clear" w:pos="4320"/>
      </w:tabs>
      <w:jc w:val="center"/>
      <w:rPr>
        <w:sz w:val="22"/>
      </w:rPr>
    </w:pPr>
  </w:p>
  <w:p w:rsidR="00594B72" w:rsidRDefault="006256FF">
    <w:pPr>
      <w:pStyle w:val="Header"/>
      <w:tabs>
        <w:tab w:val="clear" w:pos="4320"/>
      </w:tabs>
      <w:jc w:val="center"/>
      <w:rPr>
        <w:sz w:val="24"/>
      </w:rPr>
    </w:pPr>
    <w:r>
      <w:rPr>
        <w:sz w:val="24"/>
      </w:rPr>
      <w:t>May 13, 2014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9BA"/>
    <w:rsid w:val="00030D43"/>
    <w:rsid w:val="00043524"/>
    <w:rsid w:val="000B3CE7"/>
    <w:rsid w:val="000C2F2B"/>
    <w:rsid w:val="00101E24"/>
    <w:rsid w:val="00101F19"/>
    <w:rsid w:val="001158DC"/>
    <w:rsid w:val="001729CC"/>
    <w:rsid w:val="00183989"/>
    <w:rsid w:val="00185206"/>
    <w:rsid w:val="00191805"/>
    <w:rsid w:val="00191807"/>
    <w:rsid w:val="00197CE2"/>
    <w:rsid w:val="001D1776"/>
    <w:rsid w:val="001F2BD3"/>
    <w:rsid w:val="00204CE3"/>
    <w:rsid w:val="00235212"/>
    <w:rsid w:val="002B54DB"/>
    <w:rsid w:val="002C76E0"/>
    <w:rsid w:val="0031096C"/>
    <w:rsid w:val="003708EA"/>
    <w:rsid w:val="00382ADC"/>
    <w:rsid w:val="0038579A"/>
    <w:rsid w:val="00390C80"/>
    <w:rsid w:val="003A171B"/>
    <w:rsid w:val="0040222F"/>
    <w:rsid w:val="00416316"/>
    <w:rsid w:val="0043196C"/>
    <w:rsid w:val="00446322"/>
    <w:rsid w:val="00465CB2"/>
    <w:rsid w:val="004905E7"/>
    <w:rsid w:val="004C1B95"/>
    <w:rsid w:val="004D3B53"/>
    <w:rsid w:val="00506FDF"/>
    <w:rsid w:val="005071A7"/>
    <w:rsid w:val="00531306"/>
    <w:rsid w:val="00594B72"/>
    <w:rsid w:val="005B2927"/>
    <w:rsid w:val="005B44DB"/>
    <w:rsid w:val="005D1A7A"/>
    <w:rsid w:val="005E2665"/>
    <w:rsid w:val="005E5C37"/>
    <w:rsid w:val="005E7375"/>
    <w:rsid w:val="006256FF"/>
    <w:rsid w:val="006349C2"/>
    <w:rsid w:val="00657278"/>
    <w:rsid w:val="007429BA"/>
    <w:rsid w:val="007474AF"/>
    <w:rsid w:val="00765B14"/>
    <w:rsid w:val="007740FD"/>
    <w:rsid w:val="007819E8"/>
    <w:rsid w:val="0078717F"/>
    <w:rsid w:val="007A15EB"/>
    <w:rsid w:val="007C46F1"/>
    <w:rsid w:val="0081362A"/>
    <w:rsid w:val="008312BA"/>
    <w:rsid w:val="008473DC"/>
    <w:rsid w:val="008D7A75"/>
    <w:rsid w:val="009118BE"/>
    <w:rsid w:val="009226E2"/>
    <w:rsid w:val="0096366F"/>
    <w:rsid w:val="009844F8"/>
    <w:rsid w:val="00997CDA"/>
    <w:rsid w:val="00A309B3"/>
    <w:rsid w:val="00A40559"/>
    <w:rsid w:val="00B66E33"/>
    <w:rsid w:val="00B853CB"/>
    <w:rsid w:val="00C06D90"/>
    <w:rsid w:val="00C70A41"/>
    <w:rsid w:val="00D00FD4"/>
    <w:rsid w:val="00D2400F"/>
    <w:rsid w:val="00D250E8"/>
    <w:rsid w:val="00D33A06"/>
    <w:rsid w:val="00DB014E"/>
    <w:rsid w:val="00DB3F68"/>
    <w:rsid w:val="00E0132E"/>
    <w:rsid w:val="00E17914"/>
    <w:rsid w:val="00E57872"/>
    <w:rsid w:val="00E753B9"/>
    <w:rsid w:val="00E77A49"/>
    <w:rsid w:val="00ED14FE"/>
    <w:rsid w:val="00EE588A"/>
    <w:rsid w:val="00F3669D"/>
    <w:rsid w:val="00F53F7E"/>
    <w:rsid w:val="00F72033"/>
    <w:rsid w:val="00FC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2,Footnote Text Char1 Char,Footnote Text Char Char2 Char,Footnote Text Char3 Char Char2 Char,Footnote Text Char2 Char Char Char2 Char,Footnote Text Char Char2 Char Char1 Char Char,Footnote Text Char1,f"/>
    <w:basedOn w:val="Normal"/>
    <w:link w:val="FootnoteTextChar"/>
    <w:unhideWhenUsed/>
    <w:rsid w:val="007429BA"/>
    <w:pPr>
      <w:widowControl w:val="0"/>
    </w:pPr>
    <w:rPr>
      <w:rFonts w:ascii="Calibri" w:eastAsia="Calibri" w:hAnsi="Calibri"/>
    </w:rPr>
  </w:style>
  <w:style w:type="character" w:customStyle="1" w:styleId="FootnoteTextChar">
    <w:name w:val="Footnote Text Char"/>
    <w:aliases w:val="Footnote Text Char2 Char,Footnote Text Char1 Char Char,Footnote Text Char Char2 Char Char,Footnote Text Char3 Char Char2 Char Char,Footnote Text Char2 Char Char Char2 Char Char,Footnote Text Char Char2 Char Char1 Char Char Char,f Char"/>
    <w:basedOn w:val="DefaultParagraphFont"/>
    <w:link w:val="FootnoteText"/>
    <w:rsid w:val="007429BA"/>
    <w:rPr>
      <w:rFonts w:ascii="Calibri" w:eastAsia="Calibri" w:hAnsi="Calibri"/>
    </w:rPr>
  </w:style>
  <w:style w:type="character" w:styleId="FootnoteReference">
    <w:name w:val="footnote reference"/>
    <w:aliases w:val="Appel note de bas de p,Style 12,(NECG) Footnote Reference,Style 124,o,fr,Style 3,Style 17,FR,Style 13,Footnote Reference/,Style 6"/>
    <w:uiPriority w:val="99"/>
    <w:semiHidden/>
    <w:unhideWhenUsed/>
    <w:rsid w:val="007429BA"/>
    <w:rPr>
      <w:vertAlign w:val="superscript"/>
    </w:rPr>
  </w:style>
  <w:style w:type="paragraph" w:customStyle="1" w:styleId="Default">
    <w:name w:val="Default"/>
    <w:rsid w:val="007429BA"/>
    <w:pPr>
      <w:autoSpaceDE w:val="0"/>
      <w:autoSpaceDN w:val="0"/>
      <w:adjustRightInd w:val="0"/>
    </w:pPr>
    <w:rPr>
      <w:rFonts w:ascii="Calibri" w:eastAsia="Calibri" w:hAnsi="Calibri" w:cs="Calibri"/>
      <w:color w:val="000000"/>
      <w:sz w:val="24"/>
      <w:szCs w:val="24"/>
    </w:rPr>
  </w:style>
  <w:style w:type="character" w:customStyle="1" w:styleId="FooterChar">
    <w:name w:val="Footer Char"/>
    <w:basedOn w:val="DefaultParagraphFont"/>
    <w:link w:val="Footer"/>
    <w:uiPriority w:val="99"/>
    <w:rsid w:val="00043524"/>
  </w:style>
  <w:style w:type="paragraph" w:styleId="BalloonText">
    <w:name w:val="Balloon Text"/>
    <w:basedOn w:val="Normal"/>
    <w:link w:val="BalloonTextChar"/>
    <w:uiPriority w:val="99"/>
    <w:semiHidden/>
    <w:unhideWhenUsed/>
    <w:rsid w:val="00F3669D"/>
    <w:rPr>
      <w:rFonts w:ascii="Tahoma" w:hAnsi="Tahoma" w:cs="Tahoma"/>
      <w:sz w:val="16"/>
      <w:szCs w:val="16"/>
    </w:rPr>
  </w:style>
  <w:style w:type="character" w:customStyle="1" w:styleId="BalloonTextChar">
    <w:name w:val="Balloon Text Char"/>
    <w:basedOn w:val="DefaultParagraphFont"/>
    <w:link w:val="BalloonText"/>
    <w:uiPriority w:val="99"/>
    <w:semiHidden/>
    <w:rsid w:val="00F366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2,Footnote Text Char1 Char,Footnote Text Char Char2 Char,Footnote Text Char3 Char Char2 Char,Footnote Text Char2 Char Char Char2 Char,Footnote Text Char Char2 Char Char1 Char Char,Footnote Text Char1,f"/>
    <w:basedOn w:val="Normal"/>
    <w:link w:val="FootnoteTextChar"/>
    <w:unhideWhenUsed/>
    <w:rsid w:val="007429BA"/>
    <w:pPr>
      <w:widowControl w:val="0"/>
    </w:pPr>
    <w:rPr>
      <w:rFonts w:ascii="Calibri" w:eastAsia="Calibri" w:hAnsi="Calibri"/>
    </w:rPr>
  </w:style>
  <w:style w:type="character" w:customStyle="1" w:styleId="FootnoteTextChar">
    <w:name w:val="Footnote Text Char"/>
    <w:aliases w:val="Footnote Text Char2 Char,Footnote Text Char1 Char Char,Footnote Text Char Char2 Char Char,Footnote Text Char3 Char Char2 Char Char,Footnote Text Char2 Char Char Char2 Char Char,Footnote Text Char Char2 Char Char1 Char Char Char,f Char"/>
    <w:basedOn w:val="DefaultParagraphFont"/>
    <w:link w:val="FootnoteText"/>
    <w:rsid w:val="007429BA"/>
    <w:rPr>
      <w:rFonts w:ascii="Calibri" w:eastAsia="Calibri" w:hAnsi="Calibri"/>
    </w:rPr>
  </w:style>
  <w:style w:type="character" w:styleId="FootnoteReference">
    <w:name w:val="footnote reference"/>
    <w:aliases w:val="Appel note de bas de p,Style 12,(NECG) Footnote Reference,Style 124,o,fr,Style 3,Style 17,FR,Style 13,Footnote Reference/,Style 6"/>
    <w:uiPriority w:val="99"/>
    <w:semiHidden/>
    <w:unhideWhenUsed/>
    <w:rsid w:val="007429BA"/>
    <w:rPr>
      <w:vertAlign w:val="superscript"/>
    </w:rPr>
  </w:style>
  <w:style w:type="paragraph" w:customStyle="1" w:styleId="Default">
    <w:name w:val="Default"/>
    <w:rsid w:val="007429BA"/>
    <w:pPr>
      <w:autoSpaceDE w:val="0"/>
      <w:autoSpaceDN w:val="0"/>
      <w:adjustRightInd w:val="0"/>
    </w:pPr>
    <w:rPr>
      <w:rFonts w:ascii="Calibri" w:eastAsia="Calibri" w:hAnsi="Calibri" w:cs="Calibri"/>
      <w:color w:val="000000"/>
      <w:sz w:val="24"/>
      <w:szCs w:val="24"/>
    </w:rPr>
  </w:style>
  <w:style w:type="character" w:customStyle="1" w:styleId="FooterChar">
    <w:name w:val="Footer Char"/>
    <w:basedOn w:val="DefaultParagraphFont"/>
    <w:link w:val="Footer"/>
    <w:uiPriority w:val="99"/>
    <w:rsid w:val="00043524"/>
  </w:style>
  <w:style w:type="paragraph" w:styleId="BalloonText">
    <w:name w:val="Balloon Text"/>
    <w:basedOn w:val="Normal"/>
    <w:link w:val="BalloonTextChar"/>
    <w:uiPriority w:val="99"/>
    <w:semiHidden/>
    <w:unhideWhenUsed/>
    <w:rsid w:val="00F3669D"/>
    <w:rPr>
      <w:rFonts w:ascii="Tahoma" w:hAnsi="Tahoma" w:cs="Tahoma"/>
      <w:sz w:val="16"/>
      <w:szCs w:val="16"/>
    </w:rPr>
  </w:style>
  <w:style w:type="character" w:customStyle="1" w:styleId="BalloonTextChar">
    <w:name w:val="Balloon Text Char"/>
    <w:basedOn w:val="DefaultParagraphFont"/>
    <w:link w:val="BalloonText"/>
    <w:uiPriority w:val="99"/>
    <w:semiHidden/>
    <w:rsid w:val="00F36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Template>
  <TotalTime>0</TotalTime>
  <Pages>6</Pages>
  <Words>610</Words>
  <Characters>3515</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4198</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2014-05-13T18:35:00Z</cp:lastPrinted>
  <dcterms:created xsi:type="dcterms:W3CDTF">2014-05-13T20:09:00Z</dcterms:created>
  <dcterms:modified xsi:type="dcterms:W3CDTF">2014-05-13T20:09:00Z</dcterms:modified>
  <cp:category> </cp:category>
  <cp:contentStatus> </cp:contentStatus>
</cp:coreProperties>
</file>