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630" w:type="dxa"/>
        <w:jc w:val="center"/>
        <w:tblInd w:w="108" w:type="dxa"/>
        <w:tblLayout w:type="fixed"/>
        <w:tblLook w:val="0000" w:firstRow="0" w:lastRow="0" w:firstColumn="0" w:lastColumn="0" w:noHBand="0" w:noVBand="0"/>
      </w:tblPr>
      <w:tblGrid>
        <w:gridCol w:w="4680"/>
        <w:gridCol w:w="270"/>
        <w:gridCol w:w="4680"/>
      </w:tblGrid>
      <w:tr w:rsidR="00050854" w:rsidRPr="006740E7" w:rsidTr="00267DE9">
        <w:trPr>
          <w:jc w:val="center"/>
        </w:trPr>
        <w:tc>
          <w:tcPr>
            <w:tcW w:w="4680" w:type="dxa"/>
          </w:tcPr>
          <w:p w:rsidR="00050854" w:rsidRPr="006740E7" w:rsidRDefault="00050854" w:rsidP="00BF1922">
            <w:pPr>
              <w:widowControl/>
              <w:rPr>
                <w:color w:val="000000"/>
                <w:sz w:val="22"/>
                <w:szCs w:val="22"/>
              </w:rPr>
            </w:pPr>
            <w:r w:rsidRPr="006740E7">
              <w:rPr>
                <w:color w:val="000000"/>
                <w:spacing w:val="-2"/>
                <w:sz w:val="22"/>
                <w:szCs w:val="22"/>
              </w:rPr>
              <w:t>In the Matter of</w:t>
            </w:r>
            <w:r w:rsidRPr="006740E7">
              <w:rPr>
                <w:color w:val="000000"/>
                <w:sz w:val="22"/>
                <w:szCs w:val="22"/>
              </w:rPr>
              <w:t xml:space="preserve"> </w:t>
            </w:r>
          </w:p>
          <w:p w:rsidR="00050854" w:rsidRPr="006740E7" w:rsidRDefault="00050854" w:rsidP="00BF1922">
            <w:pPr>
              <w:widowControl/>
              <w:rPr>
                <w:color w:val="000000"/>
                <w:sz w:val="22"/>
                <w:szCs w:val="22"/>
              </w:rPr>
            </w:pPr>
          </w:p>
          <w:p w:rsidR="00050854" w:rsidRPr="006740E7" w:rsidRDefault="00CB020F" w:rsidP="00571009">
            <w:pPr>
              <w:widowControl/>
              <w:spacing w:after="120"/>
              <w:rPr>
                <w:color w:val="000000"/>
                <w:sz w:val="22"/>
                <w:szCs w:val="22"/>
              </w:rPr>
            </w:pPr>
            <w:r>
              <w:rPr>
                <w:color w:val="000000"/>
                <w:sz w:val="22"/>
                <w:szCs w:val="22"/>
              </w:rPr>
              <w:t>Televisa, S</w:t>
            </w:r>
            <w:r w:rsidR="00043CDA">
              <w:rPr>
                <w:color w:val="000000"/>
                <w:sz w:val="22"/>
                <w:szCs w:val="22"/>
              </w:rPr>
              <w:t>.</w:t>
            </w:r>
            <w:r>
              <w:rPr>
                <w:color w:val="000000"/>
                <w:sz w:val="22"/>
                <w:szCs w:val="22"/>
              </w:rPr>
              <w:t>A</w:t>
            </w:r>
            <w:r w:rsidR="00043CDA">
              <w:rPr>
                <w:color w:val="000000"/>
                <w:sz w:val="22"/>
                <w:szCs w:val="22"/>
              </w:rPr>
              <w:t>.</w:t>
            </w:r>
            <w:r>
              <w:rPr>
                <w:color w:val="000000"/>
                <w:sz w:val="22"/>
                <w:szCs w:val="22"/>
              </w:rPr>
              <w:t xml:space="preserve"> de C</w:t>
            </w:r>
            <w:r w:rsidR="00043CDA">
              <w:rPr>
                <w:color w:val="000000"/>
                <w:sz w:val="22"/>
                <w:szCs w:val="22"/>
              </w:rPr>
              <w:t>.</w:t>
            </w:r>
            <w:r>
              <w:rPr>
                <w:color w:val="000000"/>
                <w:sz w:val="22"/>
                <w:szCs w:val="22"/>
              </w:rPr>
              <w:t>V</w:t>
            </w:r>
            <w:r w:rsidR="00043CDA">
              <w:rPr>
                <w:color w:val="000000"/>
                <w:sz w:val="22"/>
                <w:szCs w:val="22"/>
              </w:rPr>
              <w:t>.</w:t>
            </w:r>
            <w:r>
              <w:rPr>
                <w:color w:val="000000"/>
                <w:sz w:val="22"/>
                <w:szCs w:val="22"/>
              </w:rPr>
              <w:t xml:space="preserve"> </w:t>
            </w:r>
          </w:p>
          <w:p w:rsidR="00050854" w:rsidRPr="006740E7" w:rsidRDefault="008F31E1" w:rsidP="00BE5B6D">
            <w:pPr>
              <w:widowControl/>
              <w:rPr>
                <w:color w:val="000000"/>
                <w:spacing w:val="-2"/>
                <w:sz w:val="22"/>
                <w:szCs w:val="22"/>
              </w:rPr>
            </w:pPr>
            <w:r>
              <w:rPr>
                <w:color w:val="000000"/>
                <w:spacing w:val="-2"/>
                <w:sz w:val="22"/>
                <w:szCs w:val="22"/>
              </w:rPr>
              <w:t>Mexico City, Mexico</w:t>
            </w:r>
          </w:p>
        </w:tc>
        <w:tc>
          <w:tcPr>
            <w:tcW w:w="270" w:type="dxa"/>
          </w:tcPr>
          <w:p w:rsidR="00050854" w:rsidRPr="006740E7" w:rsidRDefault="00050854" w:rsidP="00BF1922">
            <w:pPr>
              <w:widowControl/>
              <w:tabs>
                <w:tab w:val="center" w:pos="4680"/>
              </w:tabs>
              <w:suppressAutoHyphens/>
              <w:spacing w:line="240" w:lineRule="atLeast"/>
              <w:jc w:val="both"/>
              <w:outlineLvl w:val="0"/>
              <w:rPr>
                <w:color w:val="000000"/>
                <w:sz w:val="22"/>
                <w:szCs w:val="22"/>
              </w:rPr>
            </w:pPr>
            <w:r w:rsidRPr="006740E7">
              <w:rPr>
                <w:color w:val="000000"/>
                <w:sz w:val="22"/>
                <w:szCs w:val="22"/>
              </w:rPr>
              <w:t>)</w:t>
            </w:r>
          </w:p>
          <w:p w:rsidR="00050854" w:rsidRPr="006740E7" w:rsidRDefault="00050854" w:rsidP="00BF1922">
            <w:pPr>
              <w:widowControl/>
              <w:tabs>
                <w:tab w:val="center" w:pos="4680"/>
              </w:tabs>
              <w:suppressAutoHyphens/>
              <w:spacing w:line="240" w:lineRule="atLeast"/>
              <w:jc w:val="both"/>
              <w:outlineLvl w:val="0"/>
              <w:rPr>
                <w:color w:val="000000"/>
                <w:sz w:val="22"/>
                <w:szCs w:val="22"/>
              </w:rPr>
            </w:pPr>
            <w:r w:rsidRPr="006740E7">
              <w:rPr>
                <w:color w:val="000000"/>
                <w:sz w:val="22"/>
                <w:szCs w:val="22"/>
              </w:rPr>
              <w:t>)</w:t>
            </w:r>
          </w:p>
          <w:p w:rsidR="00050854" w:rsidRPr="006740E7" w:rsidRDefault="00050854" w:rsidP="00BF1922">
            <w:pPr>
              <w:widowControl/>
              <w:tabs>
                <w:tab w:val="center" w:pos="4680"/>
              </w:tabs>
              <w:suppressAutoHyphens/>
              <w:spacing w:line="240" w:lineRule="atLeast"/>
              <w:jc w:val="both"/>
              <w:outlineLvl w:val="0"/>
              <w:rPr>
                <w:color w:val="000000"/>
                <w:sz w:val="22"/>
                <w:szCs w:val="22"/>
              </w:rPr>
            </w:pPr>
            <w:r w:rsidRPr="006740E7">
              <w:rPr>
                <w:color w:val="000000"/>
                <w:sz w:val="22"/>
                <w:szCs w:val="22"/>
              </w:rPr>
              <w:t>)</w:t>
            </w:r>
          </w:p>
          <w:p w:rsidR="00050854" w:rsidRPr="006740E7" w:rsidRDefault="00050854" w:rsidP="00BF1922">
            <w:pPr>
              <w:widowControl/>
              <w:tabs>
                <w:tab w:val="center" w:pos="4680"/>
              </w:tabs>
              <w:suppressAutoHyphens/>
              <w:spacing w:line="240" w:lineRule="atLeast"/>
              <w:jc w:val="both"/>
              <w:outlineLvl w:val="0"/>
              <w:rPr>
                <w:color w:val="000000"/>
                <w:sz w:val="22"/>
                <w:szCs w:val="22"/>
              </w:rPr>
            </w:pPr>
            <w:r w:rsidRPr="006740E7">
              <w:rPr>
                <w:color w:val="000000"/>
                <w:sz w:val="22"/>
                <w:szCs w:val="22"/>
              </w:rPr>
              <w:t>)</w:t>
            </w:r>
          </w:p>
          <w:p w:rsidR="00050854" w:rsidRPr="006740E7" w:rsidRDefault="00050854" w:rsidP="00BF1922">
            <w:pPr>
              <w:widowControl/>
              <w:tabs>
                <w:tab w:val="center" w:pos="4680"/>
              </w:tabs>
              <w:suppressAutoHyphens/>
              <w:spacing w:line="240" w:lineRule="atLeast"/>
              <w:jc w:val="both"/>
              <w:outlineLvl w:val="0"/>
              <w:rPr>
                <w:color w:val="000000"/>
                <w:sz w:val="22"/>
                <w:szCs w:val="22"/>
              </w:rPr>
            </w:pPr>
            <w:r w:rsidRPr="006740E7">
              <w:rPr>
                <w:color w:val="000000"/>
                <w:sz w:val="22"/>
                <w:szCs w:val="22"/>
              </w:rPr>
              <w:t>)</w:t>
            </w:r>
          </w:p>
          <w:p w:rsidR="00050854" w:rsidRPr="006740E7" w:rsidRDefault="00050854" w:rsidP="00BF1922">
            <w:pPr>
              <w:widowControl/>
              <w:tabs>
                <w:tab w:val="center" w:pos="4680"/>
              </w:tabs>
              <w:suppressAutoHyphens/>
              <w:spacing w:line="240" w:lineRule="atLeast"/>
              <w:jc w:val="both"/>
              <w:outlineLvl w:val="0"/>
              <w:rPr>
                <w:color w:val="000000"/>
                <w:sz w:val="22"/>
                <w:szCs w:val="22"/>
              </w:rPr>
            </w:pPr>
            <w:r w:rsidRPr="006740E7">
              <w:rPr>
                <w:color w:val="000000"/>
                <w:sz w:val="22"/>
                <w:szCs w:val="22"/>
              </w:rPr>
              <w:t>)</w:t>
            </w:r>
          </w:p>
          <w:p w:rsidR="00050854" w:rsidRPr="006740E7" w:rsidRDefault="00050854" w:rsidP="00BF1922">
            <w:pPr>
              <w:widowControl/>
              <w:tabs>
                <w:tab w:val="center" w:pos="4680"/>
              </w:tabs>
              <w:suppressAutoHyphens/>
              <w:spacing w:line="240" w:lineRule="atLeast"/>
              <w:jc w:val="both"/>
              <w:outlineLvl w:val="0"/>
              <w:rPr>
                <w:color w:val="000000"/>
                <w:sz w:val="22"/>
                <w:szCs w:val="22"/>
              </w:rPr>
            </w:pPr>
          </w:p>
        </w:tc>
        <w:tc>
          <w:tcPr>
            <w:tcW w:w="4680" w:type="dxa"/>
          </w:tcPr>
          <w:p w:rsidR="003E2AD5" w:rsidRPr="006740E7" w:rsidRDefault="003E2AD5" w:rsidP="00BF1922">
            <w:pPr>
              <w:widowControl/>
              <w:rPr>
                <w:color w:val="000000"/>
                <w:spacing w:val="-2"/>
                <w:sz w:val="22"/>
                <w:szCs w:val="22"/>
              </w:rPr>
            </w:pPr>
          </w:p>
          <w:p w:rsidR="005F002F" w:rsidRPr="006740E7" w:rsidRDefault="005F002F" w:rsidP="00BF1922">
            <w:pPr>
              <w:widowControl/>
              <w:ind w:left="702"/>
              <w:rPr>
                <w:color w:val="000000"/>
                <w:spacing w:val="-2"/>
                <w:sz w:val="22"/>
                <w:szCs w:val="22"/>
              </w:rPr>
            </w:pPr>
          </w:p>
          <w:p w:rsidR="00780C18" w:rsidRDefault="00050854" w:rsidP="00BF1922">
            <w:pPr>
              <w:widowControl/>
              <w:ind w:left="702"/>
              <w:rPr>
                <w:color w:val="000000"/>
                <w:sz w:val="22"/>
                <w:szCs w:val="22"/>
              </w:rPr>
            </w:pPr>
            <w:r w:rsidRPr="006740E7">
              <w:rPr>
                <w:color w:val="000000"/>
                <w:sz w:val="22"/>
                <w:szCs w:val="22"/>
              </w:rPr>
              <w:t>File N</w:t>
            </w:r>
            <w:r w:rsidR="00A16AF9" w:rsidRPr="006740E7">
              <w:rPr>
                <w:color w:val="000000"/>
                <w:sz w:val="22"/>
                <w:szCs w:val="22"/>
              </w:rPr>
              <w:t>o</w:t>
            </w:r>
            <w:r w:rsidR="00136E99">
              <w:rPr>
                <w:color w:val="000000"/>
                <w:sz w:val="22"/>
                <w:szCs w:val="22"/>
              </w:rPr>
              <w:t>s</w:t>
            </w:r>
            <w:r w:rsidR="00A16AF9" w:rsidRPr="006740E7">
              <w:rPr>
                <w:color w:val="000000"/>
                <w:sz w:val="22"/>
                <w:szCs w:val="22"/>
              </w:rPr>
              <w:t>.</w:t>
            </w:r>
            <w:r w:rsidR="003E2AD5" w:rsidRPr="006740E7">
              <w:rPr>
                <w:color w:val="000000"/>
                <w:sz w:val="22"/>
                <w:szCs w:val="22"/>
              </w:rPr>
              <w:t xml:space="preserve">:  </w:t>
            </w:r>
            <w:r w:rsidR="00780C18" w:rsidRPr="006740E7">
              <w:rPr>
                <w:color w:val="000000"/>
                <w:sz w:val="22"/>
                <w:szCs w:val="22"/>
              </w:rPr>
              <w:t>EB-FIELD</w:t>
            </w:r>
            <w:r w:rsidR="00255DC5" w:rsidRPr="006740E7">
              <w:rPr>
                <w:color w:val="000000"/>
                <w:sz w:val="22"/>
                <w:szCs w:val="22"/>
              </w:rPr>
              <w:t>WR</w:t>
            </w:r>
            <w:r w:rsidR="00780C18" w:rsidRPr="006740E7">
              <w:rPr>
                <w:color w:val="000000"/>
                <w:sz w:val="22"/>
                <w:szCs w:val="22"/>
              </w:rPr>
              <w:t>-1</w:t>
            </w:r>
            <w:r w:rsidR="00E90527">
              <w:rPr>
                <w:color w:val="000000"/>
                <w:sz w:val="22"/>
                <w:szCs w:val="22"/>
              </w:rPr>
              <w:t>3</w:t>
            </w:r>
            <w:r w:rsidR="00780C18" w:rsidRPr="006740E7">
              <w:rPr>
                <w:color w:val="000000"/>
                <w:sz w:val="22"/>
                <w:szCs w:val="22"/>
              </w:rPr>
              <w:t>-0000</w:t>
            </w:r>
            <w:r w:rsidR="00CB020F">
              <w:rPr>
                <w:color w:val="000000"/>
                <w:sz w:val="22"/>
                <w:szCs w:val="22"/>
              </w:rPr>
              <w:t>9879</w:t>
            </w:r>
          </w:p>
          <w:p w:rsidR="00136E99" w:rsidRPr="006740E7" w:rsidRDefault="00136E99" w:rsidP="00BF1922">
            <w:pPr>
              <w:widowControl/>
              <w:ind w:left="702"/>
              <w:rPr>
                <w:color w:val="000000"/>
                <w:sz w:val="22"/>
                <w:szCs w:val="22"/>
              </w:rPr>
            </w:pPr>
            <w:r>
              <w:rPr>
                <w:color w:val="000000"/>
                <w:sz w:val="22"/>
                <w:szCs w:val="22"/>
              </w:rPr>
              <w:t xml:space="preserve">                  EB-FIELDWR-13-00009881</w:t>
            </w:r>
          </w:p>
          <w:p w:rsidR="00050854" w:rsidRPr="00583C9D" w:rsidRDefault="00050854" w:rsidP="00BF1922">
            <w:pPr>
              <w:widowControl/>
              <w:ind w:left="702"/>
              <w:rPr>
                <w:color w:val="000000"/>
                <w:sz w:val="22"/>
                <w:szCs w:val="22"/>
              </w:rPr>
            </w:pPr>
            <w:r w:rsidRPr="00583C9D">
              <w:rPr>
                <w:color w:val="000000"/>
                <w:sz w:val="22"/>
                <w:szCs w:val="22"/>
              </w:rPr>
              <w:t xml:space="preserve">NAL/Acct. </w:t>
            </w:r>
            <w:r w:rsidRPr="007C5AC7">
              <w:rPr>
                <w:color w:val="000000"/>
                <w:sz w:val="22"/>
                <w:szCs w:val="22"/>
              </w:rPr>
              <w:t>No.</w:t>
            </w:r>
            <w:r w:rsidR="003E2AD5" w:rsidRPr="007C5AC7">
              <w:rPr>
                <w:color w:val="000000"/>
                <w:sz w:val="22"/>
                <w:szCs w:val="22"/>
              </w:rPr>
              <w:t>:</w:t>
            </w:r>
            <w:r w:rsidR="00E847E3" w:rsidRPr="007C5AC7">
              <w:rPr>
                <w:color w:val="000000"/>
                <w:sz w:val="22"/>
                <w:szCs w:val="22"/>
              </w:rPr>
              <w:t xml:space="preserve">  </w:t>
            </w:r>
            <w:r w:rsidR="00255DC5" w:rsidRPr="007C5AC7">
              <w:rPr>
                <w:color w:val="000000"/>
                <w:sz w:val="22"/>
                <w:szCs w:val="22"/>
              </w:rPr>
              <w:t>201</w:t>
            </w:r>
            <w:r w:rsidR="004C61B1" w:rsidRPr="007C5AC7">
              <w:rPr>
                <w:color w:val="000000"/>
                <w:sz w:val="22"/>
                <w:szCs w:val="22"/>
              </w:rPr>
              <w:t>4</w:t>
            </w:r>
            <w:r w:rsidR="00255DC5" w:rsidRPr="007C5AC7">
              <w:rPr>
                <w:color w:val="000000"/>
                <w:sz w:val="22"/>
                <w:szCs w:val="22"/>
              </w:rPr>
              <w:t>32</w:t>
            </w:r>
            <w:r w:rsidR="002A7818" w:rsidRPr="007C5AC7">
              <w:rPr>
                <w:color w:val="000000"/>
                <w:sz w:val="22"/>
                <w:szCs w:val="22"/>
              </w:rPr>
              <w:t>90</w:t>
            </w:r>
            <w:r w:rsidR="003C220C" w:rsidRPr="007C5AC7">
              <w:rPr>
                <w:color w:val="000000"/>
                <w:sz w:val="22"/>
                <w:szCs w:val="22"/>
              </w:rPr>
              <w:t>0005</w:t>
            </w:r>
          </w:p>
          <w:p w:rsidR="00050854" w:rsidRPr="00583C9D" w:rsidRDefault="00050854" w:rsidP="00BF1922">
            <w:pPr>
              <w:widowControl/>
              <w:ind w:left="702"/>
              <w:rPr>
                <w:color w:val="000000"/>
                <w:sz w:val="22"/>
                <w:szCs w:val="22"/>
              </w:rPr>
            </w:pPr>
            <w:r w:rsidRPr="00583C9D">
              <w:rPr>
                <w:color w:val="000000"/>
                <w:sz w:val="22"/>
                <w:szCs w:val="22"/>
              </w:rPr>
              <w:t>FRN</w:t>
            </w:r>
            <w:r w:rsidR="003E2AD5" w:rsidRPr="00583C9D">
              <w:rPr>
                <w:color w:val="000000"/>
                <w:sz w:val="22"/>
                <w:szCs w:val="22"/>
              </w:rPr>
              <w:t>:</w:t>
            </w:r>
            <w:r w:rsidR="004110FC" w:rsidRPr="00583C9D">
              <w:rPr>
                <w:color w:val="000000"/>
                <w:sz w:val="22"/>
                <w:szCs w:val="22"/>
              </w:rPr>
              <w:t xml:space="preserve">  </w:t>
            </w:r>
            <w:r w:rsidR="000473C9" w:rsidRPr="00583C9D">
              <w:rPr>
                <w:sz w:val="22"/>
                <w:szCs w:val="22"/>
              </w:rPr>
              <w:t>0016686628</w:t>
            </w:r>
          </w:p>
          <w:p w:rsidR="00050854" w:rsidRPr="006740E7" w:rsidRDefault="008B58B7" w:rsidP="00BF1922">
            <w:pPr>
              <w:widowControl/>
              <w:rPr>
                <w:color w:val="000000"/>
                <w:sz w:val="22"/>
                <w:szCs w:val="22"/>
              </w:rPr>
            </w:pPr>
            <w:r w:rsidRPr="006740E7">
              <w:rPr>
                <w:color w:val="000000"/>
                <w:sz w:val="22"/>
                <w:szCs w:val="22"/>
              </w:rPr>
              <w:t xml:space="preserve">    </w:t>
            </w:r>
          </w:p>
        </w:tc>
      </w:tr>
    </w:tbl>
    <w:p w:rsidR="00927201" w:rsidRDefault="00927201" w:rsidP="00906C31">
      <w:pPr>
        <w:widowControl/>
        <w:jc w:val="center"/>
        <w:rPr>
          <w:b/>
          <w:color w:val="000000"/>
          <w:sz w:val="22"/>
          <w:szCs w:val="22"/>
        </w:rPr>
      </w:pPr>
      <w:r>
        <w:rPr>
          <w:b/>
          <w:color w:val="000000"/>
          <w:sz w:val="22"/>
          <w:szCs w:val="22"/>
        </w:rPr>
        <w:t>NOTICE OF APPARENT LIABILITY FOR FORFEITURE</w:t>
      </w:r>
    </w:p>
    <w:p w:rsidR="00927201" w:rsidRDefault="00927201" w:rsidP="00927201">
      <w:pPr>
        <w:widowControl/>
        <w:jc w:val="center"/>
        <w:rPr>
          <w:b/>
          <w:color w:val="000000"/>
          <w:sz w:val="22"/>
          <w:szCs w:val="22"/>
        </w:rPr>
      </w:pPr>
    </w:p>
    <w:p w:rsidR="00050854" w:rsidRPr="00227282" w:rsidRDefault="007E2E05" w:rsidP="00BF1922">
      <w:pPr>
        <w:widowControl/>
        <w:rPr>
          <w:b/>
          <w:color w:val="000000"/>
          <w:spacing w:val="-2"/>
          <w:sz w:val="22"/>
          <w:szCs w:val="22"/>
        </w:rPr>
      </w:pPr>
      <w:r w:rsidRPr="00227282">
        <w:rPr>
          <w:b/>
          <w:color w:val="000000"/>
          <w:sz w:val="22"/>
          <w:szCs w:val="22"/>
        </w:rPr>
        <w:t>Adopted:</w:t>
      </w:r>
      <w:r w:rsidR="00B152B7">
        <w:rPr>
          <w:b/>
          <w:color w:val="000000"/>
          <w:sz w:val="22"/>
          <w:szCs w:val="22"/>
        </w:rPr>
        <w:t xml:space="preserve"> </w:t>
      </w:r>
      <w:r w:rsidR="004443FB">
        <w:rPr>
          <w:b/>
          <w:color w:val="000000"/>
          <w:sz w:val="22"/>
          <w:szCs w:val="22"/>
        </w:rPr>
        <w:t>May 14, 2014</w:t>
      </w:r>
      <w:r w:rsidR="00227282">
        <w:rPr>
          <w:b/>
          <w:color w:val="000000"/>
          <w:sz w:val="22"/>
          <w:szCs w:val="22"/>
        </w:rPr>
        <w:tab/>
      </w:r>
      <w:r w:rsidR="00227282">
        <w:rPr>
          <w:b/>
          <w:color w:val="000000"/>
          <w:sz w:val="22"/>
          <w:szCs w:val="22"/>
        </w:rPr>
        <w:tab/>
      </w:r>
      <w:r w:rsidR="00227282">
        <w:rPr>
          <w:b/>
          <w:color w:val="000000"/>
          <w:sz w:val="22"/>
          <w:szCs w:val="22"/>
        </w:rPr>
        <w:tab/>
      </w:r>
      <w:r w:rsidR="00227282">
        <w:rPr>
          <w:b/>
          <w:color w:val="000000"/>
          <w:sz w:val="22"/>
          <w:szCs w:val="22"/>
        </w:rPr>
        <w:tab/>
      </w:r>
      <w:r w:rsidR="00227282">
        <w:rPr>
          <w:b/>
          <w:color w:val="000000"/>
          <w:sz w:val="22"/>
          <w:szCs w:val="22"/>
        </w:rPr>
        <w:tab/>
      </w:r>
      <w:r w:rsidR="00CB020F">
        <w:rPr>
          <w:b/>
          <w:color w:val="000000"/>
          <w:sz w:val="22"/>
          <w:szCs w:val="22"/>
        </w:rPr>
        <w:t xml:space="preserve">             </w:t>
      </w:r>
      <w:r w:rsidR="00050854" w:rsidRPr="00227282">
        <w:rPr>
          <w:b/>
          <w:color w:val="000000"/>
          <w:sz w:val="22"/>
          <w:szCs w:val="22"/>
        </w:rPr>
        <w:t>Released:</w:t>
      </w:r>
      <w:r w:rsidR="00336477">
        <w:rPr>
          <w:b/>
          <w:color w:val="000000"/>
          <w:sz w:val="22"/>
          <w:szCs w:val="22"/>
        </w:rPr>
        <w:t xml:space="preserve"> </w:t>
      </w:r>
      <w:r w:rsidR="004443FB">
        <w:rPr>
          <w:b/>
          <w:color w:val="000000"/>
          <w:sz w:val="22"/>
          <w:szCs w:val="22"/>
        </w:rPr>
        <w:t xml:space="preserve"> May 15, 2014</w:t>
      </w:r>
    </w:p>
    <w:p w:rsidR="00050854" w:rsidRPr="006740E7" w:rsidRDefault="00050854" w:rsidP="00BF1922">
      <w:pPr>
        <w:widowControl/>
        <w:tabs>
          <w:tab w:val="left" w:pos="0"/>
          <w:tab w:val="left" w:pos="720"/>
          <w:tab w:val="left" w:pos="5760"/>
        </w:tabs>
        <w:suppressAutoHyphens/>
        <w:spacing w:line="240" w:lineRule="atLeast"/>
        <w:jc w:val="both"/>
        <w:rPr>
          <w:color w:val="000000"/>
          <w:spacing w:val="-2"/>
          <w:sz w:val="22"/>
          <w:szCs w:val="22"/>
        </w:rPr>
      </w:pPr>
    </w:p>
    <w:p w:rsidR="00050854" w:rsidRPr="006740E7" w:rsidRDefault="00050854" w:rsidP="00BF1922">
      <w:pPr>
        <w:widowControl/>
        <w:tabs>
          <w:tab w:val="left" w:pos="0"/>
          <w:tab w:val="left" w:pos="720"/>
          <w:tab w:val="left" w:pos="5760"/>
        </w:tabs>
        <w:suppressAutoHyphens/>
        <w:spacing w:line="240" w:lineRule="atLeast"/>
        <w:rPr>
          <w:color w:val="000000"/>
          <w:spacing w:val="-2"/>
          <w:sz w:val="22"/>
          <w:szCs w:val="22"/>
        </w:rPr>
      </w:pPr>
      <w:r w:rsidRPr="006740E7">
        <w:rPr>
          <w:color w:val="000000"/>
          <w:spacing w:val="-2"/>
          <w:sz w:val="22"/>
          <w:szCs w:val="22"/>
        </w:rPr>
        <w:t xml:space="preserve">By the </w:t>
      </w:r>
      <w:r w:rsidR="00BE5B6D">
        <w:rPr>
          <w:color w:val="000000"/>
          <w:spacing w:val="-2"/>
          <w:sz w:val="22"/>
          <w:szCs w:val="22"/>
        </w:rPr>
        <w:t xml:space="preserve">District Director, </w:t>
      </w:r>
      <w:r w:rsidR="00341C96">
        <w:rPr>
          <w:color w:val="000000"/>
          <w:spacing w:val="-2"/>
          <w:sz w:val="22"/>
          <w:szCs w:val="22"/>
        </w:rPr>
        <w:t xml:space="preserve">Los Angeles Office, </w:t>
      </w:r>
      <w:r w:rsidR="00BE5B6D">
        <w:rPr>
          <w:color w:val="000000"/>
          <w:spacing w:val="-2"/>
          <w:sz w:val="22"/>
          <w:szCs w:val="22"/>
        </w:rPr>
        <w:t xml:space="preserve">Western Region, </w:t>
      </w:r>
      <w:r w:rsidRPr="006740E7">
        <w:rPr>
          <w:color w:val="000000"/>
          <w:spacing w:val="-2"/>
          <w:sz w:val="22"/>
          <w:szCs w:val="22"/>
        </w:rPr>
        <w:t>Enforcement Bureau:</w:t>
      </w:r>
    </w:p>
    <w:p w:rsidR="00AE3A0F" w:rsidRPr="006740E7" w:rsidRDefault="00AE3A0F" w:rsidP="00BF1922">
      <w:pPr>
        <w:widowControl/>
        <w:tabs>
          <w:tab w:val="left" w:pos="0"/>
        </w:tabs>
        <w:suppressAutoHyphens/>
        <w:spacing w:line="240" w:lineRule="atLeast"/>
        <w:jc w:val="both"/>
        <w:rPr>
          <w:color w:val="000000"/>
          <w:sz w:val="22"/>
          <w:szCs w:val="22"/>
        </w:rPr>
      </w:pPr>
    </w:p>
    <w:p w:rsidR="00990FB6" w:rsidRPr="006740E7" w:rsidRDefault="00990FB6" w:rsidP="00267DE9">
      <w:pPr>
        <w:pStyle w:val="Heading1"/>
        <w:widowControl/>
        <w:spacing w:after="120"/>
        <w:rPr>
          <w:color w:val="000000"/>
          <w:sz w:val="22"/>
          <w:szCs w:val="22"/>
        </w:rPr>
      </w:pPr>
      <w:r w:rsidRPr="006740E7">
        <w:rPr>
          <w:color w:val="000000"/>
          <w:sz w:val="22"/>
          <w:szCs w:val="22"/>
        </w:rPr>
        <w:t>INTRODUCTION</w:t>
      </w:r>
    </w:p>
    <w:p w:rsidR="004F3F54" w:rsidRPr="00A05AA5" w:rsidRDefault="004F3F54" w:rsidP="00A05AA5">
      <w:pPr>
        <w:numPr>
          <w:ilvl w:val="0"/>
          <w:numId w:val="22"/>
        </w:numPr>
        <w:tabs>
          <w:tab w:val="left" w:pos="0"/>
        </w:tabs>
        <w:suppressAutoHyphens/>
        <w:spacing w:after="120"/>
        <w:ind w:left="0"/>
        <w:rPr>
          <w:color w:val="000000"/>
          <w:spacing w:val="-2"/>
          <w:sz w:val="22"/>
          <w:szCs w:val="22"/>
        </w:rPr>
      </w:pPr>
      <w:r>
        <w:rPr>
          <w:color w:val="000000"/>
          <w:spacing w:val="-2"/>
          <w:sz w:val="22"/>
          <w:szCs w:val="22"/>
        </w:rPr>
        <w:t xml:space="preserve">We propose a penalty of $25,000 against </w:t>
      </w:r>
      <w:r w:rsidRPr="004F3F54">
        <w:rPr>
          <w:color w:val="000000"/>
          <w:spacing w:val="-2"/>
          <w:sz w:val="22"/>
          <w:szCs w:val="22"/>
        </w:rPr>
        <w:t>Televisa, S.A. de C.V. (Televisa)</w:t>
      </w:r>
      <w:r>
        <w:rPr>
          <w:color w:val="000000"/>
          <w:spacing w:val="-2"/>
          <w:sz w:val="22"/>
          <w:szCs w:val="22"/>
        </w:rPr>
        <w:t xml:space="preserve"> for apparently operating </w:t>
      </w:r>
      <w:r w:rsidR="000508C6">
        <w:rPr>
          <w:color w:val="000000"/>
          <w:spacing w:val="-2"/>
          <w:sz w:val="22"/>
          <w:szCs w:val="22"/>
        </w:rPr>
        <w:t>its satellite news</w:t>
      </w:r>
      <w:r w:rsidR="00A05AA5">
        <w:rPr>
          <w:color w:val="000000"/>
          <w:spacing w:val="-2"/>
          <w:sz w:val="22"/>
          <w:szCs w:val="22"/>
        </w:rPr>
        <w:t xml:space="preserve"> </w:t>
      </w:r>
      <w:r w:rsidR="000508C6">
        <w:rPr>
          <w:color w:val="000000"/>
          <w:spacing w:val="-2"/>
          <w:sz w:val="22"/>
          <w:szCs w:val="22"/>
        </w:rPr>
        <w:t>gathering vehicle</w:t>
      </w:r>
      <w:r w:rsidR="00013FA9">
        <w:rPr>
          <w:color w:val="000000"/>
          <w:spacing w:val="-2"/>
          <w:sz w:val="22"/>
          <w:szCs w:val="22"/>
        </w:rPr>
        <w:t>s</w:t>
      </w:r>
      <w:r w:rsidR="000508C6">
        <w:rPr>
          <w:color w:val="000000"/>
          <w:spacing w:val="-2"/>
          <w:sz w:val="22"/>
          <w:szCs w:val="22"/>
        </w:rPr>
        <w:t xml:space="preserve"> </w:t>
      </w:r>
      <w:r w:rsidR="003D578E">
        <w:rPr>
          <w:color w:val="000000"/>
          <w:spacing w:val="-2"/>
          <w:sz w:val="22"/>
          <w:szCs w:val="22"/>
        </w:rPr>
        <w:t>on unauthorized frequencies</w:t>
      </w:r>
      <w:r>
        <w:rPr>
          <w:color w:val="000000"/>
          <w:spacing w:val="-2"/>
          <w:sz w:val="22"/>
          <w:szCs w:val="22"/>
        </w:rPr>
        <w:t xml:space="preserve"> </w:t>
      </w:r>
      <w:r w:rsidR="000508C6">
        <w:rPr>
          <w:color w:val="000000"/>
          <w:spacing w:val="-2"/>
          <w:sz w:val="22"/>
          <w:szCs w:val="22"/>
        </w:rPr>
        <w:t>while telecasting sports programming internationally.  Televisa rece</w:t>
      </w:r>
      <w:r w:rsidR="00C20517">
        <w:rPr>
          <w:color w:val="000000"/>
          <w:spacing w:val="-2"/>
          <w:sz w:val="22"/>
          <w:szCs w:val="22"/>
        </w:rPr>
        <w:t>ived a warning advising it</w:t>
      </w:r>
      <w:r w:rsidR="000508C6">
        <w:rPr>
          <w:color w:val="000000"/>
          <w:spacing w:val="-2"/>
          <w:sz w:val="22"/>
          <w:szCs w:val="22"/>
        </w:rPr>
        <w:t xml:space="preserve"> to stop operating on channels for which it</w:t>
      </w:r>
      <w:r w:rsidR="000508C6" w:rsidRPr="00906C31">
        <w:rPr>
          <w:color w:val="000000"/>
          <w:spacing w:val="-2"/>
          <w:sz w:val="22"/>
          <w:szCs w:val="22"/>
        </w:rPr>
        <w:t xml:space="preserve"> did not hold a valid station authorization</w:t>
      </w:r>
      <w:r w:rsidR="000508C6">
        <w:rPr>
          <w:color w:val="000000"/>
          <w:spacing w:val="-2"/>
          <w:sz w:val="22"/>
          <w:szCs w:val="22"/>
        </w:rPr>
        <w:t>.</w:t>
      </w:r>
      <w:r w:rsidR="00A05AA5">
        <w:rPr>
          <w:color w:val="000000"/>
          <w:spacing w:val="-2"/>
          <w:sz w:val="22"/>
          <w:szCs w:val="22"/>
        </w:rPr>
        <w:t xml:space="preserve">  Despite this warning, FCC agents found that the same violation </w:t>
      </w:r>
      <w:r w:rsidR="00013FA9">
        <w:rPr>
          <w:color w:val="000000"/>
          <w:spacing w:val="-2"/>
          <w:sz w:val="22"/>
          <w:szCs w:val="22"/>
        </w:rPr>
        <w:t xml:space="preserve">apparently </w:t>
      </w:r>
      <w:r w:rsidR="00A05AA5">
        <w:rPr>
          <w:color w:val="000000"/>
          <w:spacing w:val="-2"/>
          <w:sz w:val="22"/>
          <w:szCs w:val="22"/>
        </w:rPr>
        <w:t xml:space="preserve">occurred during Televisa’s operations at a separate venue four days later.  Televisa did not dispute the violations and conceded that it </w:t>
      </w:r>
      <w:r w:rsidR="00013FA9">
        <w:rPr>
          <w:spacing w:val="-2"/>
          <w:sz w:val="22"/>
          <w:szCs w:val="22"/>
        </w:rPr>
        <w:t xml:space="preserve">transmitted from its </w:t>
      </w:r>
      <w:r w:rsidR="00013FA9">
        <w:rPr>
          <w:color w:val="000000"/>
          <w:spacing w:val="-2"/>
          <w:sz w:val="22"/>
          <w:szCs w:val="22"/>
        </w:rPr>
        <w:t xml:space="preserve">satellite news gathering vehicles </w:t>
      </w:r>
      <w:r w:rsidR="00013FA9">
        <w:rPr>
          <w:spacing w:val="-2"/>
          <w:sz w:val="22"/>
          <w:szCs w:val="22"/>
        </w:rPr>
        <w:t>without Commission authorization on two occasions within the same week</w:t>
      </w:r>
      <w:r w:rsidR="00A05AA5">
        <w:rPr>
          <w:color w:val="000000"/>
          <w:spacing w:val="-2"/>
          <w:sz w:val="22"/>
          <w:szCs w:val="22"/>
        </w:rPr>
        <w:t xml:space="preserve">.  </w:t>
      </w:r>
      <w:r w:rsidR="00013FA9">
        <w:rPr>
          <w:color w:val="000000"/>
          <w:spacing w:val="-2"/>
          <w:sz w:val="22"/>
          <w:szCs w:val="22"/>
        </w:rPr>
        <w:t>T</w:t>
      </w:r>
      <w:r w:rsidR="00A05AA5">
        <w:rPr>
          <w:color w:val="000000"/>
          <w:spacing w:val="-2"/>
          <w:sz w:val="22"/>
          <w:szCs w:val="22"/>
        </w:rPr>
        <w:t>he repeated violation after receiving a warning</w:t>
      </w:r>
      <w:r w:rsidRPr="00A05AA5">
        <w:rPr>
          <w:color w:val="000000"/>
          <w:spacing w:val="-2"/>
          <w:sz w:val="22"/>
          <w:szCs w:val="22"/>
        </w:rPr>
        <w:t xml:space="preserve"> and Televisa’s status as a highly pro</w:t>
      </w:r>
      <w:r w:rsidR="00013FA9">
        <w:rPr>
          <w:color w:val="000000"/>
          <w:spacing w:val="-2"/>
          <w:sz w:val="22"/>
          <w:szCs w:val="22"/>
        </w:rPr>
        <w:t xml:space="preserve">fitable company </w:t>
      </w:r>
      <w:r w:rsidRPr="00A05AA5">
        <w:rPr>
          <w:color w:val="000000"/>
          <w:spacing w:val="-2"/>
          <w:sz w:val="22"/>
          <w:szCs w:val="22"/>
        </w:rPr>
        <w:t>warrant</w:t>
      </w:r>
      <w:r w:rsidR="00013FA9">
        <w:rPr>
          <w:color w:val="000000"/>
          <w:spacing w:val="-2"/>
          <w:sz w:val="22"/>
          <w:szCs w:val="22"/>
        </w:rPr>
        <w:t>s</w:t>
      </w:r>
      <w:r w:rsidRPr="00A05AA5">
        <w:rPr>
          <w:color w:val="000000"/>
          <w:spacing w:val="-2"/>
          <w:sz w:val="22"/>
          <w:szCs w:val="22"/>
        </w:rPr>
        <w:t xml:space="preserve"> </w:t>
      </w:r>
      <w:r w:rsidR="00A05AA5">
        <w:rPr>
          <w:color w:val="000000"/>
          <w:spacing w:val="-2"/>
          <w:sz w:val="22"/>
          <w:szCs w:val="22"/>
        </w:rPr>
        <w:t xml:space="preserve">a significant </w:t>
      </w:r>
      <w:r w:rsidRPr="00A05AA5">
        <w:rPr>
          <w:color w:val="000000"/>
          <w:spacing w:val="-2"/>
          <w:sz w:val="22"/>
          <w:szCs w:val="22"/>
        </w:rPr>
        <w:t xml:space="preserve">penalty. </w:t>
      </w:r>
    </w:p>
    <w:p w:rsidR="00EB5D71" w:rsidRPr="006740E7" w:rsidRDefault="00050854" w:rsidP="00267DE9">
      <w:pPr>
        <w:numPr>
          <w:ilvl w:val="0"/>
          <w:numId w:val="22"/>
        </w:numPr>
        <w:tabs>
          <w:tab w:val="left" w:pos="0"/>
        </w:tabs>
        <w:suppressAutoHyphens/>
        <w:spacing w:after="120"/>
        <w:ind w:left="0"/>
        <w:rPr>
          <w:color w:val="000000"/>
          <w:spacing w:val="-2"/>
          <w:sz w:val="22"/>
          <w:szCs w:val="22"/>
        </w:rPr>
      </w:pPr>
      <w:r w:rsidRPr="006740E7">
        <w:rPr>
          <w:color w:val="000000"/>
          <w:spacing w:val="-2"/>
          <w:sz w:val="22"/>
          <w:szCs w:val="22"/>
        </w:rPr>
        <w:t>In this Notice of Apparent Liability for Forfeiture</w:t>
      </w:r>
      <w:r w:rsidR="00255DC5" w:rsidRPr="006740E7">
        <w:rPr>
          <w:color w:val="000000"/>
          <w:spacing w:val="-2"/>
          <w:sz w:val="22"/>
          <w:szCs w:val="22"/>
        </w:rPr>
        <w:t xml:space="preserve"> </w:t>
      </w:r>
      <w:r w:rsidRPr="006740E7">
        <w:rPr>
          <w:color w:val="000000"/>
          <w:spacing w:val="-2"/>
          <w:sz w:val="22"/>
          <w:szCs w:val="22"/>
        </w:rPr>
        <w:t xml:space="preserve">(NAL), we find that </w:t>
      </w:r>
      <w:r w:rsidR="00E27352">
        <w:rPr>
          <w:color w:val="000000"/>
          <w:spacing w:val="-2"/>
          <w:sz w:val="22"/>
          <w:szCs w:val="22"/>
        </w:rPr>
        <w:t>Televisa</w:t>
      </w:r>
      <w:r w:rsidR="008B58B7" w:rsidRPr="006740E7">
        <w:rPr>
          <w:color w:val="000000"/>
          <w:spacing w:val="-2"/>
          <w:sz w:val="22"/>
          <w:szCs w:val="22"/>
        </w:rPr>
        <w:t xml:space="preserve">, </w:t>
      </w:r>
      <w:r w:rsidR="00E27352">
        <w:rPr>
          <w:color w:val="000000"/>
          <w:spacing w:val="-2"/>
          <w:sz w:val="22"/>
          <w:szCs w:val="22"/>
        </w:rPr>
        <w:t>apparently willfully and repeatedly violated Section 301 of the Communications Act of 1934, as amended (Act)</w:t>
      </w:r>
      <w:r w:rsidR="00341C96">
        <w:rPr>
          <w:color w:val="000000"/>
          <w:spacing w:val="-2"/>
          <w:sz w:val="22"/>
          <w:szCs w:val="22"/>
        </w:rPr>
        <w:t>,</w:t>
      </w:r>
      <w:r w:rsidRPr="006740E7">
        <w:rPr>
          <w:rStyle w:val="FootnoteReference"/>
          <w:color w:val="000000"/>
          <w:spacing w:val="-2"/>
          <w:sz w:val="22"/>
          <w:szCs w:val="22"/>
        </w:rPr>
        <w:footnoteReference w:id="2"/>
      </w:r>
      <w:r w:rsidRPr="006740E7">
        <w:rPr>
          <w:color w:val="000000"/>
          <w:spacing w:val="-2"/>
          <w:sz w:val="22"/>
          <w:szCs w:val="22"/>
        </w:rPr>
        <w:t xml:space="preserve"> </w:t>
      </w:r>
      <w:r w:rsidR="00A9633C">
        <w:rPr>
          <w:color w:val="000000"/>
          <w:spacing w:val="-2"/>
          <w:sz w:val="22"/>
          <w:szCs w:val="22"/>
        </w:rPr>
        <w:t xml:space="preserve">and Section 25.102(a) of the Commission’s Rules (Rules) </w:t>
      </w:r>
      <w:r w:rsidR="000658E5">
        <w:rPr>
          <w:rStyle w:val="FootnoteReference"/>
          <w:color w:val="000000"/>
          <w:spacing w:val="-2"/>
          <w:sz w:val="22"/>
          <w:szCs w:val="22"/>
        </w:rPr>
        <w:footnoteReference w:id="3"/>
      </w:r>
      <w:r w:rsidR="00A9633C">
        <w:rPr>
          <w:color w:val="000000"/>
          <w:spacing w:val="-2"/>
          <w:sz w:val="22"/>
          <w:szCs w:val="22"/>
        </w:rPr>
        <w:t xml:space="preserve"> for operating </w:t>
      </w:r>
      <w:r w:rsidR="006C027B">
        <w:rPr>
          <w:color w:val="000000"/>
          <w:spacing w:val="-2"/>
          <w:sz w:val="22"/>
          <w:szCs w:val="22"/>
        </w:rPr>
        <w:t xml:space="preserve">a temporary C-Band </w:t>
      </w:r>
      <w:r w:rsidR="00853672">
        <w:rPr>
          <w:color w:val="000000"/>
          <w:spacing w:val="-2"/>
          <w:sz w:val="22"/>
          <w:szCs w:val="22"/>
        </w:rPr>
        <w:t xml:space="preserve">Satellite News Gathering (SNG) </w:t>
      </w:r>
      <w:r w:rsidR="001850E7">
        <w:rPr>
          <w:color w:val="000000"/>
          <w:spacing w:val="-2"/>
          <w:sz w:val="22"/>
          <w:szCs w:val="22"/>
        </w:rPr>
        <w:t>station w</w:t>
      </w:r>
      <w:r w:rsidR="00A9633C">
        <w:rPr>
          <w:color w:val="000000"/>
          <w:spacing w:val="-2"/>
          <w:sz w:val="22"/>
          <w:szCs w:val="22"/>
        </w:rPr>
        <w:t>ithout</w:t>
      </w:r>
      <w:r w:rsidR="00A703CD">
        <w:rPr>
          <w:color w:val="000000"/>
          <w:spacing w:val="-2"/>
          <w:sz w:val="22"/>
          <w:szCs w:val="22"/>
        </w:rPr>
        <w:t xml:space="preserve"> Commission</w:t>
      </w:r>
      <w:r w:rsidR="00392E9B">
        <w:rPr>
          <w:color w:val="000000"/>
          <w:spacing w:val="-2"/>
          <w:sz w:val="22"/>
          <w:szCs w:val="22"/>
        </w:rPr>
        <w:t xml:space="preserve"> </w:t>
      </w:r>
      <w:r w:rsidR="00A9633C">
        <w:rPr>
          <w:color w:val="000000"/>
          <w:spacing w:val="-2"/>
          <w:sz w:val="22"/>
          <w:szCs w:val="22"/>
        </w:rPr>
        <w:t xml:space="preserve">authorization.  </w:t>
      </w:r>
    </w:p>
    <w:p w:rsidR="00050854" w:rsidRPr="006740E7" w:rsidRDefault="00050854" w:rsidP="00267DE9">
      <w:pPr>
        <w:pStyle w:val="Heading1"/>
        <w:widowControl/>
        <w:spacing w:after="120"/>
        <w:rPr>
          <w:color w:val="000000"/>
          <w:spacing w:val="-2"/>
          <w:sz w:val="22"/>
          <w:szCs w:val="22"/>
        </w:rPr>
      </w:pPr>
      <w:r w:rsidRPr="006740E7">
        <w:rPr>
          <w:color w:val="000000"/>
          <w:sz w:val="22"/>
          <w:szCs w:val="22"/>
        </w:rPr>
        <w:t>BACKGROUND</w:t>
      </w:r>
    </w:p>
    <w:p w:rsidR="00470C5D" w:rsidRPr="006740E7" w:rsidRDefault="00EB5D71" w:rsidP="00267DE9">
      <w:pPr>
        <w:widowControl/>
        <w:numPr>
          <w:ilvl w:val="0"/>
          <w:numId w:val="22"/>
        </w:numPr>
        <w:tabs>
          <w:tab w:val="clear" w:pos="1260"/>
          <w:tab w:val="left" w:pos="0"/>
          <w:tab w:val="num" w:pos="1440"/>
        </w:tabs>
        <w:suppressAutoHyphens/>
        <w:spacing w:after="120"/>
        <w:ind w:left="0"/>
        <w:rPr>
          <w:color w:val="000000"/>
          <w:spacing w:val="-2"/>
          <w:sz w:val="22"/>
          <w:szCs w:val="22"/>
        </w:rPr>
      </w:pPr>
      <w:r w:rsidRPr="006740E7">
        <w:rPr>
          <w:color w:val="000000"/>
          <w:spacing w:val="-2"/>
          <w:sz w:val="22"/>
          <w:szCs w:val="22"/>
        </w:rPr>
        <w:t>On J</w:t>
      </w:r>
      <w:r w:rsidR="008D58DF">
        <w:rPr>
          <w:color w:val="000000"/>
          <w:spacing w:val="-2"/>
          <w:sz w:val="22"/>
          <w:szCs w:val="22"/>
        </w:rPr>
        <w:t xml:space="preserve">uly 7, 2013, </w:t>
      </w:r>
      <w:r w:rsidRPr="006740E7">
        <w:rPr>
          <w:color w:val="000000"/>
          <w:spacing w:val="-2"/>
          <w:sz w:val="22"/>
          <w:szCs w:val="22"/>
        </w:rPr>
        <w:t xml:space="preserve">an agent </w:t>
      </w:r>
      <w:r w:rsidR="00927201">
        <w:rPr>
          <w:color w:val="000000"/>
          <w:spacing w:val="-2"/>
          <w:sz w:val="22"/>
          <w:szCs w:val="22"/>
        </w:rPr>
        <w:t>from</w:t>
      </w:r>
      <w:r w:rsidRPr="006740E7">
        <w:rPr>
          <w:color w:val="000000"/>
          <w:spacing w:val="-2"/>
          <w:sz w:val="22"/>
          <w:szCs w:val="22"/>
        </w:rPr>
        <w:t xml:space="preserve"> the Enforcement Bureau’s </w:t>
      </w:r>
      <w:r w:rsidR="008D58DF">
        <w:rPr>
          <w:color w:val="000000"/>
          <w:spacing w:val="-2"/>
          <w:sz w:val="22"/>
          <w:szCs w:val="22"/>
        </w:rPr>
        <w:t xml:space="preserve">Los Angeles </w:t>
      </w:r>
      <w:r w:rsidRPr="006740E7">
        <w:rPr>
          <w:color w:val="000000"/>
          <w:spacing w:val="-2"/>
          <w:sz w:val="22"/>
          <w:szCs w:val="22"/>
        </w:rPr>
        <w:t>Office</w:t>
      </w:r>
      <w:r w:rsidR="00C82C93" w:rsidRPr="006740E7">
        <w:rPr>
          <w:color w:val="000000"/>
          <w:spacing w:val="-2"/>
          <w:sz w:val="22"/>
          <w:szCs w:val="22"/>
        </w:rPr>
        <w:t xml:space="preserve"> (</w:t>
      </w:r>
      <w:r w:rsidR="008D58DF">
        <w:rPr>
          <w:color w:val="000000"/>
          <w:spacing w:val="-2"/>
          <w:sz w:val="22"/>
          <w:szCs w:val="22"/>
        </w:rPr>
        <w:t xml:space="preserve">Los Angeles </w:t>
      </w:r>
      <w:r w:rsidR="00C82C93" w:rsidRPr="006740E7">
        <w:rPr>
          <w:color w:val="000000"/>
          <w:spacing w:val="-2"/>
          <w:sz w:val="22"/>
          <w:szCs w:val="22"/>
        </w:rPr>
        <w:t>Office)</w:t>
      </w:r>
      <w:r w:rsidRPr="006740E7">
        <w:rPr>
          <w:color w:val="000000"/>
          <w:spacing w:val="-2"/>
          <w:sz w:val="22"/>
          <w:szCs w:val="22"/>
        </w:rPr>
        <w:t xml:space="preserve"> </w:t>
      </w:r>
      <w:r w:rsidR="008D58DF">
        <w:rPr>
          <w:color w:val="000000"/>
          <w:spacing w:val="-2"/>
          <w:sz w:val="22"/>
          <w:szCs w:val="22"/>
        </w:rPr>
        <w:t>conducted an on</w:t>
      </w:r>
      <w:r w:rsidR="00906C31">
        <w:rPr>
          <w:color w:val="000000"/>
          <w:spacing w:val="-2"/>
          <w:sz w:val="22"/>
          <w:szCs w:val="22"/>
        </w:rPr>
        <w:t>-</w:t>
      </w:r>
      <w:r w:rsidR="008D58DF">
        <w:rPr>
          <w:color w:val="000000"/>
          <w:spacing w:val="-2"/>
          <w:sz w:val="22"/>
          <w:szCs w:val="22"/>
        </w:rPr>
        <w:t xml:space="preserve">scene </w:t>
      </w:r>
      <w:r w:rsidRPr="006740E7">
        <w:rPr>
          <w:color w:val="000000"/>
          <w:spacing w:val="-2"/>
          <w:sz w:val="22"/>
          <w:szCs w:val="22"/>
        </w:rPr>
        <w:t>inspect</w:t>
      </w:r>
      <w:r w:rsidR="008D58DF">
        <w:rPr>
          <w:color w:val="000000"/>
          <w:spacing w:val="-2"/>
          <w:sz w:val="22"/>
          <w:szCs w:val="22"/>
        </w:rPr>
        <w:t xml:space="preserve">ion of </w:t>
      </w:r>
      <w:r w:rsidR="00B50286">
        <w:rPr>
          <w:color w:val="000000"/>
          <w:spacing w:val="-2"/>
          <w:sz w:val="22"/>
          <w:szCs w:val="22"/>
        </w:rPr>
        <w:t>a C-Band earth-to-space uplink (5.925 to 6.425 GHz) station operating from</w:t>
      </w:r>
      <w:r w:rsidR="003224CB">
        <w:rPr>
          <w:color w:val="000000"/>
          <w:spacing w:val="-2"/>
          <w:sz w:val="22"/>
          <w:szCs w:val="22"/>
        </w:rPr>
        <w:t xml:space="preserve"> a</w:t>
      </w:r>
      <w:r w:rsidR="008D58DF">
        <w:rPr>
          <w:color w:val="000000"/>
          <w:spacing w:val="-2"/>
          <w:sz w:val="22"/>
          <w:szCs w:val="22"/>
        </w:rPr>
        <w:t xml:space="preserve"> Televisa SNG vehicle</w:t>
      </w:r>
      <w:r w:rsidR="00B50286">
        <w:rPr>
          <w:color w:val="000000"/>
          <w:spacing w:val="-2"/>
          <w:sz w:val="22"/>
          <w:szCs w:val="22"/>
        </w:rPr>
        <w:t xml:space="preserve"> </w:t>
      </w:r>
      <w:r w:rsidR="005227C4">
        <w:rPr>
          <w:color w:val="000000"/>
          <w:spacing w:val="-2"/>
          <w:sz w:val="22"/>
          <w:szCs w:val="22"/>
        </w:rPr>
        <w:t xml:space="preserve">temporarily </w:t>
      </w:r>
      <w:r w:rsidR="008C5D54">
        <w:rPr>
          <w:color w:val="000000"/>
          <w:spacing w:val="-2"/>
          <w:sz w:val="22"/>
          <w:szCs w:val="22"/>
        </w:rPr>
        <w:t>located at the Rose Bowl in Pasadena, California</w:t>
      </w:r>
      <w:r w:rsidR="00F52801">
        <w:rPr>
          <w:color w:val="000000"/>
          <w:spacing w:val="-2"/>
          <w:sz w:val="22"/>
          <w:szCs w:val="22"/>
        </w:rPr>
        <w:t xml:space="preserve">. </w:t>
      </w:r>
      <w:r w:rsidR="008C5D54">
        <w:rPr>
          <w:color w:val="000000"/>
          <w:spacing w:val="-2"/>
          <w:sz w:val="22"/>
          <w:szCs w:val="22"/>
        </w:rPr>
        <w:t xml:space="preserve"> </w:t>
      </w:r>
      <w:r w:rsidR="00BE5B6D">
        <w:rPr>
          <w:color w:val="000000"/>
          <w:spacing w:val="-2"/>
          <w:sz w:val="22"/>
          <w:szCs w:val="22"/>
        </w:rPr>
        <w:t xml:space="preserve">The inspection </w:t>
      </w:r>
      <w:r w:rsidR="00184135">
        <w:rPr>
          <w:color w:val="000000"/>
          <w:spacing w:val="-2"/>
          <w:sz w:val="22"/>
          <w:szCs w:val="22"/>
        </w:rPr>
        <w:t xml:space="preserve">and review of Commission databases </w:t>
      </w:r>
      <w:r w:rsidR="00BE5B6D">
        <w:rPr>
          <w:color w:val="000000"/>
          <w:spacing w:val="-2"/>
          <w:sz w:val="22"/>
          <w:szCs w:val="22"/>
        </w:rPr>
        <w:t xml:space="preserve">revealed that Televisa was operating </w:t>
      </w:r>
      <w:r w:rsidR="00F52801">
        <w:rPr>
          <w:color w:val="000000"/>
          <w:spacing w:val="-2"/>
          <w:sz w:val="22"/>
          <w:szCs w:val="22"/>
        </w:rPr>
        <w:t>the</w:t>
      </w:r>
      <w:r w:rsidR="00BE5B6D">
        <w:rPr>
          <w:color w:val="000000"/>
          <w:spacing w:val="-2"/>
          <w:sz w:val="22"/>
          <w:szCs w:val="22"/>
        </w:rPr>
        <w:t xml:space="preserve"> temporary </w:t>
      </w:r>
      <w:r w:rsidR="008072BB">
        <w:rPr>
          <w:color w:val="000000"/>
          <w:spacing w:val="-2"/>
          <w:sz w:val="22"/>
          <w:szCs w:val="22"/>
        </w:rPr>
        <w:t xml:space="preserve">C-Band </w:t>
      </w:r>
      <w:r w:rsidR="00F52801">
        <w:rPr>
          <w:color w:val="000000"/>
          <w:spacing w:val="-2"/>
          <w:sz w:val="22"/>
          <w:szCs w:val="22"/>
        </w:rPr>
        <w:t xml:space="preserve">station </w:t>
      </w:r>
      <w:r w:rsidR="00BE5B6D">
        <w:rPr>
          <w:color w:val="000000"/>
          <w:spacing w:val="-2"/>
          <w:sz w:val="22"/>
          <w:szCs w:val="22"/>
        </w:rPr>
        <w:t xml:space="preserve">without </w:t>
      </w:r>
      <w:r w:rsidR="00906C31">
        <w:rPr>
          <w:color w:val="000000"/>
          <w:spacing w:val="-2"/>
          <w:sz w:val="22"/>
          <w:szCs w:val="22"/>
        </w:rPr>
        <w:t>Commission</w:t>
      </w:r>
      <w:r w:rsidR="00BE5B6D">
        <w:rPr>
          <w:color w:val="000000"/>
          <w:spacing w:val="-2"/>
          <w:sz w:val="22"/>
          <w:szCs w:val="22"/>
        </w:rPr>
        <w:t xml:space="preserve"> authorization.  </w:t>
      </w:r>
      <w:r w:rsidR="008072BB">
        <w:rPr>
          <w:color w:val="000000"/>
          <w:spacing w:val="-2"/>
          <w:sz w:val="22"/>
          <w:szCs w:val="22"/>
        </w:rPr>
        <w:t xml:space="preserve">The agent advised the </w:t>
      </w:r>
      <w:r w:rsidR="00906C31">
        <w:rPr>
          <w:color w:val="000000"/>
          <w:spacing w:val="-2"/>
          <w:sz w:val="22"/>
          <w:szCs w:val="22"/>
        </w:rPr>
        <w:t xml:space="preserve">Televisa </w:t>
      </w:r>
      <w:r w:rsidR="00BE5B6D">
        <w:rPr>
          <w:color w:val="000000"/>
          <w:spacing w:val="-2"/>
          <w:sz w:val="22"/>
          <w:szCs w:val="22"/>
        </w:rPr>
        <w:t xml:space="preserve">SNG operator </w:t>
      </w:r>
      <w:r w:rsidR="008072BB">
        <w:rPr>
          <w:color w:val="000000"/>
          <w:spacing w:val="-2"/>
          <w:sz w:val="22"/>
          <w:szCs w:val="22"/>
        </w:rPr>
        <w:t>that he would need a</w:t>
      </w:r>
      <w:r w:rsidR="00906C31">
        <w:rPr>
          <w:color w:val="000000"/>
          <w:spacing w:val="-2"/>
          <w:sz w:val="22"/>
          <w:szCs w:val="22"/>
        </w:rPr>
        <w:t xml:space="preserve"> Commission</w:t>
      </w:r>
      <w:r w:rsidR="008072BB">
        <w:rPr>
          <w:color w:val="000000"/>
          <w:spacing w:val="-2"/>
          <w:sz w:val="22"/>
          <w:szCs w:val="22"/>
        </w:rPr>
        <w:t xml:space="preserve"> authorization when operating in the United States.</w:t>
      </w:r>
      <w:r w:rsidR="001850E7">
        <w:rPr>
          <w:rStyle w:val="FootnoteReference"/>
          <w:color w:val="000000"/>
          <w:spacing w:val="-2"/>
          <w:sz w:val="22"/>
          <w:szCs w:val="22"/>
        </w:rPr>
        <w:footnoteReference w:id="4"/>
      </w:r>
      <w:r w:rsidR="008072BB">
        <w:rPr>
          <w:color w:val="000000"/>
          <w:spacing w:val="-2"/>
          <w:sz w:val="22"/>
          <w:szCs w:val="22"/>
        </w:rPr>
        <w:t xml:space="preserve">  The </w:t>
      </w:r>
      <w:r w:rsidR="002624BF">
        <w:rPr>
          <w:color w:val="000000"/>
          <w:spacing w:val="-2"/>
          <w:sz w:val="22"/>
          <w:szCs w:val="22"/>
        </w:rPr>
        <w:t>Los Angeles</w:t>
      </w:r>
      <w:r w:rsidR="008072BB">
        <w:rPr>
          <w:color w:val="000000"/>
          <w:spacing w:val="-2"/>
          <w:sz w:val="22"/>
          <w:szCs w:val="22"/>
        </w:rPr>
        <w:t xml:space="preserve"> agen</w:t>
      </w:r>
      <w:r w:rsidR="00A703CD">
        <w:rPr>
          <w:color w:val="000000"/>
          <w:spacing w:val="-2"/>
          <w:sz w:val="22"/>
          <w:szCs w:val="22"/>
        </w:rPr>
        <w:t>t issued an on-</w:t>
      </w:r>
      <w:r w:rsidR="008072BB">
        <w:rPr>
          <w:color w:val="000000"/>
          <w:spacing w:val="-2"/>
          <w:sz w:val="22"/>
          <w:szCs w:val="22"/>
        </w:rPr>
        <w:t xml:space="preserve">scene Notice of Unlicensed Operation (NOUO) </w:t>
      </w:r>
      <w:r w:rsidR="00BE5B6D">
        <w:rPr>
          <w:color w:val="000000"/>
          <w:spacing w:val="-2"/>
          <w:sz w:val="22"/>
          <w:szCs w:val="22"/>
        </w:rPr>
        <w:t xml:space="preserve">to the </w:t>
      </w:r>
      <w:r w:rsidR="00906C31">
        <w:rPr>
          <w:color w:val="000000"/>
          <w:spacing w:val="-2"/>
          <w:sz w:val="22"/>
          <w:szCs w:val="22"/>
        </w:rPr>
        <w:t xml:space="preserve">Televisa </w:t>
      </w:r>
      <w:r w:rsidR="00BE5B6D">
        <w:rPr>
          <w:color w:val="000000"/>
          <w:spacing w:val="-2"/>
          <w:sz w:val="22"/>
          <w:szCs w:val="22"/>
        </w:rPr>
        <w:t>SNG operator.</w:t>
      </w:r>
      <w:r w:rsidR="002624BF">
        <w:rPr>
          <w:rStyle w:val="FootnoteReference"/>
          <w:color w:val="000000"/>
          <w:spacing w:val="-2"/>
          <w:sz w:val="22"/>
          <w:szCs w:val="22"/>
        </w:rPr>
        <w:footnoteReference w:id="5"/>
      </w:r>
      <w:r w:rsidR="00BE5B6D">
        <w:rPr>
          <w:color w:val="000000"/>
          <w:spacing w:val="-2"/>
          <w:sz w:val="22"/>
          <w:szCs w:val="22"/>
        </w:rPr>
        <w:t xml:space="preserve"> </w:t>
      </w:r>
      <w:r w:rsidR="00E17995">
        <w:rPr>
          <w:color w:val="000000"/>
          <w:spacing w:val="-2"/>
          <w:sz w:val="22"/>
          <w:szCs w:val="22"/>
        </w:rPr>
        <w:t xml:space="preserve"> A</w:t>
      </w:r>
      <w:r w:rsidR="00043CDA">
        <w:rPr>
          <w:color w:val="000000"/>
          <w:spacing w:val="-2"/>
          <w:sz w:val="22"/>
          <w:szCs w:val="22"/>
        </w:rPr>
        <w:t xml:space="preserve"> NOUO was also mailed to Televisa and its</w:t>
      </w:r>
      <w:r w:rsidR="00E17995">
        <w:rPr>
          <w:color w:val="000000"/>
          <w:spacing w:val="-2"/>
          <w:sz w:val="22"/>
          <w:szCs w:val="22"/>
        </w:rPr>
        <w:t xml:space="preserve"> counsel</w:t>
      </w:r>
      <w:r w:rsidR="00043CDA">
        <w:rPr>
          <w:color w:val="000000"/>
          <w:spacing w:val="-2"/>
          <w:sz w:val="22"/>
          <w:szCs w:val="22"/>
        </w:rPr>
        <w:t>.</w:t>
      </w:r>
      <w:r w:rsidR="002624BF" w:rsidRPr="002624BF">
        <w:rPr>
          <w:rFonts w:eastAsia="PMingLiU"/>
          <w:color w:val="000000"/>
          <w:spacing w:val="-2"/>
          <w:szCs w:val="22"/>
          <w:vertAlign w:val="superscript"/>
        </w:rPr>
        <w:footnoteReference w:id="6"/>
      </w:r>
      <w:r w:rsidR="00E17995">
        <w:rPr>
          <w:color w:val="000000"/>
          <w:spacing w:val="-2"/>
          <w:sz w:val="22"/>
          <w:szCs w:val="22"/>
        </w:rPr>
        <w:t xml:space="preserve">  </w:t>
      </w:r>
      <w:r w:rsidR="00017BA4">
        <w:rPr>
          <w:color w:val="000000"/>
          <w:spacing w:val="-2"/>
          <w:sz w:val="22"/>
          <w:szCs w:val="22"/>
        </w:rPr>
        <w:t>On July 22, 2013, Televisa’s counsel responded to th</w:t>
      </w:r>
      <w:r w:rsidR="00E17995">
        <w:rPr>
          <w:color w:val="000000"/>
          <w:spacing w:val="-2"/>
          <w:sz w:val="22"/>
          <w:szCs w:val="22"/>
        </w:rPr>
        <w:t>at</w:t>
      </w:r>
      <w:r w:rsidR="00017BA4">
        <w:rPr>
          <w:color w:val="000000"/>
          <w:spacing w:val="-2"/>
          <w:sz w:val="22"/>
          <w:szCs w:val="22"/>
        </w:rPr>
        <w:t xml:space="preserve"> NOUO and stated</w:t>
      </w:r>
      <w:r w:rsidR="001850E7">
        <w:rPr>
          <w:color w:val="000000"/>
          <w:spacing w:val="-2"/>
          <w:sz w:val="22"/>
          <w:szCs w:val="22"/>
        </w:rPr>
        <w:t xml:space="preserve"> that </w:t>
      </w:r>
      <w:r w:rsidR="00017BA4">
        <w:rPr>
          <w:color w:val="000000"/>
          <w:spacing w:val="-2"/>
          <w:sz w:val="22"/>
          <w:szCs w:val="22"/>
        </w:rPr>
        <w:t>“Televisa does not dispute your statements</w:t>
      </w:r>
      <w:r w:rsidR="00E17995">
        <w:rPr>
          <w:color w:val="000000"/>
          <w:spacing w:val="-2"/>
          <w:sz w:val="22"/>
          <w:szCs w:val="22"/>
        </w:rPr>
        <w:t xml:space="preserve">. </w:t>
      </w:r>
      <w:r w:rsidR="00017BA4">
        <w:rPr>
          <w:color w:val="000000"/>
          <w:spacing w:val="-2"/>
          <w:sz w:val="22"/>
          <w:szCs w:val="22"/>
        </w:rPr>
        <w:t xml:space="preserve"> Through inadvertence, a license </w:t>
      </w:r>
      <w:r w:rsidR="00017BA4">
        <w:rPr>
          <w:color w:val="000000"/>
          <w:spacing w:val="-2"/>
          <w:sz w:val="22"/>
          <w:szCs w:val="22"/>
        </w:rPr>
        <w:lastRenderedPageBreak/>
        <w:t>application to the FCC for TVSA Mob-1, along with a Request for Special Temporary Authority (STA), was not submitted until this past Monday, July 15, 2013.</w:t>
      </w:r>
      <w:r w:rsidR="00E17995">
        <w:rPr>
          <w:color w:val="000000"/>
          <w:spacing w:val="-2"/>
          <w:sz w:val="22"/>
          <w:szCs w:val="22"/>
        </w:rPr>
        <w:t>”</w:t>
      </w:r>
      <w:r w:rsidR="002624BF" w:rsidRPr="005F515C">
        <w:rPr>
          <w:rStyle w:val="FootnoteReference"/>
          <w:color w:val="000000"/>
          <w:spacing w:val="-2"/>
          <w:sz w:val="22"/>
          <w:szCs w:val="22"/>
        </w:rPr>
        <w:footnoteReference w:id="7"/>
      </w:r>
      <w:r w:rsidR="00B378E3">
        <w:rPr>
          <w:color w:val="000000"/>
          <w:spacing w:val="-2"/>
          <w:sz w:val="22"/>
          <w:szCs w:val="22"/>
        </w:rPr>
        <w:t xml:space="preserve">  </w:t>
      </w:r>
    </w:p>
    <w:p w:rsidR="00866A93" w:rsidRPr="00243A8B" w:rsidRDefault="00EB5D71" w:rsidP="00267DE9">
      <w:pPr>
        <w:widowControl/>
        <w:numPr>
          <w:ilvl w:val="0"/>
          <w:numId w:val="22"/>
        </w:numPr>
        <w:tabs>
          <w:tab w:val="clear" w:pos="1260"/>
          <w:tab w:val="left" w:pos="0"/>
          <w:tab w:val="num" w:pos="1440"/>
        </w:tabs>
        <w:suppressAutoHyphens/>
        <w:spacing w:after="120"/>
        <w:ind w:left="0"/>
        <w:rPr>
          <w:color w:val="000000"/>
          <w:spacing w:val="-2"/>
          <w:sz w:val="22"/>
          <w:szCs w:val="22"/>
        </w:rPr>
      </w:pPr>
      <w:r w:rsidRPr="00243A8B">
        <w:rPr>
          <w:color w:val="000000"/>
          <w:spacing w:val="-2"/>
          <w:sz w:val="22"/>
          <w:szCs w:val="22"/>
        </w:rPr>
        <w:t xml:space="preserve">On </w:t>
      </w:r>
      <w:r w:rsidR="00766460" w:rsidRPr="00243A8B">
        <w:rPr>
          <w:color w:val="000000"/>
          <w:spacing w:val="-2"/>
          <w:sz w:val="22"/>
          <w:szCs w:val="22"/>
        </w:rPr>
        <w:t>J</w:t>
      </w:r>
      <w:r w:rsidR="008C5D54" w:rsidRPr="00243A8B">
        <w:rPr>
          <w:color w:val="000000"/>
          <w:spacing w:val="-2"/>
          <w:sz w:val="22"/>
          <w:szCs w:val="22"/>
        </w:rPr>
        <w:t xml:space="preserve">uly 11, 2013, an agent from the Enforcement Bureau’s Seattle Office (Seattle Office) conducted an inspection of </w:t>
      </w:r>
      <w:r w:rsidR="00F52801">
        <w:rPr>
          <w:color w:val="000000"/>
          <w:spacing w:val="-2"/>
          <w:sz w:val="22"/>
          <w:szCs w:val="22"/>
        </w:rPr>
        <w:t>a</w:t>
      </w:r>
      <w:r w:rsidR="008C5D54" w:rsidRPr="00243A8B">
        <w:rPr>
          <w:color w:val="000000"/>
          <w:spacing w:val="-2"/>
          <w:sz w:val="22"/>
          <w:szCs w:val="22"/>
        </w:rPr>
        <w:t xml:space="preserve"> </w:t>
      </w:r>
      <w:r w:rsidR="00F52801">
        <w:rPr>
          <w:color w:val="000000"/>
          <w:spacing w:val="-2"/>
          <w:sz w:val="22"/>
          <w:szCs w:val="22"/>
        </w:rPr>
        <w:t xml:space="preserve">C-Band earth-to-space </w:t>
      </w:r>
      <w:r w:rsidR="00D2310B">
        <w:rPr>
          <w:color w:val="000000"/>
          <w:spacing w:val="-2"/>
          <w:sz w:val="22"/>
          <w:szCs w:val="22"/>
        </w:rPr>
        <w:t xml:space="preserve">uplink station operating from </w:t>
      </w:r>
      <w:r w:rsidR="003224CB">
        <w:rPr>
          <w:color w:val="000000"/>
          <w:spacing w:val="-2"/>
          <w:sz w:val="22"/>
          <w:szCs w:val="22"/>
        </w:rPr>
        <w:t>a</w:t>
      </w:r>
      <w:r w:rsidR="00EB29A2">
        <w:rPr>
          <w:color w:val="000000"/>
          <w:spacing w:val="-2"/>
          <w:sz w:val="22"/>
          <w:szCs w:val="22"/>
        </w:rPr>
        <w:t xml:space="preserve"> second</w:t>
      </w:r>
      <w:r w:rsidR="00F52801">
        <w:rPr>
          <w:color w:val="000000"/>
          <w:spacing w:val="-2"/>
          <w:sz w:val="22"/>
          <w:szCs w:val="22"/>
        </w:rPr>
        <w:t xml:space="preserve"> Televisa</w:t>
      </w:r>
      <w:r w:rsidR="003224CB">
        <w:rPr>
          <w:color w:val="000000"/>
          <w:spacing w:val="-2"/>
          <w:sz w:val="22"/>
          <w:szCs w:val="22"/>
        </w:rPr>
        <w:t xml:space="preserve"> </w:t>
      </w:r>
      <w:r w:rsidR="008C5D54" w:rsidRPr="00243A8B">
        <w:rPr>
          <w:color w:val="000000"/>
          <w:spacing w:val="-2"/>
          <w:sz w:val="22"/>
          <w:szCs w:val="22"/>
        </w:rPr>
        <w:t xml:space="preserve">SNG vehicle </w:t>
      </w:r>
      <w:r w:rsidR="005C628A">
        <w:rPr>
          <w:color w:val="000000"/>
          <w:spacing w:val="-2"/>
          <w:sz w:val="22"/>
          <w:szCs w:val="22"/>
        </w:rPr>
        <w:t xml:space="preserve">temporarily </w:t>
      </w:r>
      <w:r w:rsidR="008C5D54" w:rsidRPr="00243A8B">
        <w:rPr>
          <w:color w:val="000000"/>
          <w:spacing w:val="-2"/>
          <w:sz w:val="22"/>
          <w:szCs w:val="22"/>
        </w:rPr>
        <w:t>located at CenturyLink Field in Seattle</w:t>
      </w:r>
      <w:r w:rsidR="00E008E5" w:rsidRPr="00243A8B">
        <w:rPr>
          <w:color w:val="000000"/>
          <w:spacing w:val="-2"/>
          <w:sz w:val="22"/>
          <w:szCs w:val="22"/>
        </w:rPr>
        <w:t>, Washington</w:t>
      </w:r>
      <w:r w:rsidR="00F52801">
        <w:rPr>
          <w:color w:val="000000"/>
          <w:spacing w:val="-2"/>
          <w:sz w:val="22"/>
          <w:szCs w:val="22"/>
        </w:rPr>
        <w:t>.</w:t>
      </w:r>
      <w:r w:rsidR="00E17995" w:rsidRPr="00243A8B">
        <w:rPr>
          <w:color w:val="000000"/>
          <w:spacing w:val="-2"/>
          <w:sz w:val="22"/>
          <w:szCs w:val="22"/>
        </w:rPr>
        <w:t xml:space="preserve">  </w:t>
      </w:r>
      <w:r w:rsidR="00E008E5" w:rsidRPr="00243A8B">
        <w:rPr>
          <w:color w:val="000000"/>
          <w:spacing w:val="-2"/>
          <w:sz w:val="22"/>
          <w:szCs w:val="22"/>
        </w:rPr>
        <w:t xml:space="preserve">During the course of this inspection, </w:t>
      </w:r>
      <w:r w:rsidR="00322368">
        <w:rPr>
          <w:color w:val="000000"/>
          <w:spacing w:val="-2"/>
          <w:sz w:val="22"/>
          <w:szCs w:val="22"/>
        </w:rPr>
        <w:t xml:space="preserve">the </w:t>
      </w:r>
      <w:r w:rsidR="00E008E5" w:rsidRPr="00243A8B">
        <w:rPr>
          <w:color w:val="000000"/>
          <w:spacing w:val="-2"/>
          <w:sz w:val="22"/>
          <w:szCs w:val="22"/>
        </w:rPr>
        <w:t xml:space="preserve">Televisa </w:t>
      </w:r>
      <w:r w:rsidR="00322368">
        <w:rPr>
          <w:color w:val="000000"/>
          <w:spacing w:val="-2"/>
          <w:sz w:val="22"/>
          <w:szCs w:val="22"/>
        </w:rPr>
        <w:t xml:space="preserve">SNG operator </w:t>
      </w:r>
      <w:r w:rsidR="00E17995" w:rsidRPr="00243A8B">
        <w:rPr>
          <w:color w:val="000000"/>
          <w:spacing w:val="-2"/>
          <w:sz w:val="22"/>
          <w:szCs w:val="22"/>
        </w:rPr>
        <w:t>stated t</w:t>
      </w:r>
      <w:r w:rsidR="00E008E5" w:rsidRPr="00243A8B">
        <w:rPr>
          <w:color w:val="000000"/>
          <w:spacing w:val="-2"/>
          <w:sz w:val="22"/>
          <w:szCs w:val="22"/>
        </w:rPr>
        <w:t>hat the SNG vehicle transmitted in the C-band during the event</w:t>
      </w:r>
      <w:r w:rsidR="005C628A">
        <w:rPr>
          <w:color w:val="000000"/>
          <w:spacing w:val="-2"/>
          <w:sz w:val="22"/>
          <w:szCs w:val="22"/>
        </w:rPr>
        <w:t xml:space="preserve">, but </w:t>
      </w:r>
      <w:r w:rsidR="00E008E5" w:rsidRPr="00243A8B">
        <w:rPr>
          <w:color w:val="000000"/>
          <w:spacing w:val="-2"/>
          <w:sz w:val="22"/>
          <w:szCs w:val="22"/>
        </w:rPr>
        <w:t xml:space="preserve">could not produce a </w:t>
      </w:r>
      <w:r w:rsidR="00906C31">
        <w:rPr>
          <w:color w:val="000000"/>
          <w:spacing w:val="-2"/>
          <w:sz w:val="22"/>
          <w:szCs w:val="22"/>
        </w:rPr>
        <w:t>Commission</w:t>
      </w:r>
      <w:r w:rsidR="00E008E5" w:rsidRPr="00243A8B">
        <w:rPr>
          <w:color w:val="000000"/>
          <w:spacing w:val="-2"/>
          <w:sz w:val="22"/>
          <w:szCs w:val="22"/>
        </w:rPr>
        <w:t xml:space="preserve"> license authorizing operation in the C-Band.  The </w:t>
      </w:r>
      <w:r w:rsidR="00A703CD">
        <w:rPr>
          <w:color w:val="000000"/>
          <w:spacing w:val="-2"/>
          <w:sz w:val="22"/>
          <w:szCs w:val="22"/>
        </w:rPr>
        <w:t xml:space="preserve">Seattle </w:t>
      </w:r>
      <w:r w:rsidR="00E008E5" w:rsidRPr="00243A8B">
        <w:rPr>
          <w:color w:val="000000"/>
          <w:spacing w:val="-2"/>
          <w:sz w:val="22"/>
          <w:szCs w:val="22"/>
        </w:rPr>
        <w:t>agent issued an on</w:t>
      </w:r>
      <w:r w:rsidR="00A703CD">
        <w:rPr>
          <w:color w:val="000000"/>
          <w:spacing w:val="-2"/>
          <w:sz w:val="22"/>
          <w:szCs w:val="22"/>
        </w:rPr>
        <w:t>-</w:t>
      </w:r>
      <w:r w:rsidR="00E008E5" w:rsidRPr="00243A8B">
        <w:rPr>
          <w:color w:val="000000"/>
          <w:spacing w:val="-2"/>
          <w:sz w:val="22"/>
          <w:szCs w:val="22"/>
        </w:rPr>
        <w:t>scene NOUO</w:t>
      </w:r>
      <w:r w:rsidR="008F31E1">
        <w:rPr>
          <w:rStyle w:val="FootnoteReference"/>
          <w:color w:val="000000"/>
          <w:spacing w:val="-2"/>
          <w:sz w:val="22"/>
          <w:szCs w:val="22"/>
        </w:rPr>
        <w:footnoteReference w:id="8"/>
      </w:r>
      <w:r w:rsidR="00E008E5" w:rsidRPr="00243A8B">
        <w:rPr>
          <w:color w:val="000000"/>
          <w:spacing w:val="-2"/>
          <w:sz w:val="22"/>
          <w:szCs w:val="22"/>
        </w:rPr>
        <w:t xml:space="preserve"> </w:t>
      </w:r>
      <w:r w:rsidR="00A703CD">
        <w:rPr>
          <w:color w:val="000000"/>
          <w:spacing w:val="-2"/>
          <w:sz w:val="22"/>
          <w:szCs w:val="22"/>
        </w:rPr>
        <w:t xml:space="preserve">to </w:t>
      </w:r>
      <w:r w:rsidR="00322368">
        <w:rPr>
          <w:color w:val="000000"/>
          <w:spacing w:val="-2"/>
          <w:sz w:val="22"/>
          <w:szCs w:val="22"/>
        </w:rPr>
        <w:t xml:space="preserve">the </w:t>
      </w:r>
      <w:r w:rsidR="00A703CD">
        <w:rPr>
          <w:color w:val="000000"/>
          <w:spacing w:val="-2"/>
          <w:sz w:val="22"/>
          <w:szCs w:val="22"/>
        </w:rPr>
        <w:t xml:space="preserve">Televisa </w:t>
      </w:r>
      <w:r w:rsidR="00322368">
        <w:rPr>
          <w:color w:val="000000"/>
          <w:spacing w:val="-2"/>
          <w:sz w:val="22"/>
          <w:szCs w:val="22"/>
        </w:rPr>
        <w:t>SNG operator</w:t>
      </w:r>
      <w:r w:rsidR="005C628A">
        <w:rPr>
          <w:color w:val="000000"/>
          <w:spacing w:val="-2"/>
          <w:sz w:val="22"/>
          <w:szCs w:val="22"/>
        </w:rPr>
        <w:t>.</w:t>
      </w:r>
      <w:r w:rsidR="00322368">
        <w:rPr>
          <w:color w:val="000000"/>
          <w:spacing w:val="-2"/>
          <w:sz w:val="22"/>
          <w:szCs w:val="22"/>
        </w:rPr>
        <w:t xml:space="preserve"> </w:t>
      </w:r>
      <w:r w:rsidR="00A703CD">
        <w:rPr>
          <w:color w:val="000000"/>
          <w:spacing w:val="-2"/>
          <w:sz w:val="22"/>
          <w:szCs w:val="22"/>
        </w:rPr>
        <w:t xml:space="preserve"> </w:t>
      </w:r>
      <w:r w:rsidR="005C628A">
        <w:rPr>
          <w:color w:val="000000"/>
          <w:spacing w:val="-2"/>
          <w:sz w:val="22"/>
          <w:szCs w:val="22"/>
        </w:rPr>
        <w:t>On</w:t>
      </w:r>
      <w:r w:rsidR="00341C96">
        <w:rPr>
          <w:color w:val="000000"/>
          <w:spacing w:val="-2"/>
          <w:sz w:val="22"/>
          <w:szCs w:val="22"/>
        </w:rPr>
        <w:t xml:space="preserve"> July 18, 2013</w:t>
      </w:r>
      <w:r w:rsidR="00322368">
        <w:rPr>
          <w:color w:val="000000"/>
          <w:spacing w:val="-2"/>
          <w:sz w:val="22"/>
          <w:szCs w:val="22"/>
        </w:rPr>
        <w:t>,</w:t>
      </w:r>
      <w:r w:rsidR="00341C96">
        <w:rPr>
          <w:color w:val="000000"/>
          <w:spacing w:val="-2"/>
          <w:sz w:val="22"/>
          <w:szCs w:val="22"/>
        </w:rPr>
        <w:t xml:space="preserve"> </w:t>
      </w:r>
      <w:r w:rsidR="00A703CD">
        <w:rPr>
          <w:color w:val="000000"/>
          <w:spacing w:val="-2"/>
          <w:sz w:val="22"/>
          <w:szCs w:val="22"/>
        </w:rPr>
        <w:t>the Seattle Office</w:t>
      </w:r>
      <w:r w:rsidR="00E008E5" w:rsidRPr="00243A8B">
        <w:rPr>
          <w:color w:val="000000"/>
          <w:spacing w:val="-2"/>
          <w:sz w:val="22"/>
          <w:szCs w:val="22"/>
        </w:rPr>
        <w:t xml:space="preserve"> </w:t>
      </w:r>
      <w:r w:rsidR="00E17995" w:rsidRPr="00243A8B">
        <w:rPr>
          <w:color w:val="000000"/>
          <w:spacing w:val="-2"/>
          <w:sz w:val="22"/>
          <w:szCs w:val="22"/>
        </w:rPr>
        <w:t>mailed</w:t>
      </w:r>
      <w:r w:rsidR="00341C96">
        <w:rPr>
          <w:color w:val="000000"/>
          <w:spacing w:val="-2"/>
          <w:sz w:val="22"/>
          <w:szCs w:val="22"/>
        </w:rPr>
        <w:t xml:space="preserve"> a</w:t>
      </w:r>
      <w:r w:rsidR="00E17995" w:rsidRPr="00243A8B">
        <w:rPr>
          <w:color w:val="000000"/>
          <w:spacing w:val="-2"/>
          <w:sz w:val="22"/>
          <w:szCs w:val="22"/>
        </w:rPr>
        <w:t xml:space="preserve"> </w:t>
      </w:r>
      <w:r w:rsidR="00E008E5" w:rsidRPr="00243A8B">
        <w:rPr>
          <w:color w:val="000000"/>
          <w:spacing w:val="-2"/>
          <w:sz w:val="22"/>
          <w:szCs w:val="22"/>
        </w:rPr>
        <w:t>NOUO</w:t>
      </w:r>
      <w:r w:rsidR="00A703CD">
        <w:rPr>
          <w:color w:val="000000"/>
          <w:spacing w:val="-2"/>
          <w:sz w:val="22"/>
          <w:szCs w:val="22"/>
        </w:rPr>
        <w:t xml:space="preserve"> to Televisa and its counsel</w:t>
      </w:r>
      <w:r w:rsidR="00E17995" w:rsidRPr="00243A8B">
        <w:rPr>
          <w:color w:val="000000"/>
          <w:spacing w:val="-2"/>
          <w:sz w:val="22"/>
          <w:szCs w:val="22"/>
        </w:rPr>
        <w:t>.</w:t>
      </w:r>
      <w:r w:rsidR="002624BF">
        <w:rPr>
          <w:rStyle w:val="FootnoteReference"/>
          <w:color w:val="000000"/>
          <w:spacing w:val="-2"/>
          <w:sz w:val="22"/>
          <w:szCs w:val="22"/>
        </w:rPr>
        <w:footnoteReference w:id="9"/>
      </w:r>
      <w:r w:rsidR="00E17995" w:rsidRPr="00243A8B">
        <w:rPr>
          <w:color w:val="000000"/>
          <w:spacing w:val="-2"/>
          <w:sz w:val="22"/>
          <w:szCs w:val="22"/>
        </w:rPr>
        <w:t xml:space="preserve">  </w:t>
      </w:r>
      <w:r w:rsidR="006B79CD" w:rsidRPr="00243A8B">
        <w:rPr>
          <w:color w:val="000000"/>
          <w:spacing w:val="-2"/>
          <w:sz w:val="22"/>
          <w:szCs w:val="22"/>
        </w:rPr>
        <w:t>On July 29, 2013, Televisa responded to the NOUO and stated, “Televisa does not dispute your statements</w:t>
      </w:r>
      <w:r w:rsidR="001850E7" w:rsidRPr="00243A8B">
        <w:rPr>
          <w:color w:val="000000"/>
          <w:spacing w:val="-2"/>
          <w:sz w:val="22"/>
          <w:szCs w:val="22"/>
        </w:rPr>
        <w:t>.</w:t>
      </w:r>
      <w:r w:rsidR="006B79CD" w:rsidRPr="00243A8B">
        <w:rPr>
          <w:color w:val="000000"/>
          <w:spacing w:val="-2"/>
          <w:sz w:val="22"/>
          <w:szCs w:val="22"/>
        </w:rPr>
        <w:t xml:space="preserve">  Through inadvertence, a license application to the FCC for TVSA Mob-2 was not submitted prior to use but Televisa is working diligently to prepare a suitable FCC Form 312 and request for Special Temporary Authority for this facility.</w:t>
      </w:r>
      <w:r w:rsidR="001850E7" w:rsidRPr="00243A8B">
        <w:rPr>
          <w:color w:val="000000"/>
          <w:spacing w:val="-2"/>
          <w:sz w:val="22"/>
          <w:szCs w:val="22"/>
        </w:rPr>
        <w:t>”</w:t>
      </w:r>
      <w:r w:rsidR="002624BF" w:rsidRPr="005F515C">
        <w:rPr>
          <w:rStyle w:val="FootnoteReference"/>
          <w:color w:val="000000"/>
          <w:spacing w:val="-2"/>
          <w:sz w:val="22"/>
          <w:szCs w:val="22"/>
        </w:rPr>
        <w:footnoteReference w:id="10"/>
      </w:r>
      <w:r w:rsidR="00E008E5" w:rsidRPr="00243A8B">
        <w:rPr>
          <w:color w:val="000000"/>
          <w:spacing w:val="-2"/>
          <w:sz w:val="22"/>
          <w:szCs w:val="22"/>
        </w:rPr>
        <w:t xml:space="preserve">  </w:t>
      </w:r>
      <w:r w:rsidR="00243A8B" w:rsidRPr="00243A8B">
        <w:rPr>
          <w:color w:val="000000"/>
          <w:spacing w:val="-2"/>
          <w:sz w:val="22"/>
          <w:szCs w:val="22"/>
        </w:rPr>
        <w:t xml:space="preserve">Televisa’s application for a </w:t>
      </w:r>
      <w:r w:rsidR="00243A8B">
        <w:rPr>
          <w:color w:val="000000"/>
          <w:spacing w:val="-2"/>
          <w:sz w:val="22"/>
          <w:szCs w:val="22"/>
        </w:rPr>
        <w:t>l</w:t>
      </w:r>
      <w:r w:rsidR="00866A93" w:rsidRPr="00243A8B">
        <w:rPr>
          <w:color w:val="000000"/>
          <w:spacing w:val="-2"/>
          <w:sz w:val="22"/>
          <w:szCs w:val="22"/>
        </w:rPr>
        <w:t>icense for a temporary fixed earth station facility in the C-Band was granted on September 9, 2013</w:t>
      </w:r>
      <w:r w:rsidR="00341C96">
        <w:rPr>
          <w:color w:val="000000"/>
          <w:spacing w:val="-2"/>
          <w:sz w:val="22"/>
          <w:szCs w:val="22"/>
        </w:rPr>
        <w:t>,</w:t>
      </w:r>
      <w:r w:rsidR="00866A93" w:rsidRPr="00243A8B">
        <w:rPr>
          <w:color w:val="000000"/>
          <w:spacing w:val="-2"/>
          <w:sz w:val="22"/>
          <w:szCs w:val="22"/>
        </w:rPr>
        <w:t xml:space="preserve"> with callsign E130127.</w:t>
      </w:r>
      <w:r w:rsidR="009E5ECC">
        <w:rPr>
          <w:rStyle w:val="FootnoteReference"/>
          <w:color w:val="000000"/>
          <w:spacing w:val="-2"/>
          <w:sz w:val="22"/>
          <w:szCs w:val="22"/>
        </w:rPr>
        <w:footnoteReference w:id="11"/>
      </w:r>
    </w:p>
    <w:p w:rsidR="00050854" w:rsidRPr="006740E7" w:rsidRDefault="000D1F80" w:rsidP="00267DE9">
      <w:pPr>
        <w:pStyle w:val="Heading1"/>
        <w:widowControl/>
        <w:spacing w:after="120"/>
        <w:rPr>
          <w:color w:val="000000"/>
          <w:sz w:val="22"/>
          <w:szCs w:val="22"/>
        </w:rPr>
      </w:pPr>
      <w:r w:rsidRPr="006740E7">
        <w:rPr>
          <w:color w:val="000000"/>
          <w:sz w:val="22"/>
          <w:szCs w:val="22"/>
        </w:rPr>
        <w:t>DISC</w:t>
      </w:r>
      <w:r w:rsidR="00050854" w:rsidRPr="006740E7">
        <w:rPr>
          <w:color w:val="000000"/>
          <w:sz w:val="22"/>
          <w:szCs w:val="22"/>
        </w:rPr>
        <w:t>USSION</w:t>
      </w:r>
    </w:p>
    <w:p w:rsidR="00050854" w:rsidRPr="006740E7" w:rsidRDefault="00050854" w:rsidP="00267DE9">
      <w:pPr>
        <w:widowControl/>
        <w:numPr>
          <w:ilvl w:val="0"/>
          <w:numId w:val="22"/>
        </w:numPr>
        <w:tabs>
          <w:tab w:val="clear" w:pos="1260"/>
          <w:tab w:val="num" w:pos="1440"/>
          <w:tab w:val="left" w:pos="4680"/>
          <w:tab w:val="left" w:pos="5760"/>
        </w:tabs>
        <w:spacing w:after="120"/>
        <w:ind w:left="0"/>
        <w:rPr>
          <w:color w:val="000000"/>
          <w:spacing w:val="-3"/>
          <w:sz w:val="22"/>
          <w:szCs w:val="22"/>
        </w:rPr>
      </w:pPr>
      <w:r w:rsidRPr="006740E7">
        <w:rPr>
          <w:color w:val="000000"/>
          <w:spacing w:val="-3"/>
          <w:sz w:val="22"/>
          <w:szCs w:val="22"/>
        </w:rPr>
        <w:t>Section 503(b) of the</w:t>
      </w:r>
      <w:r w:rsidR="00906C31">
        <w:rPr>
          <w:color w:val="000000"/>
          <w:spacing w:val="-3"/>
          <w:sz w:val="22"/>
          <w:szCs w:val="22"/>
        </w:rPr>
        <w:t xml:space="preserve"> </w:t>
      </w:r>
      <w:r w:rsidR="00DC7D2B" w:rsidRPr="006740E7">
        <w:rPr>
          <w:color w:val="000000"/>
          <w:spacing w:val="-3"/>
          <w:sz w:val="22"/>
          <w:szCs w:val="22"/>
        </w:rPr>
        <w:t>Act</w:t>
      </w:r>
      <w:r w:rsidR="007E2E05" w:rsidRPr="006740E7">
        <w:rPr>
          <w:color w:val="000000"/>
          <w:spacing w:val="-3"/>
          <w:sz w:val="22"/>
          <w:szCs w:val="22"/>
        </w:rPr>
        <w:t xml:space="preserve"> </w:t>
      </w:r>
      <w:r w:rsidRPr="006740E7">
        <w:rPr>
          <w:color w:val="000000"/>
          <w:spacing w:val="-3"/>
          <w:sz w:val="22"/>
          <w:szCs w:val="22"/>
        </w:rPr>
        <w:t xml:space="preserve">provides that any person who willfully </w:t>
      </w:r>
      <w:r w:rsidR="0011170C" w:rsidRPr="006740E7">
        <w:rPr>
          <w:color w:val="000000"/>
          <w:spacing w:val="-3"/>
          <w:sz w:val="22"/>
          <w:szCs w:val="22"/>
        </w:rPr>
        <w:t xml:space="preserve">or repeatedly </w:t>
      </w:r>
      <w:r w:rsidRPr="006740E7">
        <w:rPr>
          <w:color w:val="000000"/>
          <w:spacing w:val="-3"/>
          <w:sz w:val="22"/>
          <w:szCs w:val="22"/>
        </w:rPr>
        <w:t xml:space="preserve">fails to comply substantially with the terms and conditions of any license, or willfully </w:t>
      </w:r>
      <w:r w:rsidR="0011170C" w:rsidRPr="006740E7">
        <w:rPr>
          <w:color w:val="000000"/>
          <w:spacing w:val="-3"/>
          <w:sz w:val="22"/>
          <w:szCs w:val="22"/>
        </w:rPr>
        <w:t xml:space="preserve">or repeatedly </w:t>
      </w:r>
      <w:r w:rsidRPr="006740E7">
        <w:rPr>
          <w:color w:val="000000"/>
          <w:spacing w:val="-3"/>
          <w:sz w:val="22"/>
          <w:szCs w:val="22"/>
        </w:rPr>
        <w:t>fails to comply with any of the provisions of the Act or of any rule, regulation</w:t>
      </w:r>
      <w:r w:rsidR="009711A7" w:rsidRPr="006740E7">
        <w:rPr>
          <w:color w:val="000000"/>
          <w:spacing w:val="-3"/>
          <w:sz w:val="22"/>
          <w:szCs w:val="22"/>
        </w:rPr>
        <w:t>,</w:t>
      </w:r>
      <w:r w:rsidRPr="006740E7">
        <w:rPr>
          <w:color w:val="000000"/>
          <w:spacing w:val="-3"/>
          <w:sz w:val="22"/>
          <w:szCs w:val="22"/>
        </w:rPr>
        <w:t xml:space="preserve"> or order issued by the Commission thereunder, shall be liable for a forfeiture penalty.</w:t>
      </w:r>
      <w:r w:rsidR="009711A7" w:rsidRPr="006740E7">
        <w:rPr>
          <w:rStyle w:val="FootnoteReference"/>
          <w:color w:val="000000"/>
          <w:spacing w:val="-3"/>
          <w:sz w:val="22"/>
          <w:szCs w:val="22"/>
        </w:rPr>
        <w:footnoteReference w:id="12"/>
      </w:r>
      <w:r w:rsidRPr="006740E7">
        <w:rPr>
          <w:color w:val="000000"/>
          <w:spacing w:val="-3"/>
          <w:sz w:val="22"/>
          <w:szCs w:val="22"/>
        </w:rPr>
        <w:t xml:space="preserve">  </w:t>
      </w:r>
      <w:r w:rsidR="001665F5" w:rsidRPr="006740E7">
        <w:rPr>
          <w:color w:val="000000"/>
          <w:spacing w:val="-3"/>
          <w:sz w:val="22"/>
          <w:szCs w:val="22"/>
        </w:rPr>
        <w:t xml:space="preserve">Section 312(f)(1) of the Act defines </w:t>
      </w:r>
      <w:r w:rsidR="009711A7" w:rsidRPr="006740E7">
        <w:rPr>
          <w:color w:val="000000"/>
          <w:spacing w:val="-3"/>
          <w:sz w:val="22"/>
          <w:szCs w:val="22"/>
        </w:rPr>
        <w:t>“</w:t>
      </w:r>
      <w:r w:rsidR="001665F5" w:rsidRPr="006740E7">
        <w:rPr>
          <w:color w:val="000000"/>
          <w:spacing w:val="-3"/>
          <w:sz w:val="22"/>
          <w:szCs w:val="22"/>
        </w:rPr>
        <w:t>willful</w:t>
      </w:r>
      <w:r w:rsidR="009711A7" w:rsidRPr="006740E7">
        <w:rPr>
          <w:color w:val="000000"/>
          <w:spacing w:val="-3"/>
          <w:sz w:val="22"/>
          <w:szCs w:val="22"/>
        </w:rPr>
        <w:t>”</w:t>
      </w:r>
      <w:r w:rsidR="001665F5" w:rsidRPr="006740E7">
        <w:rPr>
          <w:color w:val="000000"/>
          <w:spacing w:val="-3"/>
          <w:sz w:val="22"/>
          <w:szCs w:val="22"/>
        </w:rPr>
        <w:t xml:space="preserve"> as the “conscious and deliberate commission or omission of [any] act, irrespective of any intent to violate” the law.</w:t>
      </w:r>
      <w:r w:rsidR="001665F5" w:rsidRPr="006740E7">
        <w:rPr>
          <w:rStyle w:val="FootnoteReference"/>
          <w:color w:val="000000"/>
          <w:spacing w:val="-3"/>
          <w:sz w:val="22"/>
          <w:szCs w:val="22"/>
        </w:rPr>
        <w:footnoteReference w:id="13"/>
      </w:r>
      <w:r w:rsidR="001665F5" w:rsidRPr="006740E7">
        <w:rPr>
          <w:color w:val="000000"/>
          <w:spacing w:val="-3"/>
          <w:sz w:val="22"/>
          <w:szCs w:val="22"/>
        </w:rPr>
        <w:t xml:space="preserve">  The legislative history to </w:t>
      </w:r>
      <w:r w:rsidR="009711A7" w:rsidRPr="006740E7">
        <w:rPr>
          <w:color w:val="000000"/>
          <w:spacing w:val="-3"/>
          <w:sz w:val="22"/>
          <w:szCs w:val="22"/>
        </w:rPr>
        <w:t>S</w:t>
      </w:r>
      <w:r w:rsidR="001665F5" w:rsidRPr="006740E7">
        <w:rPr>
          <w:color w:val="000000"/>
          <w:spacing w:val="-3"/>
          <w:sz w:val="22"/>
          <w:szCs w:val="22"/>
        </w:rPr>
        <w:t xml:space="preserve">ection 312(f)(1) of the Act clarifies that this definition of willful applies to both </w:t>
      </w:r>
      <w:r w:rsidR="00174A12" w:rsidRPr="006740E7">
        <w:rPr>
          <w:color w:val="000000"/>
          <w:spacing w:val="-3"/>
          <w:sz w:val="22"/>
          <w:szCs w:val="22"/>
        </w:rPr>
        <w:t>S</w:t>
      </w:r>
      <w:r w:rsidR="001665F5" w:rsidRPr="006740E7">
        <w:rPr>
          <w:color w:val="000000"/>
          <w:spacing w:val="-3"/>
          <w:sz w:val="22"/>
          <w:szCs w:val="22"/>
        </w:rPr>
        <w:t>ection</w:t>
      </w:r>
      <w:r w:rsidR="00174A12" w:rsidRPr="006740E7">
        <w:rPr>
          <w:color w:val="000000"/>
          <w:spacing w:val="-3"/>
          <w:sz w:val="22"/>
          <w:szCs w:val="22"/>
        </w:rPr>
        <w:t>s</w:t>
      </w:r>
      <w:r w:rsidR="001665F5" w:rsidRPr="006740E7">
        <w:rPr>
          <w:color w:val="000000"/>
          <w:spacing w:val="-3"/>
          <w:sz w:val="22"/>
          <w:szCs w:val="22"/>
        </w:rPr>
        <w:t xml:space="preserve"> 312 and 503(b) of the Act</w:t>
      </w:r>
      <w:r w:rsidR="00174A12" w:rsidRPr="006740E7">
        <w:rPr>
          <w:color w:val="000000"/>
          <w:spacing w:val="-3"/>
          <w:sz w:val="22"/>
          <w:szCs w:val="22"/>
        </w:rPr>
        <w:t>,</w:t>
      </w:r>
      <w:r w:rsidR="001665F5" w:rsidRPr="006740E7">
        <w:rPr>
          <w:rStyle w:val="FootnoteReference"/>
          <w:color w:val="000000"/>
          <w:spacing w:val="-3"/>
          <w:sz w:val="22"/>
          <w:szCs w:val="22"/>
        </w:rPr>
        <w:footnoteReference w:id="14"/>
      </w:r>
      <w:r w:rsidR="001665F5" w:rsidRPr="006740E7">
        <w:rPr>
          <w:color w:val="000000"/>
          <w:spacing w:val="-3"/>
          <w:sz w:val="22"/>
          <w:szCs w:val="22"/>
        </w:rPr>
        <w:t xml:space="preserve"> and the Commission has so interpreted the term in the </w:t>
      </w:r>
      <w:r w:rsidR="00174A12" w:rsidRPr="006740E7">
        <w:rPr>
          <w:color w:val="000000"/>
          <w:spacing w:val="-3"/>
          <w:sz w:val="22"/>
          <w:szCs w:val="22"/>
        </w:rPr>
        <w:t>S</w:t>
      </w:r>
      <w:r w:rsidR="001665F5" w:rsidRPr="006740E7">
        <w:rPr>
          <w:color w:val="000000"/>
          <w:spacing w:val="-3"/>
          <w:sz w:val="22"/>
          <w:szCs w:val="22"/>
        </w:rPr>
        <w:t>ection 503(b) context.</w:t>
      </w:r>
      <w:r w:rsidR="001665F5" w:rsidRPr="006740E7">
        <w:rPr>
          <w:rStyle w:val="FootnoteReference"/>
          <w:color w:val="000000"/>
          <w:spacing w:val="-3"/>
          <w:sz w:val="22"/>
          <w:szCs w:val="22"/>
        </w:rPr>
        <w:footnoteReference w:id="15"/>
      </w:r>
      <w:r w:rsidR="001665F5" w:rsidRPr="006740E7">
        <w:rPr>
          <w:color w:val="000000"/>
          <w:spacing w:val="-3"/>
          <w:sz w:val="22"/>
          <w:szCs w:val="22"/>
        </w:rPr>
        <w:t xml:space="preserve">  </w:t>
      </w:r>
      <w:r w:rsidR="001665F5" w:rsidRPr="006740E7">
        <w:rPr>
          <w:color w:val="000000"/>
          <w:sz w:val="22"/>
          <w:szCs w:val="22"/>
        </w:rPr>
        <w:t>The Commission may also assess a forfeiture for violations that are merely repeated, and not willful.</w:t>
      </w:r>
      <w:r w:rsidR="001665F5" w:rsidRPr="006740E7">
        <w:rPr>
          <w:rStyle w:val="FootnoteReference"/>
          <w:color w:val="000000"/>
          <w:sz w:val="22"/>
          <w:szCs w:val="22"/>
        </w:rPr>
        <w:footnoteReference w:id="16"/>
      </w:r>
      <w:r w:rsidR="001665F5" w:rsidRPr="006740E7">
        <w:rPr>
          <w:color w:val="000000"/>
        </w:rPr>
        <w:t xml:space="preserve">  </w:t>
      </w:r>
      <w:r w:rsidRPr="006740E7">
        <w:rPr>
          <w:color w:val="000000"/>
          <w:spacing w:val="-3"/>
          <w:sz w:val="22"/>
          <w:szCs w:val="22"/>
        </w:rPr>
        <w:t>The term “repeated” means the commission or omission of such act more than on</w:t>
      </w:r>
      <w:r w:rsidR="00FB30D7" w:rsidRPr="006740E7">
        <w:rPr>
          <w:color w:val="000000"/>
          <w:spacing w:val="-3"/>
          <w:sz w:val="22"/>
          <w:szCs w:val="22"/>
        </w:rPr>
        <w:t>c</w:t>
      </w:r>
      <w:r w:rsidRPr="006740E7">
        <w:rPr>
          <w:color w:val="000000"/>
          <w:spacing w:val="-3"/>
          <w:sz w:val="22"/>
          <w:szCs w:val="22"/>
        </w:rPr>
        <w:t>e or for more than one day.</w:t>
      </w:r>
      <w:r w:rsidRPr="006740E7">
        <w:rPr>
          <w:rStyle w:val="FootnoteReference"/>
          <w:color w:val="000000"/>
          <w:spacing w:val="-3"/>
          <w:sz w:val="22"/>
          <w:szCs w:val="22"/>
        </w:rPr>
        <w:footnoteReference w:id="17"/>
      </w:r>
      <w:r w:rsidRPr="006740E7">
        <w:rPr>
          <w:color w:val="000000"/>
          <w:spacing w:val="-3"/>
          <w:sz w:val="22"/>
          <w:szCs w:val="22"/>
        </w:rPr>
        <w:t xml:space="preserve"> </w:t>
      </w:r>
    </w:p>
    <w:p w:rsidR="00F46870" w:rsidRPr="006740E7" w:rsidRDefault="00F46870" w:rsidP="00267DE9">
      <w:pPr>
        <w:widowControl/>
        <w:tabs>
          <w:tab w:val="left" w:pos="720"/>
          <w:tab w:val="num" w:pos="1440"/>
          <w:tab w:val="left" w:pos="4680"/>
          <w:tab w:val="left" w:pos="5760"/>
        </w:tabs>
        <w:spacing w:after="120"/>
        <w:rPr>
          <w:color w:val="000000"/>
          <w:spacing w:val="-3"/>
          <w:sz w:val="22"/>
          <w:szCs w:val="22"/>
        </w:rPr>
      </w:pPr>
      <w:r w:rsidRPr="006740E7">
        <w:rPr>
          <w:color w:val="000000"/>
          <w:spacing w:val="-3"/>
          <w:sz w:val="22"/>
          <w:szCs w:val="22"/>
        </w:rPr>
        <w:lastRenderedPageBreak/>
        <w:tab/>
      </w:r>
      <w:r w:rsidRPr="006740E7">
        <w:rPr>
          <w:b/>
          <w:color w:val="000000"/>
          <w:spacing w:val="-3"/>
          <w:sz w:val="22"/>
          <w:szCs w:val="22"/>
        </w:rPr>
        <w:t>A.</w:t>
      </w:r>
      <w:r w:rsidRPr="006740E7">
        <w:rPr>
          <w:b/>
          <w:color w:val="000000"/>
          <w:spacing w:val="-3"/>
          <w:sz w:val="22"/>
          <w:szCs w:val="22"/>
        </w:rPr>
        <w:tab/>
      </w:r>
      <w:r w:rsidR="000D1F80" w:rsidRPr="006740E7">
        <w:rPr>
          <w:b/>
          <w:color w:val="000000"/>
          <w:spacing w:val="-3"/>
          <w:sz w:val="22"/>
          <w:szCs w:val="22"/>
        </w:rPr>
        <w:t xml:space="preserve">Failure to </w:t>
      </w:r>
      <w:r w:rsidR="00777FFC">
        <w:rPr>
          <w:b/>
          <w:color w:val="000000"/>
          <w:spacing w:val="-3"/>
          <w:sz w:val="22"/>
          <w:szCs w:val="22"/>
        </w:rPr>
        <w:t>Obtain an FCC authorization</w:t>
      </w:r>
      <w:r w:rsidR="000D1F80" w:rsidRPr="006740E7">
        <w:rPr>
          <w:b/>
          <w:color w:val="000000"/>
          <w:spacing w:val="-3"/>
          <w:sz w:val="22"/>
          <w:szCs w:val="22"/>
        </w:rPr>
        <w:t xml:space="preserve"> </w:t>
      </w:r>
    </w:p>
    <w:p w:rsidR="00050854" w:rsidRPr="00906C31" w:rsidRDefault="00906C31" w:rsidP="00267DE9">
      <w:pPr>
        <w:numPr>
          <w:ilvl w:val="0"/>
          <w:numId w:val="22"/>
        </w:numPr>
        <w:tabs>
          <w:tab w:val="clear" w:pos="1260"/>
          <w:tab w:val="num" w:pos="1440"/>
          <w:tab w:val="left" w:pos="1926"/>
          <w:tab w:val="left" w:pos="3978"/>
          <w:tab w:val="left" w:pos="4680"/>
          <w:tab w:val="left" w:pos="5760"/>
        </w:tabs>
        <w:spacing w:after="120"/>
        <w:ind w:left="0"/>
        <w:rPr>
          <w:color w:val="000000"/>
          <w:spacing w:val="-2"/>
          <w:sz w:val="22"/>
          <w:szCs w:val="22"/>
        </w:rPr>
      </w:pPr>
      <w:r w:rsidRPr="00906C31">
        <w:rPr>
          <w:sz w:val="22"/>
          <w:szCs w:val="22"/>
        </w:rPr>
        <w:t>Section 301 of the Act prohibits the use or operation of any apparatus for the transmission of energy or communications or signals by radio, except under and in accordance with the Act and with a license granted under the provisions of the Act.</w:t>
      </w:r>
      <w:r w:rsidRPr="00313B78">
        <w:rPr>
          <w:rStyle w:val="FootnoteReference"/>
          <w:sz w:val="22"/>
          <w:szCs w:val="22"/>
        </w:rPr>
        <w:footnoteReference w:id="18"/>
      </w:r>
      <w:r>
        <w:rPr>
          <w:sz w:val="22"/>
          <w:szCs w:val="22"/>
        </w:rPr>
        <w:t xml:space="preserve">  Section 25.102(a) of the Rules similarly prohibits the use or operation of any apparatus for the </w:t>
      </w:r>
      <w:r w:rsidRPr="00906C31">
        <w:rPr>
          <w:sz w:val="22"/>
          <w:szCs w:val="22"/>
        </w:rPr>
        <w:t>transmission of energy or communications or signals</w:t>
      </w:r>
      <w:r>
        <w:rPr>
          <w:sz w:val="22"/>
          <w:szCs w:val="22"/>
        </w:rPr>
        <w:t xml:space="preserve"> by space or earth stations without Commission authorization.</w:t>
      </w:r>
      <w:r>
        <w:rPr>
          <w:rStyle w:val="FootnoteReference"/>
          <w:sz w:val="22"/>
          <w:szCs w:val="22"/>
        </w:rPr>
        <w:footnoteReference w:id="19"/>
      </w:r>
      <w:r>
        <w:rPr>
          <w:color w:val="000000"/>
          <w:spacing w:val="-2"/>
          <w:sz w:val="22"/>
          <w:szCs w:val="22"/>
        </w:rPr>
        <w:t xml:space="preserve">  </w:t>
      </w:r>
      <w:r w:rsidR="00114BB5" w:rsidRPr="00906C31">
        <w:rPr>
          <w:color w:val="000000"/>
          <w:spacing w:val="-2"/>
          <w:sz w:val="22"/>
          <w:szCs w:val="22"/>
        </w:rPr>
        <w:t>On July 7, 2013, an inspection by a Los Angeles</w:t>
      </w:r>
      <w:r w:rsidR="009E5ECC" w:rsidRPr="00906C31">
        <w:rPr>
          <w:color w:val="000000"/>
          <w:spacing w:val="-2"/>
          <w:sz w:val="22"/>
          <w:szCs w:val="22"/>
        </w:rPr>
        <w:t xml:space="preserve"> Office</w:t>
      </w:r>
      <w:r w:rsidR="00114BB5" w:rsidRPr="00906C31">
        <w:rPr>
          <w:color w:val="000000"/>
          <w:spacing w:val="-2"/>
          <w:sz w:val="22"/>
          <w:szCs w:val="22"/>
        </w:rPr>
        <w:t xml:space="preserve"> agent revealed that Televisa was transmitting in the C-Band</w:t>
      </w:r>
      <w:r w:rsidR="00E17995" w:rsidRPr="00906C31">
        <w:rPr>
          <w:color w:val="000000"/>
          <w:spacing w:val="-2"/>
          <w:sz w:val="22"/>
          <w:szCs w:val="22"/>
        </w:rPr>
        <w:t xml:space="preserve"> on</w:t>
      </w:r>
      <w:r w:rsidR="00114BB5" w:rsidRPr="00906C31">
        <w:rPr>
          <w:color w:val="000000"/>
          <w:spacing w:val="-2"/>
          <w:sz w:val="22"/>
          <w:szCs w:val="22"/>
        </w:rPr>
        <w:t xml:space="preserve"> frequencies not authorized for its use by the Commission.  Televisa received a NOUO from the Los Angeles agent warning it against continuing to operate on channels for which it did not hold a valid station authorization.  </w:t>
      </w:r>
      <w:r w:rsidR="00013E2F" w:rsidRPr="00906C31">
        <w:rPr>
          <w:color w:val="000000"/>
          <w:spacing w:val="-2"/>
          <w:sz w:val="22"/>
          <w:szCs w:val="22"/>
        </w:rPr>
        <w:t>O</w:t>
      </w:r>
      <w:r w:rsidR="00114BB5" w:rsidRPr="00906C31">
        <w:rPr>
          <w:color w:val="000000"/>
          <w:spacing w:val="-2"/>
          <w:sz w:val="22"/>
          <w:szCs w:val="22"/>
        </w:rPr>
        <w:t xml:space="preserve">n July 11, 2013, </w:t>
      </w:r>
      <w:r w:rsidR="00013E2F" w:rsidRPr="00906C31">
        <w:rPr>
          <w:color w:val="000000"/>
          <w:spacing w:val="-2"/>
          <w:sz w:val="22"/>
          <w:szCs w:val="22"/>
        </w:rPr>
        <w:t xml:space="preserve">an inspection by a Seattle </w:t>
      </w:r>
      <w:r w:rsidR="009E5ECC" w:rsidRPr="00906C31">
        <w:rPr>
          <w:color w:val="000000"/>
          <w:spacing w:val="-2"/>
          <w:sz w:val="22"/>
          <w:szCs w:val="22"/>
        </w:rPr>
        <w:t xml:space="preserve">Office </w:t>
      </w:r>
      <w:r w:rsidR="00013E2F" w:rsidRPr="00906C31">
        <w:rPr>
          <w:color w:val="000000"/>
          <w:spacing w:val="-2"/>
          <w:sz w:val="22"/>
          <w:szCs w:val="22"/>
        </w:rPr>
        <w:t xml:space="preserve">agent revealed that Televisa was once again transmitting in the C-Band without a valid station authorization.  Televisa received a second NOUO warning against continued transmission in the C-Band without a proper </w:t>
      </w:r>
      <w:r>
        <w:rPr>
          <w:color w:val="000000"/>
          <w:spacing w:val="-2"/>
          <w:sz w:val="22"/>
          <w:szCs w:val="22"/>
        </w:rPr>
        <w:t>Commission</w:t>
      </w:r>
      <w:r w:rsidR="00013E2F" w:rsidRPr="00906C31">
        <w:rPr>
          <w:color w:val="000000"/>
          <w:spacing w:val="-2"/>
          <w:sz w:val="22"/>
          <w:szCs w:val="22"/>
        </w:rPr>
        <w:t xml:space="preserve"> license.  Televisa’s violation was willful</w:t>
      </w:r>
      <w:r>
        <w:rPr>
          <w:color w:val="000000"/>
          <w:spacing w:val="-2"/>
          <w:sz w:val="22"/>
          <w:szCs w:val="22"/>
        </w:rPr>
        <w:t xml:space="preserve"> and, because the </w:t>
      </w:r>
      <w:r w:rsidR="00013E2F" w:rsidRPr="00906C31">
        <w:rPr>
          <w:color w:val="000000"/>
          <w:spacing w:val="-2"/>
          <w:sz w:val="22"/>
          <w:szCs w:val="22"/>
        </w:rPr>
        <w:t xml:space="preserve">violation occurred </w:t>
      </w:r>
      <w:r w:rsidR="00341C96" w:rsidRPr="00906C31">
        <w:rPr>
          <w:color w:val="000000"/>
          <w:spacing w:val="-2"/>
          <w:sz w:val="22"/>
          <w:szCs w:val="22"/>
        </w:rPr>
        <w:t>on</w:t>
      </w:r>
      <w:r w:rsidR="00013E2F" w:rsidRPr="00906C31">
        <w:rPr>
          <w:color w:val="000000"/>
          <w:spacing w:val="-2"/>
          <w:sz w:val="22"/>
          <w:szCs w:val="22"/>
        </w:rPr>
        <w:t xml:space="preserve"> more than one day, it was repeated.  </w:t>
      </w:r>
      <w:r>
        <w:rPr>
          <w:color w:val="000000"/>
          <w:spacing w:val="-2"/>
          <w:sz w:val="22"/>
          <w:szCs w:val="22"/>
        </w:rPr>
        <w:t>Consequently, b</w:t>
      </w:r>
      <w:r w:rsidR="00013E2F" w:rsidRPr="00906C31">
        <w:rPr>
          <w:color w:val="000000"/>
          <w:spacing w:val="-2"/>
          <w:sz w:val="22"/>
          <w:szCs w:val="22"/>
        </w:rPr>
        <w:t xml:space="preserve">ased on </w:t>
      </w:r>
      <w:r>
        <w:rPr>
          <w:color w:val="000000"/>
          <w:spacing w:val="-2"/>
          <w:sz w:val="22"/>
          <w:szCs w:val="22"/>
        </w:rPr>
        <w:t xml:space="preserve">the </w:t>
      </w:r>
      <w:r w:rsidR="00013E2F" w:rsidRPr="00906C31">
        <w:rPr>
          <w:color w:val="000000"/>
          <w:spacing w:val="-2"/>
          <w:sz w:val="22"/>
          <w:szCs w:val="22"/>
        </w:rPr>
        <w:t xml:space="preserve">evidence before us, we find that Televisa apparently willfully and repeatedly violated Section 301 of the Act and Section 25.102(a) of the Rules by operating an earth station in the fixed satellite service without a </w:t>
      </w:r>
      <w:r>
        <w:rPr>
          <w:color w:val="000000"/>
          <w:spacing w:val="-2"/>
          <w:sz w:val="22"/>
          <w:szCs w:val="22"/>
        </w:rPr>
        <w:t xml:space="preserve">Commission </w:t>
      </w:r>
      <w:r w:rsidR="00013E2F" w:rsidRPr="00906C31">
        <w:rPr>
          <w:color w:val="000000"/>
          <w:spacing w:val="-2"/>
          <w:sz w:val="22"/>
          <w:szCs w:val="22"/>
        </w:rPr>
        <w:t>license.</w:t>
      </w:r>
      <w:r w:rsidR="00177A93" w:rsidRPr="00906C31">
        <w:rPr>
          <w:color w:val="000000"/>
          <w:spacing w:val="-2"/>
          <w:sz w:val="22"/>
          <w:szCs w:val="22"/>
        </w:rPr>
        <w:t xml:space="preserve">  </w:t>
      </w:r>
      <w:r w:rsidR="00EE3042" w:rsidRPr="00906C31">
        <w:rPr>
          <w:color w:val="000000"/>
          <w:spacing w:val="-2"/>
          <w:sz w:val="22"/>
          <w:szCs w:val="22"/>
        </w:rPr>
        <w:t xml:space="preserve"> </w:t>
      </w:r>
    </w:p>
    <w:p w:rsidR="00F46870" w:rsidRPr="006740E7" w:rsidRDefault="00F46870" w:rsidP="00267DE9">
      <w:pPr>
        <w:widowControl/>
        <w:numPr>
          <w:ilvl w:val="0"/>
          <w:numId w:val="25"/>
        </w:numPr>
        <w:tabs>
          <w:tab w:val="left" w:pos="0"/>
          <w:tab w:val="left" w:pos="720"/>
        </w:tabs>
        <w:suppressAutoHyphens/>
        <w:spacing w:after="120"/>
        <w:rPr>
          <w:b/>
          <w:color w:val="000000"/>
          <w:spacing w:val="-2"/>
          <w:sz w:val="22"/>
          <w:szCs w:val="22"/>
        </w:rPr>
      </w:pPr>
      <w:r w:rsidRPr="006740E7">
        <w:rPr>
          <w:b/>
          <w:color w:val="000000"/>
          <w:spacing w:val="-2"/>
          <w:sz w:val="22"/>
          <w:szCs w:val="22"/>
        </w:rPr>
        <w:t xml:space="preserve">Proposed Forfeiture </w:t>
      </w:r>
    </w:p>
    <w:p w:rsidR="00E1449C" w:rsidRDefault="007E2E05" w:rsidP="00267DE9">
      <w:pPr>
        <w:widowControl/>
        <w:numPr>
          <w:ilvl w:val="0"/>
          <w:numId w:val="22"/>
        </w:numPr>
        <w:tabs>
          <w:tab w:val="clear" w:pos="1260"/>
          <w:tab w:val="num" w:pos="1440"/>
        </w:tabs>
        <w:suppressAutoHyphens/>
        <w:spacing w:after="120"/>
        <w:ind w:left="0"/>
        <w:rPr>
          <w:color w:val="000000"/>
          <w:spacing w:val="-2"/>
          <w:sz w:val="22"/>
          <w:szCs w:val="22"/>
        </w:rPr>
      </w:pPr>
      <w:r w:rsidRPr="00392E9B">
        <w:rPr>
          <w:color w:val="000000"/>
          <w:spacing w:val="-2"/>
          <w:sz w:val="22"/>
          <w:szCs w:val="22"/>
        </w:rPr>
        <w:t>Pursuant to the Commission’s</w:t>
      </w:r>
      <w:r w:rsidRPr="00392E9B">
        <w:rPr>
          <w:i/>
          <w:color w:val="000000"/>
          <w:spacing w:val="-2"/>
          <w:sz w:val="22"/>
          <w:szCs w:val="22"/>
        </w:rPr>
        <w:t xml:space="preserve"> Forfeiture Policy Statement</w:t>
      </w:r>
      <w:r w:rsidR="00D57AE2" w:rsidRPr="00392E9B">
        <w:rPr>
          <w:color w:val="000000"/>
          <w:spacing w:val="-2"/>
          <w:sz w:val="22"/>
          <w:szCs w:val="22"/>
        </w:rPr>
        <w:t xml:space="preserve"> and S</w:t>
      </w:r>
      <w:r w:rsidRPr="00392E9B">
        <w:rPr>
          <w:color w:val="000000"/>
          <w:spacing w:val="-2"/>
          <w:sz w:val="22"/>
          <w:szCs w:val="22"/>
        </w:rPr>
        <w:t>ection 1.80 of the Rules, the base forfeiture amount for</w:t>
      </w:r>
      <w:r w:rsidR="00050854" w:rsidRPr="00392E9B">
        <w:rPr>
          <w:color w:val="000000"/>
          <w:spacing w:val="-2"/>
          <w:sz w:val="22"/>
          <w:szCs w:val="22"/>
        </w:rPr>
        <w:t xml:space="preserve"> </w:t>
      </w:r>
      <w:bookmarkStart w:id="1" w:name="OLE_LINK1"/>
      <w:bookmarkStart w:id="2" w:name="OLE_LINK2"/>
      <w:r w:rsidR="00A15571" w:rsidRPr="00392E9B">
        <w:rPr>
          <w:color w:val="000000"/>
          <w:spacing w:val="-2"/>
          <w:sz w:val="22"/>
          <w:szCs w:val="22"/>
        </w:rPr>
        <w:t>operation of a</w:t>
      </w:r>
      <w:r w:rsidR="00906C31">
        <w:rPr>
          <w:color w:val="000000"/>
          <w:spacing w:val="-2"/>
          <w:sz w:val="22"/>
          <w:szCs w:val="22"/>
        </w:rPr>
        <w:t>n earth</w:t>
      </w:r>
      <w:r w:rsidR="00A15571" w:rsidRPr="00392E9B">
        <w:rPr>
          <w:color w:val="000000"/>
          <w:spacing w:val="-2"/>
          <w:sz w:val="22"/>
          <w:szCs w:val="22"/>
        </w:rPr>
        <w:t xml:space="preserve"> station without an instrument of authorization is </w:t>
      </w:r>
      <w:bookmarkEnd w:id="1"/>
      <w:bookmarkEnd w:id="2"/>
      <w:r w:rsidR="00EE3042" w:rsidRPr="00392E9B">
        <w:rPr>
          <w:color w:val="000000"/>
          <w:spacing w:val="-2"/>
          <w:sz w:val="22"/>
          <w:szCs w:val="22"/>
        </w:rPr>
        <w:t>$</w:t>
      </w:r>
      <w:r w:rsidR="00A15571" w:rsidRPr="00392E9B">
        <w:rPr>
          <w:color w:val="000000"/>
          <w:spacing w:val="-2"/>
          <w:sz w:val="22"/>
          <w:szCs w:val="22"/>
        </w:rPr>
        <w:t>10</w:t>
      </w:r>
      <w:r w:rsidR="00EE3042" w:rsidRPr="00392E9B">
        <w:rPr>
          <w:color w:val="000000"/>
          <w:spacing w:val="-2"/>
          <w:sz w:val="22"/>
          <w:szCs w:val="22"/>
        </w:rPr>
        <w:t>,000.</w:t>
      </w:r>
      <w:r w:rsidR="00EE3042" w:rsidRPr="006740E7">
        <w:rPr>
          <w:rStyle w:val="FootnoteReference"/>
          <w:color w:val="000000"/>
          <w:spacing w:val="-2"/>
          <w:sz w:val="22"/>
          <w:szCs w:val="22"/>
        </w:rPr>
        <w:footnoteReference w:id="20"/>
      </w:r>
      <w:r w:rsidR="00EE3042" w:rsidRPr="00392E9B">
        <w:rPr>
          <w:color w:val="000000"/>
          <w:spacing w:val="-2"/>
          <w:sz w:val="22"/>
          <w:szCs w:val="22"/>
        </w:rPr>
        <w:t xml:space="preserve">  </w:t>
      </w:r>
      <w:r w:rsidR="00050854" w:rsidRPr="00392E9B">
        <w:rPr>
          <w:color w:val="000000"/>
          <w:spacing w:val="-2"/>
          <w:sz w:val="22"/>
          <w:szCs w:val="22"/>
        </w:rPr>
        <w:t xml:space="preserve">In assessing the monetary forfeiture amount, we must also take into account the statutory factors </w:t>
      </w:r>
      <w:r w:rsidR="00D57AE2" w:rsidRPr="00392E9B">
        <w:rPr>
          <w:color w:val="000000"/>
          <w:spacing w:val="-2"/>
          <w:sz w:val="22"/>
          <w:szCs w:val="22"/>
        </w:rPr>
        <w:t>set forth in S</w:t>
      </w:r>
      <w:r w:rsidR="00D15A5F" w:rsidRPr="00392E9B">
        <w:rPr>
          <w:color w:val="000000"/>
          <w:spacing w:val="-2"/>
          <w:sz w:val="22"/>
          <w:szCs w:val="22"/>
        </w:rPr>
        <w:t>ection 503(b)(2)(E</w:t>
      </w:r>
      <w:r w:rsidR="00050854" w:rsidRPr="00392E9B">
        <w:rPr>
          <w:color w:val="000000"/>
          <w:spacing w:val="-2"/>
          <w:sz w:val="22"/>
          <w:szCs w:val="22"/>
        </w:rPr>
        <w:t>) of the Act, which include the nature, circumstances, extent, and gravity of the violations, and with respect to the violator</w:t>
      </w:r>
      <w:r w:rsidR="003E2AD5" w:rsidRPr="00392E9B">
        <w:rPr>
          <w:color w:val="000000"/>
          <w:spacing w:val="-2"/>
          <w:sz w:val="22"/>
          <w:szCs w:val="22"/>
        </w:rPr>
        <w:t>, the degree of culpability, any</w:t>
      </w:r>
      <w:r w:rsidR="00050854" w:rsidRPr="00392E9B">
        <w:rPr>
          <w:color w:val="000000"/>
          <w:spacing w:val="-2"/>
          <w:sz w:val="22"/>
          <w:szCs w:val="22"/>
        </w:rPr>
        <w:t xml:space="preserve"> history of prior offenses, ability to pay, and other such matters as justice may require.</w:t>
      </w:r>
      <w:r w:rsidR="00050854" w:rsidRPr="006740E7">
        <w:rPr>
          <w:rStyle w:val="FootnoteReference"/>
          <w:color w:val="000000"/>
          <w:spacing w:val="-2"/>
          <w:sz w:val="22"/>
          <w:szCs w:val="22"/>
        </w:rPr>
        <w:footnoteReference w:id="21"/>
      </w:r>
      <w:r w:rsidR="00050854" w:rsidRPr="00392E9B">
        <w:rPr>
          <w:color w:val="000000"/>
          <w:spacing w:val="-2"/>
          <w:sz w:val="22"/>
          <w:szCs w:val="22"/>
        </w:rPr>
        <w:t xml:space="preserve"> </w:t>
      </w:r>
      <w:r w:rsidR="00452B9C" w:rsidRPr="00392E9B">
        <w:rPr>
          <w:color w:val="000000"/>
          <w:spacing w:val="-2"/>
          <w:sz w:val="22"/>
          <w:szCs w:val="22"/>
        </w:rPr>
        <w:t xml:space="preserve"> </w:t>
      </w:r>
      <w:r w:rsidR="00392E9B" w:rsidRPr="00392E9B">
        <w:rPr>
          <w:spacing w:val="-2"/>
          <w:sz w:val="22"/>
          <w:szCs w:val="22"/>
        </w:rPr>
        <w:t>Televis</w:t>
      </w:r>
      <w:r w:rsidR="00906C31">
        <w:rPr>
          <w:spacing w:val="-2"/>
          <w:sz w:val="22"/>
          <w:szCs w:val="22"/>
        </w:rPr>
        <w:t xml:space="preserve">a concedes that it transmitted in the C-Band from its SNG vehicles without Commission authorization on two occasions </w:t>
      </w:r>
      <w:r w:rsidR="00B47DC1">
        <w:rPr>
          <w:spacing w:val="-2"/>
          <w:sz w:val="22"/>
          <w:szCs w:val="22"/>
        </w:rPr>
        <w:t>within the same</w:t>
      </w:r>
      <w:r w:rsidR="00906C31">
        <w:rPr>
          <w:spacing w:val="-2"/>
          <w:sz w:val="22"/>
          <w:szCs w:val="22"/>
        </w:rPr>
        <w:t xml:space="preserve"> week.</w:t>
      </w:r>
      <w:r w:rsidR="00424AC2">
        <w:rPr>
          <w:spacing w:val="-2"/>
          <w:sz w:val="22"/>
          <w:szCs w:val="22"/>
        </w:rPr>
        <w:t xml:space="preserve">  We therefore conclude that Televisa is apparently liable for a total base forfeiture of $20,000.</w:t>
      </w:r>
      <w:r w:rsidR="00906C31">
        <w:rPr>
          <w:spacing w:val="-2"/>
          <w:sz w:val="22"/>
          <w:szCs w:val="22"/>
        </w:rPr>
        <w:t xml:space="preserve">  In addition, Televisa </w:t>
      </w:r>
      <w:r w:rsidR="00392E9B" w:rsidRPr="00906C31">
        <w:rPr>
          <w:spacing w:val="-2"/>
          <w:sz w:val="22"/>
          <w:szCs w:val="22"/>
        </w:rPr>
        <w:t>is a multi-billion dollar enterprise</w:t>
      </w:r>
      <w:r w:rsidR="00906C31">
        <w:rPr>
          <w:spacing w:val="-2"/>
          <w:sz w:val="22"/>
          <w:szCs w:val="22"/>
        </w:rPr>
        <w:t>.</w:t>
      </w:r>
      <w:r w:rsidR="00392E9B" w:rsidRPr="00392E9B">
        <w:rPr>
          <w:spacing w:val="-2"/>
          <w:sz w:val="22"/>
          <w:szCs w:val="22"/>
          <w:vertAlign w:val="superscript"/>
        </w:rPr>
        <w:footnoteReference w:id="22"/>
      </w:r>
      <w:r w:rsidR="00906C31">
        <w:rPr>
          <w:spacing w:val="-2"/>
          <w:sz w:val="22"/>
          <w:szCs w:val="22"/>
        </w:rPr>
        <w:t xml:space="preserve">  As the Commission made clear in the </w:t>
      </w:r>
      <w:r w:rsidR="00906C31">
        <w:rPr>
          <w:i/>
          <w:spacing w:val="-2"/>
          <w:sz w:val="22"/>
          <w:szCs w:val="22"/>
        </w:rPr>
        <w:t>Forfeiture Policy Statement</w:t>
      </w:r>
      <w:r w:rsidR="00906C31">
        <w:rPr>
          <w:spacing w:val="-2"/>
          <w:sz w:val="22"/>
          <w:szCs w:val="22"/>
        </w:rPr>
        <w:t xml:space="preserve">, </w:t>
      </w:r>
      <w:r w:rsidR="00906C31" w:rsidRPr="00906C31">
        <w:rPr>
          <w:spacing w:val="-2"/>
          <w:sz w:val="22"/>
          <w:szCs w:val="22"/>
        </w:rPr>
        <w:t xml:space="preserve">highly-profitable companies such as Televisa should expect the </w:t>
      </w:r>
      <w:r w:rsidR="00906C31">
        <w:rPr>
          <w:spacing w:val="-2"/>
          <w:sz w:val="22"/>
          <w:szCs w:val="22"/>
        </w:rPr>
        <w:t xml:space="preserve">assessment of </w:t>
      </w:r>
      <w:r w:rsidR="00906C31" w:rsidRPr="00906C31">
        <w:rPr>
          <w:spacing w:val="-2"/>
          <w:sz w:val="22"/>
          <w:szCs w:val="22"/>
        </w:rPr>
        <w:t xml:space="preserve">forfeitures </w:t>
      </w:r>
      <w:r w:rsidR="00906C31">
        <w:rPr>
          <w:spacing w:val="-2"/>
          <w:sz w:val="22"/>
          <w:szCs w:val="22"/>
        </w:rPr>
        <w:t>higher than those reflected in the base amounts t</w:t>
      </w:r>
      <w:r w:rsidR="00392E9B" w:rsidRPr="00906C31">
        <w:rPr>
          <w:spacing w:val="-2"/>
          <w:sz w:val="22"/>
          <w:szCs w:val="22"/>
        </w:rPr>
        <w:t>o ensure that forfeiture liability is a deterrent and not simply a cost of doing business.</w:t>
      </w:r>
      <w:r w:rsidR="00392E9B" w:rsidRPr="00392E9B">
        <w:rPr>
          <w:spacing w:val="-2"/>
          <w:sz w:val="22"/>
          <w:szCs w:val="22"/>
          <w:vertAlign w:val="superscript"/>
        </w:rPr>
        <w:footnoteReference w:id="23"/>
      </w:r>
      <w:r w:rsidR="00392E9B" w:rsidRPr="00906C31">
        <w:rPr>
          <w:spacing w:val="-2"/>
          <w:sz w:val="22"/>
          <w:szCs w:val="22"/>
        </w:rPr>
        <w:t xml:space="preserve">  </w:t>
      </w:r>
      <w:r w:rsidR="00E1449C" w:rsidRPr="00906C31">
        <w:rPr>
          <w:color w:val="000000"/>
          <w:spacing w:val="-2"/>
          <w:sz w:val="22"/>
          <w:szCs w:val="22"/>
        </w:rPr>
        <w:t>In the final analysis and based on all the factors and evidence, including</w:t>
      </w:r>
      <w:r w:rsidR="00906C31">
        <w:rPr>
          <w:color w:val="000000"/>
          <w:spacing w:val="-2"/>
          <w:sz w:val="22"/>
          <w:szCs w:val="22"/>
        </w:rPr>
        <w:t xml:space="preserve"> the repeated nature of the violations and</w:t>
      </w:r>
      <w:r w:rsidR="00E1449C" w:rsidRPr="00906C31">
        <w:rPr>
          <w:color w:val="000000"/>
          <w:spacing w:val="-2"/>
          <w:sz w:val="22"/>
          <w:szCs w:val="22"/>
        </w:rPr>
        <w:t xml:space="preserve"> Televisa’s ability to pay a forfeiture, we conclude that an upward </w:t>
      </w:r>
      <w:r w:rsidR="00B47DC1">
        <w:rPr>
          <w:color w:val="000000"/>
          <w:spacing w:val="-2"/>
          <w:sz w:val="22"/>
          <w:szCs w:val="22"/>
        </w:rPr>
        <w:t xml:space="preserve">adjustment </w:t>
      </w:r>
      <w:r w:rsidR="00E1449C" w:rsidRPr="00906C31">
        <w:rPr>
          <w:color w:val="000000"/>
          <w:spacing w:val="-2"/>
          <w:sz w:val="22"/>
          <w:szCs w:val="22"/>
        </w:rPr>
        <w:t xml:space="preserve">of $5,000 is appropriate.  Applying the </w:t>
      </w:r>
      <w:r w:rsidR="00E1449C" w:rsidRPr="00906C31">
        <w:rPr>
          <w:i/>
          <w:color w:val="000000"/>
          <w:spacing w:val="-2"/>
          <w:sz w:val="22"/>
          <w:szCs w:val="22"/>
        </w:rPr>
        <w:t>Forfeiture Policy Statement</w:t>
      </w:r>
      <w:r w:rsidR="00E1449C" w:rsidRPr="00906C31">
        <w:rPr>
          <w:color w:val="000000"/>
          <w:spacing w:val="-2"/>
          <w:sz w:val="22"/>
          <w:szCs w:val="22"/>
        </w:rPr>
        <w:t xml:space="preserve">, Section 1.80 of the Rules, and the statutory factors to the instant case, we conclude that Televisa is apparently liable for a total forfeiture in the amount of </w:t>
      </w:r>
      <w:r w:rsidR="00906C31">
        <w:rPr>
          <w:color w:val="000000"/>
          <w:spacing w:val="-2"/>
          <w:sz w:val="22"/>
          <w:szCs w:val="22"/>
        </w:rPr>
        <w:t>twenty-five thousand dollars (</w:t>
      </w:r>
      <w:r w:rsidR="00E1449C" w:rsidRPr="00906C31">
        <w:rPr>
          <w:color w:val="000000"/>
          <w:spacing w:val="-2"/>
          <w:sz w:val="22"/>
          <w:szCs w:val="22"/>
        </w:rPr>
        <w:t>$25,000</w:t>
      </w:r>
      <w:r w:rsidR="00906C31">
        <w:rPr>
          <w:color w:val="000000"/>
          <w:spacing w:val="-2"/>
          <w:sz w:val="22"/>
          <w:szCs w:val="22"/>
        </w:rPr>
        <w:t>)</w:t>
      </w:r>
      <w:r w:rsidR="00E1449C" w:rsidRPr="00906C31">
        <w:rPr>
          <w:color w:val="000000"/>
          <w:spacing w:val="-2"/>
          <w:sz w:val="22"/>
          <w:szCs w:val="22"/>
        </w:rPr>
        <w:t xml:space="preserve"> for </w:t>
      </w:r>
      <w:r w:rsidR="00FC231D" w:rsidRPr="00906C31">
        <w:rPr>
          <w:color w:val="000000"/>
          <w:spacing w:val="-2"/>
          <w:sz w:val="22"/>
          <w:szCs w:val="22"/>
        </w:rPr>
        <w:t xml:space="preserve">willfully and repeatedly </w:t>
      </w:r>
      <w:r w:rsidR="00E1449C" w:rsidRPr="00906C31">
        <w:rPr>
          <w:color w:val="000000"/>
          <w:spacing w:val="-2"/>
          <w:sz w:val="22"/>
          <w:szCs w:val="22"/>
        </w:rPr>
        <w:t xml:space="preserve">operating temporary </w:t>
      </w:r>
      <w:r w:rsidR="00D248AE" w:rsidRPr="00906C31">
        <w:rPr>
          <w:color w:val="000000"/>
          <w:spacing w:val="-2"/>
          <w:sz w:val="22"/>
          <w:szCs w:val="22"/>
        </w:rPr>
        <w:t xml:space="preserve">fixed earth </w:t>
      </w:r>
      <w:r w:rsidR="00E1449C" w:rsidRPr="00906C31">
        <w:rPr>
          <w:color w:val="000000"/>
          <w:spacing w:val="-2"/>
          <w:sz w:val="22"/>
          <w:szCs w:val="22"/>
        </w:rPr>
        <w:t xml:space="preserve">C-Band </w:t>
      </w:r>
      <w:r w:rsidR="00906C31">
        <w:rPr>
          <w:color w:val="000000"/>
          <w:spacing w:val="-2"/>
          <w:sz w:val="22"/>
          <w:szCs w:val="22"/>
        </w:rPr>
        <w:t xml:space="preserve">SNG </w:t>
      </w:r>
      <w:r w:rsidR="00E1449C" w:rsidRPr="00906C31">
        <w:rPr>
          <w:color w:val="000000"/>
          <w:spacing w:val="-2"/>
          <w:sz w:val="22"/>
          <w:szCs w:val="22"/>
        </w:rPr>
        <w:t>station</w:t>
      </w:r>
      <w:r w:rsidR="00D248AE" w:rsidRPr="00906C31">
        <w:rPr>
          <w:color w:val="000000"/>
          <w:spacing w:val="-2"/>
          <w:sz w:val="22"/>
          <w:szCs w:val="22"/>
        </w:rPr>
        <w:t>s</w:t>
      </w:r>
      <w:r w:rsidR="00E1449C" w:rsidRPr="00906C31">
        <w:rPr>
          <w:color w:val="000000"/>
          <w:spacing w:val="-2"/>
          <w:sz w:val="22"/>
          <w:szCs w:val="22"/>
        </w:rPr>
        <w:t xml:space="preserve"> without Commission authorization.  </w:t>
      </w:r>
    </w:p>
    <w:p w:rsidR="00050854" w:rsidRPr="006740E7" w:rsidRDefault="00050854" w:rsidP="00267DE9">
      <w:pPr>
        <w:pStyle w:val="Heading1"/>
        <w:widowControl/>
        <w:spacing w:after="120"/>
        <w:rPr>
          <w:color w:val="000000"/>
          <w:sz w:val="22"/>
          <w:szCs w:val="22"/>
        </w:rPr>
      </w:pPr>
      <w:r w:rsidRPr="006740E7">
        <w:rPr>
          <w:color w:val="000000"/>
          <w:sz w:val="22"/>
          <w:szCs w:val="22"/>
        </w:rPr>
        <w:t>ORDERING CLAUSES</w:t>
      </w:r>
    </w:p>
    <w:p w:rsidR="00C82C93" w:rsidRPr="006740E7" w:rsidRDefault="00C82C93" w:rsidP="00267DE9">
      <w:pPr>
        <w:widowControl/>
        <w:numPr>
          <w:ilvl w:val="0"/>
          <w:numId w:val="22"/>
        </w:numPr>
        <w:tabs>
          <w:tab w:val="clear" w:pos="1260"/>
          <w:tab w:val="left" w:pos="0"/>
          <w:tab w:val="num" w:pos="1440"/>
        </w:tabs>
        <w:suppressAutoHyphens/>
        <w:spacing w:after="120"/>
        <w:ind w:left="0"/>
        <w:rPr>
          <w:rFonts w:eastAsia="MS Mincho" w:cs="Arial"/>
          <w:color w:val="000000"/>
          <w:sz w:val="22"/>
          <w:szCs w:val="22"/>
        </w:rPr>
      </w:pPr>
      <w:r w:rsidRPr="006740E7">
        <w:rPr>
          <w:color w:val="000000"/>
          <w:sz w:val="22"/>
          <w:szCs w:val="22"/>
        </w:rPr>
        <w:t>Accordingly,</w:t>
      </w:r>
      <w:r w:rsidRPr="006740E7">
        <w:rPr>
          <w:b/>
          <w:color w:val="000000"/>
          <w:sz w:val="22"/>
          <w:szCs w:val="22"/>
        </w:rPr>
        <w:t xml:space="preserve"> IT IS ORDERED</w:t>
      </w:r>
      <w:r w:rsidRPr="006740E7">
        <w:rPr>
          <w:color w:val="000000"/>
          <w:sz w:val="22"/>
          <w:szCs w:val="22"/>
        </w:rPr>
        <w:t xml:space="preserve"> that, pursuant to Section 503(b) of the Communications Act of 1934, as amended, and Sections 0.111, 0.204, 0.311, 0.314, and 1.80 of the Commission’s rules, </w:t>
      </w:r>
      <w:r w:rsidR="00F65C24">
        <w:rPr>
          <w:color w:val="000000"/>
          <w:sz w:val="22"/>
          <w:szCs w:val="22"/>
        </w:rPr>
        <w:t>Televisa, S</w:t>
      </w:r>
      <w:r w:rsidR="00906C31">
        <w:rPr>
          <w:color w:val="000000"/>
          <w:sz w:val="22"/>
          <w:szCs w:val="22"/>
        </w:rPr>
        <w:t>.</w:t>
      </w:r>
      <w:r w:rsidR="00F65C24">
        <w:rPr>
          <w:color w:val="000000"/>
          <w:sz w:val="22"/>
          <w:szCs w:val="22"/>
        </w:rPr>
        <w:t>A</w:t>
      </w:r>
      <w:r w:rsidR="00906C31">
        <w:rPr>
          <w:color w:val="000000"/>
          <w:sz w:val="22"/>
          <w:szCs w:val="22"/>
        </w:rPr>
        <w:t>.</w:t>
      </w:r>
      <w:r w:rsidR="00F65C24">
        <w:rPr>
          <w:color w:val="000000"/>
          <w:sz w:val="22"/>
          <w:szCs w:val="22"/>
        </w:rPr>
        <w:t xml:space="preserve"> de C</w:t>
      </w:r>
      <w:r w:rsidR="00906C31">
        <w:rPr>
          <w:color w:val="000000"/>
          <w:sz w:val="22"/>
          <w:szCs w:val="22"/>
        </w:rPr>
        <w:t>.</w:t>
      </w:r>
      <w:r w:rsidR="00F65C24">
        <w:rPr>
          <w:color w:val="000000"/>
          <w:sz w:val="22"/>
          <w:szCs w:val="22"/>
        </w:rPr>
        <w:t>V</w:t>
      </w:r>
      <w:r w:rsidR="00906C31">
        <w:rPr>
          <w:color w:val="000000"/>
          <w:sz w:val="22"/>
          <w:szCs w:val="22"/>
        </w:rPr>
        <w:t>.</w:t>
      </w:r>
      <w:r w:rsidR="00F65C24">
        <w:rPr>
          <w:color w:val="000000"/>
          <w:sz w:val="22"/>
          <w:szCs w:val="22"/>
        </w:rPr>
        <w:t xml:space="preserve"> is</w:t>
      </w:r>
      <w:r w:rsidRPr="006740E7">
        <w:rPr>
          <w:color w:val="000000"/>
          <w:sz w:val="22"/>
          <w:szCs w:val="22"/>
        </w:rPr>
        <w:t xml:space="preserve"> hereby </w:t>
      </w:r>
      <w:r w:rsidRPr="006740E7">
        <w:rPr>
          <w:b/>
          <w:color w:val="000000"/>
          <w:sz w:val="22"/>
          <w:szCs w:val="22"/>
        </w:rPr>
        <w:t xml:space="preserve">NOTIFIED </w:t>
      </w:r>
      <w:r w:rsidRPr="006740E7">
        <w:rPr>
          <w:color w:val="000000"/>
          <w:sz w:val="22"/>
          <w:szCs w:val="22"/>
        </w:rPr>
        <w:t xml:space="preserve">of this </w:t>
      </w:r>
      <w:r w:rsidRPr="006740E7">
        <w:rPr>
          <w:b/>
          <w:color w:val="000000"/>
          <w:sz w:val="22"/>
          <w:szCs w:val="22"/>
        </w:rPr>
        <w:t xml:space="preserve">APPARENT LIABILITY FOR A FORFEITURE </w:t>
      </w:r>
      <w:r w:rsidRPr="006740E7">
        <w:rPr>
          <w:color w:val="000000"/>
          <w:sz w:val="22"/>
          <w:szCs w:val="22"/>
        </w:rPr>
        <w:t xml:space="preserve">in the amount of </w:t>
      </w:r>
      <w:r w:rsidR="006C793C">
        <w:rPr>
          <w:color w:val="000000"/>
          <w:sz w:val="22"/>
          <w:szCs w:val="22"/>
        </w:rPr>
        <w:t>twenty</w:t>
      </w:r>
      <w:r w:rsidR="00906C31">
        <w:rPr>
          <w:color w:val="000000"/>
          <w:sz w:val="22"/>
          <w:szCs w:val="22"/>
        </w:rPr>
        <w:t>-</w:t>
      </w:r>
      <w:r w:rsidR="006C793C">
        <w:rPr>
          <w:color w:val="000000"/>
          <w:sz w:val="22"/>
          <w:szCs w:val="22"/>
        </w:rPr>
        <w:t xml:space="preserve">five </w:t>
      </w:r>
      <w:r w:rsidRPr="006740E7">
        <w:rPr>
          <w:color w:val="000000"/>
          <w:sz w:val="22"/>
          <w:szCs w:val="22"/>
        </w:rPr>
        <w:t>thousand</w:t>
      </w:r>
      <w:r w:rsidR="006C793C">
        <w:rPr>
          <w:color w:val="000000"/>
          <w:sz w:val="22"/>
          <w:szCs w:val="22"/>
        </w:rPr>
        <w:t xml:space="preserve"> </w:t>
      </w:r>
      <w:r w:rsidRPr="006740E7">
        <w:rPr>
          <w:color w:val="000000"/>
          <w:sz w:val="22"/>
          <w:szCs w:val="22"/>
        </w:rPr>
        <w:t>dollars ($</w:t>
      </w:r>
      <w:r w:rsidR="006C793C">
        <w:rPr>
          <w:color w:val="000000"/>
          <w:sz w:val="22"/>
          <w:szCs w:val="22"/>
        </w:rPr>
        <w:t>25</w:t>
      </w:r>
      <w:r w:rsidRPr="006740E7">
        <w:rPr>
          <w:color w:val="000000"/>
          <w:sz w:val="22"/>
          <w:szCs w:val="22"/>
        </w:rPr>
        <w:t>,</w:t>
      </w:r>
      <w:r w:rsidR="006C793C">
        <w:rPr>
          <w:color w:val="000000"/>
          <w:sz w:val="22"/>
          <w:szCs w:val="22"/>
        </w:rPr>
        <w:t>0</w:t>
      </w:r>
      <w:r w:rsidRPr="006740E7">
        <w:rPr>
          <w:color w:val="000000"/>
          <w:sz w:val="22"/>
          <w:szCs w:val="22"/>
        </w:rPr>
        <w:t>00) for violation</w:t>
      </w:r>
      <w:r w:rsidR="00F65C24">
        <w:rPr>
          <w:color w:val="000000"/>
          <w:sz w:val="22"/>
          <w:szCs w:val="22"/>
        </w:rPr>
        <w:t>s</w:t>
      </w:r>
      <w:r w:rsidRPr="006740E7">
        <w:rPr>
          <w:color w:val="000000"/>
          <w:sz w:val="22"/>
          <w:szCs w:val="22"/>
        </w:rPr>
        <w:t xml:space="preserve"> of Section </w:t>
      </w:r>
      <w:r w:rsidR="00F65C24">
        <w:rPr>
          <w:color w:val="000000"/>
          <w:sz w:val="22"/>
          <w:szCs w:val="22"/>
        </w:rPr>
        <w:t xml:space="preserve">301 of the </w:t>
      </w:r>
      <w:r w:rsidR="00906C31" w:rsidRPr="006740E7">
        <w:rPr>
          <w:color w:val="000000"/>
          <w:sz w:val="22"/>
          <w:szCs w:val="22"/>
        </w:rPr>
        <w:t>Communications Act of 1934, as amended</w:t>
      </w:r>
      <w:r w:rsidR="00906C31">
        <w:rPr>
          <w:color w:val="000000"/>
          <w:sz w:val="22"/>
          <w:szCs w:val="22"/>
        </w:rPr>
        <w:t>,</w:t>
      </w:r>
      <w:r w:rsidR="00F65C24">
        <w:rPr>
          <w:color w:val="000000"/>
          <w:sz w:val="22"/>
          <w:szCs w:val="22"/>
        </w:rPr>
        <w:t xml:space="preserve"> and 25.102(a) of the </w:t>
      </w:r>
      <w:r w:rsidR="00906C31" w:rsidRPr="006740E7">
        <w:rPr>
          <w:color w:val="000000"/>
          <w:sz w:val="22"/>
          <w:szCs w:val="22"/>
        </w:rPr>
        <w:t>Commission’s rules</w:t>
      </w:r>
      <w:r w:rsidR="00F65C24">
        <w:rPr>
          <w:color w:val="000000"/>
          <w:sz w:val="22"/>
          <w:szCs w:val="22"/>
        </w:rPr>
        <w:t>.</w:t>
      </w:r>
      <w:r w:rsidRPr="006740E7">
        <w:rPr>
          <w:rStyle w:val="FootnoteReference"/>
          <w:color w:val="000000"/>
          <w:sz w:val="22"/>
          <w:szCs w:val="22"/>
        </w:rPr>
        <w:footnoteReference w:id="24"/>
      </w:r>
    </w:p>
    <w:p w:rsidR="00C82C93" w:rsidRPr="006740E7" w:rsidRDefault="00C82C93" w:rsidP="00267DE9">
      <w:pPr>
        <w:widowControl/>
        <w:numPr>
          <w:ilvl w:val="0"/>
          <w:numId w:val="22"/>
        </w:numPr>
        <w:tabs>
          <w:tab w:val="clear" w:pos="1260"/>
          <w:tab w:val="left" w:pos="0"/>
          <w:tab w:val="num" w:pos="1440"/>
        </w:tabs>
        <w:suppressAutoHyphens/>
        <w:spacing w:after="120"/>
        <w:ind w:left="0"/>
        <w:rPr>
          <w:rFonts w:eastAsia="MS Mincho" w:cs="Arial"/>
          <w:color w:val="000000"/>
          <w:sz w:val="22"/>
          <w:szCs w:val="22"/>
        </w:rPr>
      </w:pPr>
      <w:r w:rsidRPr="006740E7">
        <w:rPr>
          <w:b/>
          <w:color w:val="000000"/>
          <w:spacing w:val="-2"/>
          <w:sz w:val="22"/>
          <w:szCs w:val="22"/>
        </w:rPr>
        <w:t>IT IS FURTHER ORDERED</w:t>
      </w:r>
      <w:r w:rsidRPr="006740E7">
        <w:rPr>
          <w:color w:val="000000"/>
          <w:spacing w:val="-2"/>
          <w:sz w:val="22"/>
          <w:szCs w:val="22"/>
        </w:rPr>
        <w:t xml:space="preserve"> that, pursuant to Section 1.80 of the Commission’s rules, within thirty (30) calendar days of the release date of this Notice of Apparent Liability for Forfeiture, </w:t>
      </w:r>
      <w:r w:rsidR="00F65C24">
        <w:rPr>
          <w:color w:val="000000"/>
          <w:spacing w:val="-2"/>
          <w:sz w:val="22"/>
          <w:szCs w:val="22"/>
        </w:rPr>
        <w:t>Televisa, S</w:t>
      </w:r>
      <w:r w:rsidR="00906C31">
        <w:rPr>
          <w:color w:val="000000"/>
          <w:spacing w:val="-2"/>
          <w:sz w:val="22"/>
          <w:szCs w:val="22"/>
        </w:rPr>
        <w:t>.</w:t>
      </w:r>
      <w:r w:rsidR="00F65C24">
        <w:rPr>
          <w:color w:val="000000"/>
          <w:spacing w:val="-2"/>
          <w:sz w:val="22"/>
          <w:szCs w:val="22"/>
        </w:rPr>
        <w:t>A</w:t>
      </w:r>
      <w:r w:rsidR="00906C31">
        <w:rPr>
          <w:color w:val="000000"/>
          <w:spacing w:val="-2"/>
          <w:sz w:val="22"/>
          <w:szCs w:val="22"/>
        </w:rPr>
        <w:t>.</w:t>
      </w:r>
      <w:r w:rsidR="00F65C24">
        <w:rPr>
          <w:color w:val="000000"/>
          <w:spacing w:val="-2"/>
          <w:sz w:val="22"/>
          <w:szCs w:val="22"/>
        </w:rPr>
        <w:t xml:space="preserve"> de C</w:t>
      </w:r>
      <w:r w:rsidR="00906C31">
        <w:rPr>
          <w:color w:val="000000"/>
          <w:spacing w:val="-2"/>
          <w:sz w:val="22"/>
          <w:szCs w:val="22"/>
        </w:rPr>
        <w:t>.</w:t>
      </w:r>
      <w:r w:rsidR="00F65C24">
        <w:rPr>
          <w:color w:val="000000"/>
          <w:spacing w:val="-2"/>
          <w:sz w:val="22"/>
          <w:szCs w:val="22"/>
        </w:rPr>
        <w:t>V</w:t>
      </w:r>
      <w:r w:rsidR="00906C31">
        <w:rPr>
          <w:color w:val="000000"/>
          <w:spacing w:val="-2"/>
          <w:sz w:val="22"/>
          <w:szCs w:val="22"/>
        </w:rPr>
        <w:t>.</w:t>
      </w:r>
      <w:r w:rsidR="00F65C24">
        <w:rPr>
          <w:color w:val="000000"/>
          <w:spacing w:val="-2"/>
          <w:sz w:val="22"/>
          <w:szCs w:val="22"/>
        </w:rPr>
        <w:t xml:space="preserve"> </w:t>
      </w:r>
      <w:r w:rsidRPr="006740E7">
        <w:rPr>
          <w:b/>
          <w:color w:val="000000"/>
          <w:spacing w:val="-2"/>
          <w:sz w:val="22"/>
          <w:szCs w:val="22"/>
        </w:rPr>
        <w:t>SHALL PAY</w:t>
      </w:r>
      <w:r w:rsidRPr="006740E7">
        <w:rPr>
          <w:color w:val="000000"/>
          <w:spacing w:val="-2"/>
          <w:sz w:val="22"/>
          <w:szCs w:val="22"/>
        </w:rPr>
        <w:t xml:space="preserve"> the full amount of the proposed forfeiture or </w:t>
      </w:r>
      <w:r w:rsidRPr="006740E7">
        <w:rPr>
          <w:b/>
          <w:color w:val="000000"/>
          <w:spacing w:val="-2"/>
          <w:sz w:val="22"/>
          <w:szCs w:val="22"/>
        </w:rPr>
        <w:t>SHALL FILE</w:t>
      </w:r>
      <w:r w:rsidRPr="006740E7">
        <w:rPr>
          <w:color w:val="000000"/>
          <w:spacing w:val="-2"/>
          <w:sz w:val="22"/>
          <w:szCs w:val="22"/>
        </w:rPr>
        <w:t xml:space="preserve"> a written statement seeking reduction or cancellation of the proposed forfeiture.</w:t>
      </w:r>
    </w:p>
    <w:p w:rsidR="00A66F85" w:rsidRPr="006740E7" w:rsidRDefault="00A66F85" w:rsidP="00267DE9">
      <w:pPr>
        <w:widowControl/>
        <w:numPr>
          <w:ilvl w:val="0"/>
          <w:numId w:val="22"/>
        </w:numPr>
        <w:tabs>
          <w:tab w:val="clear" w:pos="1260"/>
          <w:tab w:val="left" w:pos="0"/>
          <w:tab w:val="num" w:pos="1440"/>
        </w:tabs>
        <w:suppressAutoHyphens/>
        <w:spacing w:after="120"/>
        <w:ind w:left="0"/>
        <w:rPr>
          <w:rFonts w:eastAsia="MS Mincho" w:cs="Arial"/>
          <w:color w:val="000000"/>
          <w:sz w:val="22"/>
          <w:szCs w:val="22"/>
        </w:rPr>
      </w:pPr>
      <w:r w:rsidRPr="006740E7">
        <w:rPr>
          <w:rFonts w:eastAsia="MS Mincho" w:cs="Arial"/>
          <w:color w:val="000000"/>
          <w:sz w:val="22"/>
          <w:szCs w:val="22"/>
        </w:rPr>
        <w:t xml:space="preserve">Payment of the forfeiture must be made by check or similar instrument, wire transfer, or credit card, and must include the NAL/Account </w:t>
      </w:r>
      <w:r w:rsidR="00F715DF">
        <w:rPr>
          <w:rFonts w:eastAsia="MS Mincho" w:cs="Arial"/>
          <w:color w:val="000000"/>
          <w:sz w:val="22"/>
          <w:szCs w:val="22"/>
        </w:rPr>
        <w:t>N</w:t>
      </w:r>
      <w:r w:rsidRPr="006740E7">
        <w:rPr>
          <w:rFonts w:eastAsia="MS Mincho" w:cs="Arial"/>
          <w:color w:val="000000"/>
          <w:sz w:val="22"/>
          <w:szCs w:val="22"/>
        </w:rPr>
        <w:t xml:space="preserve">umber and FRN referenced above. </w:t>
      </w:r>
      <w:r w:rsidR="00C420C3">
        <w:rPr>
          <w:rFonts w:eastAsia="MS Mincho" w:cs="Arial"/>
          <w:color w:val="000000"/>
          <w:sz w:val="22"/>
          <w:szCs w:val="22"/>
        </w:rPr>
        <w:t xml:space="preserve"> </w:t>
      </w:r>
      <w:r w:rsidR="00F65C24">
        <w:rPr>
          <w:rFonts w:eastAsia="MS Mincho" w:cs="Arial"/>
          <w:color w:val="000000"/>
          <w:sz w:val="22"/>
          <w:szCs w:val="22"/>
        </w:rPr>
        <w:t>Televisa, S</w:t>
      </w:r>
      <w:r w:rsidR="00906C31">
        <w:rPr>
          <w:rFonts w:eastAsia="MS Mincho" w:cs="Arial"/>
          <w:color w:val="000000"/>
          <w:sz w:val="22"/>
          <w:szCs w:val="22"/>
        </w:rPr>
        <w:t>.</w:t>
      </w:r>
      <w:r w:rsidR="00F65C24">
        <w:rPr>
          <w:rFonts w:eastAsia="MS Mincho" w:cs="Arial"/>
          <w:color w:val="000000"/>
          <w:sz w:val="22"/>
          <w:szCs w:val="22"/>
        </w:rPr>
        <w:t>A</w:t>
      </w:r>
      <w:r w:rsidR="00906C31">
        <w:rPr>
          <w:rFonts w:eastAsia="MS Mincho" w:cs="Arial"/>
          <w:color w:val="000000"/>
          <w:sz w:val="22"/>
          <w:szCs w:val="22"/>
        </w:rPr>
        <w:t>.</w:t>
      </w:r>
      <w:r w:rsidR="00F65C24">
        <w:rPr>
          <w:rFonts w:eastAsia="MS Mincho" w:cs="Arial"/>
          <w:color w:val="000000"/>
          <w:sz w:val="22"/>
          <w:szCs w:val="22"/>
        </w:rPr>
        <w:t xml:space="preserve"> de C</w:t>
      </w:r>
      <w:r w:rsidR="00906C31">
        <w:rPr>
          <w:rFonts w:eastAsia="MS Mincho" w:cs="Arial"/>
          <w:color w:val="000000"/>
          <w:sz w:val="22"/>
          <w:szCs w:val="22"/>
        </w:rPr>
        <w:t>.</w:t>
      </w:r>
      <w:r w:rsidR="00F65C24">
        <w:rPr>
          <w:rFonts w:eastAsia="MS Mincho" w:cs="Arial"/>
          <w:color w:val="000000"/>
          <w:sz w:val="22"/>
          <w:szCs w:val="22"/>
        </w:rPr>
        <w:t>V</w:t>
      </w:r>
      <w:r w:rsidR="00906C31">
        <w:rPr>
          <w:rFonts w:eastAsia="MS Mincho" w:cs="Arial"/>
          <w:color w:val="000000"/>
          <w:sz w:val="22"/>
          <w:szCs w:val="22"/>
        </w:rPr>
        <w:t>.</w:t>
      </w:r>
      <w:r w:rsidR="00F65C24">
        <w:rPr>
          <w:rFonts w:eastAsia="MS Mincho" w:cs="Arial"/>
          <w:color w:val="000000"/>
          <w:sz w:val="22"/>
          <w:szCs w:val="22"/>
        </w:rPr>
        <w:t xml:space="preserve"> </w:t>
      </w:r>
      <w:r w:rsidR="0095119D" w:rsidRPr="006740E7">
        <w:rPr>
          <w:color w:val="000000"/>
          <w:sz w:val="22"/>
          <w:szCs w:val="22"/>
          <w:lang w:bidi="he-IL"/>
        </w:rPr>
        <w:t>shall also send electronic notification on the date said payment is made to</w:t>
      </w:r>
      <w:r w:rsidR="00336687" w:rsidRPr="006740E7">
        <w:rPr>
          <w:color w:val="000000"/>
          <w:sz w:val="22"/>
          <w:szCs w:val="22"/>
          <w:lang w:bidi="he-IL"/>
        </w:rPr>
        <w:t xml:space="preserve"> </w:t>
      </w:r>
      <w:r w:rsidR="00906C31" w:rsidRPr="00B47DC1">
        <w:rPr>
          <w:color w:val="000000"/>
          <w:sz w:val="22"/>
          <w:szCs w:val="22"/>
        </w:rPr>
        <w:t>WR-Response@fcc.gov</w:t>
      </w:r>
      <w:r w:rsidR="0095119D" w:rsidRPr="006740E7">
        <w:rPr>
          <w:color w:val="000000"/>
          <w:sz w:val="22"/>
          <w:szCs w:val="22"/>
        </w:rPr>
        <w:t xml:space="preserve">.  </w:t>
      </w:r>
      <w:r w:rsidRPr="006740E7">
        <w:rPr>
          <w:rFonts w:eastAsia="MS Mincho" w:cs="Arial"/>
          <w:color w:val="000000"/>
          <w:sz w:val="22"/>
          <w:szCs w:val="22"/>
        </w:rPr>
        <w:t>Regardless of the form of payment, a completed FCC Form 159 (Remittance Advice) must be submitted.</w:t>
      </w:r>
      <w:r w:rsidRPr="006740E7">
        <w:rPr>
          <w:rStyle w:val="FootnoteReference"/>
          <w:rFonts w:eastAsia="MS Mincho" w:cs="Arial"/>
          <w:color w:val="000000"/>
          <w:sz w:val="22"/>
          <w:szCs w:val="22"/>
        </w:rPr>
        <w:footnoteReference w:id="25"/>
      </w:r>
      <w:r w:rsidRPr="006740E7">
        <w:rPr>
          <w:rFonts w:eastAsia="MS Mincho" w:cs="Arial"/>
          <w:color w:val="000000"/>
          <w:sz w:val="22"/>
          <w:szCs w:val="22"/>
        </w:rPr>
        <w:t xml:space="preserve">  When completing the FCC Form 159, enter the Account Number in block number 23A (call sign/other ID) and enter the letters “FORF” in block number 24A (payment type code).  </w:t>
      </w:r>
      <w:r w:rsidRPr="006740E7">
        <w:rPr>
          <w:color w:val="000000"/>
          <w:sz w:val="22"/>
          <w:szCs w:val="22"/>
        </w:rPr>
        <w:t>Below are additional instructions you should follow based on the form of payment you select:</w:t>
      </w:r>
    </w:p>
    <w:p w:rsidR="00A66F85" w:rsidRPr="006740E7" w:rsidRDefault="00A66F85" w:rsidP="00267DE9">
      <w:pPr>
        <w:pStyle w:val="ParaNum"/>
        <w:numPr>
          <w:ilvl w:val="0"/>
          <w:numId w:val="27"/>
        </w:numPr>
        <w:tabs>
          <w:tab w:val="clear" w:pos="1440"/>
        </w:tabs>
        <w:autoSpaceDE/>
        <w:autoSpaceDN/>
        <w:adjustRightInd/>
        <w:spacing w:after="120"/>
        <w:jc w:val="left"/>
        <w:rPr>
          <w:rFonts w:eastAsia="MS Mincho"/>
          <w:color w:val="000000"/>
          <w:sz w:val="22"/>
          <w:szCs w:val="22"/>
        </w:rPr>
      </w:pPr>
      <w:r w:rsidRPr="006740E7">
        <w:rPr>
          <w:rFonts w:eastAsia="MS Mincho"/>
          <w:color w:val="000000"/>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6740E7">
            <w:rPr>
              <w:rFonts w:eastAsia="MS Mincho"/>
              <w:color w:val="000000"/>
              <w:sz w:val="22"/>
              <w:szCs w:val="22"/>
            </w:rPr>
            <w:t>P.O. Box 979088</w:t>
          </w:r>
        </w:smartTag>
        <w:r w:rsidRPr="006740E7">
          <w:rPr>
            <w:rFonts w:eastAsia="MS Mincho"/>
            <w:color w:val="000000"/>
            <w:sz w:val="22"/>
            <w:szCs w:val="22"/>
          </w:rPr>
          <w:t xml:space="preserve">, </w:t>
        </w:r>
        <w:smartTag w:uri="urn:schemas-microsoft-com:office:smarttags" w:element="City">
          <w:r w:rsidRPr="006740E7">
            <w:rPr>
              <w:rFonts w:eastAsia="MS Mincho"/>
              <w:color w:val="000000"/>
              <w:sz w:val="22"/>
              <w:szCs w:val="22"/>
            </w:rPr>
            <w:t>St. Louis</w:t>
          </w:r>
        </w:smartTag>
        <w:r w:rsidRPr="006740E7">
          <w:rPr>
            <w:rFonts w:eastAsia="MS Mincho"/>
            <w:color w:val="000000"/>
            <w:sz w:val="22"/>
            <w:szCs w:val="22"/>
          </w:rPr>
          <w:t xml:space="preserve">, </w:t>
        </w:r>
        <w:smartTag w:uri="urn:schemas-microsoft-com:office:smarttags" w:element="State">
          <w:r w:rsidRPr="006740E7">
            <w:rPr>
              <w:rFonts w:eastAsia="MS Mincho"/>
              <w:color w:val="000000"/>
              <w:sz w:val="22"/>
              <w:szCs w:val="22"/>
            </w:rPr>
            <w:t>MO</w:t>
          </w:r>
        </w:smartTag>
        <w:r w:rsidRPr="006740E7">
          <w:rPr>
            <w:rFonts w:eastAsia="MS Mincho"/>
            <w:color w:val="000000"/>
            <w:sz w:val="22"/>
            <w:szCs w:val="22"/>
          </w:rPr>
          <w:t xml:space="preserve"> </w:t>
        </w:r>
        <w:smartTag w:uri="urn:schemas-microsoft-com:office:smarttags" w:element="PostalCode">
          <w:r w:rsidRPr="006740E7">
            <w:rPr>
              <w:rFonts w:eastAsia="MS Mincho"/>
              <w:color w:val="000000"/>
              <w:sz w:val="22"/>
              <w:szCs w:val="22"/>
            </w:rPr>
            <w:t>63197-9000</w:t>
          </w:r>
        </w:smartTag>
      </w:smartTag>
      <w:r w:rsidRPr="006740E7">
        <w:rPr>
          <w:rFonts w:eastAsia="MS Mincho"/>
          <w:color w:val="000000"/>
          <w:sz w:val="22"/>
          <w:szCs w:val="22"/>
        </w:rPr>
        <w:t xml:space="preserve">, or sent via overnight mail to U.S. Bank – Government Lockbox #979088, SL-MO-C2-GL, 1005 </w:t>
      </w:r>
      <w:smartTag w:uri="urn:schemas-microsoft-com:office:smarttags" w:element="PlaceName">
        <w:r w:rsidRPr="006740E7">
          <w:rPr>
            <w:rFonts w:eastAsia="MS Mincho"/>
            <w:color w:val="000000"/>
            <w:sz w:val="22"/>
            <w:szCs w:val="22"/>
          </w:rPr>
          <w:t>Convention</w:t>
        </w:r>
      </w:smartTag>
      <w:r w:rsidRPr="006740E7">
        <w:rPr>
          <w:rFonts w:eastAsia="MS Mincho"/>
          <w:color w:val="000000"/>
          <w:sz w:val="22"/>
          <w:szCs w:val="22"/>
        </w:rPr>
        <w:t xml:space="preserve"> </w:t>
      </w:r>
      <w:smartTag w:uri="urn:schemas-microsoft-com:office:smarttags" w:element="PlaceType">
        <w:r w:rsidRPr="006740E7">
          <w:rPr>
            <w:rFonts w:eastAsia="MS Mincho"/>
            <w:color w:val="000000"/>
            <w:sz w:val="22"/>
            <w:szCs w:val="22"/>
          </w:rPr>
          <w:t>Plaza</w:t>
        </w:r>
      </w:smartTag>
      <w:r w:rsidRPr="006740E7">
        <w:rPr>
          <w:rFonts w:eastAsia="MS Mincho"/>
          <w:color w:val="000000"/>
          <w:sz w:val="22"/>
          <w:szCs w:val="22"/>
        </w:rPr>
        <w:t xml:space="preserve">, </w:t>
      </w:r>
      <w:smartTag w:uri="urn:schemas-microsoft-com:office:smarttags" w:element="place">
        <w:smartTag w:uri="urn:schemas-microsoft-com:office:smarttags" w:element="City">
          <w:r w:rsidRPr="006740E7">
            <w:rPr>
              <w:rFonts w:eastAsia="MS Mincho"/>
              <w:color w:val="000000"/>
              <w:sz w:val="22"/>
              <w:szCs w:val="22"/>
            </w:rPr>
            <w:t>St. Louis</w:t>
          </w:r>
        </w:smartTag>
        <w:r w:rsidRPr="006740E7">
          <w:rPr>
            <w:rFonts w:eastAsia="MS Mincho"/>
            <w:color w:val="000000"/>
            <w:sz w:val="22"/>
            <w:szCs w:val="22"/>
          </w:rPr>
          <w:t xml:space="preserve">, </w:t>
        </w:r>
        <w:smartTag w:uri="urn:schemas-microsoft-com:office:smarttags" w:element="State">
          <w:r w:rsidRPr="006740E7">
            <w:rPr>
              <w:rFonts w:eastAsia="MS Mincho"/>
              <w:color w:val="000000"/>
              <w:sz w:val="22"/>
              <w:szCs w:val="22"/>
            </w:rPr>
            <w:t>MO</w:t>
          </w:r>
        </w:smartTag>
        <w:r w:rsidRPr="006740E7">
          <w:rPr>
            <w:rFonts w:eastAsia="MS Mincho"/>
            <w:color w:val="000000"/>
            <w:sz w:val="22"/>
            <w:szCs w:val="22"/>
          </w:rPr>
          <w:t xml:space="preserve"> </w:t>
        </w:r>
        <w:smartTag w:uri="urn:schemas-microsoft-com:office:smarttags" w:element="PostalCode">
          <w:r w:rsidRPr="006740E7">
            <w:rPr>
              <w:rFonts w:eastAsia="MS Mincho"/>
              <w:color w:val="000000"/>
              <w:sz w:val="22"/>
              <w:szCs w:val="22"/>
            </w:rPr>
            <w:t>63101</w:t>
          </w:r>
        </w:smartTag>
      </w:smartTag>
      <w:r w:rsidRPr="006740E7">
        <w:rPr>
          <w:rFonts w:eastAsia="MS Mincho"/>
          <w:color w:val="000000"/>
          <w:sz w:val="22"/>
          <w:szCs w:val="22"/>
        </w:rPr>
        <w:t xml:space="preserve">.  </w:t>
      </w:r>
    </w:p>
    <w:p w:rsidR="00A66F85" w:rsidRPr="006740E7" w:rsidRDefault="00A66F85" w:rsidP="00267DE9">
      <w:pPr>
        <w:pStyle w:val="ParaNum"/>
        <w:numPr>
          <w:ilvl w:val="0"/>
          <w:numId w:val="27"/>
        </w:numPr>
        <w:tabs>
          <w:tab w:val="clear" w:pos="1440"/>
        </w:tabs>
        <w:autoSpaceDE/>
        <w:autoSpaceDN/>
        <w:adjustRightInd/>
        <w:spacing w:after="120"/>
        <w:jc w:val="left"/>
        <w:rPr>
          <w:rFonts w:eastAsia="MS Mincho"/>
          <w:color w:val="000000"/>
          <w:sz w:val="22"/>
          <w:szCs w:val="22"/>
        </w:rPr>
      </w:pPr>
      <w:r w:rsidRPr="006740E7">
        <w:rPr>
          <w:rFonts w:eastAsia="MS Mincho"/>
          <w:color w:val="000000"/>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6740E7" w:rsidRDefault="00A66F85" w:rsidP="00267DE9">
      <w:pPr>
        <w:pStyle w:val="ParaNum"/>
        <w:numPr>
          <w:ilvl w:val="0"/>
          <w:numId w:val="27"/>
        </w:numPr>
        <w:tabs>
          <w:tab w:val="clear" w:pos="1440"/>
        </w:tabs>
        <w:autoSpaceDE/>
        <w:autoSpaceDN/>
        <w:adjustRightInd/>
        <w:spacing w:after="120"/>
        <w:jc w:val="left"/>
        <w:rPr>
          <w:rFonts w:eastAsia="MS Mincho"/>
          <w:color w:val="000000"/>
          <w:sz w:val="22"/>
          <w:szCs w:val="22"/>
        </w:rPr>
      </w:pPr>
      <w:r w:rsidRPr="006740E7">
        <w:rPr>
          <w:rFonts w:eastAsia="MS Mincho"/>
          <w:color w:val="000000"/>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address">
        <w:smartTag w:uri="urn:schemas-microsoft-com:office:smarttags" w:element="Street">
          <w:r w:rsidRPr="006740E7">
            <w:rPr>
              <w:rFonts w:eastAsia="MS Mincho"/>
              <w:color w:val="000000"/>
              <w:sz w:val="22"/>
              <w:szCs w:val="22"/>
            </w:rPr>
            <w:t>P.O. Box 979088</w:t>
          </w:r>
        </w:smartTag>
        <w:r w:rsidRPr="006740E7">
          <w:rPr>
            <w:rFonts w:eastAsia="MS Mincho"/>
            <w:color w:val="000000"/>
            <w:sz w:val="22"/>
            <w:szCs w:val="22"/>
          </w:rPr>
          <w:t xml:space="preserve">, </w:t>
        </w:r>
        <w:smartTag w:uri="urn:schemas-microsoft-com:office:smarttags" w:element="City">
          <w:r w:rsidRPr="006740E7">
            <w:rPr>
              <w:rFonts w:eastAsia="MS Mincho"/>
              <w:color w:val="000000"/>
              <w:sz w:val="22"/>
              <w:szCs w:val="22"/>
            </w:rPr>
            <w:t>St. Louis</w:t>
          </w:r>
        </w:smartTag>
        <w:r w:rsidRPr="006740E7">
          <w:rPr>
            <w:rFonts w:eastAsia="MS Mincho"/>
            <w:color w:val="000000"/>
            <w:sz w:val="22"/>
            <w:szCs w:val="22"/>
          </w:rPr>
          <w:t xml:space="preserve">, </w:t>
        </w:r>
        <w:smartTag w:uri="urn:schemas-microsoft-com:office:smarttags" w:element="State">
          <w:r w:rsidRPr="006740E7">
            <w:rPr>
              <w:rFonts w:eastAsia="MS Mincho"/>
              <w:color w:val="000000"/>
              <w:sz w:val="22"/>
              <w:szCs w:val="22"/>
            </w:rPr>
            <w:t>MO</w:t>
          </w:r>
        </w:smartTag>
        <w:r w:rsidRPr="006740E7">
          <w:rPr>
            <w:rFonts w:eastAsia="MS Mincho"/>
            <w:color w:val="000000"/>
            <w:sz w:val="22"/>
            <w:szCs w:val="22"/>
          </w:rPr>
          <w:t xml:space="preserve"> </w:t>
        </w:r>
        <w:smartTag w:uri="urn:schemas-microsoft-com:office:smarttags" w:element="PostalCode">
          <w:r w:rsidRPr="006740E7">
            <w:rPr>
              <w:rFonts w:eastAsia="MS Mincho"/>
              <w:color w:val="000000"/>
              <w:sz w:val="22"/>
              <w:szCs w:val="22"/>
            </w:rPr>
            <w:t>63197-9000</w:t>
          </w:r>
        </w:smartTag>
      </w:smartTag>
      <w:r w:rsidRPr="006740E7">
        <w:rPr>
          <w:rFonts w:eastAsia="MS Mincho"/>
          <w:color w:val="000000"/>
          <w:sz w:val="22"/>
          <w:szCs w:val="22"/>
        </w:rPr>
        <w:t xml:space="preserve">, or sent via overnight mail to U.S. Bank – Government Lockbox #979088, SL-MO-C2-GL, 1005 </w:t>
      </w:r>
      <w:smartTag w:uri="urn:schemas-microsoft-com:office:smarttags" w:element="PlaceName">
        <w:r w:rsidRPr="006740E7">
          <w:rPr>
            <w:rFonts w:eastAsia="MS Mincho"/>
            <w:color w:val="000000"/>
            <w:sz w:val="22"/>
            <w:szCs w:val="22"/>
          </w:rPr>
          <w:t>Convention</w:t>
        </w:r>
      </w:smartTag>
      <w:r w:rsidRPr="006740E7">
        <w:rPr>
          <w:rFonts w:eastAsia="MS Mincho"/>
          <w:color w:val="000000"/>
          <w:sz w:val="22"/>
          <w:szCs w:val="22"/>
        </w:rPr>
        <w:t xml:space="preserve"> </w:t>
      </w:r>
      <w:smartTag w:uri="urn:schemas-microsoft-com:office:smarttags" w:element="PlaceType">
        <w:r w:rsidRPr="006740E7">
          <w:rPr>
            <w:rFonts w:eastAsia="MS Mincho"/>
            <w:color w:val="000000"/>
            <w:sz w:val="22"/>
            <w:szCs w:val="22"/>
          </w:rPr>
          <w:t>Plaza</w:t>
        </w:r>
      </w:smartTag>
      <w:r w:rsidRPr="006740E7">
        <w:rPr>
          <w:rFonts w:eastAsia="MS Mincho"/>
          <w:color w:val="000000"/>
          <w:sz w:val="22"/>
          <w:szCs w:val="22"/>
        </w:rPr>
        <w:t xml:space="preserve">, </w:t>
      </w:r>
      <w:smartTag w:uri="urn:schemas-microsoft-com:office:smarttags" w:element="place">
        <w:smartTag w:uri="urn:schemas-microsoft-com:office:smarttags" w:element="City">
          <w:r w:rsidRPr="006740E7">
            <w:rPr>
              <w:rFonts w:eastAsia="MS Mincho"/>
              <w:color w:val="000000"/>
              <w:sz w:val="22"/>
              <w:szCs w:val="22"/>
            </w:rPr>
            <w:t>St. Louis</w:t>
          </w:r>
        </w:smartTag>
        <w:r w:rsidRPr="006740E7">
          <w:rPr>
            <w:rFonts w:eastAsia="MS Mincho"/>
            <w:color w:val="000000"/>
            <w:sz w:val="22"/>
            <w:szCs w:val="22"/>
          </w:rPr>
          <w:t xml:space="preserve">, </w:t>
        </w:r>
        <w:smartTag w:uri="urn:schemas-microsoft-com:office:smarttags" w:element="State">
          <w:r w:rsidRPr="006740E7">
            <w:rPr>
              <w:rFonts w:eastAsia="MS Mincho"/>
              <w:color w:val="000000"/>
              <w:sz w:val="22"/>
              <w:szCs w:val="22"/>
            </w:rPr>
            <w:t>MO</w:t>
          </w:r>
        </w:smartTag>
        <w:r w:rsidRPr="006740E7">
          <w:rPr>
            <w:rFonts w:eastAsia="MS Mincho"/>
            <w:color w:val="000000"/>
            <w:sz w:val="22"/>
            <w:szCs w:val="22"/>
          </w:rPr>
          <w:t xml:space="preserve"> </w:t>
        </w:r>
        <w:smartTag w:uri="urn:schemas-microsoft-com:office:smarttags" w:element="PostalCode">
          <w:r w:rsidRPr="006740E7">
            <w:rPr>
              <w:rFonts w:eastAsia="MS Mincho"/>
              <w:color w:val="000000"/>
              <w:sz w:val="22"/>
              <w:szCs w:val="22"/>
            </w:rPr>
            <w:t>63101</w:t>
          </w:r>
        </w:smartTag>
      </w:smartTag>
      <w:r w:rsidRPr="006740E7">
        <w:rPr>
          <w:rFonts w:eastAsia="MS Mincho"/>
          <w:color w:val="000000"/>
          <w:sz w:val="22"/>
          <w:szCs w:val="22"/>
        </w:rPr>
        <w:t xml:space="preserve">.  </w:t>
      </w:r>
    </w:p>
    <w:p w:rsidR="00C82C93" w:rsidRPr="006740E7" w:rsidRDefault="00A66F85" w:rsidP="00267DE9">
      <w:pPr>
        <w:widowControl/>
        <w:numPr>
          <w:ilvl w:val="0"/>
          <w:numId w:val="22"/>
        </w:numPr>
        <w:tabs>
          <w:tab w:val="clear" w:pos="1260"/>
          <w:tab w:val="left" w:pos="0"/>
          <w:tab w:val="num" w:pos="1440"/>
        </w:tabs>
        <w:suppressAutoHyphens/>
        <w:spacing w:after="120"/>
        <w:ind w:left="0"/>
        <w:rPr>
          <w:color w:val="000000"/>
          <w:spacing w:val="-2"/>
          <w:sz w:val="22"/>
          <w:szCs w:val="22"/>
        </w:rPr>
      </w:pPr>
      <w:r w:rsidRPr="006740E7">
        <w:rPr>
          <w:rFonts w:eastAsia="MS Mincho"/>
          <w:color w:val="000000"/>
          <w:sz w:val="22"/>
          <w:szCs w:val="22"/>
        </w:rPr>
        <w:t xml:space="preserve">Any request for </w:t>
      </w:r>
      <w:r w:rsidR="00D13FA6" w:rsidRPr="006740E7">
        <w:rPr>
          <w:rFonts w:eastAsia="MS Mincho"/>
          <w:color w:val="000000"/>
          <w:sz w:val="22"/>
          <w:szCs w:val="22"/>
        </w:rPr>
        <w:t xml:space="preserve">making </w:t>
      </w:r>
      <w:r w:rsidRPr="006740E7">
        <w:rPr>
          <w:rFonts w:eastAsia="MS Mincho"/>
          <w:color w:val="000000"/>
          <w:sz w:val="22"/>
          <w:szCs w:val="22"/>
        </w:rPr>
        <w:t xml:space="preserve">full payment </w:t>
      </w:r>
      <w:r w:rsidR="00F715DF">
        <w:rPr>
          <w:rFonts w:eastAsia="MS Mincho"/>
          <w:color w:val="000000"/>
          <w:sz w:val="22"/>
          <w:szCs w:val="22"/>
        </w:rPr>
        <w:t xml:space="preserve">over time </w:t>
      </w:r>
      <w:r w:rsidRPr="006740E7">
        <w:rPr>
          <w:rFonts w:eastAsia="MS Mincho" w:cs="Arial"/>
          <w:color w:val="000000"/>
          <w:sz w:val="22"/>
          <w:szCs w:val="22"/>
        </w:rPr>
        <w:t>under</w:t>
      </w:r>
      <w:r w:rsidRPr="006740E7">
        <w:rPr>
          <w:rFonts w:eastAsia="MS Mincho"/>
          <w:color w:val="000000"/>
          <w:sz w:val="22"/>
          <w:szCs w:val="22"/>
        </w:rPr>
        <w:t xml:space="preserve"> an installment plan should be sent to:  Chief Financial Officer—Financial Operations, </w:t>
      </w:r>
      <w:r w:rsidRPr="006740E7">
        <w:rPr>
          <w:rFonts w:eastAsia="MS Mincho" w:cs="Arial"/>
          <w:color w:val="000000"/>
          <w:sz w:val="22"/>
          <w:szCs w:val="22"/>
        </w:rPr>
        <w:t>Federal</w:t>
      </w:r>
      <w:r w:rsidRPr="006740E7">
        <w:rPr>
          <w:rFonts w:eastAsia="MS Mincho"/>
          <w:color w:val="000000"/>
          <w:sz w:val="22"/>
          <w:szCs w:val="22"/>
        </w:rPr>
        <w:t xml:space="preserve"> Communications Commission, 445 12th Street, S.W., Room 1-A625, Washington, D.C.  20554.</w:t>
      </w:r>
      <w:r w:rsidRPr="006740E7">
        <w:rPr>
          <w:rStyle w:val="FootnoteReference"/>
          <w:rFonts w:eastAsia="MS Mincho"/>
          <w:color w:val="000000"/>
          <w:sz w:val="22"/>
          <w:szCs w:val="22"/>
        </w:rPr>
        <w:footnoteReference w:id="26"/>
      </w:r>
      <w:r w:rsidRPr="006740E7">
        <w:rPr>
          <w:rFonts w:eastAsia="MS Mincho"/>
          <w:color w:val="000000"/>
          <w:sz w:val="22"/>
          <w:szCs w:val="22"/>
        </w:rPr>
        <w:t>  If you have questions regarding payment procedures, please contact the Financial Operations Group Help Desk by phone, 1-877-480-3201, or by e</w:t>
      </w:r>
      <w:r w:rsidRPr="006740E7">
        <w:rPr>
          <w:rFonts w:eastAsia="MS Mincho"/>
          <w:color w:val="000000"/>
          <w:sz w:val="22"/>
          <w:szCs w:val="22"/>
        </w:rPr>
        <w:noBreakHyphen/>
        <w:t xml:space="preserve">mail, </w:t>
      </w:r>
      <w:r w:rsidRPr="006740E7">
        <w:rPr>
          <w:rFonts w:eastAsia="MS Mincho" w:cs="Arial"/>
          <w:color w:val="000000"/>
          <w:sz w:val="22"/>
          <w:szCs w:val="22"/>
        </w:rPr>
        <w:t>ARINQUIRIES@fcc.gov</w:t>
      </w:r>
      <w:r w:rsidRPr="006740E7">
        <w:rPr>
          <w:rFonts w:eastAsia="MS Mincho"/>
          <w:color w:val="000000"/>
          <w:sz w:val="22"/>
          <w:szCs w:val="22"/>
        </w:rPr>
        <w:t xml:space="preserve">. </w:t>
      </w:r>
    </w:p>
    <w:p w:rsidR="00050854" w:rsidRPr="006740E7" w:rsidRDefault="007E2E05" w:rsidP="00267DE9">
      <w:pPr>
        <w:widowControl/>
        <w:numPr>
          <w:ilvl w:val="0"/>
          <w:numId w:val="22"/>
        </w:numPr>
        <w:tabs>
          <w:tab w:val="clear" w:pos="1260"/>
          <w:tab w:val="left" w:pos="0"/>
          <w:tab w:val="num" w:pos="1440"/>
        </w:tabs>
        <w:suppressAutoHyphens/>
        <w:spacing w:after="120"/>
        <w:ind w:left="0"/>
        <w:rPr>
          <w:color w:val="000000"/>
          <w:spacing w:val="-2"/>
          <w:sz w:val="22"/>
          <w:szCs w:val="22"/>
        </w:rPr>
      </w:pPr>
      <w:r w:rsidRPr="006740E7">
        <w:rPr>
          <w:color w:val="000000"/>
          <w:sz w:val="22"/>
          <w:szCs w:val="22"/>
        </w:rPr>
        <w:t>The written statement seeking reduction or cancellation of the proposed forfeiture, if any, must include a detailed factual statement supported by appropriate documentat</w:t>
      </w:r>
      <w:r w:rsidR="00D57AE2" w:rsidRPr="006740E7">
        <w:rPr>
          <w:color w:val="000000"/>
          <w:sz w:val="22"/>
          <w:szCs w:val="22"/>
        </w:rPr>
        <w:t>ion and affidavits pursuant to S</w:t>
      </w:r>
      <w:r w:rsidRPr="006740E7">
        <w:rPr>
          <w:color w:val="000000"/>
          <w:sz w:val="22"/>
          <w:szCs w:val="22"/>
        </w:rPr>
        <w:t xml:space="preserve">ections </w:t>
      </w:r>
      <w:r w:rsidR="00F30E61" w:rsidRPr="006740E7">
        <w:rPr>
          <w:color w:val="000000"/>
          <w:sz w:val="22"/>
          <w:szCs w:val="22"/>
        </w:rPr>
        <w:t xml:space="preserve">1.16 and </w:t>
      </w:r>
      <w:r w:rsidRPr="006740E7">
        <w:rPr>
          <w:color w:val="000000"/>
          <w:sz w:val="22"/>
          <w:szCs w:val="22"/>
        </w:rPr>
        <w:t xml:space="preserve">1.80(f)(3) of the </w:t>
      </w:r>
      <w:r w:rsidR="00906C31" w:rsidRPr="006740E7">
        <w:rPr>
          <w:color w:val="000000"/>
          <w:sz w:val="22"/>
          <w:szCs w:val="22"/>
        </w:rPr>
        <w:t>Commission’s rules</w:t>
      </w:r>
      <w:r w:rsidRPr="006740E7">
        <w:rPr>
          <w:color w:val="000000"/>
          <w:sz w:val="22"/>
          <w:szCs w:val="22"/>
        </w:rPr>
        <w:t>.</w:t>
      </w:r>
      <w:r w:rsidR="003E2AD5" w:rsidRPr="006740E7">
        <w:rPr>
          <w:rStyle w:val="FootnoteReference"/>
          <w:color w:val="000000"/>
          <w:sz w:val="22"/>
          <w:szCs w:val="22"/>
        </w:rPr>
        <w:footnoteReference w:id="27"/>
      </w:r>
      <w:r w:rsidRPr="006740E7">
        <w:rPr>
          <w:color w:val="000000"/>
          <w:sz w:val="22"/>
          <w:szCs w:val="22"/>
        </w:rPr>
        <w:t xml:space="preserve">  Mail the written statement to Federal Communications Commission, Enforcement Bureau,</w:t>
      </w:r>
      <w:r w:rsidR="00050854" w:rsidRPr="006740E7">
        <w:rPr>
          <w:color w:val="000000"/>
          <w:spacing w:val="-2"/>
          <w:sz w:val="22"/>
          <w:szCs w:val="22"/>
        </w:rPr>
        <w:t xml:space="preserve"> </w:t>
      </w:r>
      <w:r w:rsidR="00F15902" w:rsidRPr="006740E7">
        <w:rPr>
          <w:color w:val="000000"/>
          <w:spacing w:val="-2"/>
          <w:sz w:val="22"/>
          <w:szCs w:val="22"/>
        </w:rPr>
        <w:t>Western</w:t>
      </w:r>
      <w:r w:rsidR="00EB57F9" w:rsidRPr="006740E7">
        <w:rPr>
          <w:color w:val="000000"/>
          <w:spacing w:val="-2"/>
          <w:sz w:val="22"/>
          <w:szCs w:val="22"/>
        </w:rPr>
        <w:t xml:space="preserve"> </w:t>
      </w:r>
      <w:r w:rsidR="00050854" w:rsidRPr="006740E7">
        <w:rPr>
          <w:color w:val="000000"/>
          <w:spacing w:val="-2"/>
          <w:sz w:val="22"/>
          <w:szCs w:val="22"/>
        </w:rPr>
        <w:t xml:space="preserve">Region, </w:t>
      </w:r>
      <w:r w:rsidR="00F65C24">
        <w:rPr>
          <w:color w:val="000000"/>
          <w:spacing w:val="-2"/>
          <w:sz w:val="22"/>
          <w:szCs w:val="22"/>
        </w:rPr>
        <w:t xml:space="preserve">Los Angeles </w:t>
      </w:r>
      <w:r w:rsidR="00F15902" w:rsidRPr="006740E7">
        <w:rPr>
          <w:color w:val="000000"/>
          <w:spacing w:val="-2"/>
          <w:sz w:val="22"/>
          <w:szCs w:val="22"/>
        </w:rPr>
        <w:t>Office</w:t>
      </w:r>
      <w:r w:rsidR="00050854" w:rsidRPr="006740E7">
        <w:rPr>
          <w:color w:val="000000"/>
          <w:spacing w:val="-2"/>
          <w:sz w:val="22"/>
          <w:szCs w:val="22"/>
        </w:rPr>
        <w:t xml:space="preserve">, </w:t>
      </w:r>
      <w:r w:rsidR="00F65C24">
        <w:rPr>
          <w:color w:val="000000"/>
          <w:spacing w:val="-2"/>
          <w:sz w:val="22"/>
          <w:szCs w:val="22"/>
        </w:rPr>
        <w:t xml:space="preserve">18000 Studebaker Rd., Room # 660, Cerritos, California 90703, </w:t>
      </w:r>
      <w:r w:rsidR="00050854" w:rsidRPr="006740E7">
        <w:rPr>
          <w:color w:val="000000"/>
          <w:spacing w:val="-2"/>
          <w:sz w:val="22"/>
          <w:szCs w:val="22"/>
        </w:rPr>
        <w:t>and include the NAL/Acct. No. referenced in the caption.</w:t>
      </w:r>
      <w:r w:rsidR="00683F6F" w:rsidRPr="006740E7">
        <w:rPr>
          <w:color w:val="000000"/>
          <w:spacing w:val="-2"/>
          <w:sz w:val="22"/>
          <w:szCs w:val="22"/>
        </w:rPr>
        <w:t xml:space="preserve"> </w:t>
      </w:r>
      <w:r w:rsidR="00382A54">
        <w:rPr>
          <w:color w:val="000000"/>
          <w:spacing w:val="-2"/>
          <w:sz w:val="22"/>
          <w:szCs w:val="22"/>
        </w:rPr>
        <w:t xml:space="preserve"> </w:t>
      </w:r>
      <w:r w:rsidR="00F65C24">
        <w:rPr>
          <w:color w:val="000000"/>
          <w:spacing w:val="-2"/>
          <w:sz w:val="22"/>
          <w:szCs w:val="22"/>
        </w:rPr>
        <w:t>Televisa, S</w:t>
      </w:r>
      <w:r w:rsidR="00906C31">
        <w:rPr>
          <w:color w:val="000000"/>
          <w:spacing w:val="-2"/>
          <w:sz w:val="22"/>
          <w:szCs w:val="22"/>
        </w:rPr>
        <w:t>.</w:t>
      </w:r>
      <w:r w:rsidR="00F65C24">
        <w:rPr>
          <w:color w:val="000000"/>
          <w:spacing w:val="-2"/>
          <w:sz w:val="22"/>
          <w:szCs w:val="22"/>
        </w:rPr>
        <w:t>A</w:t>
      </w:r>
      <w:r w:rsidR="00906C31">
        <w:rPr>
          <w:color w:val="000000"/>
          <w:spacing w:val="-2"/>
          <w:sz w:val="22"/>
          <w:szCs w:val="22"/>
        </w:rPr>
        <w:t>.</w:t>
      </w:r>
      <w:r w:rsidR="00F65C24">
        <w:rPr>
          <w:color w:val="000000"/>
          <w:spacing w:val="-2"/>
          <w:sz w:val="22"/>
          <w:szCs w:val="22"/>
        </w:rPr>
        <w:t xml:space="preserve"> de C</w:t>
      </w:r>
      <w:r w:rsidR="00906C31">
        <w:rPr>
          <w:color w:val="000000"/>
          <w:spacing w:val="-2"/>
          <w:sz w:val="22"/>
          <w:szCs w:val="22"/>
        </w:rPr>
        <w:t>.</w:t>
      </w:r>
      <w:r w:rsidR="00F65C24">
        <w:rPr>
          <w:color w:val="000000"/>
          <w:spacing w:val="-2"/>
          <w:sz w:val="22"/>
          <w:szCs w:val="22"/>
        </w:rPr>
        <w:t>V</w:t>
      </w:r>
      <w:r w:rsidR="00906C31">
        <w:rPr>
          <w:color w:val="000000"/>
          <w:spacing w:val="-2"/>
          <w:sz w:val="22"/>
          <w:szCs w:val="22"/>
        </w:rPr>
        <w:t>.</w:t>
      </w:r>
      <w:r w:rsidR="00F65C24">
        <w:rPr>
          <w:color w:val="000000"/>
          <w:spacing w:val="-2"/>
          <w:sz w:val="22"/>
          <w:szCs w:val="22"/>
        </w:rPr>
        <w:t xml:space="preserve"> </w:t>
      </w:r>
      <w:r w:rsidR="005F67D7" w:rsidRPr="006740E7">
        <w:rPr>
          <w:color w:val="000000"/>
          <w:spacing w:val="-2"/>
          <w:sz w:val="22"/>
          <w:szCs w:val="22"/>
        </w:rPr>
        <w:t xml:space="preserve">also </w:t>
      </w:r>
      <w:r w:rsidR="00683F6F" w:rsidRPr="006740E7">
        <w:rPr>
          <w:color w:val="000000"/>
          <w:spacing w:val="-2"/>
          <w:sz w:val="22"/>
          <w:szCs w:val="22"/>
        </w:rPr>
        <w:t>shall e</w:t>
      </w:r>
      <w:r w:rsidR="00C009F7" w:rsidRPr="006740E7">
        <w:rPr>
          <w:color w:val="000000"/>
          <w:spacing w:val="-2"/>
          <w:sz w:val="22"/>
          <w:szCs w:val="22"/>
        </w:rPr>
        <w:t>-</w:t>
      </w:r>
      <w:r w:rsidR="00683F6F" w:rsidRPr="006740E7">
        <w:rPr>
          <w:color w:val="000000"/>
          <w:spacing w:val="-2"/>
          <w:sz w:val="22"/>
          <w:szCs w:val="22"/>
        </w:rPr>
        <w:t xml:space="preserve">mail the written response to </w:t>
      </w:r>
      <w:smartTag w:uri="urn:schemas-microsoft-com:office:smarttags" w:element="PersonName">
        <w:r w:rsidR="00683F6F" w:rsidRPr="006740E7">
          <w:rPr>
            <w:color w:val="000000"/>
            <w:sz w:val="22"/>
            <w:szCs w:val="22"/>
          </w:rPr>
          <w:t>WR-Response</w:t>
        </w:r>
      </w:smartTag>
      <w:r w:rsidR="00683F6F" w:rsidRPr="006740E7">
        <w:rPr>
          <w:color w:val="000000"/>
          <w:sz w:val="22"/>
          <w:szCs w:val="22"/>
        </w:rPr>
        <w:t>@fcc.gov.</w:t>
      </w:r>
    </w:p>
    <w:p w:rsidR="00C82C93" w:rsidRPr="006740E7" w:rsidRDefault="00050854" w:rsidP="00267DE9">
      <w:pPr>
        <w:widowControl/>
        <w:numPr>
          <w:ilvl w:val="0"/>
          <w:numId w:val="22"/>
        </w:numPr>
        <w:tabs>
          <w:tab w:val="clear" w:pos="1260"/>
          <w:tab w:val="left" w:pos="0"/>
          <w:tab w:val="num" w:pos="1440"/>
        </w:tabs>
        <w:suppressAutoHyphens/>
        <w:spacing w:after="120"/>
        <w:ind w:left="0"/>
        <w:rPr>
          <w:color w:val="000000"/>
          <w:spacing w:val="-2"/>
          <w:sz w:val="22"/>
          <w:szCs w:val="22"/>
        </w:rPr>
      </w:pPr>
      <w:r w:rsidRPr="006740E7">
        <w:rPr>
          <w:color w:val="000000"/>
          <w:spacing w:val="-2"/>
          <w:sz w:val="22"/>
          <w:szCs w:val="22"/>
        </w:rPr>
        <w:t xml:space="preserve">The Commission will not consider reducing or canceling a forfeiture in response to a claim of inability to pay unless the petitioner submits: </w:t>
      </w:r>
      <w:r w:rsidR="00F30E61" w:rsidRPr="006740E7">
        <w:rPr>
          <w:color w:val="000000"/>
          <w:spacing w:val="-2"/>
          <w:sz w:val="22"/>
          <w:szCs w:val="22"/>
        </w:rPr>
        <w:t xml:space="preserve"> </w:t>
      </w:r>
      <w:r w:rsidRPr="006740E7">
        <w:rPr>
          <w:color w:val="000000"/>
          <w:spacing w:val="-2"/>
          <w:sz w:val="22"/>
          <w:szCs w:val="22"/>
        </w:rPr>
        <w:t>(1) federal tax returns for the most recent three-year period; (2) financial statements prepared according to generally accepted accounting pr</w:t>
      </w:r>
      <w:r w:rsidR="00D13FA6" w:rsidRPr="006740E7">
        <w:rPr>
          <w:color w:val="000000"/>
          <w:spacing w:val="-2"/>
          <w:sz w:val="22"/>
          <w:szCs w:val="22"/>
        </w:rPr>
        <w:t>inciples</w:t>
      </w:r>
      <w:r w:rsidRPr="006740E7">
        <w:rPr>
          <w:color w:val="000000"/>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8826A9" w:rsidRPr="006740E7" w:rsidRDefault="00050854" w:rsidP="00267DE9">
      <w:pPr>
        <w:widowControl/>
        <w:numPr>
          <w:ilvl w:val="0"/>
          <w:numId w:val="22"/>
        </w:numPr>
        <w:tabs>
          <w:tab w:val="clear" w:pos="1260"/>
          <w:tab w:val="left" w:pos="0"/>
          <w:tab w:val="num" w:pos="1440"/>
        </w:tabs>
        <w:suppressAutoHyphens/>
        <w:spacing w:after="120"/>
        <w:ind w:left="0"/>
        <w:rPr>
          <w:color w:val="000000"/>
          <w:spacing w:val="-2"/>
          <w:sz w:val="22"/>
          <w:szCs w:val="22"/>
        </w:rPr>
      </w:pPr>
      <w:r w:rsidRPr="006740E7">
        <w:rPr>
          <w:b/>
          <w:color w:val="000000"/>
          <w:spacing w:val="-2"/>
          <w:sz w:val="22"/>
          <w:szCs w:val="22"/>
        </w:rPr>
        <w:t>IT IS FURTHER ORDERED</w:t>
      </w:r>
      <w:r w:rsidRPr="006740E7">
        <w:rPr>
          <w:color w:val="000000"/>
          <w:spacing w:val="-2"/>
          <w:sz w:val="22"/>
          <w:szCs w:val="22"/>
        </w:rPr>
        <w:t xml:space="preserve"> </w:t>
      </w:r>
      <w:r w:rsidR="003F3CFD" w:rsidRPr="006740E7">
        <w:rPr>
          <w:color w:val="000000"/>
          <w:spacing w:val="-2"/>
          <w:sz w:val="22"/>
          <w:szCs w:val="22"/>
        </w:rPr>
        <w:t>that</w:t>
      </w:r>
      <w:r w:rsidRPr="006740E7">
        <w:rPr>
          <w:color w:val="000000"/>
          <w:spacing w:val="-2"/>
          <w:sz w:val="22"/>
          <w:szCs w:val="22"/>
        </w:rPr>
        <w:t xml:space="preserve"> a copy of this Notice of Apparent Liability for Forfeiture shall be sent by </w:t>
      </w:r>
      <w:r w:rsidR="00683F6F" w:rsidRPr="006740E7">
        <w:rPr>
          <w:color w:val="000000"/>
          <w:spacing w:val="-2"/>
          <w:sz w:val="22"/>
          <w:szCs w:val="22"/>
        </w:rPr>
        <w:t xml:space="preserve">both </w:t>
      </w:r>
      <w:r w:rsidRPr="006740E7">
        <w:rPr>
          <w:color w:val="000000"/>
          <w:spacing w:val="-2"/>
          <w:sz w:val="22"/>
          <w:szCs w:val="22"/>
        </w:rPr>
        <w:t xml:space="preserve">Certified Mail, Return Receipt Requested, and </w:t>
      </w:r>
      <w:r w:rsidR="00F63821">
        <w:rPr>
          <w:color w:val="000000"/>
          <w:spacing w:val="-2"/>
          <w:sz w:val="22"/>
          <w:szCs w:val="22"/>
        </w:rPr>
        <w:t>F</w:t>
      </w:r>
      <w:r w:rsidR="008C26F7" w:rsidRPr="006740E7">
        <w:rPr>
          <w:color w:val="000000"/>
          <w:spacing w:val="-2"/>
          <w:sz w:val="22"/>
          <w:szCs w:val="22"/>
        </w:rPr>
        <w:t xml:space="preserve">irst </w:t>
      </w:r>
      <w:r w:rsidR="00F63821">
        <w:rPr>
          <w:color w:val="000000"/>
          <w:spacing w:val="-2"/>
          <w:sz w:val="22"/>
          <w:szCs w:val="22"/>
        </w:rPr>
        <w:t>C</w:t>
      </w:r>
      <w:r w:rsidR="008C26F7" w:rsidRPr="006740E7">
        <w:rPr>
          <w:color w:val="000000"/>
          <w:spacing w:val="-2"/>
          <w:sz w:val="22"/>
          <w:szCs w:val="22"/>
        </w:rPr>
        <w:t xml:space="preserve">lass </w:t>
      </w:r>
      <w:r w:rsidR="00F63821">
        <w:rPr>
          <w:color w:val="000000"/>
          <w:spacing w:val="-2"/>
          <w:sz w:val="22"/>
          <w:szCs w:val="22"/>
        </w:rPr>
        <w:t>M</w:t>
      </w:r>
      <w:r w:rsidRPr="006740E7">
        <w:rPr>
          <w:color w:val="000000"/>
          <w:spacing w:val="-2"/>
          <w:sz w:val="22"/>
          <w:szCs w:val="22"/>
        </w:rPr>
        <w:t xml:space="preserve">ail to </w:t>
      </w:r>
      <w:r w:rsidR="00F65C24">
        <w:rPr>
          <w:color w:val="000000"/>
          <w:spacing w:val="-2"/>
          <w:sz w:val="22"/>
          <w:szCs w:val="22"/>
        </w:rPr>
        <w:t>Televisa, S</w:t>
      </w:r>
      <w:r w:rsidR="009E5ECC">
        <w:rPr>
          <w:color w:val="000000"/>
          <w:spacing w:val="-2"/>
          <w:sz w:val="22"/>
          <w:szCs w:val="22"/>
        </w:rPr>
        <w:t>.</w:t>
      </w:r>
      <w:r w:rsidR="00F65C24">
        <w:rPr>
          <w:color w:val="000000"/>
          <w:spacing w:val="-2"/>
          <w:sz w:val="22"/>
          <w:szCs w:val="22"/>
        </w:rPr>
        <w:t>A</w:t>
      </w:r>
      <w:r w:rsidR="009E5ECC">
        <w:rPr>
          <w:color w:val="000000"/>
          <w:spacing w:val="-2"/>
          <w:sz w:val="22"/>
          <w:szCs w:val="22"/>
        </w:rPr>
        <w:t>.</w:t>
      </w:r>
      <w:r w:rsidR="00F65C24">
        <w:rPr>
          <w:color w:val="000000"/>
          <w:spacing w:val="-2"/>
          <w:sz w:val="22"/>
          <w:szCs w:val="22"/>
        </w:rPr>
        <w:t xml:space="preserve"> de C</w:t>
      </w:r>
      <w:r w:rsidR="009E5ECC">
        <w:rPr>
          <w:color w:val="000000"/>
          <w:spacing w:val="-2"/>
          <w:sz w:val="22"/>
          <w:szCs w:val="22"/>
        </w:rPr>
        <w:t>.</w:t>
      </w:r>
      <w:r w:rsidR="00F65C24">
        <w:rPr>
          <w:color w:val="000000"/>
          <w:spacing w:val="-2"/>
          <w:sz w:val="22"/>
          <w:szCs w:val="22"/>
        </w:rPr>
        <w:t>V</w:t>
      </w:r>
      <w:r w:rsidR="009E5ECC">
        <w:rPr>
          <w:color w:val="000000"/>
          <w:spacing w:val="-2"/>
          <w:sz w:val="22"/>
          <w:szCs w:val="22"/>
        </w:rPr>
        <w:t>.</w:t>
      </w:r>
      <w:r w:rsidR="00F65C24">
        <w:rPr>
          <w:color w:val="000000"/>
          <w:spacing w:val="-2"/>
          <w:sz w:val="22"/>
          <w:szCs w:val="22"/>
        </w:rPr>
        <w:t xml:space="preserve"> </w:t>
      </w:r>
      <w:r w:rsidR="000A0EEE" w:rsidRPr="006740E7">
        <w:rPr>
          <w:color w:val="000000"/>
          <w:spacing w:val="-2"/>
          <w:sz w:val="22"/>
          <w:szCs w:val="22"/>
        </w:rPr>
        <w:t>at</w:t>
      </w:r>
      <w:r w:rsidR="00321805" w:rsidRPr="00F63821">
        <w:rPr>
          <w:color w:val="000000"/>
          <w:spacing w:val="-2"/>
          <w:sz w:val="22"/>
          <w:szCs w:val="22"/>
        </w:rPr>
        <w:t xml:space="preserve"> </w:t>
      </w:r>
      <w:r w:rsidR="008826A9" w:rsidRPr="006740E7">
        <w:rPr>
          <w:color w:val="000000"/>
          <w:spacing w:val="-2"/>
          <w:sz w:val="22"/>
          <w:szCs w:val="22"/>
        </w:rPr>
        <w:t>its counsel</w:t>
      </w:r>
      <w:r w:rsidR="00F65C24">
        <w:rPr>
          <w:color w:val="000000"/>
          <w:spacing w:val="-2"/>
          <w:sz w:val="22"/>
          <w:szCs w:val="22"/>
        </w:rPr>
        <w:t>’s address of record</w:t>
      </w:r>
      <w:r w:rsidR="008826A9" w:rsidRPr="006740E7">
        <w:rPr>
          <w:color w:val="000000"/>
          <w:spacing w:val="-2"/>
          <w:sz w:val="22"/>
          <w:szCs w:val="22"/>
        </w:rPr>
        <w:t xml:space="preserve">, </w:t>
      </w:r>
      <w:r w:rsidR="00B476C5">
        <w:rPr>
          <w:color w:val="000000"/>
          <w:spacing w:val="-2"/>
          <w:sz w:val="22"/>
          <w:szCs w:val="22"/>
        </w:rPr>
        <w:t xml:space="preserve">Norm Leventhal, </w:t>
      </w:r>
      <w:r w:rsidR="009E5ECC">
        <w:rPr>
          <w:color w:val="000000"/>
          <w:spacing w:val="-2"/>
          <w:sz w:val="22"/>
          <w:szCs w:val="22"/>
        </w:rPr>
        <w:t xml:space="preserve">Esquire, </w:t>
      </w:r>
      <w:r w:rsidR="00F65C24">
        <w:rPr>
          <w:color w:val="000000"/>
          <w:spacing w:val="-2"/>
          <w:sz w:val="22"/>
          <w:szCs w:val="22"/>
        </w:rPr>
        <w:t xml:space="preserve">Holland &amp; Knight, LLP, </w:t>
      </w:r>
      <w:r w:rsidR="003C220C">
        <w:rPr>
          <w:color w:val="000000"/>
          <w:spacing w:val="-2"/>
          <w:sz w:val="22"/>
          <w:szCs w:val="22"/>
        </w:rPr>
        <w:t>800 17</w:t>
      </w:r>
      <w:r w:rsidR="003C220C" w:rsidRPr="003C220C">
        <w:rPr>
          <w:color w:val="000000"/>
          <w:spacing w:val="-2"/>
          <w:sz w:val="22"/>
          <w:szCs w:val="22"/>
          <w:vertAlign w:val="superscript"/>
        </w:rPr>
        <w:t>th</w:t>
      </w:r>
      <w:r w:rsidR="003C220C">
        <w:rPr>
          <w:color w:val="000000"/>
          <w:spacing w:val="-2"/>
          <w:sz w:val="22"/>
          <w:szCs w:val="22"/>
        </w:rPr>
        <w:t xml:space="preserve"> Street,</w:t>
      </w:r>
      <w:r w:rsidR="00F65C24">
        <w:rPr>
          <w:color w:val="000000"/>
          <w:spacing w:val="-2"/>
          <w:sz w:val="22"/>
          <w:szCs w:val="22"/>
        </w:rPr>
        <w:t xml:space="preserve"> NW</w:t>
      </w:r>
      <w:r w:rsidR="004443FB">
        <w:rPr>
          <w:color w:val="000000"/>
          <w:spacing w:val="-2"/>
          <w:sz w:val="22"/>
          <w:szCs w:val="22"/>
        </w:rPr>
        <w:t>,</w:t>
      </w:r>
      <w:r w:rsidR="00F65C24">
        <w:rPr>
          <w:color w:val="000000"/>
          <w:spacing w:val="-2"/>
          <w:sz w:val="22"/>
          <w:szCs w:val="22"/>
        </w:rPr>
        <w:t xml:space="preserve"> Suite 1</w:t>
      </w:r>
      <w:r w:rsidR="003C220C">
        <w:rPr>
          <w:color w:val="000000"/>
          <w:spacing w:val="-2"/>
          <w:sz w:val="22"/>
          <w:szCs w:val="22"/>
        </w:rPr>
        <w:t>1</w:t>
      </w:r>
      <w:r w:rsidR="00F65C24">
        <w:rPr>
          <w:color w:val="000000"/>
          <w:spacing w:val="-2"/>
          <w:sz w:val="22"/>
          <w:szCs w:val="22"/>
        </w:rPr>
        <w:t>00, Washington, D.C.</w:t>
      </w:r>
      <w:r w:rsidR="00B476C5">
        <w:rPr>
          <w:color w:val="000000"/>
          <w:spacing w:val="-2"/>
          <w:sz w:val="22"/>
          <w:szCs w:val="22"/>
        </w:rPr>
        <w:t xml:space="preserve"> </w:t>
      </w:r>
      <w:r w:rsidR="00F65C24">
        <w:rPr>
          <w:color w:val="000000"/>
          <w:spacing w:val="-2"/>
          <w:sz w:val="22"/>
          <w:szCs w:val="22"/>
        </w:rPr>
        <w:t xml:space="preserve"> 20</w:t>
      </w:r>
      <w:r w:rsidR="00B476C5">
        <w:rPr>
          <w:color w:val="000000"/>
          <w:spacing w:val="-2"/>
          <w:sz w:val="22"/>
          <w:szCs w:val="22"/>
        </w:rPr>
        <w:t>0</w:t>
      </w:r>
      <w:r w:rsidR="00F65C24">
        <w:rPr>
          <w:color w:val="000000"/>
          <w:spacing w:val="-2"/>
          <w:sz w:val="22"/>
          <w:szCs w:val="22"/>
        </w:rPr>
        <w:t>06</w:t>
      </w:r>
      <w:r w:rsidR="00B476C5">
        <w:rPr>
          <w:color w:val="000000"/>
          <w:spacing w:val="-2"/>
          <w:sz w:val="22"/>
          <w:szCs w:val="22"/>
        </w:rPr>
        <w:t>.</w:t>
      </w:r>
      <w:r w:rsidR="00F65C24">
        <w:rPr>
          <w:color w:val="000000"/>
          <w:spacing w:val="-2"/>
          <w:sz w:val="22"/>
          <w:szCs w:val="22"/>
        </w:rPr>
        <w:t xml:space="preserve">  </w:t>
      </w:r>
      <w:r w:rsidR="008826A9" w:rsidRPr="006740E7">
        <w:rPr>
          <w:color w:val="000000"/>
          <w:spacing w:val="-2"/>
          <w:sz w:val="22"/>
          <w:szCs w:val="22"/>
        </w:rPr>
        <w:t xml:space="preserve"> </w:t>
      </w:r>
    </w:p>
    <w:p w:rsidR="00050854" w:rsidRPr="006740E7" w:rsidRDefault="00050854" w:rsidP="008826A9">
      <w:pPr>
        <w:widowControl/>
        <w:tabs>
          <w:tab w:val="left" w:pos="0"/>
        </w:tabs>
        <w:suppressAutoHyphens/>
        <w:spacing w:after="120" w:line="240" w:lineRule="atLeast"/>
        <w:rPr>
          <w:color w:val="000000"/>
          <w:spacing w:val="-2"/>
          <w:sz w:val="22"/>
          <w:szCs w:val="22"/>
        </w:rPr>
      </w:pPr>
    </w:p>
    <w:p w:rsidR="00050854" w:rsidRPr="006740E7" w:rsidRDefault="00050854" w:rsidP="00BF1922">
      <w:pPr>
        <w:widowControl/>
        <w:tabs>
          <w:tab w:val="left" w:pos="0"/>
          <w:tab w:val="num" w:pos="1440"/>
        </w:tabs>
        <w:suppressAutoHyphens/>
        <w:spacing w:line="240" w:lineRule="atLeast"/>
        <w:jc w:val="both"/>
        <w:rPr>
          <w:color w:val="000000"/>
          <w:spacing w:val="-2"/>
          <w:sz w:val="22"/>
          <w:szCs w:val="22"/>
        </w:rPr>
      </w:pPr>
    </w:p>
    <w:p w:rsidR="00050854" w:rsidRPr="006740E7" w:rsidRDefault="00331410" w:rsidP="00BF1922">
      <w:pPr>
        <w:widowControl/>
        <w:tabs>
          <w:tab w:val="left" w:pos="0"/>
          <w:tab w:val="num" w:pos="1440"/>
        </w:tabs>
        <w:suppressAutoHyphens/>
        <w:spacing w:line="240" w:lineRule="atLeast"/>
        <w:rPr>
          <w:color w:val="000000"/>
          <w:spacing w:val="-2"/>
          <w:sz w:val="22"/>
          <w:szCs w:val="22"/>
        </w:rPr>
      </w:pP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00050854" w:rsidRPr="006740E7">
        <w:rPr>
          <w:color w:val="000000"/>
          <w:spacing w:val="-2"/>
          <w:sz w:val="22"/>
          <w:szCs w:val="22"/>
        </w:rPr>
        <w:t>FEDERAL COMMUNICATIONS COMMISSION</w:t>
      </w:r>
    </w:p>
    <w:p w:rsidR="00050854" w:rsidRPr="006740E7" w:rsidRDefault="00050854" w:rsidP="00BF1922">
      <w:pPr>
        <w:widowControl/>
        <w:tabs>
          <w:tab w:val="left" w:pos="0"/>
          <w:tab w:val="num" w:pos="1440"/>
        </w:tabs>
        <w:suppressAutoHyphens/>
        <w:spacing w:line="240" w:lineRule="atLeast"/>
        <w:jc w:val="both"/>
        <w:rPr>
          <w:color w:val="000000"/>
          <w:spacing w:val="-2"/>
          <w:sz w:val="22"/>
          <w:szCs w:val="22"/>
        </w:rPr>
      </w:pPr>
    </w:p>
    <w:p w:rsidR="00050854" w:rsidRPr="006740E7" w:rsidRDefault="00050854" w:rsidP="00BF1922">
      <w:pPr>
        <w:widowControl/>
        <w:tabs>
          <w:tab w:val="left" w:pos="0"/>
          <w:tab w:val="num" w:pos="1440"/>
        </w:tabs>
        <w:suppressAutoHyphens/>
        <w:spacing w:line="240" w:lineRule="atLeast"/>
        <w:jc w:val="both"/>
        <w:rPr>
          <w:color w:val="000000"/>
          <w:spacing w:val="-2"/>
          <w:sz w:val="22"/>
          <w:szCs w:val="22"/>
        </w:rPr>
      </w:pPr>
    </w:p>
    <w:p w:rsidR="00050854" w:rsidRPr="006740E7" w:rsidRDefault="00050854" w:rsidP="00BF1922">
      <w:pPr>
        <w:widowControl/>
        <w:tabs>
          <w:tab w:val="left" w:pos="0"/>
          <w:tab w:val="num" w:pos="1440"/>
        </w:tabs>
        <w:suppressAutoHyphens/>
        <w:spacing w:line="240" w:lineRule="atLeast"/>
        <w:jc w:val="both"/>
        <w:rPr>
          <w:color w:val="000000"/>
          <w:spacing w:val="-2"/>
          <w:sz w:val="22"/>
          <w:szCs w:val="22"/>
        </w:rPr>
      </w:pPr>
    </w:p>
    <w:p w:rsidR="00331410" w:rsidRPr="006740E7" w:rsidRDefault="00050854" w:rsidP="00BF1922">
      <w:pPr>
        <w:widowControl/>
        <w:tabs>
          <w:tab w:val="left" w:pos="0"/>
          <w:tab w:val="num" w:pos="1440"/>
        </w:tabs>
        <w:suppressAutoHyphens/>
        <w:spacing w:line="240" w:lineRule="atLeast"/>
        <w:jc w:val="both"/>
        <w:rPr>
          <w:color w:val="000000"/>
          <w:spacing w:val="-2"/>
          <w:sz w:val="22"/>
          <w:szCs w:val="22"/>
        </w:rPr>
      </w:pP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p>
    <w:p w:rsidR="00050854" w:rsidRPr="006740E7" w:rsidRDefault="00331410" w:rsidP="00BF1922">
      <w:pPr>
        <w:widowControl/>
        <w:tabs>
          <w:tab w:val="left" w:pos="0"/>
          <w:tab w:val="num" w:pos="1440"/>
        </w:tabs>
        <w:suppressAutoHyphens/>
        <w:spacing w:line="240" w:lineRule="atLeast"/>
        <w:jc w:val="both"/>
        <w:rPr>
          <w:color w:val="000000"/>
          <w:spacing w:val="-2"/>
          <w:sz w:val="22"/>
          <w:szCs w:val="22"/>
        </w:rPr>
      </w:pP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00050854" w:rsidRPr="006740E7">
        <w:rPr>
          <w:color w:val="000000"/>
          <w:spacing w:val="-2"/>
          <w:sz w:val="22"/>
          <w:szCs w:val="22"/>
        </w:rPr>
        <w:tab/>
      </w:r>
      <w:r w:rsidR="00606A22">
        <w:rPr>
          <w:color w:val="000000"/>
          <w:spacing w:val="-2"/>
          <w:sz w:val="22"/>
          <w:szCs w:val="22"/>
        </w:rPr>
        <w:t>Charles A. Cooper</w:t>
      </w:r>
      <w:r w:rsidR="001E5908" w:rsidRPr="006740E7">
        <w:rPr>
          <w:color w:val="000000"/>
          <w:spacing w:val="-2"/>
          <w:sz w:val="22"/>
          <w:szCs w:val="22"/>
        </w:rPr>
        <w:tab/>
      </w:r>
    </w:p>
    <w:p w:rsidR="00050854" w:rsidRPr="006740E7" w:rsidRDefault="00050854" w:rsidP="00BF1922">
      <w:pPr>
        <w:widowControl/>
        <w:tabs>
          <w:tab w:val="left" w:pos="0"/>
          <w:tab w:val="num" w:pos="1440"/>
        </w:tabs>
        <w:suppressAutoHyphens/>
        <w:spacing w:line="240" w:lineRule="atLeast"/>
        <w:jc w:val="both"/>
        <w:rPr>
          <w:color w:val="000000"/>
          <w:spacing w:val="-2"/>
          <w:sz w:val="22"/>
          <w:szCs w:val="22"/>
        </w:rPr>
      </w:pP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00331410" w:rsidRPr="006740E7">
        <w:rPr>
          <w:color w:val="000000"/>
          <w:spacing w:val="-2"/>
          <w:sz w:val="22"/>
          <w:szCs w:val="22"/>
        </w:rPr>
        <w:tab/>
      </w:r>
      <w:r w:rsidR="00606A22">
        <w:rPr>
          <w:color w:val="000000"/>
          <w:spacing w:val="-2"/>
          <w:sz w:val="22"/>
          <w:szCs w:val="22"/>
        </w:rPr>
        <w:t>District Director</w:t>
      </w:r>
    </w:p>
    <w:p w:rsidR="00050854" w:rsidRPr="006740E7" w:rsidRDefault="00050854" w:rsidP="00BF1922">
      <w:pPr>
        <w:widowControl/>
        <w:tabs>
          <w:tab w:val="left" w:pos="0"/>
          <w:tab w:val="num" w:pos="1440"/>
        </w:tabs>
        <w:suppressAutoHyphens/>
        <w:spacing w:line="240" w:lineRule="atLeast"/>
        <w:jc w:val="both"/>
        <w:rPr>
          <w:color w:val="000000"/>
          <w:spacing w:val="-2"/>
          <w:sz w:val="22"/>
          <w:szCs w:val="22"/>
        </w:rPr>
      </w:pP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00606A22">
        <w:rPr>
          <w:color w:val="000000"/>
          <w:spacing w:val="-2"/>
          <w:sz w:val="22"/>
          <w:szCs w:val="22"/>
        </w:rPr>
        <w:t>Los Angeles Office</w:t>
      </w:r>
    </w:p>
    <w:p w:rsidR="00050854" w:rsidRPr="006740E7" w:rsidRDefault="000A0EEE" w:rsidP="00BF1922">
      <w:pPr>
        <w:widowControl/>
        <w:tabs>
          <w:tab w:val="left" w:pos="0"/>
          <w:tab w:val="num" w:pos="1440"/>
        </w:tabs>
        <w:suppressAutoHyphens/>
        <w:spacing w:line="240" w:lineRule="atLeast"/>
        <w:jc w:val="both"/>
        <w:rPr>
          <w:color w:val="000000"/>
          <w:spacing w:val="-2"/>
          <w:sz w:val="22"/>
          <w:szCs w:val="22"/>
        </w:rPr>
      </w:pP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00336687" w:rsidRPr="006740E7">
        <w:rPr>
          <w:color w:val="000000"/>
          <w:spacing w:val="-2"/>
          <w:sz w:val="22"/>
          <w:szCs w:val="22"/>
        </w:rPr>
        <w:t xml:space="preserve">Western </w:t>
      </w:r>
      <w:r w:rsidR="00050854" w:rsidRPr="006740E7">
        <w:rPr>
          <w:color w:val="000000"/>
          <w:spacing w:val="-2"/>
          <w:sz w:val="22"/>
          <w:szCs w:val="22"/>
        </w:rPr>
        <w:t>Region</w:t>
      </w:r>
    </w:p>
    <w:p w:rsidR="00050854" w:rsidRPr="006740E7" w:rsidRDefault="00050854" w:rsidP="00BF1922">
      <w:pPr>
        <w:widowControl/>
        <w:tabs>
          <w:tab w:val="left" w:pos="0"/>
          <w:tab w:val="num" w:pos="1440"/>
        </w:tabs>
        <w:suppressAutoHyphens/>
        <w:spacing w:line="240" w:lineRule="atLeast"/>
        <w:jc w:val="both"/>
        <w:rPr>
          <w:color w:val="000000"/>
          <w:spacing w:val="-2"/>
          <w:sz w:val="22"/>
          <w:szCs w:val="22"/>
        </w:rPr>
      </w:pP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r>
      <w:r w:rsidRPr="006740E7">
        <w:rPr>
          <w:color w:val="000000"/>
          <w:spacing w:val="-2"/>
          <w:sz w:val="22"/>
          <w:szCs w:val="22"/>
        </w:rPr>
        <w:tab/>
        <w:t>Enforcement Bureau</w:t>
      </w:r>
    </w:p>
    <w:p w:rsidR="00050854" w:rsidRPr="006740E7" w:rsidRDefault="00050854" w:rsidP="00BF1922">
      <w:pPr>
        <w:widowControl/>
        <w:tabs>
          <w:tab w:val="left" w:pos="0"/>
          <w:tab w:val="num" w:pos="1440"/>
        </w:tabs>
        <w:suppressAutoHyphens/>
        <w:spacing w:line="240" w:lineRule="atLeast"/>
        <w:jc w:val="both"/>
        <w:rPr>
          <w:color w:val="000000"/>
          <w:spacing w:val="-2"/>
          <w:sz w:val="22"/>
          <w:szCs w:val="22"/>
        </w:rPr>
      </w:pPr>
    </w:p>
    <w:p w:rsidR="009F6C24" w:rsidRPr="006740E7" w:rsidRDefault="009F6C24" w:rsidP="00BF1922">
      <w:pPr>
        <w:widowControl/>
        <w:tabs>
          <w:tab w:val="num" w:pos="1440"/>
        </w:tabs>
        <w:jc w:val="both"/>
        <w:rPr>
          <w:color w:val="000000"/>
        </w:rPr>
      </w:pPr>
    </w:p>
    <w:sectPr w:rsidR="009F6C24" w:rsidRPr="006740E7"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C3" w:rsidRDefault="00274FC3">
      <w:r>
        <w:separator/>
      </w:r>
    </w:p>
  </w:endnote>
  <w:endnote w:type="continuationSeparator" w:id="0">
    <w:p w:rsidR="00274FC3" w:rsidRDefault="0027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9B" w:rsidRDefault="00713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95" w:rsidRDefault="00E1799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4453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9B" w:rsidRDefault="00713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C3" w:rsidRDefault="00274FC3">
      <w:r>
        <w:separator/>
      </w:r>
    </w:p>
  </w:footnote>
  <w:footnote w:type="continuationSeparator" w:id="0">
    <w:p w:rsidR="00274FC3" w:rsidRDefault="00274FC3">
      <w:r>
        <w:separator/>
      </w:r>
    </w:p>
    <w:p w:rsidR="00274FC3" w:rsidRDefault="00274FC3">
      <w:r>
        <w:t>(...continued from previous page)</w:t>
      </w:r>
    </w:p>
  </w:footnote>
  <w:footnote w:type="continuationNotice" w:id="1">
    <w:p w:rsidR="00274FC3" w:rsidRDefault="00274FC3">
      <w:pPr>
        <w:jc w:val="right"/>
      </w:pPr>
      <w:r>
        <w:t>(continued....)</w:t>
      </w:r>
    </w:p>
  </w:footnote>
  <w:footnote w:id="2">
    <w:p w:rsidR="00E17995" w:rsidRPr="006740E7" w:rsidRDefault="00E17995" w:rsidP="00392E9B">
      <w:pPr>
        <w:pStyle w:val="FootnoteText"/>
        <w:jc w:val="left"/>
        <w:rPr>
          <w:b/>
          <w:color w:val="000000"/>
        </w:rPr>
      </w:pPr>
      <w:r>
        <w:rPr>
          <w:rStyle w:val="FootnoteReference"/>
        </w:rPr>
        <w:footnoteRef/>
      </w:r>
      <w:r>
        <w:t xml:space="preserve"> </w:t>
      </w:r>
      <w:r w:rsidRPr="006740E7">
        <w:rPr>
          <w:color w:val="000000"/>
        </w:rPr>
        <w:t xml:space="preserve">47 </w:t>
      </w:r>
      <w:r>
        <w:rPr>
          <w:color w:val="000000"/>
        </w:rPr>
        <w:t xml:space="preserve">U.S.C. </w:t>
      </w:r>
      <w:r w:rsidRPr="006740E7">
        <w:rPr>
          <w:color w:val="000000"/>
        </w:rPr>
        <w:t xml:space="preserve">§ </w:t>
      </w:r>
      <w:r>
        <w:rPr>
          <w:color w:val="000000"/>
        </w:rPr>
        <w:t>301</w:t>
      </w:r>
      <w:r w:rsidRPr="006740E7">
        <w:rPr>
          <w:color w:val="000000"/>
        </w:rPr>
        <w:t>.</w:t>
      </w:r>
    </w:p>
  </w:footnote>
  <w:footnote w:id="3">
    <w:p w:rsidR="00E17995" w:rsidRDefault="00E17995" w:rsidP="00392E9B">
      <w:pPr>
        <w:pStyle w:val="FootnoteText"/>
        <w:jc w:val="left"/>
      </w:pPr>
      <w:r>
        <w:rPr>
          <w:rStyle w:val="FootnoteReference"/>
        </w:rPr>
        <w:footnoteRef/>
      </w:r>
      <w:r>
        <w:t xml:space="preserve"> 47 C.F.R. </w:t>
      </w:r>
      <w:r w:rsidRPr="008D58DF">
        <w:t>§</w:t>
      </w:r>
      <w:r>
        <w:t xml:space="preserve"> 25.102(a)</w:t>
      </w:r>
      <w:r w:rsidR="00F52801">
        <w:t>.</w:t>
      </w:r>
    </w:p>
  </w:footnote>
  <w:footnote w:id="4">
    <w:p w:rsidR="001850E7" w:rsidRDefault="001850E7" w:rsidP="00392E9B">
      <w:pPr>
        <w:pStyle w:val="FootnoteText"/>
        <w:jc w:val="left"/>
      </w:pPr>
      <w:r>
        <w:rPr>
          <w:rStyle w:val="FootnoteReference"/>
        </w:rPr>
        <w:footnoteRef/>
      </w:r>
      <w:r>
        <w:t xml:space="preserve"> </w:t>
      </w:r>
      <w:r w:rsidRPr="00BE5B6D">
        <w:t xml:space="preserve">The </w:t>
      </w:r>
      <w:r>
        <w:t>Televisa SNG operator stated they</w:t>
      </w:r>
      <w:r w:rsidRPr="00BE5B6D">
        <w:t xml:space="preserve"> did not have </w:t>
      </w:r>
      <w:r w:rsidR="002624BF">
        <w:t xml:space="preserve">a </w:t>
      </w:r>
      <w:r w:rsidR="00906C31">
        <w:t>Commission</w:t>
      </w:r>
      <w:r>
        <w:t xml:space="preserve"> </w:t>
      </w:r>
      <w:r w:rsidRPr="00BE5B6D">
        <w:t>authorization, only</w:t>
      </w:r>
      <w:r>
        <w:t xml:space="preserve"> a</w:t>
      </w:r>
      <w:r w:rsidR="00906C31">
        <w:t>n authorization from the Mexican national telecommunications authority,</w:t>
      </w:r>
      <w:r>
        <w:t xml:space="preserve"> </w:t>
      </w:r>
      <w:r w:rsidRPr="00FF188C">
        <w:t>Comisión Federal de Telecomunicaciones</w:t>
      </w:r>
      <w:r>
        <w:t>.</w:t>
      </w:r>
    </w:p>
  </w:footnote>
  <w:footnote w:id="5">
    <w:p w:rsidR="002624BF" w:rsidRDefault="002624BF" w:rsidP="00043CDA">
      <w:pPr>
        <w:pStyle w:val="FootnoteText"/>
        <w:jc w:val="left"/>
      </w:pPr>
      <w:r>
        <w:rPr>
          <w:rStyle w:val="FootnoteReference"/>
        </w:rPr>
        <w:footnoteRef/>
      </w:r>
      <w:r>
        <w:t xml:space="preserve"> </w:t>
      </w:r>
      <w:r w:rsidR="00043CDA">
        <w:rPr>
          <w:i/>
        </w:rPr>
        <w:t>Televisa</w:t>
      </w:r>
      <w:r w:rsidRPr="00EF15F5">
        <w:t xml:space="preserve">, On-Scene </w:t>
      </w:r>
      <w:r>
        <w:t>Notice</w:t>
      </w:r>
      <w:r w:rsidRPr="00EF15F5">
        <w:t xml:space="preserve"> of Unlicensed Operation, issued </w:t>
      </w:r>
      <w:r w:rsidR="00043CDA">
        <w:t>Jul</w:t>
      </w:r>
      <w:r w:rsidR="00A703CD">
        <w:t>.</w:t>
      </w:r>
      <w:r w:rsidR="00043CDA">
        <w:t xml:space="preserve"> 7, 2013</w:t>
      </w:r>
      <w:r w:rsidRPr="00EF15F5">
        <w:t xml:space="preserve"> (on file in EB</w:t>
      </w:r>
      <w:r w:rsidR="009E5ECC">
        <w:t>-</w:t>
      </w:r>
      <w:r w:rsidR="00043CDA">
        <w:t>FIELDWR-13-000</w:t>
      </w:r>
      <w:r w:rsidR="00184135">
        <w:t>0</w:t>
      </w:r>
      <w:r w:rsidR="00043CDA">
        <w:t>9879)</w:t>
      </w:r>
      <w:r w:rsidRPr="00EF15F5">
        <w:t xml:space="preserve">.  </w:t>
      </w:r>
    </w:p>
  </w:footnote>
  <w:footnote w:id="6">
    <w:p w:rsidR="002624BF" w:rsidRPr="00780C0F" w:rsidRDefault="002624BF" w:rsidP="002624BF">
      <w:pPr>
        <w:pStyle w:val="FootnoteText"/>
        <w:jc w:val="left"/>
        <w:rPr>
          <w:color w:val="000000"/>
        </w:rPr>
      </w:pPr>
      <w:r w:rsidRPr="00780C0F">
        <w:rPr>
          <w:rStyle w:val="FootnoteReference"/>
          <w:color w:val="000000"/>
        </w:rPr>
        <w:footnoteRef/>
      </w:r>
      <w:r w:rsidRPr="00780C0F">
        <w:rPr>
          <w:color w:val="000000"/>
        </w:rPr>
        <w:t xml:space="preserve"> </w:t>
      </w:r>
      <w:r w:rsidR="00043CDA">
        <w:rPr>
          <w:i/>
        </w:rPr>
        <w:t>Televisa</w:t>
      </w:r>
      <w:r w:rsidR="00043CDA" w:rsidRPr="00EF15F5">
        <w:t xml:space="preserve">, </w:t>
      </w:r>
      <w:r w:rsidR="00043CDA">
        <w:t>Notice</w:t>
      </w:r>
      <w:r w:rsidR="00043CDA" w:rsidRPr="00EF15F5">
        <w:t xml:space="preserve"> of Unlicensed Operation, issued </w:t>
      </w:r>
      <w:r w:rsidR="00043CDA">
        <w:t>Jul</w:t>
      </w:r>
      <w:r w:rsidR="00A703CD">
        <w:t>.</w:t>
      </w:r>
      <w:r w:rsidR="00043CDA">
        <w:t xml:space="preserve"> 11, 2013</w:t>
      </w:r>
      <w:r w:rsidR="00043CDA" w:rsidRPr="00EF15F5">
        <w:t xml:space="preserve"> (on file in EB</w:t>
      </w:r>
      <w:r w:rsidR="009E5ECC">
        <w:t>-</w:t>
      </w:r>
      <w:r w:rsidR="00043CDA">
        <w:t>FIELDWR-13-000</w:t>
      </w:r>
      <w:r w:rsidR="00FC231D">
        <w:t>0</w:t>
      </w:r>
      <w:r w:rsidR="00043CDA">
        <w:t>9879)</w:t>
      </w:r>
      <w:r w:rsidR="00043CDA" w:rsidRPr="00EF15F5">
        <w:t>.</w:t>
      </w:r>
    </w:p>
  </w:footnote>
  <w:footnote w:id="7">
    <w:p w:rsidR="002624BF" w:rsidRPr="005F515C" w:rsidRDefault="002624BF" w:rsidP="008F31E1">
      <w:pPr>
        <w:pStyle w:val="FootnoteText"/>
        <w:jc w:val="left"/>
        <w:rPr>
          <w:color w:val="000000"/>
        </w:rPr>
      </w:pPr>
      <w:r w:rsidRPr="005F515C">
        <w:rPr>
          <w:rStyle w:val="FootnoteReference"/>
          <w:color w:val="000000"/>
        </w:rPr>
        <w:footnoteRef/>
      </w:r>
      <w:r w:rsidRPr="005F515C">
        <w:rPr>
          <w:color w:val="000000"/>
        </w:rPr>
        <w:t xml:space="preserve"> </w:t>
      </w:r>
      <w:r w:rsidRPr="005F515C">
        <w:rPr>
          <w:i/>
          <w:color w:val="000000"/>
        </w:rPr>
        <w:t>S</w:t>
      </w:r>
      <w:r w:rsidRPr="005F515C">
        <w:rPr>
          <w:i/>
          <w:iCs/>
          <w:color w:val="000000"/>
        </w:rPr>
        <w:t>ee</w:t>
      </w:r>
      <w:r w:rsidRPr="005F515C">
        <w:rPr>
          <w:i/>
          <w:color w:val="000000"/>
        </w:rPr>
        <w:t xml:space="preserve"> </w:t>
      </w:r>
      <w:r w:rsidRPr="005F515C">
        <w:rPr>
          <w:color w:val="000000"/>
        </w:rPr>
        <w:t xml:space="preserve">Response to </w:t>
      </w:r>
      <w:r w:rsidR="00043CDA">
        <w:t>Notice</w:t>
      </w:r>
      <w:r w:rsidR="00043CDA" w:rsidRPr="00EF15F5">
        <w:t xml:space="preserve"> of Unlicensed Operation</w:t>
      </w:r>
      <w:r w:rsidR="00043CDA" w:rsidRPr="005F515C">
        <w:rPr>
          <w:color w:val="000000"/>
        </w:rPr>
        <w:t xml:space="preserve"> </w:t>
      </w:r>
      <w:r w:rsidR="00043CDA">
        <w:rPr>
          <w:color w:val="000000"/>
        </w:rPr>
        <w:t>by Televisa S.A. de C.V.</w:t>
      </w:r>
      <w:r w:rsidRPr="005F515C">
        <w:rPr>
          <w:color w:val="000000"/>
        </w:rPr>
        <w:t xml:space="preserve"> </w:t>
      </w:r>
      <w:r w:rsidR="00906C31">
        <w:t>at 1</w:t>
      </w:r>
      <w:r w:rsidR="00906C31">
        <w:rPr>
          <w:color w:val="000000"/>
        </w:rPr>
        <w:t xml:space="preserve"> </w:t>
      </w:r>
      <w:r w:rsidR="008F31E1">
        <w:rPr>
          <w:color w:val="000000"/>
        </w:rPr>
        <w:t>(</w:t>
      </w:r>
      <w:r w:rsidR="008F31E1">
        <w:t>Jul</w:t>
      </w:r>
      <w:r w:rsidR="00A703CD">
        <w:t>.</w:t>
      </w:r>
      <w:r w:rsidR="008F31E1">
        <w:t xml:space="preserve"> 12, 2013)</w:t>
      </w:r>
      <w:r w:rsidR="008F31E1" w:rsidRPr="00EF15F5">
        <w:t xml:space="preserve"> (on file in EB</w:t>
      </w:r>
      <w:r w:rsidR="009E5ECC">
        <w:t>-</w:t>
      </w:r>
      <w:r w:rsidR="008F31E1">
        <w:t>FIELDWR-13-000</w:t>
      </w:r>
      <w:r w:rsidR="00FC231D">
        <w:t>0</w:t>
      </w:r>
      <w:r w:rsidR="008F31E1">
        <w:t>98</w:t>
      </w:r>
      <w:r w:rsidR="00906C31">
        <w:t>15</w:t>
      </w:r>
      <w:r w:rsidR="008F31E1">
        <w:t xml:space="preserve">). </w:t>
      </w:r>
      <w:r w:rsidRPr="005F515C">
        <w:rPr>
          <w:i/>
          <w:color w:val="000000"/>
        </w:rPr>
        <w:t xml:space="preserve"> </w:t>
      </w:r>
      <w:r w:rsidRPr="005F515C">
        <w:rPr>
          <w:color w:val="000000"/>
        </w:rPr>
        <w:t xml:space="preserve"> </w:t>
      </w:r>
    </w:p>
  </w:footnote>
  <w:footnote w:id="8">
    <w:p w:rsidR="008F31E1" w:rsidRDefault="008F31E1" w:rsidP="008F31E1">
      <w:pPr>
        <w:pStyle w:val="FootnoteText"/>
        <w:jc w:val="left"/>
      </w:pPr>
      <w:r>
        <w:rPr>
          <w:rStyle w:val="FootnoteReference"/>
        </w:rPr>
        <w:footnoteRef/>
      </w:r>
      <w:r>
        <w:t xml:space="preserve"> </w:t>
      </w:r>
      <w:r>
        <w:rPr>
          <w:i/>
        </w:rPr>
        <w:t>Televisa</w:t>
      </w:r>
      <w:r w:rsidRPr="00EF15F5">
        <w:t xml:space="preserve">, On-Scene </w:t>
      </w:r>
      <w:r>
        <w:t>Notice</w:t>
      </w:r>
      <w:r w:rsidRPr="00EF15F5">
        <w:t xml:space="preserve"> of Unlicensed Operation, issued </w:t>
      </w:r>
      <w:r>
        <w:t>Jul. 11, 2013</w:t>
      </w:r>
      <w:r w:rsidRPr="00EF15F5">
        <w:t xml:space="preserve"> (on file in EB</w:t>
      </w:r>
      <w:r w:rsidR="009E5ECC">
        <w:t>-</w:t>
      </w:r>
      <w:r>
        <w:t>FIELDWR-13-000</w:t>
      </w:r>
      <w:r w:rsidR="00FC231D">
        <w:t>0</w:t>
      </w:r>
      <w:r>
        <w:t>9881)</w:t>
      </w:r>
      <w:r w:rsidRPr="00EF15F5">
        <w:t xml:space="preserve">. </w:t>
      </w:r>
    </w:p>
  </w:footnote>
  <w:footnote w:id="9">
    <w:p w:rsidR="002624BF" w:rsidRDefault="002624BF" w:rsidP="008F31E1">
      <w:pPr>
        <w:pStyle w:val="FootnoteText"/>
        <w:jc w:val="left"/>
      </w:pPr>
      <w:r>
        <w:rPr>
          <w:rStyle w:val="FootnoteReference"/>
        </w:rPr>
        <w:footnoteRef/>
      </w:r>
      <w:r>
        <w:t xml:space="preserve"> </w:t>
      </w:r>
      <w:r w:rsidR="008F31E1">
        <w:rPr>
          <w:i/>
        </w:rPr>
        <w:t>Televisa</w:t>
      </w:r>
      <w:r w:rsidRPr="00EF15F5">
        <w:t xml:space="preserve">, </w:t>
      </w:r>
      <w:r>
        <w:t>Notice</w:t>
      </w:r>
      <w:r w:rsidRPr="00EF15F5">
        <w:t xml:space="preserve"> of Unlicensed Operation, issued </w:t>
      </w:r>
      <w:r w:rsidR="008F31E1">
        <w:t>Jul. 18, 2013</w:t>
      </w:r>
      <w:r w:rsidRPr="00EF15F5">
        <w:t xml:space="preserve"> (</w:t>
      </w:r>
      <w:r w:rsidR="008F31E1" w:rsidRPr="00EF15F5">
        <w:t>on file in EB</w:t>
      </w:r>
      <w:r w:rsidR="009E5ECC">
        <w:t>-</w:t>
      </w:r>
      <w:r w:rsidR="008F31E1">
        <w:t>FIELDWR-13-000</w:t>
      </w:r>
      <w:r w:rsidR="00FC231D">
        <w:t>0</w:t>
      </w:r>
      <w:r w:rsidR="008F31E1">
        <w:t>9881)</w:t>
      </w:r>
      <w:r w:rsidR="008F31E1" w:rsidRPr="00EF15F5">
        <w:t xml:space="preserve">.  </w:t>
      </w:r>
    </w:p>
  </w:footnote>
  <w:footnote w:id="10">
    <w:p w:rsidR="002624BF" w:rsidRPr="005F515C" w:rsidRDefault="002624BF" w:rsidP="002624BF">
      <w:pPr>
        <w:pStyle w:val="FootnoteText"/>
        <w:jc w:val="left"/>
        <w:rPr>
          <w:color w:val="000000"/>
        </w:rPr>
      </w:pPr>
      <w:r w:rsidRPr="005F515C">
        <w:rPr>
          <w:rStyle w:val="FootnoteReference"/>
          <w:color w:val="000000"/>
        </w:rPr>
        <w:footnoteRef/>
      </w:r>
      <w:r w:rsidRPr="005F515C">
        <w:rPr>
          <w:color w:val="000000"/>
        </w:rPr>
        <w:t xml:space="preserve"> </w:t>
      </w:r>
      <w:r w:rsidR="009E5ECC" w:rsidRPr="005F515C">
        <w:rPr>
          <w:i/>
          <w:color w:val="000000"/>
        </w:rPr>
        <w:t>S</w:t>
      </w:r>
      <w:r w:rsidR="009E5ECC" w:rsidRPr="005F515C">
        <w:rPr>
          <w:i/>
          <w:iCs/>
          <w:color w:val="000000"/>
        </w:rPr>
        <w:t>ee</w:t>
      </w:r>
      <w:r w:rsidR="009E5ECC" w:rsidRPr="005F515C">
        <w:rPr>
          <w:i/>
          <w:color w:val="000000"/>
        </w:rPr>
        <w:t xml:space="preserve"> </w:t>
      </w:r>
      <w:r w:rsidR="009E5ECC" w:rsidRPr="005F515C">
        <w:rPr>
          <w:color w:val="000000"/>
        </w:rPr>
        <w:t xml:space="preserve">Response to </w:t>
      </w:r>
      <w:r w:rsidR="009E5ECC">
        <w:t>Notice</w:t>
      </w:r>
      <w:r w:rsidR="009E5ECC" w:rsidRPr="00EF15F5">
        <w:t xml:space="preserve"> of Unlicensed Operation</w:t>
      </w:r>
      <w:r w:rsidR="009E5ECC" w:rsidRPr="005F515C">
        <w:rPr>
          <w:color w:val="000000"/>
        </w:rPr>
        <w:t xml:space="preserve"> </w:t>
      </w:r>
      <w:r w:rsidR="009E5ECC">
        <w:rPr>
          <w:color w:val="000000"/>
        </w:rPr>
        <w:t>by Televisa S.A. de C.V.</w:t>
      </w:r>
      <w:r w:rsidR="009E5ECC" w:rsidRPr="005F515C">
        <w:rPr>
          <w:color w:val="000000"/>
        </w:rPr>
        <w:t xml:space="preserve"> </w:t>
      </w:r>
      <w:r w:rsidR="00906C31">
        <w:t>at 1</w:t>
      </w:r>
      <w:r w:rsidR="00906C31">
        <w:rPr>
          <w:color w:val="000000"/>
        </w:rPr>
        <w:t xml:space="preserve"> </w:t>
      </w:r>
      <w:r w:rsidR="009E5ECC">
        <w:rPr>
          <w:color w:val="000000"/>
        </w:rPr>
        <w:t>(</w:t>
      </w:r>
      <w:r w:rsidR="009E5ECC">
        <w:t>Jul</w:t>
      </w:r>
      <w:r w:rsidR="008F2382">
        <w:t>.</w:t>
      </w:r>
      <w:r w:rsidR="009E5ECC">
        <w:t xml:space="preserve"> 12, 2013)</w:t>
      </w:r>
      <w:r w:rsidR="009E5ECC" w:rsidRPr="00EF15F5">
        <w:t xml:space="preserve"> (on file in EB</w:t>
      </w:r>
      <w:r w:rsidR="009E5ECC">
        <w:t>-FIELDWR-13-000</w:t>
      </w:r>
      <w:r w:rsidR="00FC231D">
        <w:t>0</w:t>
      </w:r>
      <w:r w:rsidR="009E5ECC">
        <w:t xml:space="preserve">9881). </w:t>
      </w:r>
      <w:r w:rsidR="009E5ECC" w:rsidRPr="005F515C">
        <w:rPr>
          <w:i/>
          <w:color w:val="000000"/>
        </w:rPr>
        <w:t xml:space="preserve"> </w:t>
      </w:r>
      <w:r w:rsidR="009E5ECC" w:rsidRPr="005F515C">
        <w:rPr>
          <w:color w:val="000000"/>
        </w:rPr>
        <w:t xml:space="preserve"> </w:t>
      </w:r>
      <w:r w:rsidRPr="005F515C">
        <w:rPr>
          <w:color w:val="000000"/>
        </w:rPr>
        <w:t xml:space="preserve"> </w:t>
      </w:r>
    </w:p>
  </w:footnote>
  <w:footnote w:id="11">
    <w:p w:rsidR="009E5ECC" w:rsidRPr="009E5ECC" w:rsidRDefault="009E5ECC">
      <w:pPr>
        <w:pStyle w:val="FootnoteText"/>
      </w:pPr>
      <w:r>
        <w:rPr>
          <w:rStyle w:val="FootnoteReference"/>
        </w:rPr>
        <w:footnoteRef/>
      </w:r>
      <w:r>
        <w:t xml:space="preserve"> </w:t>
      </w:r>
      <w:r>
        <w:rPr>
          <w:i/>
        </w:rPr>
        <w:t xml:space="preserve">See </w:t>
      </w:r>
      <w:r w:rsidR="00B47DC1">
        <w:t xml:space="preserve">IBFS </w:t>
      </w:r>
      <w:r>
        <w:t>File No. SES-LIC-20130715-00587, granted Sep. 9, 2013.</w:t>
      </w:r>
    </w:p>
  </w:footnote>
  <w:footnote w:id="12">
    <w:p w:rsidR="00E17995" w:rsidRDefault="00E17995" w:rsidP="00392E9B">
      <w:pPr>
        <w:pStyle w:val="FootnoteText"/>
        <w:jc w:val="left"/>
      </w:pPr>
      <w:r>
        <w:rPr>
          <w:rStyle w:val="FootnoteReference"/>
        </w:rPr>
        <w:footnoteRef/>
      </w:r>
      <w:r>
        <w:t xml:space="preserve"> 47 U.S.C. § 503(b).</w:t>
      </w:r>
    </w:p>
  </w:footnote>
  <w:footnote w:id="13">
    <w:p w:rsidR="00E17995" w:rsidRDefault="00E17995" w:rsidP="00392E9B">
      <w:pPr>
        <w:pStyle w:val="FootnoteText"/>
        <w:widowControl/>
        <w:jc w:val="left"/>
      </w:pPr>
      <w:r>
        <w:rPr>
          <w:rStyle w:val="FootnoteReference"/>
        </w:rPr>
        <w:footnoteRef/>
      </w:r>
      <w:r>
        <w:t xml:space="preserve"> 47 U.S.C. § 312(f)(1).</w:t>
      </w:r>
    </w:p>
  </w:footnote>
  <w:footnote w:id="14">
    <w:p w:rsidR="00E17995" w:rsidRDefault="00E17995" w:rsidP="00392E9B">
      <w:pPr>
        <w:pStyle w:val="FootnoteText"/>
        <w:jc w:val="left"/>
      </w:pPr>
      <w:r>
        <w:rPr>
          <w:rStyle w:val="FootnoteReference"/>
        </w:rPr>
        <w:footnoteRef/>
      </w:r>
      <w:r>
        <w:t xml:space="preserve"> </w:t>
      </w:r>
      <w:r w:rsidRPr="00811CB2">
        <w:t>H.R. Rep. No. 97-765, 97</w:t>
      </w:r>
      <w:r w:rsidRPr="00811CB2">
        <w:rPr>
          <w:vertAlign w:val="superscript"/>
        </w:rPr>
        <w:t>th</w:t>
      </w:r>
      <w:r w:rsidRPr="00811CB2">
        <w:t xml:space="preserve"> Cong. 2d Sess. 51 (1982) (“</w:t>
      </w:r>
      <w:r w:rsidRPr="00811CB2">
        <w:rPr>
          <w:rStyle w:val="documentbody"/>
        </w:rPr>
        <w:t xml:space="preserve">This provision [inserted in Section 312] defines the terms ‘willful’ and ‘repeated’ for purposes of section </w:t>
      </w:r>
      <w:r w:rsidRPr="00811CB2">
        <w:rPr>
          <w:rStyle w:val="searchterm"/>
        </w:rPr>
        <w:t>312</w:t>
      </w:r>
      <w:r w:rsidRPr="00811CB2">
        <w:rPr>
          <w:rStyle w:val="documentbody"/>
        </w:rPr>
        <w:t>, and for any other relevant section of the act (e.g., Section 503)</w:t>
      </w:r>
      <w:r>
        <w:rPr>
          <w:rStyle w:val="documentbody"/>
        </w:rPr>
        <w:t xml:space="preserve">   . . . .</w:t>
      </w:r>
      <w:r w:rsidRPr="00811CB2">
        <w:rPr>
          <w:rStyle w:val="documentbody"/>
        </w:rPr>
        <w:t xml:space="preserve">  As defined</w:t>
      </w:r>
      <w:r>
        <w:rPr>
          <w:rStyle w:val="documentbody"/>
        </w:rPr>
        <w:t xml:space="preserve">[,] . . . </w:t>
      </w:r>
      <w:r w:rsidRPr="00811CB2">
        <w:rPr>
          <w:rStyle w:val="documentbody"/>
        </w:rPr>
        <w:t xml:space="preserve">‘willful’ means that the licensee knew that he was doing the act in question, regardless of whether there was an intent to violate the law.  ‘Repeated’ means more than once, or where the act is continuous, for more than one day. </w:t>
      </w:r>
      <w:r>
        <w:rPr>
          <w:rStyle w:val="documentbody"/>
        </w:rPr>
        <w:t xml:space="preserve"> </w:t>
      </w:r>
      <w:r w:rsidRPr="00811CB2">
        <w:rPr>
          <w:rStyle w:val="documentbody"/>
        </w:rPr>
        <w:t xml:space="preserve">Whether an act is considered to be ‘continuous’ would depend upon the circumstances in each case. </w:t>
      </w:r>
      <w:r>
        <w:rPr>
          <w:rStyle w:val="documentbody"/>
        </w:rPr>
        <w:t xml:space="preserve"> </w:t>
      </w:r>
      <w:r w:rsidRPr="00811CB2">
        <w:rPr>
          <w:rStyle w:val="documentbody"/>
        </w:rPr>
        <w:t xml:space="preserve">The definitions are intended primarily to clarify the language in Sections </w:t>
      </w:r>
      <w:r w:rsidRPr="00811CB2">
        <w:rPr>
          <w:rStyle w:val="searchterm"/>
        </w:rPr>
        <w:t>312</w:t>
      </w:r>
      <w:r w:rsidRPr="00811CB2">
        <w:rPr>
          <w:rStyle w:val="documentbody"/>
        </w:rPr>
        <w:t xml:space="preserve"> and 503, and are consistent with the Commission’s application of those terms</w:t>
      </w:r>
      <w:r>
        <w:rPr>
          <w:rStyle w:val="documentbody"/>
        </w:rPr>
        <w:t xml:space="preserve"> . . . .</w:t>
      </w:r>
      <w:r w:rsidRPr="00811CB2">
        <w:rPr>
          <w:rStyle w:val="documentbody"/>
        </w:rPr>
        <w:t>”).</w:t>
      </w:r>
    </w:p>
  </w:footnote>
  <w:footnote w:id="15">
    <w:p w:rsidR="00E17995" w:rsidRPr="00484313" w:rsidRDefault="00E17995" w:rsidP="00392E9B">
      <w:pPr>
        <w:pStyle w:val="FootnoteText"/>
        <w:jc w:val="left"/>
      </w:pPr>
      <w:r>
        <w:rPr>
          <w:rStyle w:val="FootnoteReference"/>
        </w:rPr>
        <w:footnoteRef/>
      </w:r>
      <w:r>
        <w:t xml:space="preserve"> </w:t>
      </w:r>
      <w:r>
        <w:rPr>
          <w:i/>
        </w:rPr>
        <w:t>See, e.g.</w:t>
      </w:r>
      <w:r w:rsidR="00906C31">
        <w:t>,</w:t>
      </w:r>
      <w:r>
        <w:rPr>
          <w:i/>
        </w:rPr>
        <w:t xml:space="preserve"> Southern California Broadcasting Co.</w:t>
      </w:r>
      <w:r>
        <w:t>, Memorandum Opinion and Order, 6 FCC Rcd 4387, 4388</w:t>
      </w:r>
      <w:r w:rsidR="00906C31">
        <w:t>, para. 5</w:t>
      </w:r>
      <w:r>
        <w:t xml:space="preserve"> (1991), </w:t>
      </w:r>
      <w:r>
        <w:rPr>
          <w:i/>
        </w:rPr>
        <w:t>recons. denied</w:t>
      </w:r>
      <w:r w:rsidR="00906C31">
        <w:t>,</w:t>
      </w:r>
      <w:r>
        <w:rPr>
          <w:i/>
        </w:rPr>
        <w:t xml:space="preserve"> </w:t>
      </w:r>
      <w:r>
        <w:t>7 FCC Rcd 3454 (1992).</w:t>
      </w:r>
    </w:p>
  </w:footnote>
  <w:footnote w:id="16">
    <w:p w:rsidR="00E17995" w:rsidRDefault="00E17995" w:rsidP="00392E9B">
      <w:pPr>
        <w:pStyle w:val="FootnoteText"/>
        <w:jc w:val="left"/>
      </w:pPr>
      <w:r>
        <w:rPr>
          <w:rStyle w:val="FootnoteReference"/>
        </w:rPr>
        <w:footnoteRef/>
      </w:r>
      <w:r>
        <w:t xml:space="preserve"> </w:t>
      </w:r>
      <w:r>
        <w:rPr>
          <w:i/>
        </w:rPr>
        <w:t>See, e.g.</w:t>
      </w:r>
      <w:r w:rsidR="00906C31">
        <w:t>,</w:t>
      </w:r>
      <w:r>
        <w:t xml:space="preserve"> </w:t>
      </w:r>
      <w:r>
        <w:rPr>
          <w:i/>
        </w:rPr>
        <w:t>Callais Cablevision, Inc.</w:t>
      </w:r>
      <w:r>
        <w:t>, Notice of Apparent Liability for Monetary Forfeiture, 16 FCC Rcd 1359, 1362, para. 10 (2001) (</w:t>
      </w:r>
      <w:r>
        <w:rPr>
          <w:i/>
        </w:rPr>
        <w:t>Callais Cablevision, Inc.</w:t>
      </w:r>
      <w:r>
        <w:t xml:space="preserve">) (proposing a forfeiture for, </w:t>
      </w:r>
      <w:r>
        <w:rPr>
          <w:i/>
        </w:rPr>
        <w:t>inter alia</w:t>
      </w:r>
      <w:r>
        <w:t xml:space="preserve">, a cable television operator’s repeated signal leakage). </w:t>
      </w:r>
    </w:p>
  </w:footnote>
  <w:footnote w:id="17">
    <w:p w:rsidR="00E17995" w:rsidRDefault="00E17995" w:rsidP="00392E9B">
      <w:pPr>
        <w:pStyle w:val="FootnoteText"/>
        <w:jc w:val="left"/>
      </w:pPr>
      <w:r>
        <w:rPr>
          <w:rStyle w:val="FootnoteReference"/>
        </w:rPr>
        <w:footnoteRef/>
      </w:r>
      <w:r>
        <w:t xml:space="preserve"> Section 312(f)(2) of the Act, 47 U.S.C. § 312(f)(2), which also applies to violations for which forfeitures are assessed under Section 503(b) of the Act, provides that “[t]he term </w:t>
      </w:r>
      <w:r w:rsidR="00906C31">
        <w:t>‘</w:t>
      </w:r>
      <w:r>
        <w:t>repeated</w:t>
      </w:r>
      <w:r w:rsidR="00906C31">
        <w:t>’</w:t>
      </w:r>
      <w:r>
        <w:t xml:space="preserve">, when used with reference to the commission or omission of any act, means the commission or omission of such act more than once or, if such commission or omission is continuous, for more than one day.”  </w:t>
      </w:r>
      <w:r>
        <w:rPr>
          <w:i/>
        </w:rPr>
        <w:t>See Callais Cablevision, Inc.</w:t>
      </w:r>
      <w:r>
        <w:t>, 16 FCC Rcd</w:t>
      </w:r>
      <w:r>
        <w:rPr>
          <w:i/>
        </w:rPr>
        <w:t xml:space="preserve"> </w:t>
      </w:r>
      <w:r>
        <w:t>at 1362</w:t>
      </w:r>
      <w:r w:rsidR="00906C31">
        <w:t>, para. 9</w:t>
      </w:r>
      <w:r>
        <w:t xml:space="preserve">. </w:t>
      </w:r>
    </w:p>
  </w:footnote>
  <w:footnote w:id="18">
    <w:p w:rsidR="00906C31" w:rsidRDefault="00906C31" w:rsidP="00906C31">
      <w:pPr>
        <w:pStyle w:val="FootnoteText"/>
        <w:jc w:val="left"/>
      </w:pPr>
      <w:r>
        <w:rPr>
          <w:rStyle w:val="FootnoteReference"/>
        </w:rPr>
        <w:footnoteRef/>
      </w:r>
      <w:r>
        <w:t xml:space="preserve"> 47 U.S.C. § 301.</w:t>
      </w:r>
    </w:p>
  </w:footnote>
  <w:footnote w:id="19">
    <w:p w:rsidR="00906C31" w:rsidRDefault="00906C31">
      <w:pPr>
        <w:pStyle w:val="FootnoteText"/>
      </w:pPr>
      <w:r>
        <w:rPr>
          <w:rStyle w:val="FootnoteReference"/>
        </w:rPr>
        <w:footnoteRef/>
      </w:r>
      <w:r>
        <w:t xml:space="preserve"> 47 C.F.R. § 25.102(a).</w:t>
      </w:r>
    </w:p>
  </w:footnote>
  <w:footnote w:id="20">
    <w:p w:rsidR="00E17995" w:rsidRPr="0042154E" w:rsidRDefault="00E17995" w:rsidP="00392E9B">
      <w:pPr>
        <w:pStyle w:val="FootnoteText"/>
        <w:jc w:val="left"/>
        <w:rPr>
          <w:i/>
          <w:color w:val="000000"/>
        </w:rPr>
      </w:pPr>
      <w:r w:rsidRPr="00C52D89">
        <w:rPr>
          <w:rStyle w:val="FootnoteReference"/>
          <w:color w:val="000000"/>
        </w:rPr>
        <w:footnoteRef/>
      </w:r>
      <w:r w:rsidRPr="00C52D89">
        <w:rPr>
          <w:color w:val="000000"/>
        </w:rPr>
        <w:t xml:space="preserve"> </w:t>
      </w:r>
      <w:r w:rsidRPr="00C52D89">
        <w:rPr>
          <w:i/>
          <w:color w:val="000000"/>
        </w:rPr>
        <w:t>The Commission’s Forfeiture Policy Statement and Amendment of Section 1.80 of the Rules to Incorporate the Forfeiture Guidelines</w:t>
      </w:r>
      <w:r w:rsidRPr="00C52D89">
        <w:rPr>
          <w:color w:val="000000"/>
        </w:rPr>
        <w:t>, Report and Order, 12 FCC Rcd 17087 (1997) (</w:t>
      </w:r>
      <w:r w:rsidRPr="00C52D89">
        <w:rPr>
          <w:i/>
          <w:color w:val="000000"/>
        </w:rPr>
        <w:t>Forfeiture Policy Statement</w:t>
      </w:r>
      <w:r w:rsidRPr="00C52D89">
        <w:rPr>
          <w:color w:val="000000"/>
        </w:rPr>
        <w:t xml:space="preserve">), </w:t>
      </w:r>
      <w:r w:rsidRPr="00C52D89">
        <w:rPr>
          <w:i/>
          <w:color w:val="000000"/>
        </w:rPr>
        <w:t>recons. denied</w:t>
      </w:r>
      <w:r w:rsidRPr="00C52D89">
        <w:rPr>
          <w:color w:val="000000"/>
        </w:rPr>
        <w:t>, 15 FCC Rcd 303 (1999); 47 C.F.R. § 1.80.</w:t>
      </w:r>
    </w:p>
  </w:footnote>
  <w:footnote w:id="21">
    <w:p w:rsidR="00E17995" w:rsidRDefault="00E17995" w:rsidP="00392E9B">
      <w:pPr>
        <w:pStyle w:val="FootnoteText"/>
        <w:jc w:val="left"/>
      </w:pPr>
      <w:r>
        <w:rPr>
          <w:rStyle w:val="FootnoteReference"/>
        </w:rPr>
        <w:footnoteRef/>
      </w:r>
      <w:r>
        <w:t xml:space="preserve"> 47 U.S.C. § 503(b)(2)(E).</w:t>
      </w:r>
    </w:p>
  </w:footnote>
  <w:footnote w:id="22">
    <w:p w:rsidR="00392E9B" w:rsidRDefault="00392E9B" w:rsidP="00392E9B">
      <w:pPr>
        <w:pStyle w:val="FootnoteText"/>
        <w:jc w:val="left"/>
      </w:pPr>
      <w:r>
        <w:rPr>
          <w:rStyle w:val="FootnoteReference"/>
        </w:rPr>
        <w:footnoteRef/>
      </w:r>
      <w:r>
        <w:t xml:space="preserve"> Televisa reported operating revenues of approximately $5</w:t>
      </w:r>
      <w:r w:rsidR="00906C31">
        <w:t>.3 billion</w:t>
      </w:r>
      <w:r>
        <w:t xml:space="preserve"> for 2012.  </w:t>
      </w:r>
      <w:r>
        <w:rPr>
          <w:i/>
        </w:rPr>
        <w:t xml:space="preserve">See </w:t>
      </w:r>
      <w:r>
        <w:t xml:space="preserve"> </w:t>
      </w:r>
      <w:r w:rsidRPr="00D470B8">
        <w:t>http://finance.yahoo.com/q/is?s=TV+Income+Statement&amp;annual</w:t>
      </w:r>
      <w:r>
        <w:t xml:space="preserve"> (last visited Jan</w:t>
      </w:r>
      <w:r w:rsidR="00D0419A">
        <w:t xml:space="preserve">. </w:t>
      </w:r>
      <w:r>
        <w:t>14, 2014).</w:t>
      </w:r>
      <w:r w:rsidR="00E14B64">
        <w:t xml:space="preserve"> </w:t>
      </w:r>
    </w:p>
  </w:footnote>
  <w:footnote w:id="23">
    <w:p w:rsidR="00392E9B" w:rsidRDefault="00392E9B" w:rsidP="00392E9B">
      <w:pPr>
        <w:pStyle w:val="FootnoteText"/>
        <w:jc w:val="left"/>
      </w:pPr>
      <w:r>
        <w:rPr>
          <w:rStyle w:val="FootnoteReference"/>
        </w:rPr>
        <w:footnoteRef/>
      </w:r>
      <w:r>
        <w:t xml:space="preserve"> </w:t>
      </w:r>
      <w:r w:rsidRPr="0025429B">
        <w:rPr>
          <w:i/>
        </w:rPr>
        <w:t>Forfeiture Policy Statement</w:t>
      </w:r>
      <w:r w:rsidRPr="0025429B">
        <w:t>, 12 FCC Rcd at 17099</w:t>
      </w:r>
      <w:r w:rsidR="00906C31">
        <w:t>–</w:t>
      </w:r>
      <w:r w:rsidRPr="0025429B">
        <w:t>100, paras. 23</w:t>
      </w:r>
      <w:r w:rsidR="00906C31">
        <w:t>–</w:t>
      </w:r>
      <w:r w:rsidRPr="0025429B">
        <w:t>24</w:t>
      </w:r>
      <w:r w:rsidR="00906C31">
        <w:t xml:space="preserve">; </w:t>
      </w:r>
      <w:r w:rsidR="00906C31">
        <w:rPr>
          <w:i/>
        </w:rPr>
        <w:t>see, e.g.</w:t>
      </w:r>
      <w:r w:rsidR="00906C31">
        <w:t>,</w:t>
      </w:r>
      <w:r w:rsidRPr="0025429B">
        <w:t xml:space="preserve"> </w:t>
      </w:r>
      <w:r w:rsidRPr="0025429B">
        <w:rPr>
          <w:i/>
        </w:rPr>
        <w:t>Google Inc.</w:t>
      </w:r>
      <w:r w:rsidRPr="0025429B">
        <w:t>, Notice of Apparent Liability for Forfeiture, 27 FCC Rcd 4012 (Enf. Bur. 2012) (upwardly adjusting the base forfeiture due to the deliberate nature o</w:t>
      </w:r>
      <w:r>
        <w:t>f the violation and the company’</w:t>
      </w:r>
      <w:r w:rsidRPr="0025429B">
        <w:t xml:space="preserve">s gross revenues); </w:t>
      </w:r>
      <w:r w:rsidRPr="0025429B">
        <w:rPr>
          <w:i/>
        </w:rPr>
        <w:t>America Movil, S.A.B. de C.V., Parent of Puerto Rico Telephone Company, Inc.</w:t>
      </w:r>
      <w:r w:rsidRPr="0025429B">
        <w:t>, Notice of Apparent Liability for Forfeiture, 26 FCC Rcd 8672 (Enf. Bur. 2011) (doubling the bas</w:t>
      </w:r>
      <w:r>
        <w:t>e forfeiture due to the company’</w:t>
      </w:r>
      <w:r w:rsidRPr="0025429B">
        <w:t xml:space="preserve">s size and gross revenues); </w:t>
      </w:r>
      <w:r w:rsidRPr="00EA6D11">
        <w:rPr>
          <w:i/>
        </w:rPr>
        <w:t>Fox Television Stations Inc.</w:t>
      </w:r>
      <w:r w:rsidRPr="0025429B">
        <w:t>, Notice of Apparent Liability for Forfeiture, 25 FCC Rcd 7074 (Enf. Bur. 2010) (upwardly adjusting the base forfeiture based on the egregiousness o</w:t>
      </w:r>
      <w:r>
        <w:t>f the violation and the company’</w:t>
      </w:r>
      <w:r w:rsidRPr="0025429B">
        <w:t>s substantial revenues).</w:t>
      </w:r>
    </w:p>
  </w:footnote>
  <w:footnote w:id="24">
    <w:p w:rsidR="00E17995" w:rsidRPr="006740E7" w:rsidRDefault="00E17995" w:rsidP="00392E9B">
      <w:pPr>
        <w:pStyle w:val="FootnoteText"/>
        <w:jc w:val="left"/>
        <w:rPr>
          <w:color w:val="000000"/>
        </w:rPr>
      </w:pPr>
      <w:r>
        <w:rPr>
          <w:rStyle w:val="FootnoteReference"/>
        </w:rPr>
        <w:footnoteRef/>
      </w:r>
      <w:r>
        <w:t xml:space="preserve"> 47 U.S.C. §</w:t>
      </w:r>
      <w:r w:rsidR="00906C31">
        <w:t>§ 301,</w:t>
      </w:r>
      <w:r>
        <w:t xml:space="preserve"> 503(b); 47 C.F.R. §§ 0.111, 0.204, 0.311, 0.314</w:t>
      </w:r>
      <w:r w:rsidRPr="006740E7">
        <w:rPr>
          <w:color w:val="000000"/>
        </w:rPr>
        <w:t xml:space="preserve">, 1.80, </w:t>
      </w:r>
      <w:r>
        <w:rPr>
          <w:color w:val="000000"/>
        </w:rPr>
        <w:t>25</w:t>
      </w:r>
      <w:r w:rsidRPr="006740E7">
        <w:rPr>
          <w:color w:val="000000"/>
        </w:rPr>
        <w:t>.</w:t>
      </w:r>
      <w:r>
        <w:rPr>
          <w:color w:val="000000"/>
        </w:rPr>
        <w:t>102(a)</w:t>
      </w:r>
      <w:r w:rsidRPr="006740E7">
        <w:rPr>
          <w:color w:val="000000"/>
        </w:rPr>
        <w:t>.</w:t>
      </w:r>
    </w:p>
  </w:footnote>
  <w:footnote w:id="25">
    <w:p w:rsidR="00E17995" w:rsidRDefault="00E17995" w:rsidP="00392E9B">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26">
    <w:p w:rsidR="00E17995" w:rsidRDefault="00E17995" w:rsidP="00392E9B">
      <w:pPr>
        <w:pStyle w:val="FootnoteText"/>
        <w:jc w:val="left"/>
      </w:pPr>
      <w:r>
        <w:rPr>
          <w:rStyle w:val="FootnoteReference"/>
        </w:rPr>
        <w:footnoteRef/>
      </w:r>
      <w:r>
        <w:t xml:space="preserve"> </w:t>
      </w:r>
      <w:r w:rsidRPr="00D70F1F">
        <w:rPr>
          <w:i/>
        </w:rPr>
        <w:t>See</w:t>
      </w:r>
      <w:r>
        <w:t xml:space="preserve"> 47 C.F.R. § 1.1914.</w:t>
      </w:r>
    </w:p>
  </w:footnote>
  <w:footnote w:id="27">
    <w:p w:rsidR="00E17995" w:rsidRDefault="00E17995" w:rsidP="00392E9B">
      <w:pPr>
        <w:pStyle w:val="FootnoteText"/>
        <w:jc w:val="lef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9B" w:rsidRDefault="00713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95" w:rsidRPr="00331410" w:rsidRDefault="00E17995">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w:t>
    </w:r>
    <w:r w:rsidR="000473C9">
      <w:rPr>
        <w:b/>
        <w:sz w:val="22"/>
        <w:szCs w:val="22"/>
      </w:rPr>
      <w:t xml:space="preserve"> 14-</w:t>
    </w:r>
    <w:r w:rsidR="007C5AC7">
      <w:rPr>
        <w:b/>
        <w:sz w:val="22"/>
        <w:szCs w:val="22"/>
      </w:rPr>
      <w:t>652</w:t>
    </w:r>
    <w:r>
      <w:rPr>
        <w:b/>
        <w:sz w:val="22"/>
        <w:szCs w:val="22"/>
      </w:rPr>
      <w:t xml:space="preserve"> </w:t>
    </w:r>
  </w:p>
  <w:p w:rsidR="00E17995" w:rsidRDefault="00B14AB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4F1BE3C" wp14:editId="391BC1C3">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E17995" w:rsidRDefault="00E17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95" w:rsidRPr="00331410" w:rsidRDefault="00E17995">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w:t>
    </w:r>
    <w:r w:rsidR="00CF0047">
      <w:rPr>
        <w:b/>
        <w:sz w:val="22"/>
        <w:szCs w:val="22"/>
      </w:rPr>
      <w:t xml:space="preserve"> </w:t>
    </w:r>
    <w:r w:rsidR="000473C9">
      <w:rPr>
        <w:b/>
        <w:sz w:val="22"/>
        <w:szCs w:val="22"/>
      </w:rPr>
      <w:t>14-</w:t>
    </w:r>
    <w:r w:rsidR="007C5AC7">
      <w:rPr>
        <w:b/>
        <w:sz w:val="22"/>
        <w:szCs w:val="22"/>
      </w:rPr>
      <w:t>652</w:t>
    </w:r>
    <w:r>
      <w:rPr>
        <w:b/>
        <w:sz w:val="22"/>
        <w:szCs w:val="22"/>
      </w:rPr>
      <w:t xml:space="preserve"> </w:t>
    </w:r>
  </w:p>
  <w:p w:rsidR="00E17995" w:rsidRDefault="00B14AB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A012094"/>
    <w:multiLevelType w:val="multilevel"/>
    <w:tmpl w:val="27C657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4"/>
  </w:num>
  <w:num w:numId="4">
    <w:abstractNumId w:val="20"/>
  </w:num>
  <w:num w:numId="5">
    <w:abstractNumId w:val="5"/>
  </w:num>
  <w:num w:numId="6">
    <w:abstractNumId w:val="24"/>
  </w:num>
  <w:num w:numId="7">
    <w:abstractNumId w:val="17"/>
  </w:num>
  <w:num w:numId="8">
    <w:abstractNumId w:val="6"/>
  </w:num>
  <w:num w:numId="9">
    <w:abstractNumId w:val="22"/>
  </w:num>
  <w:num w:numId="10">
    <w:abstractNumId w:val="12"/>
  </w:num>
  <w:num w:numId="11">
    <w:abstractNumId w:val="10"/>
  </w:num>
  <w:num w:numId="12">
    <w:abstractNumId w:val="7"/>
  </w:num>
  <w:num w:numId="13">
    <w:abstractNumId w:val="14"/>
  </w:num>
  <w:num w:numId="14">
    <w:abstractNumId w:val="21"/>
  </w:num>
  <w:num w:numId="15">
    <w:abstractNumId w:val="2"/>
  </w:num>
  <w:num w:numId="16">
    <w:abstractNumId w:val="3"/>
  </w:num>
  <w:num w:numId="17">
    <w:abstractNumId w:val="8"/>
  </w:num>
  <w:num w:numId="18">
    <w:abstractNumId w:val="0"/>
  </w:num>
  <w:num w:numId="19">
    <w:abstractNumId w:val="9"/>
  </w:num>
  <w:num w:numId="20">
    <w:abstractNumId w:val="18"/>
  </w:num>
  <w:num w:numId="21">
    <w:abstractNumId w:val="19"/>
  </w:num>
  <w:num w:numId="22">
    <w:abstractNumId w:val="16"/>
  </w:num>
  <w:num w:numId="23">
    <w:abstractNumId w:val="11"/>
  </w:num>
  <w:num w:numId="24">
    <w:abstractNumId w:val="25"/>
  </w:num>
  <w:num w:numId="25">
    <w:abstractNumId w:val="13"/>
  </w:num>
  <w:num w:numId="26">
    <w:abstractNumId w:val="15"/>
  </w:num>
  <w:num w:numId="27">
    <w:abstractNumId w:val="1"/>
  </w:num>
  <w:num w:numId="28">
    <w:abstractNumId w:val="14"/>
  </w:num>
  <w:num w:numId="29">
    <w:abstractNumId w:val="14"/>
  </w:num>
  <w:num w:numId="30">
    <w:abstractNumId w:val="14"/>
  </w:num>
  <w:num w:numId="31">
    <w:abstractNumId w:val="23"/>
  </w:num>
  <w:num w:numId="32">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04AD8"/>
    <w:rsid w:val="00013E2F"/>
    <w:rsid w:val="00013FA9"/>
    <w:rsid w:val="00015CDA"/>
    <w:rsid w:val="00017BA4"/>
    <w:rsid w:val="00017CDA"/>
    <w:rsid w:val="00021A53"/>
    <w:rsid w:val="00022679"/>
    <w:rsid w:val="00037295"/>
    <w:rsid w:val="00042647"/>
    <w:rsid w:val="00043CDA"/>
    <w:rsid w:val="000473C9"/>
    <w:rsid w:val="00050854"/>
    <w:rsid w:val="000508C6"/>
    <w:rsid w:val="000652AC"/>
    <w:rsid w:val="000658E5"/>
    <w:rsid w:val="000667C9"/>
    <w:rsid w:val="00071484"/>
    <w:rsid w:val="00077F92"/>
    <w:rsid w:val="000875B1"/>
    <w:rsid w:val="000A04A4"/>
    <w:rsid w:val="000A0EEE"/>
    <w:rsid w:val="000A5360"/>
    <w:rsid w:val="000A5F92"/>
    <w:rsid w:val="000A71AC"/>
    <w:rsid w:val="000A73C9"/>
    <w:rsid w:val="000B3C45"/>
    <w:rsid w:val="000D1F80"/>
    <w:rsid w:val="000E0451"/>
    <w:rsid w:val="000E2560"/>
    <w:rsid w:val="00105973"/>
    <w:rsid w:val="00106351"/>
    <w:rsid w:val="0011114B"/>
    <w:rsid w:val="0011170C"/>
    <w:rsid w:val="00114BB5"/>
    <w:rsid w:val="00120233"/>
    <w:rsid w:val="001253C3"/>
    <w:rsid w:val="00125A4D"/>
    <w:rsid w:val="001315C2"/>
    <w:rsid w:val="00133F23"/>
    <w:rsid w:val="001367F0"/>
    <w:rsid w:val="00136E99"/>
    <w:rsid w:val="00145224"/>
    <w:rsid w:val="001526A2"/>
    <w:rsid w:val="00154417"/>
    <w:rsid w:val="001665F5"/>
    <w:rsid w:val="00174A12"/>
    <w:rsid w:val="00175E71"/>
    <w:rsid w:val="00177A93"/>
    <w:rsid w:val="00184135"/>
    <w:rsid w:val="001850E7"/>
    <w:rsid w:val="00190523"/>
    <w:rsid w:val="00191E1C"/>
    <w:rsid w:val="0019449E"/>
    <w:rsid w:val="001B0EF5"/>
    <w:rsid w:val="001B46F9"/>
    <w:rsid w:val="001C0B1F"/>
    <w:rsid w:val="001D4BC6"/>
    <w:rsid w:val="001E2A65"/>
    <w:rsid w:val="001E2BC5"/>
    <w:rsid w:val="001E5908"/>
    <w:rsid w:val="001F566B"/>
    <w:rsid w:val="00211D85"/>
    <w:rsid w:val="00215032"/>
    <w:rsid w:val="00215589"/>
    <w:rsid w:val="00227282"/>
    <w:rsid w:val="00234BAC"/>
    <w:rsid w:val="00237F81"/>
    <w:rsid w:val="00243A8B"/>
    <w:rsid w:val="002511FB"/>
    <w:rsid w:val="00251F44"/>
    <w:rsid w:val="00255DC5"/>
    <w:rsid w:val="00256422"/>
    <w:rsid w:val="00260C08"/>
    <w:rsid w:val="002624BF"/>
    <w:rsid w:val="00267DE9"/>
    <w:rsid w:val="00272707"/>
    <w:rsid w:val="00274FC3"/>
    <w:rsid w:val="00286EDC"/>
    <w:rsid w:val="00292FDF"/>
    <w:rsid w:val="00294EED"/>
    <w:rsid w:val="002A732B"/>
    <w:rsid w:val="002A7818"/>
    <w:rsid w:val="002C62DA"/>
    <w:rsid w:val="002D1896"/>
    <w:rsid w:val="002E77C4"/>
    <w:rsid w:val="003003E1"/>
    <w:rsid w:val="00321805"/>
    <w:rsid w:val="00322368"/>
    <w:rsid w:val="003224CB"/>
    <w:rsid w:val="00323513"/>
    <w:rsid w:val="0033085D"/>
    <w:rsid w:val="00331410"/>
    <w:rsid w:val="0033177F"/>
    <w:rsid w:val="00336477"/>
    <w:rsid w:val="00336687"/>
    <w:rsid w:val="0033797D"/>
    <w:rsid w:val="00337B75"/>
    <w:rsid w:val="00341C96"/>
    <w:rsid w:val="003422DF"/>
    <w:rsid w:val="0034424A"/>
    <w:rsid w:val="00347CA1"/>
    <w:rsid w:val="00371336"/>
    <w:rsid w:val="00373A21"/>
    <w:rsid w:val="003740F2"/>
    <w:rsid w:val="0037625B"/>
    <w:rsid w:val="00382A54"/>
    <w:rsid w:val="00390F1B"/>
    <w:rsid w:val="00392410"/>
    <w:rsid w:val="00392E9B"/>
    <w:rsid w:val="00395485"/>
    <w:rsid w:val="003962CC"/>
    <w:rsid w:val="003A2112"/>
    <w:rsid w:val="003A7878"/>
    <w:rsid w:val="003B3684"/>
    <w:rsid w:val="003C220C"/>
    <w:rsid w:val="003C61A1"/>
    <w:rsid w:val="003D578E"/>
    <w:rsid w:val="003E2AD5"/>
    <w:rsid w:val="003F3CFD"/>
    <w:rsid w:val="0040190F"/>
    <w:rsid w:val="00410979"/>
    <w:rsid w:val="004110FC"/>
    <w:rsid w:val="0041111E"/>
    <w:rsid w:val="0041443C"/>
    <w:rsid w:val="00414997"/>
    <w:rsid w:val="00417BF4"/>
    <w:rsid w:val="0042154E"/>
    <w:rsid w:val="004232A0"/>
    <w:rsid w:val="00424AC2"/>
    <w:rsid w:val="00425706"/>
    <w:rsid w:val="004443FB"/>
    <w:rsid w:val="00447AAD"/>
    <w:rsid w:val="00450A45"/>
    <w:rsid w:val="00452B9C"/>
    <w:rsid w:val="00470C5D"/>
    <w:rsid w:val="00484313"/>
    <w:rsid w:val="00485403"/>
    <w:rsid w:val="004930F5"/>
    <w:rsid w:val="0049788B"/>
    <w:rsid w:val="004A0592"/>
    <w:rsid w:val="004C0C79"/>
    <w:rsid w:val="004C61B1"/>
    <w:rsid w:val="004C6D99"/>
    <w:rsid w:val="004E00D3"/>
    <w:rsid w:val="004F33BF"/>
    <w:rsid w:val="004F3F54"/>
    <w:rsid w:val="00502239"/>
    <w:rsid w:val="00510919"/>
    <w:rsid w:val="00512D71"/>
    <w:rsid w:val="005227C4"/>
    <w:rsid w:val="00536F0E"/>
    <w:rsid w:val="00537357"/>
    <w:rsid w:val="00543E86"/>
    <w:rsid w:val="0054783E"/>
    <w:rsid w:val="00562A69"/>
    <w:rsid w:val="005659FA"/>
    <w:rsid w:val="00565BC1"/>
    <w:rsid w:val="00571009"/>
    <w:rsid w:val="00574A7A"/>
    <w:rsid w:val="00575EE4"/>
    <w:rsid w:val="00583C9D"/>
    <w:rsid w:val="005B6E59"/>
    <w:rsid w:val="005B7D4F"/>
    <w:rsid w:val="005C628A"/>
    <w:rsid w:val="005C65B9"/>
    <w:rsid w:val="005D19E6"/>
    <w:rsid w:val="005D5B5F"/>
    <w:rsid w:val="005E2FDF"/>
    <w:rsid w:val="005E587D"/>
    <w:rsid w:val="005F002F"/>
    <w:rsid w:val="005F483B"/>
    <w:rsid w:val="005F67D7"/>
    <w:rsid w:val="0060497F"/>
    <w:rsid w:val="00606A22"/>
    <w:rsid w:val="00607D4F"/>
    <w:rsid w:val="00610775"/>
    <w:rsid w:val="00624E7D"/>
    <w:rsid w:val="0064505F"/>
    <w:rsid w:val="00651DE2"/>
    <w:rsid w:val="006740E7"/>
    <w:rsid w:val="00683F6F"/>
    <w:rsid w:val="006868B5"/>
    <w:rsid w:val="0069620D"/>
    <w:rsid w:val="006A111B"/>
    <w:rsid w:val="006B3244"/>
    <w:rsid w:val="006B79CD"/>
    <w:rsid w:val="006C027B"/>
    <w:rsid w:val="006C2603"/>
    <w:rsid w:val="006C72D8"/>
    <w:rsid w:val="006C793C"/>
    <w:rsid w:val="006D369E"/>
    <w:rsid w:val="006E4BAF"/>
    <w:rsid w:val="006E6162"/>
    <w:rsid w:val="007114E3"/>
    <w:rsid w:val="0071389B"/>
    <w:rsid w:val="00716561"/>
    <w:rsid w:val="00716E47"/>
    <w:rsid w:val="007402F8"/>
    <w:rsid w:val="00743F70"/>
    <w:rsid w:val="00744530"/>
    <w:rsid w:val="00744632"/>
    <w:rsid w:val="00763227"/>
    <w:rsid w:val="00766460"/>
    <w:rsid w:val="007735D1"/>
    <w:rsid w:val="00777E77"/>
    <w:rsid w:val="00777FFC"/>
    <w:rsid w:val="00780C18"/>
    <w:rsid w:val="00787C4B"/>
    <w:rsid w:val="007907B0"/>
    <w:rsid w:val="0079372F"/>
    <w:rsid w:val="00793A38"/>
    <w:rsid w:val="00794C59"/>
    <w:rsid w:val="00797827"/>
    <w:rsid w:val="007A3595"/>
    <w:rsid w:val="007C5AC7"/>
    <w:rsid w:val="007D4DAD"/>
    <w:rsid w:val="007D6379"/>
    <w:rsid w:val="007E2E05"/>
    <w:rsid w:val="007E59BA"/>
    <w:rsid w:val="007F6CD3"/>
    <w:rsid w:val="008024F6"/>
    <w:rsid w:val="00805583"/>
    <w:rsid w:val="008072BB"/>
    <w:rsid w:val="00807DF0"/>
    <w:rsid w:val="008134B0"/>
    <w:rsid w:val="00814546"/>
    <w:rsid w:val="008157BB"/>
    <w:rsid w:val="00827928"/>
    <w:rsid w:val="00832D6C"/>
    <w:rsid w:val="008340E7"/>
    <w:rsid w:val="00840A6A"/>
    <w:rsid w:val="00844708"/>
    <w:rsid w:val="00852A75"/>
    <w:rsid w:val="00853672"/>
    <w:rsid w:val="00856437"/>
    <w:rsid w:val="00866A93"/>
    <w:rsid w:val="008733F4"/>
    <w:rsid w:val="00875DB2"/>
    <w:rsid w:val="00880E37"/>
    <w:rsid w:val="008826A9"/>
    <w:rsid w:val="00887660"/>
    <w:rsid w:val="008905D6"/>
    <w:rsid w:val="00890911"/>
    <w:rsid w:val="008A1FEF"/>
    <w:rsid w:val="008B58B7"/>
    <w:rsid w:val="008C26F7"/>
    <w:rsid w:val="008C4978"/>
    <w:rsid w:val="008C5D54"/>
    <w:rsid w:val="008D235A"/>
    <w:rsid w:val="008D58DF"/>
    <w:rsid w:val="008D7D57"/>
    <w:rsid w:val="008D7DD3"/>
    <w:rsid w:val="008E0D96"/>
    <w:rsid w:val="008E7FEE"/>
    <w:rsid w:val="008F2382"/>
    <w:rsid w:val="008F31E1"/>
    <w:rsid w:val="00901596"/>
    <w:rsid w:val="00905693"/>
    <w:rsid w:val="00906C31"/>
    <w:rsid w:val="0091686F"/>
    <w:rsid w:val="00920C19"/>
    <w:rsid w:val="00921596"/>
    <w:rsid w:val="00927201"/>
    <w:rsid w:val="00927990"/>
    <w:rsid w:val="00934263"/>
    <w:rsid w:val="009421C2"/>
    <w:rsid w:val="009423ED"/>
    <w:rsid w:val="00945932"/>
    <w:rsid w:val="0095119D"/>
    <w:rsid w:val="009578B1"/>
    <w:rsid w:val="00960D31"/>
    <w:rsid w:val="00967758"/>
    <w:rsid w:val="009711A7"/>
    <w:rsid w:val="009712F4"/>
    <w:rsid w:val="00980DFC"/>
    <w:rsid w:val="00986009"/>
    <w:rsid w:val="00990FB6"/>
    <w:rsid w:val="009A350D"/>
    <w:rsid w:val="009C3C7E"/>
    <w:rsid w:val="009D1F23"/>
    <w:rsid w:val="009D7325"/>
    <w:rsid w:val="009E4540"/>
    <w:rsid w:val="009E5ECC"/>
    <w:rsid w:val="009F30DC"/>
    <w:rsid w:val="009F4A17"/>
    <w:rsid w:val="009F6446"/>
    <w:rsid w:val="009F6C24"/>
    <w:rsid w:val="00A05AA5"/>
    <w:rsid w:val="00A10DA6"/>
    <w:rsid w:val="00A12412"/>
    <w:rsid w:val="00A12D37"/>
    <w:rsid w:val="00A15571"/>
    <w:rsid w:val="00A16AF9"/>
    <w:rsid w:val="00A16F5F"/>
    <w:rsid w:val="00A205F5"/>
    <w:rsid w:val="00A37420"/>
    <w:rsid w:val="00A46522"/>
    <w:rsid w:val="00A466E6"/>
    <w:rsid w:val="00A46B33"/>
    <w:rsid w:val="00A534E6"/>
    <w:rsid w:val="00A544EA"/>
    <w:rsid w:val="00A546FC"/>
    <w:rsid w:val="00A62836"/>
    <w:rsid w:val="00A66F85"/>
    <w:rsid w:val="00A703CD"/>
    <w:rsid w:val="00A762EC"/>
    <w:rsid w:val="00A76BC5"/>
    <w:rsid w:val="00A9633C"/>
    <w:rsid w:val="00AA0E3F"/>
    <w:rsid w:val="00AA62B8"/>
    <w:rsid w:val="00AB1A8F"/>
    <w:rsid w:val="00AB3F15"/>
    <w:rsid w:val="00AB7DAE"/>
    <w:rsid w:val="00AD1694"/>
    <w:rsid w:val="00AE173D"/>
    <w:rsid w:val="00AE3A0F"/>
    <w:rsid w:val="00B04DF4"/>
    <w:rsid w:val="00B14AB6"/>
    <w:rsid w:val="00B152B7"/>
    <w:rsid w:val="00B20737"/>
    <w:rsid w:val="00B25587"/>
    <w:rsid w:val="00B378E3"/>
    <w:rsid w:val="00B465A8"/>
    <w:rsid w:val="00B476C5"/>
    <w:rsid w:val="00B47DC1"/>
    <w:rsid w:val="00B50286"/>
    <w:rsid w:val="00B711FC"/>
    <w:rsid w:val="00B80EB8"/>
    <w:rsid w:val="00B943BA"/>
    <w:rsid w:val="00BA6DFF"/>
    <w:rsid w:val="00BA713D"/>
    <w:rsid w:val="00BB34F3"/>
    <w:rsid w:val="00BB4E8D"/>
    <w:rsid w:val="00BB57F5"/>
    <w:rsid w:val="00BB5A17"/>
    <w:rsid w:val="00BD24E7"/>
    <w:rsid w:val="00BE21EC"/>
    <w:rsid w:val="00BE5B6D"/>
    <w:rsid w:val="00BE6E2F"/>
    <w:rsid w:val="00BF1922"/>
    <w:rsid w:val="00BF1C8C"/>
    <w:rsid w:val="00BF4DA8"/>
    <w:rsid w:val="00C009F7"/>
    <w:rsid w:val="00C057BD"/>
    <w:rsid w:val="00C20517"/>
    <w:rsid w:val="00C20A16"/>
    <w:rsid w:val="00C22798"/>
    <w:rsid w:val="00C24414"/>
    <w:rsid w:val="00C420C3"/>
    <w:rsid w:val="00C4451E"/>
    <w:rsid w:val="00C46A39"/>
    <w:rsid w:val="00C50595"/>
    <w:rsid w:val="00C52F2E"/>
    <w:rsid w:val="00C55AF9"/>
    <w:rsid w:val="00C5634A"/>
    <w:rsid w:val="00C600C5"/>
    <w:rsid w:val="00C64292"/>
    <w:rsid w:val="00C8210C"/>
    <w:rsid w:val="00C82C93"/>
    <w:rsid w:val="00C91804"/>
    <w:rsid w:val="00C97BD8"/>
    <w:rsid w:val="00CB020F"/>
    <w:rsid w:val="00CB5F56"/>
    <w:rsid w:val="00CC2A5F"/>
    <w:rsid w:val="00CC4E3B"/>
    <w:rsid w:val="00CD4BDC"/>
    <w:rsid w:val="00CD5AA2"/>
    <w:rsid w:val="00CD7CB9"/>
    <w:rsid w:val="00CE1311"/>
    <w:rsid w:val="00CF0047"/>
    <w:rsid w:val="00CF3DAB"/>
    <w:rsid w:val="00D02F61"/>
    <w:rsid w:val="00D0419A"/>
    <w:rsid w:val="00D11BDD"/>
    <w:rsid w:val="00D12285"/>
    <w:rsid w:val="00D13731"/>
    <w:rsid w:val="00D13BE8"/>
    <w:rsid w:val="00D13D4A"/>
    <w:rsid w:val="00D13FA6"/>
    <w:rsid w:val="00D15A5F"/>
    <w:rsid w:val="00D2310B"/>
    <w:rsid w:val="00D24820"/>
    <w:rsid w:val="00D248AE"/>
    <w:rsid w:val="00D275AD"/>
    <w:rsid w:val="00D369D6"/>
    <w:rsid w:val="00D470B8"/>
    <w:rsid w:val="00D52690"/>
    <w:rsid w:val="00D54B60"/>
    <w:rsid w:val="00D57AE2"/>
    <w:rsid w:val="00D7437C"/>
    <w:rsid w:val="00D809F0"/>
    <w:rsid w:val="00D91189"/>
    <w:rsid w:val="00DA1B43"/>
    <w:rsid w:val="00DA36CA"/>
    <w:rsid w:val="00DC7D2B"/>
    <w:rsid w:val="00DD5161"/>
    <w:rsid w:val="00DE4F88"/>
    <w:rsid w:val="00DF64C1"/>
    <w:rsid w:val="00E008E5"/>
    <w:rsid w:val="00E05B06"/>
    <w:rsid w:val="00E07545"/>
    <w:rsid w:val="00E1449C"/>
    <w:rsid w:val="00E14B64"/>
    <w:rsid w:val="00E16103"/>
    <w:rsid w:val="00E17995"/>
    <w:rsid w:val="00E22BB2"/>
    <w:rsid w:val="00E27352"/>
    <w:rsid w:val="00E34430"/>
    <w:rsid w:val="00E41733"/>
    <w:rsid w:val="00E458B2"/>
    <w:rsid w:val="00E465F9"/>
    <w:rsid w:val="00E52C78"/>
    <w:rsid w:val="00E55586"/>
    <w:rsid w:val="00E65F63"/>
    <w:rsid w:val="00E74D9F"/>
    <w:rsid w:val="00E847E3"/>
    <w:rsid w:val="00E90527"/>
    <w:rsid w:val="00E92EAB"/>
    <w:rsid w:val="00EA2A1E"/>
    <w:rsid w:val="00EA4240"/>
    <w:rsid w:val="00EA56D9"/>
    <w:rsid w:val="00EB0756"/>
    <w:rsid w:val="00EB29A2"/>
    <w:rsid w:val="00EB57F9"/>
    <w:rsid w:val="00EB5D71"/>
    <w:rsid w:val="00EB75F4"/>
    <w:rsid w:val="00EC0259"/>
    <w:rsid w:val="00EC0A33"/>
    <w:rsid w:val="00EC3293"/>
    <w:rsid w:val="00EE3042"/>
    <w:rsid w:val="00EE7962"/>
    <w:rsid w:val="00F01097"/>
    <w:rsid w:val="00F043B5"/>
    <w:rsid w:val="00F15902"/>
    <w:rsid w:val="00F2021C"/>
    <w:rsid w:val="00F21AFA"/>
    <w:rsid w:val="00F25F9A"/>
    <w:rsid w:val="00F30E61"/>
    <w:rsid w:val="00F36287"/>
    <w:rsid w:val="00F4123C"/>
    <w:rsid w:val="00F46870"/>
    <w:rsid w:val="00F52801"/>
    <w:rsid w:val="00F55E03"/>
    <w:rsid w:val="00F6189B"/>
    <w:rsid w:val="00F61A8C"/>
    <w:rsid w:val="00F634DD"/>
    <w:rsid w:val="00F63821"/>
    <w:rsid w:val="00F65C24"/>
    <w:rsid w:val="00F715DF"/>
    <w:rsid w:val="00F71B85"/>
    <w:rsid w:val="00F72761"/>
    <w:rsid w:val="00F82954"/>
    <w:rsid w:val="00F830C0"/>
    <w:rsid w:val="00FA2BF2"/>
    <w:rsid w:val="00FB30D7"/>
    <w:rsid w:val="00FB4F88"/>
    <w:rsid w:val="00FC231D"/>
    <w:rsid w:val="00FC6624"/>
    <w:rsid w:val="00FC6F3D"/>
    <w:rsid w:val="00FD258B"/>
    <w:rsid w:val="00FD506D"/>
    <w:rsid w:val="00FD50D0"/>
    <w:rsid w:val="00FE0C77"/>
    <w:rsid w:val="00FE455D"/>
    <w:rsid w:val="00FF1657"/>
    <w:rsid w:val="00FF188C"/>
    <w:rsid w:val="00FF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96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96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2006">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1956</Words>
  <Characters>10743</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12810</CharactersWithSpaces>
  <SharedDoc>false</SharedDoc>
  <HyperlinkBase> </HyperlinkBase>
  <HLinks>
    <vt:vector size="6" baseType="variant">
      <vt:variant>
        <vt:i4>2687076</vt:i4>
      </vt:variant>
      <vt:variant>
        <vt:i4>0</vt:i4>
      </vt:variant>
      <vt:variant>
        <vt:i4>0</vt:i4>
      </vt:variant>
      <vt:variant>
        <vt:i4>5</vt:i4>
      </vt:variant>
      <vt:variant>
        <vt:lpwstr>http://i2.esmas.com/documents/2013/05/22/3002/financial-statements-2102.pdf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2014-05-13T23:05:00Z</cp:lastPrinted>
  <dcterms:created xsi:type="dcterms:W3CDTF">2014-05-15T00:14:00Z</dcterms:created>
  <dcterms:modified xsi:type="dcterms:W3CDTF">2014-05-15T00:14:00Z</dcterms:modified>
  <cp:category> </cp:category>
  <cp:contentStatus> </cp:contentStatus>
</cp:coreProperties>
</file>