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69" w:rsidRDefault="00FD2669">
      <w:pPr>
        <w:rPr>
          <w:sz w:val="22"/>
          <w:szCs w:val="22"/>
        </w:rPr>
      </w:pPr>
      <w:bookmarkStart w:id="0" w:name="_GoBack"/>
      <w:bookmarkEnd w:id="0"/>
    </w:p>
    <w:p w:rsidR="0089274E" w:rsidRDefault="0089274E">
      <w:pPr>
        <w:rPr>
          <w:sz w:val="22"/>
          <w:szCs w:val="22"/>
        </w:rPr>
      </w:pPr>
    </w:p>
    <w:p w:rsidR="0089274E" w:rsidRPr="00BA79A3" w:rsidRDefault="0089274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 14-</w:t>
      </w:r>
      <w:r w:rsidR="00FC728D">
        <w:rPr>
          <w:sz w:val="22"/>
          <w:szCs w:val="22"/>
        </w:rPr>
        <w:t>656</w:t>
      </w:r>
    </w:p>
    <w:p w:rsidR="000D5907" w:rsidRPr="00BA79A3" w:rsidRDefault="000D5907">
      <w:pPr>
        <w:rPr>
          <w:sz w:val="22"/>
          <w:szCs w:val="22"/>
        </w:rPr>
      </w:pPr>
    </w:p>
    <w:p w:rsidR="000D5907" w:rsidRPr="00BA79A3" w:rsidRDefault="000D5907">
      <w:pPr>
        <w:rPr>
          <w:sz w:val="22"/>
          <w:szCs w:val="22"/>
        </w:rPr>
      </w:pPr>
    </w:p>
    <w:p w:rsidR="0089274E" w:rsidRDefault="0089274E" w:rsidP="000D5907">
      <w:pPr>
        <w:rPr>
          <w:sz w:val="22"/>
          <w:szCs w:val="22"/>
        </w:rPr>
      </w:pPr>
    </w:p>
    <w:p w:rsidR="000D5907" w:rsidRDefault="000D5907" w:rsidP="000D5907">
      <w:pPr>
        <w:rPr>
          <w:sz w:val="22"/>
          <w:szCs w:val="22"/>
        </w:rPr>
      </w:pPr>
      <w:r w:rsidRPr="00BA79A3">
        <w:rPr>
          <w:sz w:val="22"/>
          <w:szCs w:val="22"/>
        </w:rPr>
        <w:t>Lawrence J. Movshin</w:t>
      </w:r>
      <w:r w:rsidR="0092278B" w:rsidRPr="00BA79A3">
        <w:rPr>
          <w:sz w:val="22"/>
          <w:szCs w:val="22"/>
        </w:rPr>
        <w:t>, Esq.</w:t>
      </w:r>
    </w:p>
    <w:p w:rsidR="00186B7E" w:rsidRPr="00BA79A3" w:rsidRDefault="00186B7E" w:rsidP="000D5907">
      <w:pPr>
        <w:rPr>
          <w:sz w:val="22"/>
          <w:szCs w:val="22"/>
        </w:rPr>
      </w:pPr>
      <w:r>
        <w:rPr>
          <w:sz w:val="22"/>
          <w:szCs w:val="22"/>
        </w:rPr>
        <w:t>Jennifer L. Kostyu, Esq.</w:t>
      </w:r>
    </w:p>
    <w:p w:rsidR="000D5907" w:rsidRPr="00BA79A3" w:rsidRDefault="000D5907" w:rsidP="000D5907">
      <w:pPr>
        <w:rPr>
          <w:sz w:val="22"/>
          <w:szCs w:val="22"/>
        </w:rPr>
      </w:pPr>
      <w:r w:rsidRPr="00BA79A3">
        <w:rPr>
          <w:sz w:val="22"/>
          <w:szCs w:val="22"/>
        </w:rPr>
        <w:t>Wilkinson Barker Knauer, LLP</w:t>
      </w:r>
    </w:p>
    <w:p w:rsidR="000D5907" w:rsidRPr="00BA79A3" w:rsidRDefault="000D5907" w:rsidP="000D5907">
      <w:pPr>
        <w:rPr>
          <w:sz w:val="22"/>
          <w:szCs w:val="22"/>
        </w:rPr>
      </w:pPr>
      <w:r w:rsidRPr="00BA79A3">
        <w:rPr>
          <w:sz w:val="22"/>
          <w:szCs w:val="22"/>
        </w:rPr>
        <w:t>2300 N Street, NW Suite 700</w:t>
      </w:r>
    </w:p>
    <w:p w:rsidR="000D5907" w:rsidRPr="00BA79A3" w:rsidRDefault="000D5907" w:rsidP="000D5907">
      <w:pPr>
        <w:rPr>
          <w:sz w:val="22"/>
          <w:szCs w:val="22"/>
        </w:rPr>
      </w:pPr>
      <w:r w:rsidRPr="00BA79A3">
        <w:rPr>
          <w:sz w:val="22"/>
          <w:szCs w:val="22"/>
        </w:rPr>
        <w:t>Washington, DC 20037</w:t>
      </w:r>
    </w:p>
    <w:p w:rsidR="000D5907" w:rsidRPr="00BA79A3" w:rsidRDefault="000D5907" w:rsidP="000D5907">
      <w:pPr>
        <w:rPr>
          <w:sz w:val="22"/>
          <w:szCs w:val="22"/>
        </w:rPr>
      </w:pPr>
    </w:p>
    <w:p w:rsidR="000D5907" w:rsidRDefault="000D5907" w:rsidP="00570823">
      <w:pPr>
        <w:ind w:left="1440" w:hanging="720"/>
        <w:rPr>
          <w:sz w:val="22"/>
          <w:szCs w:val="22"/>
        </w:rPr>
      </w:pPr>
      <w:r w:rsidRPr="00BA79A3">
        <w:rPr>
          <w:sz w:val="22"/>
          <w:szCs w:val="22"/>
        </w:rPr>
        <w:t xml:space="preserve">RE: </w:t>
      </w:r>
      <w:r w:rsidRPr="00BA79A3">
        <w:rPr>
          <w:sz w:val="22"/>
          <w:szCs w:val="22"/>
        </w:rPr>
        <w:tab/>
        <w:t>Data-Max Wireless, LLC</w:t>
      </w:r>
      <w:r w:rsidR="00570823">
        <w:rPr>
          <w:sz w:val="22"/>
          <w:szCs w:val="22"/>
        </w:rPr>
        <w:t>,</w:t>
      </w:r>
      <w:r w:rsidRPr="00BA79A3">
        <w:rPr>
          <w:sz w:val="22"/>
          <w:szCs w:val="22"/>
        </w:rPr>
        <w:t xml:space="preserve"> Request for Waiver and Extension of Time of Tribal L</w:t>
      </w:r>
      <w:r w:rsidR="00570823">
        <w:rPr>
          <w:sz w:val="22"/>
          <w:szCs w:val="22"/>
        </w:rPr>
        <w:t xml:space="preserve">and Bidding Credit Requirements, </w:t>
      </w:r>
      <w:r w:rsidR="00186B7E">
        <w:rPr>
          <w:sz w:val="22"/>
          <w:szCs w:val="22"/>
        </w:rPr>
        <w:t xml:space="preserve">Call Sign WQJQ674, </w:t>
      </w:r>
      <w:r w:rsidR="00186B7E" w:rsidRPr="00186B7E">
        <w:rPr>
          <w:sz w:val="22"/>
          <w:szCs w:val="22"/>
        </w:rPr>
        <w:t>File Number 0005662520</w:t>
      </w:r>
    </w:p>
    <w:p w:rsidR="00186B7E" w:rsidRPr="00BA79A3" w:rsidRDefault="00186B7E" w:rsidP="00186B7E">
      <w:pPr>
        <w:ind w:left="1440"/>
        <w:rPr>
          <w:sz w:val="22"/>
          <w:szCs w:val="22"/>
        </w:rPr>
      </w:pPr>
    </w:p>
    <w:p w:rsidR="000D5907" w:rsidRPr="00BA79A3" w:rsidRDefault="000D5907" w:rsidP="000D5907">
      <w:pPr>
        <w:ind w:left="720" w:hanging="720"/>
        <w:rPr>
          <w:sz w:val="22"/>
          <w:szCs w:val="22"/>
        </w:rPr>
      </w:pPr>
      <w:r w:rsidRPr="00BA79A3">
        <w:rPr>
          <w:sz w:val="22"/>
          <w:szCs w:val="22"/>
        </w:rPr>
        <w:t>Dear Mr. Movshin</w:t>
      </w:r>
      <w:r w:rsidR="00186B7E">
        <w:rPr>
          <w:sz w:val="22"/>
          <w:szCs w:val="22"/>
        </w:rPr>
        <w:t xml:space="preserve"> and Ms. Kostyu</w:t>
      </w:r>
      <w:r w:rsidRPr="00BA79A3">
        <w:rPr>
          <w:sz w:val="22"/>
          <w:szCs w:val="22"/>
        </w:rPr>
        <w:t>:</w:t>
      </w:r>
    </w:p>
    <w:p w:rsidR="000D5907" w:rsidRPr="00BA79A3" w:rsidRDefault="000D5907" w:rsidP="000D5907">
      <w:pPr>
        <w:ind w:left="720" w:hanging="720"/>
        <w:rPr>
          <w:sz w:val="22"/>
          <w:szCs w:val="22"/>
        </w:rPr>
      </w:pPr>
    </w:p>
    <w:p w:rsidR="000D5907" w:rsidRPr="00BA79A3" w:rsidRDefault="004A5181" w:rsidP="009C57B1">
      <w:pPr>
        <w:ind w:firstLine="720"/>
        <w:rPr>
          <w:sz w:val="22"/>
          <w:szCs w:val="22"/>
        </w:rPr>
      </w:pPr>
      <w:r w:rsidRPr="00BA79A3">
        <w:rPr>
          <w:sz w:val="22"/>
          <w:szCs w:val="22"/>
        </w:rPr>
        <w:t xml:space="preserve">In this Letter Order, we grant, in part, </w:t>
      </w:r>
      <w:r w:rsidR="00C03717" w:rsidRPr="00BA79A3">
        <w:rPr>
          <w:sz w:val="22"/>
          <w:szCs w:val="22"/>
        </w:rPr>
        <w:t>a</w:t>
      </w:r>
      <w:r w:rsidRPr="00BA79A3">
        <w:rPr>
          <w:sz w:val="22"/>
          <w:szCs w:val="22"/>
        </w:rPr>
        <w:t xml:space="preserve"> Request for Waiver and Extension of Time</w:t>
      </w:r>
      <w:r w:rsidR="00C03717" w:rsidRPr="00BA79A3">
        <w:rPr>
          <w:sz w:val="22"/>
          <w:szCs w:val="22"/>
        </w:rPr>
        <w:t xml:space="preserve"> of Tribal Land Bidding Credit Requirements</w:t>
      </w:r>
      <w:r w:rsidR="00F6239F" w:rsidRPr="00BA79A3">
        <w:rPr>
          <w:sz w:val="22"/>
          <w:szCs w:val="22"/>
        </w:rPr>
        <w:t xml:space="preserve"> (Waiver</w:t>
      </w:r>
      <w:r w:rsidR="00C80BE7" w:rsidRPr="00BA79A3">
        <w:rPr>
          <w:sz w:val="22"/>
          <w:szCs w:val="22"/>
        </w:rPr>
        <w:t xml:space="preserve"> Request</w:t>
      </w:r>
      <w:r w:rsidR="00F6239F" w:rsidRPr="00BA79A3">
        <w:rPr>
          <w:sz w:val="22"/>
          <w:szCs w:val="22"/>
        </w:rPr>
        <w:t>)</w:t>
      </w:r>
      <w:r w:rsidRPr="00BA79A3">
        <w:rPr>
          <w:rStyle w:val="FootnoteReference"/>
          <w:sz w:val="22"/>
          <w:szCs w:val="22"/>
        </w:rPr>
        <w:footnoteReference w:id="1"/>
      </w:r>
      <w:r w:rsidRPr="00BA79A3">
        <w:rPr>
          <w:sz w:val="22"/>
          <w:szCs w:val="22"/>
        </w:rPr>
        <w:t xml:space="preserve"> filed by</w:t>
      </w:r>
      <w:r w:rsidR="000D5907" w:rsidRPr="00BA79A3">
        <w:rPr>
          <w:sz w:val="22"/>
          <w:szCs w:val="22"/>
        </w:rPr>
        <w:t xml:space="preserve"> Data-Max Wireless, LLC (Data-Max)</w:t>
      </w:r>
      <w:r w:rsidR="00F6239F" w:rsidRPr="00BA79A3">
        <w:rPr>
          <w:sz w:val="22"/>
          <w:szCs w:val="22"/>
        </w:rPr>
        <w:t>,</w:t>
      </w:r>
      <w:r w:rsidR="000D5907" w:rsidRPr="00BA79A3">
        <w:rPr>
          <w:sz w:val="22"/>
          <w:szCs w:val="22"/>
        </w:rPr>
        <w:t xml:space="preserve"> </w:t>
      </w:r>
      <w:r w:rsidRPr="00BA79A3">
        <w:rPr>
          <w:sz w:val="22"/>
          <w:szCs w:val="22"/>
        </w:rPr>
        <w:t xml:space="preserve">which seeks waiver of certain of </w:t>
      </w:r>
      <w:r w:rsidR="000D5907" w:rsidRPr="00BA79A3">
        <w:rPr>
          <w:sz w:val="22"/>
          <w:szCs w:val="22"/>
        </w:rPr>
        <w:t>the Commission’s rules</w:t>
      </w:r>
      <w:r w:rsidR="00186B7E">
        <w:rPr>
          <w:sz w:val="22"/>
          <w:szCs w:val="22"/>
        </w:rPr>
        <w:t xml:space="preserve"> and reinstatement of </w:t>
      </w:r>
      <w:r w:rsidR="008F3A6B">
        <w:rPr>
          <w:sz w:val="22"/>
          <w:szCs w:val="22"/>
        </w:rPr>
        <w:t>Data-Max’s</w:t>
      </w:r>
      <w:r w:rsidR="00186B7E">
        <w:rPr>
          <w:sz w:val="22"/>
          <w:szCs w:val="22"/>
        </w:rPr>
        <w:t xml:space="preserve"> </w:t>
      </w:r>
      <w:r w:rsidR="008F3A6B">
        <w:rPr>
          <w:sz w:val="22"/>
          <w:szCs w:val="22"/>
        </w:rPr>
        <w:t>license</w:t>
      </w:r>
      <w:r w:rsidR="000D5907" w:rsidRPr="00BA79A3">
        <w:rPr>
          <w:sz w:val="22"/>
          <w:szCs w:val="22"/>
        </w:rPr>
        <w:t xml:space="preserve"> </w:t>
      </w:r>
      <w:r w:rsidRPr="00BA79A3">
        <w:rPr>
          <w:sz w:val="22"/>
          <w:szCs w:val="22"/>
        </w:rPr>
        <w:t xml:space="preserve">in order to </w:t>
      </w:r>
      <w:r w:rsidR="008F3A6B">
        <w:rPr>
          <w:sz w:val="22"/>
          <w:szCs w:val="22"/>
        </w:rPr>
        <w:t xml:space="preserve">allow it to </w:t>
      </w:r>
      <w:r w:rsidRPr="00BA79A3">
        <w:rPr>
          <w:sz w:val="22"/>
          <w:szCs w:val="22"/>
        </w:rPr>
        <w:t>complete</w:t>
      </w:r>
      <w:r w:rsidR="004678F9" w:rsidRPr="00BA79A3">
        <w:rPr>
          <w:sz w:val="22"/>
          <w:szCs w:val="22"/>
        </w:rPr>
        <w:t xml:space="preserve"> construction pursuant to the Commission’s tribal lands bidding credit (TLBC) program requirements</w:t>
      </w:r>
      <w:r w:rsidR="000D5907" w:rsidRPr="00BA79A3">
        <w:rPr>
          <w:sz w:val="22"/>
          <w:szCs w:val="22"/>
        </w:rPr>
        <w:t xml:space="preserve">. </w:t>
      </w:r>
      <w:r w:rsidR="004678F9" w:rsidRPr="00BA79A3">
        <w:rPr>
          <w:sz w:val="22"/>
          <w:szCs w:val="22"/>
        </w:rPr>
        <w:t xml:space="preserve"> </w:t>
      </w:r>
      <w:r w:rsidR="001F1244" w:rsidRPr="00BA79A3">
        <w:rPr>
          <w:sz w:val="22"/>
          <w:szCs w:val="22"/>
        </w:rPr>
        <w:t xml:space="preserve">We find that a </w:t>
      </w:r>
      <w:r w:rsidR="008F3A6B">
        <w:rPr>
          <w:sz w:val="22"/>
          <w:szCs w:val="22"/>
        </w:rPr>
        <w:t>limited waiver of the Commission’s rules</w:t>
      </w:r>
      <w:r w:rsidR="00186B7E">
        <w:rPr>
          <w:sz w:val="22"/>
          <w:szCs w:val="22"/>
        </w:rPr>
        <w:t xml:space="preserve"> and reinstatement of Data-Max’s license </w:t>
      </w:r>
      <w:r w:rsidR="004678F9" w:rsidRPr="00BA79A3">
        <w:rPr>
          <w:sz w:val="22"/>
          <w:szCs w:val="22"/>
        </w:rPr>
        <w:t>will facilitate the provision of wireless broadband service to the Hualapai Indian Reservation</w:t>
      </w:r>
      <w:r w:rsidR="008F3A6B">
        <w:rPr>
          <w:sz w:val="22"/>
          <w:szCs w:val="22"/>
        </w:rPr>
        <w:t xml:space="preserve"> while maintaining</w:t>
      </w:r>
      <w:r w:rsidR="001F1244" w:rsidRPr="00BA79A3">
        <w:rPr>
          <w:sz w:val="22"/>
          <w:szCs w:val="22"/>
        </w:rPr>
        <w:t xml:space="preserve"> the integrity of the </w:t>
      </w:r>
      <w:r w:rsidR="008F3A6B">
        <w:rPr>
          <w:sz w:val="22"/>
          <w:szCs w:val="22"/>
        </w:rPr>
        <w:t>TLBC</w:t>
      </w:r>
      <w:r w:rsidR="001F1244" w:rsidRPr="00BA79A3">
        <w:rPr>
          <w:sz w:val="22"/>
          <w:szCs w:val="22"/>
        </w:rPr>
        <w:t xml:space="preserve"> program</w:t>
      </w:r>
      <w:r w:rsidR="004678F9" w:rsidRPr="00BA79A3">
        <w:rPr>
          <w:sz w:val="22"/>
          <w:szCs w:val="22"/>
        </w:rPr>
        <w:t>.</w:t>
      </w:r>
    </w:p>
    <w:p w:rsidR="000D5907" w:rsidRPr="00BA79A3" w:rsidRDefault="000D5907" w:rsidP="000D5907">
      <w:pPr>
        <w:rPr>
          <w:sz w:val="22"/>
          <w:szCs w:val="22"/>
        </w:rPr>
      </w:pPr>
    </w:p>
    <w:p w:rsidR="000D5907" w:rsidRPr="008F3A6B" w:rsidRDefault="000D5907" w:rsidP="009C57B1">
      <w:pPr>
        <w:ind w:firstLine="720"/>
        <w:rPr>
          <w:sz w:val="22"/>
          <w:szCs w:val="22"/>
        </w:rPr>
      </w:pPr>
      <w:r w:rsidRPr="00BA79A3">
        <w:rPr>
          <w:sz w:val="22"/>
          <w:szCs w:val="22"/>
        </w:rPr>
        <w:t xml:space="preserve">Data-Max was the winning bidder for </w:t>
      </w:r>
      <w:r w:rsidR="00773CBE">
        <w:rPr>
          <w:sz w:val="22"/>
          <w:szCs w:val="22"/>
        </w:rPr>
        <w:t>a</w:t>
      </w:r>
      <w:r w:rsidRPr="00BA79A3">
        <w:rPr>
          <w:sz w:val="22"/>
          <w:szCs w:val="22"/>
        </w:rPr>
        <w:t xml:space="preserve"> Lower 700 MHz B Block </w:t>
      </w:r>
      <w:r w:rsidR="00773CBE">
        <w:rPr>
          <w:sz w:val="22"/>
          <w:szCs w:val="22"/>
        </w:rPr>
        <w:t>l</w:t>
      </w:r>
      <w:r w:rsidRPr="00BA79A3">
        <w:rPr>
          <w:sz w:val="22"/>
          <w:szCs w:val="22"/>
        </w:rPr>
        <w:t>icense</w:t>
      </w:r>
      <w:r w:rsidR="002E04A4">
        <w:rPr>
          <w:sz w:val="22"/>
          <w:szCs w:val="22"/>
        </w:rPr>
        <w:t xml:space="preserve"> for the Arizona 1 – Mohave (</w:t>
      </w:r>
      <w:r w:rsidR="002E04A4" w:rsidRPr="002E04A4">
        <w:rPr>
          <w:sz w:val="22"/>
          <w:szCs w:val="22"/>
        </w:rPr>
        <w:t>CMA318</w:t>
      </w:r>
      <w:r w:rsidR="002E04A4">
        <w:rPr>
          <w:sz w:val="22"/>
          <w:szCs w:val="22"/>
        </w:rPr>
        <w:t xml:space="preserve">) </w:t>
      </w:r>
      <w:r w:rsidRPr="00BA79A3">
        <w:rPr>
          <w:sz w:val="22"/>
          <w:szCs w:val="22"/>
        </w:rPr>
        <w:t>in Auction No. 73,</w:t>
      </w:r>
      <w:r w:rsidRPr="00BA79A3">
        <w:rPr>
          <w:rStyle w:val="FootnoteReference"/>
          <w:sz w:val="22"/>
          <w:szCs w:val="22"/>
        </w:rPr>
        <w:footnoteReference w:id="2"/>
      </w:r>
      <w:r w:rsidRPr="00BA79A3">
        <w:rPr>
          <w:sz w:val="22"/>
          <w:szCs w:val="22"/>
        </w:rPr>
        <w:t xml:space="preserve"> and the Wireless Telecommunications Bureau granted </w:t>
      </w:r>
      <w:r w:rsidR="002E04A4">
        <w:rPr>
          <w:sz w:val="22"/>
          <w:szCs w:val="22"/>
        </w:rPr>
        <w:t>the license</w:t>
      </w:r>
      <w:r w:rsidR="009C57B1" w:rsidRPr="00BA79A3">
        <w:rPr>
          <w:sz w:val="22"/>
          <w:szCs w:val="22"/>
        </w:rPr>
        <w:t>, Call Sign WQJQ674,</w:t>
      </w:r>
      <w:r w:rsidR="004678F9" w:rsidRPr="00BA79A3">
        <w:rPr>
          <w:sz w:val="22"/>
          <w:szCs w:val="22"/>
        </w:rPr>
        <w:t xml:space="preserve"> </w:t>
      </w:r>
      <w:r w:rsidRPr="00BA79A3">
        <w:rPr>
          <w:sz w:val="22"/>
          <w:szCs w:val="22"/>
        </w:rPr>
        <w:t>on November 26, 2008.</w:t>
      </w:r>
      <w:r w:rsidRPr="00BA79A3">
        <w:rPr>
          <w:rStyle w:val="FootnoteReference"/>
          <w:sz w:val="22"/>
          <w:szCs w:val="22"/>
        </w:rPr>
        <w:footnoteReference w:id="3"/>
      </w:r>
      <w:r w:rsidRPr="00BA79A3">
        <w:rPr>
          <w:sz w:val="22"/>
          <w:szCs w:val="22"/>
        </w:rPr>
        <w:t xml:space="preserve">  Data-Max received a TLBC to serve the Hualapai Indian Reservation in the amount of $217,000, which was equal to fifty percent of its gross bid in Auction 73 of $434,000.</w:t>
      </w:r>
      <w:r w:rsidRPr="00BA79A3">
        <w:rPr>
          <w:rStyle w:val="FootnoteReference"/>
          <w:sz w:val="22"/>
          <w:szCs w:val="22"/>
        </w:rPr>
        <w:footnoteReference w:id="4"/>
      </w:r>
      <w:r w:rsidRPr="00BA79A3">
        <w:rPr>
          <w:sz w:val="22"/>
          <w:szCs w:val="22"/>
        </w:rPr>
        <w:t xml:space="preserve">  As a condition of receiving the TLBC, Data-Max was required to construct and operate “a system capable of serving seventy-five (75) percent of the population of the qualifying tribal land for which the credit was awarded” within three (3) years of the license grant.</w:t>
      </w:r>
      <w:r w:rsidRPr="00BA79A3">
        <w:rPr>
          <w:rStyle w:val="FootnoteReference"/>
          <w:sz w:val="22"/>
          <w:szCs w:val="22"/>
        </w:rPr>
        <w:footnoteReference w:id="5"/>
      </w:r>
      <w:r w:rsidRPr="00BA79A3">
        <w:rPr>
          <w:sz w:val="22"/>
          <w:szCs w:val="22"/>
        </w:rPr>
        <w:t xml:space="preserve">  </w:t>
      </w:r>
      <w:r w:rsidR="00CC7E4A" w:rsidRPr="00CC7E4A">
        <w:rPr>
          <w:sz w:val="22"/>
          <w:szCs w:val="22"/>
        </w:rPr>
        <w:t xml:space="preserve">Because unfettered use of the wireless spectrum may not have been possible due </w:t>
      </w:r>
      <w:r w:rsidRPr="00BA79A3">
        <w:rPr>
          <w:sz w:val="22"/>
          <w:szCs w:val="22"/>
        </w:rPr>
        <w:t>to the digital television (DTV) transition process, the Commission established June 13, 2012, as the three-year construction deadline.</w:t>
      </w:r>
      <w:r w:rsidRPr="00BA79A3">
        <w:rPr>
          <w:rStyle w:val="FootnoteReference"/>
          <w:sz w:val="22"/>
          <w:szCs w:val="22"/>
        </w:rPr>
        <w:footnoteReference w:id="6"/>
      </w:r>
      <w:r w:rsidRPr="00BA79A3">
        <w:rPr>
          <w:sz w:val="22"/>
          <w:szCs w:val="22"/>
        </w:rPr>
        <w:t xml:space="preserve">  Under section </w:t>
      </w:r>
      <w:r w:rsidRPr="00BA79A3">
        <w:rPr>
          <w:sz w:val="22"/>
          <w:szCs w:val="22"/>
        </w:rPr>
        <w:lastRenderedPageBreak/>
        <w:t>1.2110(f)(3)(vii), a licensee that receives a TLBC must, within fifteen (15) days of the tribal lands construction deadline, certify that the TLBC recipient has met the tribal lands construction requirement.</w:t>
      </w:r>
      <w:r w:rsidR="00EE2638" w:rsidRPr="00BA79A3">
        <w:rPr>
          <w:rStyle w:val="FootnoteReference"/>
          <w:sz w:val="22"/>
          <w:szCs w:val="22"/>
        </w:rPr>
        <w:footnoteReference w:id="7"/>
      </w:r>
      <w:r w:rsidRPr="00BA79A3">
        <w:rPr>
          <w:sz w:val="22"/>
          <w:szCs w:val="22"/>
        </w:rPr>
        <w:t xml:space="preserve">  </w:t>
      </w:r>
      <w:r w:rsidR="001D27B3" w:rsidRPr="00BA79A3">
        <w:rPr>
          <w:sz w:val="22"/>
          <w:szCs w:val="22"/>
        </w:rPr>
        <w:t>Further, p</w:t>
      </w:r>
      <w:r w:rsidRPr="00BA79A3">
        <w:rPr>
          <w:sz w:val="22"/>
          <w:szCs w:val="22"/>
        </w:rPr>
        <w:t>ursuant to the penalty provisions of section 1.2110(f)(3)(vii</w:t>
      </w:r>
      <w:r w:rsidR="002D1458" w:rsidRPr="00BA79A3">
        <w:rPr>
          <w:sz w:val="22"/>
          <w:szCs w:val="22"/>
        </w:rPr>
        <w:t>i</w:t>
      </w:r>
      <w:r w:rsidRPr="00BA79A3">
        <w:rPr>
          <w:sz w:val="22"/>
          <w:szCs w:val="22"/>
        </w:rPr>
        <w:t>), a TLBC recipient that fails to provide the post-construction certification as required must repay the bidding credit amount in its entirety, plus interest, within thirty (30) days of the applicable tribal lands construction deadline.</w:t>
      </w:r>
      <w:r w:rsidR="00EE2638" w:rsidRPr="00BA79A3">
        <w:rPr>
          <w:rStyle w:val="FootnoteReference"/>
          <w:sz w:val="22"/>
          <w:szCs w:val="22"/>
        </w:rPr>
        <w:footnoteReference w:id="8"/>
      </w:r>
      <w:r w:rsidRPr="00BA79A3">
        <w:rPr>
          <w:sz w:val="22"/>
          <w:szCs w:val="22"/>
        </w:rPr>
        <w:t xml:space="preserve">  </w:t>
      </w:r>
      <w:r w:rsidR="001D27B3" w:rsidRPr="00BA79A3">
        <w:rPr>
          <w:sz w:val="22"/>
          <w:szCs w:val="22"/>
        </w:rPr>
        <w:t xml:space="preserve">Failure to repay as required results in </w:t>
      </w:r>
      <w:r w:rsidR="00B93911" w:rsidRPr="00BA79A3">
        <w:rPr>
          <w:sz w:val="22"/>
          <w:szCs w:val="22"/>
        </w:rPr>
        <w:t>automatic termination of the license.</w:t>
      </w:r>
      <w:r w:rsidR="00EE2638" w:rsidRPr="00BA79A3">
        <w:rPr>
          <w:rStyle w:val="FootnoteReference"/>
          <w:sz w:val="22"/>
          <w:szCs w:val="22"/>
        </w:rPr>
        <w:footnoteReference w:id="9"/>
      </w:r>
      <w:r w:rsidR="00B93911" w:rsidRPr="00BA79A3">
        <w:rPr>
          <w:sz w:val="22"/>
          <w:szCs w:val="22"/>
        </w:rPr>
        <w:t xml:space="preserve">  </w:t>
      </w:r>
      <w:r w:rsidR="008015F5" w:rsidRPr="00BA79A3">
        <w:rPr>
          <w:sz w:val="22"/>
          <w:szCs w:val="22"/>
        </w:rPr>
        <w:t xml:space="preserve">Data-Max therefore was required to file its tribal lands construction certification by June 28, 2012 indicating that it had met its June 13, 2012 deadline, but it failed to do so.  </w:t>
      </w:r>
      <w:r w:rsidRPr="00BA79A3">
        <w:rPr>
          <w:sz w:val="22"/>
          <w:szCs w:val="22"/>
        </w:rPr>
        <w:t>Accordingly, Data-Max was required to pay back its TLBC plus interest by July 13, 2012, or lose</w:t>
      </w:r>
      <w:r w:rsidR="008F3A6B">
        <w:rPr>
          <w:sz w:val="22"/>
          <w:szCs w:val="22"/>
        </w:rPr>
        <w:t xml:space="preserve"> its l</w:t>
      </w:r>
      <w:r w:rsidRPr="00BA79A3">
        <w:rPr>
          <w:sz w:val="22"/>
          <w:szCs w:val="22"/>
        </w:rPr>
        <w:t>icense.</w:t>
      </w:r>
      <w:r w:rsidRPr="00BA79A3">
        <w:rPr>
          <w:rStyle w:val="FootnoteReference"/>
          <w:sz w:val="22"/>
          <w:szCs w:val="22"/>
        </w:rPr>
        <w:footnoteReference w:id="10"/>
      </w:r>
      <w:r w:rsidRPr="00BA79A3">
        <w:rPr>
          <w:sz w:val="22"/>
          <w:szCs w:val="22"/>
        </w:rPr>
        <w:t xml:space="preserve">  </w:t>
      </w:r>
      <w:r w:rsidRPr="008F3A6B">
        <w:rPr>
          <w:sz w:val="22"/>
          <w:szCs w:val="22"/>
        </w:rPr>
        <w:t>As Data-Max failed to repay its TLBC</w:t>
      </w:r>
      <w:r w:rsidR="001A58A3" w:rsidRPr="008F3A6B">
        <w:rPr>
          <w:sz w:val="22"/>
          <w:szCs w:val="22"/>
        </w:rPr>
        <w:t xml:space="preserve"> </w:t>
      </w:r>
      <w:r w:rsidR="002073A5">
        <w:rPr>
          <w:sz w:val="22"/>
          <w:szCs w:val="22"/>
        </w:rPr>
        <w:t xml:space="preserve">(plus accrued interest) </w:t>
      </w:r>
      <w:r w:rsidR="001A58A3" w:rsidRPr="008F3A6B">
        <w:rPr>
          <w:sz w:val="22"/>
          <w:szCs w:val="22"/>
        </w:rPr>
        <w:t>by July 13, 2012</w:t>
      </w:r>
      <w:r w:rsidR="009C57B1" w:rsidRPr="008F3A6B">
        <w:rPr>
          <w:sz w:val="22"/>
          <w:szCs w:val="22"/>
        </w:rPr>
        <w:t>, its l</w:t>
      </w:r>
      <w:r w:rsidRPr="008F3A6B">
        <w:rPr>
          <w:sz w:val="22"/>
          <w:szCs w:val="22"/>
        </w:rPr>
        <w:t>icense</w:t>
      </w:r>
      <w:r w:rsidR="001A58A3" w:rsidRPr="008F3A6B">
        <w:rPr>
          <w:sz w:val="22"/>
          <w:szCs w:val="22"/>
        </w:rPr>
        <w:t xml:space="preserve"> automatically terminated on that date</w:t>
      </w:r>
      <w:r w:rsidRPr="008F3A6B">
        <w:rPr>
          <w:sz w:val="22"/>
          <w:szCs w:val="22"/>
        </w:rPr>
        <w:t>.</w:t>
      </w:r>
      <w:r w:rsidR="008015F5" w:rsidRPr="008F3A6B">
        <w:rPr>
          <w:sz w:val="22"/>
          <w:szCs w:val="22"/>
        </w:rPr>
        <w:t xml:space="preserve"> </w:t>
      </w:r>
    </w:p>
    <w:p w:rsidR="009E68F6" w:rsidRPr="008F3A6B" w:rsidRDefault="009E68F6" w:rsidP="000D5907">
      <w:pPr>
        <w:rPr>
          <w:sz w:val="22"/>
          <w:szCs w:val="22"/>
        </w:rPr>
      </w:pPr>
    </w:p>
    <w:p w:rsidR="009E68F6" w:rsidRPr="00BA79A3" w:rsidRDefault="004A5181" w:rsidP="009E68F6">
      <w:pPr>
        <w:ind w:firstLine="720"/>
        <w:rPr>
          <w:sz w:val="22"/>
          <w:szCs w:val="22"/>
        </w:rPr>
      </w:pPr>
      <w:r w:rsidRPr="008F3A6B">
        <w:rPr>
          <w:sz w:val="22"/>
          <w:szCs w:val="22"/>
        </w:rPr>
        <w:t>On February 22, 2013, Data-Max filed a request for waiver of sections 1.946(e), 1.2110(f)</w:t>
      </w:r>
      <w:r w:rsidR="002D1458" w:rsidRPr="008F3A6B">
        <w:rPr>
          <w:sz w:val="22"/>
          <w:szCs w:val="22"/>
        </w:rPr>
        <w:t>(3)</w:t>
      </w:r>
      <w:r w:rsidRPr="008F3A6B">
        <w:rPr>
          <w:sz w:val="22"/>
          <w:szCs w:val="22"/>
        </w:rPr>
        <w:t>(vii) and 1.2110(f)</w:t>
      </w:r>
      <w:r w:rsidR="002D1458" w:rsidRPr="008F3A6B">
        <w:rPr>
          <w:sz w:val="22"/>
          <w:szCs w:val="22"/>
        </w:rPr>
        <w:t>(3)</w:t>
      </w:r>
      <w:r w:rsidRPr="008F3A6B">
        <w:rPr>
          <w:sz w:val="22"/>
          <w:szCs w:val="22"/>
        </w:rPr>
        <w:t>(viii) of the Commission’s rules</w:t>
      </w:r>
      <w:r w:rsidR="009C57B1" w:rsidRPr="008F3A6B">
        <w:rPr>
          <w:sz w:val="22"/>
          <w:szCs w:val="22"/>
        </w:rPr>
        <w:t>,</w:t>
      </w:r>
      <w:r w:rsidR="00EE2638" w:rsidRPr="008F3A6B">
        <w:rPr>
          <w:sz w:val="22"/>
          <w:szCs w:val="22"/>
        </w:rPr>
        <w:t xml:space="preserve"> seeking waiver of the TLBC construction and repayment deadlines,</w:t>
      </w:r>
      <w:r w:rsidRPr="008F3A6B">
        <w:rPr>
          <w:sz w:val="22"/>
          <w:szCs w:val="22"/>
        </w:rPr>
        <w:t xml:space="preserve"> as</w:t>
      </w:r>
      <w:r w:rsidR="00C80BE7" w:rsidRPr="008F3A6B">
        <w:rPr>
          <w:sz w:val="22"/>
          <w:szCs w:val="22"/>
        </w:rPr>
        <w:t xml:space="preserve"> well as a two-year</w:t>
      </w:r>
      <w:r w:rsidR="009C57B1" w:rsidRPr="008F3A6B">
        <w:rPr>
          <w:sz w:val="22"/>
          <w:szCs w:val="22"/>
        </w:rPr>
        <w:t xml:space="preserve"> extension of the TLBC </w:t>
      </w:r>
      <w:r w:rsidR="00C80BE7" w:rsidRPr="008F3A6B">
        <w:rPr>
          <w:sz w:val="22"/>
          <w:szCs w:val="22"/>
        </w:rPr>
        <w:t>construction deadline</w:t>
      </w:r>
      <w:r w:rsidRPr="008F3A6B">
        <w:rPr>
          <w:sz w:val="22"/>
          <w:szCs w:val="22"/>
        </w:rPr>
        <w:t xml:space="preserve"> (Waiver Request).</w:t>
      </w:r>
      <w:r w:rsidRPr="008F3A6B">
        <w:rPr>
          <w:rStyle w:val="FootnoteReference"/>
          <w:sz w:val="22"/>
          <w:szCs w:val="22"/>
        </w:rPr>
        <w:footnoteReference w:id="11"/>
      </w:r>
      <w:r w:rsidRPr="008F3A6B">
        <w:rPr>
          <w:sz w:val="22"/>
          <w:szCs w:val="22"/>
        </w:rPr>
        <w:t xml:space="preserve">  </w:t>
      </w:r>
      <w:r w:rsidR="009E68F6" w:rsidRPr="008F3A6B">
        <w:rPr>
          <w:sz w:val="22"/>
          <w:szCs w:val="22"/>
        </w:rPr>
        <w:t xml:space="preserve">In its Waiver Request, Data Max </w:t>
      </w:r>
      <w:r w:rsidR="00B66478">
        <w:rPr>
          <w:sz w:val="22"/>
          <w:szCs w:val="22"/>
        </w:rPr>
        <w:t>provided</w:t>
      </w:r>
      <w:r w:rsidR="009E68F6" w:rsidRPr="008F3A6B">
        <w:rPr>
          <w:sz w:val="22"/>
          <w:szCs w:val="22"/>
        </w:rPr>
        <w:t xml:space="preserve"> that it</w:t>
      </w:r>
      <w:r w:rsidR="00D11F85" w:rsidRPr="008F3A6B">
        <w:rPr>
          <w:sz w:val="22"/>
          <w:szCs w:val="22"/>
        </w:rPr>
        <w:t>s failure to meet</w:t>
      </w:r>
      <w:r w:rsidR="009E68F6" w:rsidRPr="008F3A6B">
        <w:rPr>
          <w:sz w:val="22"/>
          <w:szCs w:val="22"/>
        </w:rPr>
        <w:t xml:space="preserve"> the TLBC construction deadline, </w:t>
      </w:r>
      <w:r w:rsidR="00D11F85" w:rsidRPr="008F3A6B">
        <w:rPr>
          <w:sz w:val="22"/>
          <w:szCs w:val="22"/>
        </w:rPr>
        <w:t xml:space="preserve">as well as its failure </w:t>
      </w:r>
      <w:r w:rsidR="00D71989" w:rsidRPr="008F3A6B">
        <w:rPr>
          <w:sz w:val="22"/>
          <w:szCs w:val="22"/>
        </w:rPr>
        <w:t xml:space="preserve">to seek a timely </w:t>
      </w:r>
      <w:r w:rsidR="009E68F6" w:rsidRPr="008F3A6B">
        <w:rPr>
          <w:sz w:val="22"/>
          <w:szCs w:val="22"/>
        </w:rPr>
        <w:t xml:space="preserve">request for </w:t>
      </w:r>
      <w:r w:rsidR="00D11F85" w:rsidRPr="008F3A6B">
        <w:rPr>
          <w:sz w:val="22"/>
          <w:szCs w:val="22"/>
        </w:rPr>
        <w:t>extension of the deadline</w:t>
      </w:r>
      <w:r w:rsidR="00B66478">
        <w:rPr>
          <w:sz w:val="22"/>
          <w:szCs w:val="22"/>
        </w:rPr>
        <w:t>,</w:t>
      </w:r>
      <w:r w:rsidR="00D11F85" w:rsidRPr="008F3A6B">
        <w:rPr>
          <w:sz w:val="22"/>
          <w:szCs w:val="22"/>
        </w:rPr>
        <w:t xml:space="preserve"> was</w:t>
      </w:r>
      <w:r w:rsidR="009E68F6" w:rsidRPr="008F3A6B">
        <w:rPr>
          <w:sz w:val="22"/>
          <w:szCs w:val="22"/>
        </w:rPr>
        <w:t xml:space="preserve"> </w:t>
      </w:r>
      <w:r w:rsidR="00D71989" w:rsidRPr="008F3A6B">
        <w:rPr>
          <w:sz w:val="22"/>
          <w:szCs w:val="22"/>
        </w:rPr>
        <w:t>due</w:t>
      </w:r>
      <w:r w:rsidR="00B66478">
        <w:rPr>
          <w:sz w:val="22"/>
          <w:szCs w:val="22"/>
        </w:rPr>
        <w:t xml:space="preserve"> primarily</w:t>
      </w:r>
      <w:r w:rsidR="00D71989" w:rsidRPr="008F3A6B">
        <w:rPr>
          <w:sz w:val="22"/>
          <w:szCs w:val="22"/>
        </w:rPr>
        <w:t xml:space="preserve"> to a misunderstanding of </w:t>
      </w:r>
      <w:r w:rsidR="009E68F6" w:rsidRPr="008F3A6B">
        <w:rPr>
          <w:sz w:val="22"/>
          <w:szCs w:val="22"/>
        </w:rPr>
        <w:t>the applica</w:t>
      </w:r>
      <w:r w:rsidR="00D11F85" w:rsidRPr="008F3A6B">
        <w:rPr>
          <w:sz w:val="22"/>
          <w:szCs w:val="22"/>
        </w:rPr>
        <w:t xml:space="preserve">ble construction deadline stemming from </w:t>
      </w:r>
      <w:r w:rsidR="00D71989" w:rsidRPr="008F3A6B">
        <w:rPr>
          <w:sz w:val="22"/>
          <w:szCs w:val="22"/>
        </w:rPr>
        <w:t>changing</w:t>
      </w:r>
      <w:r w:rsidR="009E68F6" w:rsidRPr="008F3A6B">
        <w:rPr>
          <w:sz w:val="22"/>
          <w:szCs w:val="22"/>
        </w:rPr>
        <w:t xml:space="preserve"> DTV transition</w:t>
      </w:r>
      <w:r w:rsidR="00D71989" w:rsidRPr="008F3A6B">
        <w:rPr>
          <w:sz w:val="22"/>
          <w:szCs w:val="22"/>
        </w:rPr>
        <w:t xml:space="preserve"> deadlines</w:t>
      </w:r>
      <w:r w:rsidR="009E68F6" w:rsidRPr="008F3A6B">
        <w:rPr>
          <w:sz w:val="22"/>
          <w:szCs w:val="22"/>
        </w:rPr>
        <w:t xml:space="preserve"> and Commission orders implementing the DTV transition</w:t>
      </w:r>
      <w:r w:rsidR="003C2733">
        <w:rPr>
          <w:sz w:val="22"/>
          <w:szCs w:val="22"/>
        </w:rPr>
        <w:t>, as well as construction extensions granted to Lower 700 MHz A Block licensees</w:t>
      </w:r>
      <w:r w:rsidR="009E68F6" w:rsidRPr="008F3A6B">
        <w:rPr>
          <w:sz w:val="22"/>
          <w:szCs w:val="22"/>
        </w:rPr>
        <w:t>.</w:t>
      </w:r>
      <w:r w:rsidR="009E68F6" w:rsidRPr="008F3A6B">
        <w:rPr>
          <w:rStyle w:val="FootnoteReference"/>
          <w:sz w:val="22"/>
          <w:szCs w:val="22"/>
        </w:rPr>
        <w:footnoteReference w:id="12"/>
      </w:r>
      <w:r w:rsidR="009E68F6" w:rsidRPr="008F3A6B">
        <w:rPr>
          <w:sz w:val="22"/>
          <w:szCs w:val="22"/>
        </w:rPr>
        <w:t xml:space="preserve">  Data-Max </w:t>
      </w:r>
      <w:r w:rsidR="00D11F85" w:rsidRPr="008F3A6B">
        <w:rPr>
          <w:sz w:val="22"/>
          <w:szCs w:val="22"/>
        </w:rPr>
        <w:t xml:space="preserve">further argued </w:t>
      </w:r>
      <w:r w:rsidR="009E68F6" w:rsidRPr="008F3A6B">
        <w:rPr>
          <w:sz w:val="22"/>
          <w:szCs w:val="22"/>
        </w:rPr>
        <w:t>that</w:t>
      </w:r>
      <w:r w:rsidR="00EE2638" w:rsidRPr="008F3A6B">
        <w:rPr>
          <w:sz w:val="22"/>
          <w:szCs w:val="22"/>
        </w:rPr>
        <w:t>,</w:t>
      </w:r>
      <w:r w:rsidR="005774BA" w:rsidRPr="008F3A6B">
        <w:rPr>
          <w:sz w:val="22"/>
          <w:szCs w:val="22"/>
        </w:rPr>
        <w:t xml:space="preserve"> notwithstanding</w:t>
      </w:r>
      <w:r w:rsidR="00EE2638" w:rsidRPr="008F3A6B">
        <w:rPr>
          <w:sz w:val="22"/>
          <w:szCs w:val="22"/>
        </w:rPr>
        <w:t xml:space="preserve"> its confusion over</w:t>
      </w:r>
      <w:r w:rsidR="005774BA" w:rsidRPr="008F3A6B">
        <w:rPr>
          <w:sz w:val="22"/>
          <w:szCs w:val="22"/>
        </w:rPr>
        <w:t xml:space="preserve"> the applicable deadline, </w:t>
      </w:r>
      <w:r w:rsidR="009E68F6" w:rsidRPr="008F3A6B">
        <w:rPr>
          <w:sz w:val="22"/>
          <w:szCs w:val="22"/>
        </w:rPr>
        <w:t>it would</w:t>
      </w:r>
      <w:r w:rsidR="009C57B1" w:rsidRPr="008F3A6B">
        <w:rPr>
          <w:sz w:val="22"/>
          <w:szCs w:val="22"/>
        </w:rPr>
        <w:t xml:space="preserve"> not have been able to meet the three-year TLBC construction deadline</w:t>
      </w:r>
      <w:r w:rsidR="009E68F6" w:rsidRPr="008F3A6B">
        <w:rPr>
          <w:sz w:val="22"/>
          <w:szCs w:val="22"/>
        </w:rPr>
        <w:t xml:space="preserve"> due to circumstances beyond its control.</w:t>
      </w:r>
      <w:r w:rsidR="009E68F6" w:rsidRPr="008F3A6B">
        <w:rPr>
          <w:rStyle w:val="FootnoteReference"/>
          <w:sz w:val="22"/>
          <w:szCs w:val="22"/>
        </w:rPr>
        <w:footnoteReference w:id="13"/>
      </w:r>
      <w:r w:rsidR="009E68F6" w:rsidRPr="008F3A6B">
        <w:rPr>
          <w:sz w:val="22"/>
          <w:szCs w:val="22"/>
        </w:rPr>
        <w:t xml:space="preserve">  Data-Max state</w:t>
      </w:r>
      <w:r w:rsidR="008C4E38" w:rsidRPr="008F3A6B">
        <w:rPr>
          <w:sz w:val="22"/>
          <w:szCs w:val="22"/>
        </w:rPr>
        <w:t>d</w:t>
      </w:r>
      <w:r w:rsidR="009E68F6" w:rsidRPr="008F3A6B">
        <w:rPr>
          <w:sz w:val="22"/>
          <w:szCs w:val="22"/>
        </w:rPr>
        <w:t xml:space="preserve"> that prior to its TLBC deadline, there was a lack of viable equipment capable of providing</w:t>
      </w:r>
      <w:r w:rsidR="009E68F6" w:rsidRPr="00BA79A3">
        <w:rPr>
          <w:sz w:val="22"/>
          <w:szCs w:val="22"/>
        </w:rPr>
        <w:t xml:space="preserve"> </w:t>
      </w:r>
      <w:r w:rsidR="00D71989" w:rsidRPr="00BA79A3">
        <w:rPr>
          <w:sz w:val="22"/>
          <w:szCs w:val="22"/>
        </w:rPr>
        <w:t xml:space="preserve">fixed </w:t>
      </w:r>
      <w:r w:rsidR="009E68F6" w:rsidRPr="00BA79A3">
        <w:rPr>
          <w:sz w:val="22"/>
          <w:szCs w:val="22"/>
        </w:rPr>
        <w:t xml:space="preserve">LTE service in the Lower 700 MHz band such that it would not have been able to meet the </w:t>
      </w:r>
      <w:r w:rsidR="009C57B1" w:rsidRPr="00BA79A3">
        <w:rPr>
          <w:sz w:val="22"/>
          <w:szCs w:val="22"/>
        </w:rPr>
        <w:t xml:space="preserve">June 13, 2012 deadline. </w:t>
      </w:r>
      <w:r w:rsidR="009E68F6" w:rsidRPr="00BA79A3">
        <w:rPr>
          <w:sz w:val="22"/>
          <w:szCs w:val="22"/>
        </w:rPr>
        <w:t xml:space="preserve"> Data-Max argue</w:t>
      </w:r>
      <w:r w:rsidR="008C4E38" w:rsidRPr="00BA79A3">
        <w:rPr>
          <w:sz w:val="22"/>
          <w:szCs w:val="22"/>
        </w:rPr>
        <w:t>d</w:t>
      </w:r>
      <w:r w:rsidR="009E68F6" w:rsidRPr="00BA79A3">
        <w:rPr>
          <w:sz w:val="22"/>
          <w:szCs w:val="22"/>
        </w:rPr>
        <w:t xml:space="preserve"> that despite Data-Max’s good faith efforts to </w:t>
      </w:r>
      <w:r w:rsidR="003C2733">
        <w:rPr>
          <w:sz w:val="22"/>
          <w:szCs w:val="22"/>
        </w:rPr>
        <w:t>deploy its network</w:t>
      </w:r>
      <w:r w:rsidR="009E68F6" w:rsidRPr="00BA79A3">
        <w:rPr>
          <w:sz w:val="22"/>
          <w:szCs w:val="22"/>
        </w:rPr>
        <w:t xml:space="preserve">, the lack of suitable </w:t>
      </w:r>
      <w:r w:rsidR="008F3A6B">
        <w:rPr>
          <w:sz w:val="22"/>
          <w:szCs w:val="22"/>
        </w:rPr>
        <w:t xml:space="preserve">fixed LTE </w:t>
      </w:r>
      <w:r w:rsidR="009E68F6" w:rsidRPr="00BA79A3">
        <w:rPr>
          <w:sz w:val="22"/>
          <w:szCs w:val="22"/>
        </w:rPr>
        <w:t>equipment prevented it from meeting the construction required by the Commission’s TLBC rules.</w:t>
      </w:r>
      <w:r w:rsidR="009E68F6" w:rsidRPr="00BA79A3">
        <w:rPr>
          <w:rStyle w:val="FootnoteReference"/>
          <w:sz w:val="22"/>
          <w:szCs w:val="22"/>
        </w:rPr>
        <w:footnoteReference w:id="14"/>
      </w:r>
    </w:p>
    <w:p w:rsidR="009E68F6" w:rsidRPr="00BA79A3" w:rsidRDefault="009E68F6" w:rsidP="000D5907">
      <w:pPr>
        <w:rPr>
          <w:sz w:val="22"/>
          <w:szCs w:val="22"/>
        </w:rPr>
      </w:pPr>
    </w:p>
    <w:p w:rsidR="00471C87" w:rsidRPr="00BA79A3" w:rsidRDefault="009E68F6" w:rsidP="00126D46">
      <w:pPr>
        <w:ind w:firstLine="720"/>
        <w:rPr>
          <w:sz w:val="22"/>
          <w:szCs w:val="22"/>
        </w:rPr>
      </w:pPr>
      <w:r w:rsidRPr="00BA79A3">
        <w:rPr>
          <w:sz w:val="22"/>
          <w:szCs w:val="22"/>
        </w:rPr>
        <w:t>Data-Max state</w:t>
      </w:r>
      <w:r w:rsidR="008C4E38" w:rsidRPr="00BA79A3">
        <w:rPr>
          <w:sz w:val="22"/>
          <w:szCs w:val="22"/>
        </w:rPr>
        <w:t>d</w:t>
      </w:r>
      <w:r w:rsidRPr="00BA79A3">
        <w:rPr>
          <w:sz w:val="22"/>
          <w:szCs w:val="22"/>
        </w:rPr>
        <w:t xml:space="preserve"> that the public interest would be served by granting relief and that the underlying objective of the TLBC to bring communications</w:t>
      </w:r>
      <w:r w:rsidR="005774BA" w:rsidRPr="00BA79A3">
        <w:rPr>
          <w:sz w:val="22"/>
          <w:szCs w:val="22"/>
        </w:rPr>
        <w:t xml:space="preserve"> services to Tribal communities</w:t>
      </w:r>
      <w:r w:rsidRPr="00BA79A3">
        <w:rPr>
          <w:sz w:val="22"/>
          <w:szCs w:val="22"/>
        </w:rPr>
        <w:t xml:space="preserve"> would otherwise be </w:t>
      </w:r>
      <w:r w:rsidR="00C80BE7" w:rsidRPr="00BA79A3">
        <w:rPr>
          <w:sz w:val="22"/>
          <w:szCs w:val="22"/>
        </w:rPr>
        <w:t>thwarted.</w:t>
      </w:r>
      <w:r w:rsidRPr="00BA79A3">
        <w:rPr>
          <w:rStyle w:val="FootnoteReference"/>
          <w:sz w:val="22"/>
          <w:szCs w:val="22"/>
        </w:rPr>
        <w:footnoteReference w:id="15"/>
      </w:r>
      <w:r w:rsidRPr="00BA79A3">
        <w:rPr>
          <w:sz w:val="22"/>
          <w:szCs w:val="22"/>
        </w:rPr>
        <w:t xml:space="preserve">  Data-Max note</w:t>
      </w:r>
      <w:r w:rsidR="008C4E38" w:rsidRPr="00BA79A3">
        <w:rPr>
          <w:sz w:val="22"/>
          <w:szCs w:val="22"/>
        </w:rPr>
        <w:t>d</w:t>
      </w:r>
      <w:r w:rsidRPr="00BA79A3">
        <w:rPr>
          <w:sz w:val="22"/>
          <w:szCs w:val="22"/>
        </w:rPr>
        <w:t xml:space="preserve"> that it already has made significant investments and progress in </w:t>
      </w:r>
      <w:r w:rsidRPr="00BA79A3">
        <w:rPr>
          <w:sz w:val="22"/>
          <w:szCs w:val="22"/>
        </w:rPr>
        <w:lastRenderedPageBreak/>
        <w:t xml:space="preserve">constructing infrastructure for a </w:t>
      </w:r>
      <w:r w:rsidR="00D71989" w:rsidRPr="00BA79A3">
        <w:rPr>
          <w:sz w:val="22"/>
          <w:szCs w:val="22"/>
        </w:rPr>
        <w:t xml:space="preserve">fixed </w:t>
      </w:r>
      <w:r w:rsidRPr="00BA79A3">
        <w:rPr>
          <w:sz w:val="22"/>
          <w:szCs w:val="22"/>
        </w:rPr>
        <w:t>LTE system that can provide wireless broadband servi</w:t>
      </w:r>
      <w:r w:rsidR="005774BA" w:rsidRPr="00BA79A3">
        <w:rPr>
          <w:sz w:val="22"/>
          <w:szCs w:val="22"/>
        </w:rPr>
        <w:t xml:space="preserve">ces to the Hualapai Reservation, </w:t>
      </w:r>
      <w:r w:rsidRPr="00BA79A3">
        <w:rPr>
          <w:sz w:val="22"/>
          <w:szCs w:val="22"/>
        </w:rPr>
        <w:t xml:space="preserve">and that once Data-Max can obtain suitable equipment, it </w:t>
      </w:r>
      <w:r w:rsidR="00220231">
        <w:rPr>
          <w:sz w:val="22"/>
          <w:szCs w:val="22"/>
        </w:rPr>
        <w:t>will</w:t>
      </w:r>
      <w:r w:rsidRPr="00BA79A3">
        <w:rPr>
          <w:sz w:val="22"/>
          <w:szCs w:val="22"/>
        </w:rPr>
        <w:t xml:space="preserve"> be able to finish its network and deploy service promptly.</w:t>
      </w:r>
      <w:r w:rsidRPr="00BA79A3">
        <w:rPr>
          <w:rStyle w:val="FootnoteReference"/>
          <w:sz w:val="22"/>
          <w:szCs w:val="22"/>
        </w:rPr>
        <w:footnoteReference w:id="16"/>
      </w:r>
      <w:r w:rsidR="00F6239F" w:rsidRPr="00BA79A3">
        <w:rPr>
          <w:sz w:val="22"/>
          <w:szCs w:val="22"/>
        </w:rPr>
        <w:t xml:space="preserve">  </w:t>
      </w:r>
      <w:r w:rsidR="008C4E38" w:rsidRPr="00BA79A3">
        <w:rPr>
          <w:sz w:val="22"/>
          <w:szCs w:val="22"/>
        </w:rPr>
        <w:t>Data-Max</w:t>
      </w:r>
      <w:r w:rsidR="00220231">
        <w:rPr>
          <w:sz w:val="22"/>
          <w:szCs w:val="22"/>
        </w:rPr>
        <w:t xml:space="preserve"> further</w:t>
      </w:r>
      <w:r w:rsidR="008C4E38" w:rsidRPr="00BA79A3">
        <w:rPr>
          <w:sz w:val="22"/>
          <w:szCs w:val="22"/>
        </w:rPr>
        <w:t xml:space="preserve"> </w:t>
      </w:r>
      <w:r w:rsidR="005774BA" w:rsidRPr="00BA79A3">
        <w:rPr>
          <w:sz w:val="22"/>
          <w:szCs w:val="22"/>
        </w:rPr>
        <w:t>requested</w:t>
      </w:r>
      <w:r w:rsidR="008C4E38" w:rsidRPr="00BA79A3">
        <w:rPr>
          <w:sz w:val="22"/>
          <w:szCs w:val="22"/>
        </w:rPr>
        <w:t xml:space="preserve"> that, to the extent that the Commission does not waive or extend the construction deadline set out in section 1.2110(f)(3</w:t>
      </w:r>
      <w:r w:rsidR="003932C9">
        <w:rPr>
          <w:sz w:val="22"/>
          <w:szCs w:val="22"/>
        </w:rPr>
        <w:t>)</w:t>
      </w:r>
      <w:r w:rsidR="008C4E38" w:rsidRPr="00BA79A3">
        <w:rPr>
          <w:sz w:val="22"/>
          <w:szCs w:val="22"/>
        </w:rPr>
        <w:t xml:space="preserve">(vii), </w:t>
      </w:r>
      <w:r w:rsidR="005774BA" w:rsidRPr="00BA79A3">
        <w:rPr>
          <w:sz w:val="22"/>
          <w:szCs w:val="22"/>
        </w:rPr>
        <w:t>t</w:t>
      </w:r>
      <w:r w:rsidR="008C4E38" w:rsidRPr="00BA79A3">
        <w:rPr>
          <w:sz w:val="22"/>
          <w:szCs w:val="22"/>
        </w:rPr>
        <w:t>he Commission waive the automatic termination provision of the TLBC</w:t>
      </w:r>
      <w:r w:rsidR="008015F5" w:rsidRPr="00BA79A3">
        <w:rPr>
          <w:sz w:val="22"/>
          <w:szCs w:val="22"/>
        </w:rPr>
        <w:t xml:space="preserve"> conditioned </w:t>
      </w:r>
      <w:r w:rsidR="005C5F10" w:rsidRPr="00BA79A3">
        <w:rPr>
          <w:sz w:val="22"/>
          <w:szCs w:val="22"/>
        </w:rPr>
        <w:t>upon</w:t>
      </w:r>
      <w:r w:rsidR="008015F5" w:rsidRPr="00BA79A3">
        <w:rPr>
          <w:sz w:val="22"/>
          <w:szCs w:val="22"/>
        </w:rPr>
        <w:t xml:space="preserve"> repayment of the TLBC.</w:t>
      </w:r>
      <w:r w:rsidR="008015F5" w:rsidRPr="00BA79A3">
        <w:rPr>
          <w:rStyle w:val="FootnoteReference"/>
          <w:sz w:val="22"/>
          <w:szCs w:val="22"/>
        </w:rPr>
        <w:footnoteReference w:id="17"/>
      </w:r>
      <w:r w:rsidR="008015F5" w:rsidRPr="00BA79A3">
        <w:rPr>
          <w:sz w:val="22"/>
          <w:szCs w:val="22"/>
        </w:rPr>
        <w:t xml:space="preserve">  </w:t>
      </w:r>
      <w:r w:rsidR="00300CAD">
        <w:rPr>
          <w:sz w:val="22"/>
          <w:szCs w:val="22"/>
        </w:rPr>
        <w:t>More recently</w:t>
      </w:r>
      <w:r w:rsidR="008C4E38" w:rsidRPr="00BA79A3">
        <w:rPr>
          <w:sz w:val="22"/>
          <w:szCs w:val="22"/>
        </w:rPr>
        <w:t>, Data-Max filed a supplement to its Waiver Reque</w:t>
      </w:r>
      <w:r w:rsidR="00C03717" w:rsidRPr="00BA79A3">
        <w:rPr>
          <w:sz w:val="22"/>
          <w:szCs w:val="22"/>
        </w:rPr>
        <w:t xml:space="preserve">st, </w:t>
      </w:r>
      <w:r w:rsidR="008767F3" w:rsidRPr="00BA79A3">
        <w:rPr>
          <w:sz w:val="22"/>
          <w:szCs w:val="22"/>
        </w:rPr>
        <w:t>again urging</w:t>
      </w:r>
      <w:r w:rsidR="00C03717" w:rsidRPr="00BA79A3">
        <w:rPr>
          <w:sz w:val="22"/>
          <w:szCs w:val="22"/>
        </w:rPr>
        <w:t xml:space="preserve"> the Commission </w:t>
      </w:r>
      <w:r w:rsidR="008767F3" w:rsidRPr="00BA79A3">
        <w:rPr>
          <w:sz w:val="22"/>
          <w:szCs w:val="22"/>
        </w:rPr>
        <w:t xml:space="preserve">to </w:t>
      </w:r>
      <w:r w:rsidR="00411006" w:rsidRPr="00BA79A3">
        <w:rPr>
          <w:sz w:val="22"/>
          <w:szCs w:val="22"/>
        </w:rPr>
        <w:t>grant a waiver of the automatic termination provision</w:t>
      </w:r>
      <w:r w:rsidR="008767F3" w:rsidRPr="00BA79A3">
        <w:rPr>
          <w:sz w:val="22"/>
          <w:szCs w:val="22"/>
        </w:rPr>
        <w:t xml:space="preserve"> of section 1.2110(f)(3</w:t>
      </w:r>
      <w:r w:rsidR="003932C9">
        <w:rPr>
          <w:sz w:val="22"/>
          <w:szCs w:val="22"/>
        </w:rPr>
        <w:t>)</w:t>
      </w:r>
      <w:r w:rsidR="008767F3" w:rsidRPr="00BA79A3">
        <w:rPr>
          <w:sz w:val="22"/>
          <w:szCs w:val="22"/>
        </w:rPr>
        <w:t>(viii)</w:t>
      </w:r>
      <w:r w:rsidR="00126D46" w:rsidRPr="00BA79A3">
        <w:rPr>
          <w:sz w:val="22"/>
          <w:szCs w:val="22"/>
        </w:rPr>
        <w:t xml:space="preserve"> </w:t>
      </w:r>
      <w:r w:rsidR="003C2733">
        <w:rPr>
          <w:sz w:val="22"/>
          <w:szCs w:val="22"/>
        </w:rPr>
        <w:t>conditioned upon</w:t>
      </w:r>
      <w:r w:rsidR="00126D46" w:rsidRPr="00BA79A3">
        <w:rPr>
          <w:sz w:val="22"/>
          <w:szCs w:val="22"/>
        </w:rPr>
        <w:t xml:space="preserve"> expeditious payment of the credit</w:t>
      </w:r>
      <w:r w:rsidR="003C2733">
        <w:rPr>
          <w:sz w:val="22"/>
          <w:szCs w:val="22"/>
        </w:rPr>
        <w:t xml:space="preserve"> by Data-Max</w:t>
      </w:r>
      <w:r w:rsidR="00411006" w:rsidRPr="00BA79A3">
        <w:rPr>
          <w:sz w:val="22"/>
          <w:szCs w:val="22"/>
        </w:rPr>
        <w:t>.</w:t>
      </w:r>
      <w:r w:rsidR="00411006" w:rsidRPr="00BA79A3">
        <w:rPr>
          <w:rStyle w:val="FootnoteReference"/>
          <w:sz w:val="22"/>
          <w:szCs w:val="22"/>
        </w:rPr>
        <w:footnoteReference w:id="18"/>
      </w:r>
      <w:r w:rsidR="00C03717" w:rsidRPr="00BA79A3">
        <w:rPr>
          <w:sz w:val="22"/>
          <w:szCs w:val="22"/>
        </w:rPr>
        <w:t xml:space="preserve"> </w:t>
      </w:r>
      <w:r w:rsidR="00220231">
        <w:rPr>
          <w:sz w:val="22"/>
          <w:szCs w:val="22"/>
        </w:rPr>
        <w:t xml:space="preserve"> Moreover, </w:t>
      </w:r>
      <w:r w:rsidR="00126D46" w:rsidRPr="00BA79A3">
        <w:rPr>
          <w:sz w:val="22"/>
          <w:szCs w:val="22"/>
        </w:rPr>
        <w:t xml:space="preserve">Data-Max </w:t>
      </w:r>
      <w:r w:rsidR="003C2733">
        <w:rPr>
          <w:sz w:val="22"/>
          <w:szCs w:val="22"/>
        </w:rPr>
        <w:t>reaffirmed</w:t>
      </w:r>
      <w:r w:rsidR="00220231">
        <w:rPr>
          <w:sz w:val="22"/>
          <w:szCs w:val="22"/>
        </w:rPr>
        <w:t xml:space="preserve"> </w:t>
      </w:r>
      <w:r w:rsidR="00126D46" w:rsidRPr="00BA79A3">
        <w:rPr>
          <w:sz w:val="22"/>
          <w:szCs w:val="22"/>
        </w:rPr>
        <w:t xml:space="preserve">its commitment to construct a fixed broadband wireless network that will serve the Hualapai </w:t>
      </w:r>
      <w:r w:rsidR="003C2733">
        <w:rPr>
          <w:sz w:val="22"/>
          <w:szCs w:val="22"/>
        </w:rPr>
        <w:t>Tribe</w:t>
      </w:r>
      <w:r w:rsidR="00126D46" w:rsidRPr="00BA79A3">
        <w:rPr>
          <w:sz w:val="22"/>
          <w:szCs w:val="22"/>
        </w:rPr>
        <w:t>.</w:t>
      </w:r>
      <w:r w:rsidR="00126D46" w:rsidRPr="00BA79A3">
        <w:rPr>
          <w:rStyle w:val="FootnoteReference"/>
          <w:sz w:val="22"/>
          <w:szCs w:val="22"/>
        </w:rPr>
        <w:footnoteReference w:id="19"/>
      </w:r>
      <w:r w:rsidR="008767F3" w:rsidRPr="00BA79A3">
        <w:rPr>
          <w:sz w:val="22"/>
          <w:szCs w:val="22"/>
        </w:rPr>
        <w:t xml:space="preserve"> </w:t>
      </w:r>
      <w:r w:rsidR="00126D46" w:rsidRPr="00BA79A3">
        <w:rPr>
          <w:sz w:val="22"/>
          <w:szCs w:val="22"/>
        </w:rPr>
        <w:t xml:space="preserve">  </w:t>
      </w:r>
      <w:r w:rsidR="008015F5" w:rsidRPr="00BA79A3">
        <w:rPr>
          <w:sz w:val="22"/>
          <w:szCs w:val="22"/>
        </w:rPr>
        <w:t xml:space="preserve">Data-Max </w:t>
      </w:r>
      <w:r w:rsidR="00126D46" w:rsidRPr="00BA79A3">
        <w:rPr>
          <w:sz w:val="22"/>
          <w:szCs w:val="22"/>
        </w:rPr>
        <w:t>has since</w:t>
      </w:r>
      <w:r w:rsidR="008015F5" w:rsidRPr="00BA79A3">
        <w:rPr>
          <w:sz w:val="22"/>
          <w:szCs w:val="22"/>
        </w:rPr>
        <w:t xml:space="preserve"> repaid the </w:t>
      </w:r>
      <w:r w:rsidR="00266147" w:rsidRPr="00BA79A3">
        <w:rPr>
          <w:sz w:val="22"/>
          <w:szCs w:val="22"/>
        </w:rPr>
        <w:t xml:space="preserve">TLBC </w:t>
      </w:r>
      <w:r w:rsidR="00CC7E4A">
        <w:rPr>
          <w:sz w:val="22"/>
          <w:szCs w:val="22"/>
        </w:rPr>
        <w:t>plus interest</w:t>
      </w:r>
      <w:r w:rsidR="00323601">
        <w:rPr>
          <w:sz w:val="22"/>
          <w:szCs w:val="22"/>
        </w:rPr>
        <w:t>/penalties</w:t>
      </w:r>
      <w:r w:rsidR="00CC7E4A">
        <w:rPr>
          <w:sz w:val="22"/>
          <w:szCs w:val="22"/>
        </w:rPr>
        <w:t xml:space="preserve"> as required</w:t>
      </w:r>
      <w:r w:rsidR="008767F3" w:rsidRPr="00BA79A3">
        <w:rPr>
          <w:sz w:val="22"/>
          <w:szCs w:val="22"/>
        </w:rPr>
        <w:t xml:space="preserve"> </w:t>
      </w:r>
      <w:r w:rsidR="00CC7E4A">
        <w:rPr>
          <w:sz w:val="22"/>
          <w:szCs w:val="22"/>
        </w:rPr>
        <w:t xml:space="preserve">under the Commission’s rules </w:t>
      </w:r>
      <w:r w:rsidR="008015F5" w:rsidRPr="00BA79A3">
        <w:rPr>
          <w:sz w:val="22"/>
          <w:szCs w:val="22"/>
        </w:rPr>
        <w:t xml:space="preserve">in a good faith effort </w:t>
      </w:r>
      <w:r w:rsidR="00126D46" w:rsidRPr="00BA79A3">
        <w:rPr>
          <w:sz w:val="22"/>
          <w:szCs w:val="22"/>
        </w:rPr>
        <w:t xml:space="preserve">to expedite resolution of this matter and </w:t>
      </w:r>
      <w:r w:rsidR="007E03C5">
        <w:rPr>
          <w:sz w:val="22"/>
          <w:szCs w:val="22"/>
        </w:rPr>
        <w:t xml:space="preserve">to </w:t>
      </w:r>
      <w:r w:rsidR="008F3A6B">
        <w:rPr>
          <w:sz w:val="22"/>
          <w:szCs w:val="22"/>
        </w:rPr>
        <w:t>help</w:t>
      </w:r>
      <w:r w:rsidR="00126D46" w:rsidRPr="00BA79A3">
        <w:rPr>
          <w:sz w:val="22"/>
          <w:szCs w:val="22"/>
        </w:rPr>
        <w:t xml:space="preserve"> </w:t>
      </w:r>
      <w:r w:rsidR="008015F5" w:rsidRPr="00BA79A3">
        <w:rPr>
          <w:sz w:val="22"/>
          <w:szCs w:val="22"/>
        </w:rPr>
        <w:t>bring itself into compliance.</w:t>
      </w:r>
      <w:r w:rsidR="003C2733">
        <w:rPr>
          <w:rStyle w:val="FootnoteReference"/>
          <w:sz w:val="22"/>
          <w:szCs w:val="22"/>
        </w:rPr>
        <w:footnoteReference w:id="20"/>
      </w:r>
      <w:r w:rsidR="008015F5" w:rsidRPr="00BA79A3">
        <w:rPr>
          <w:sz w:val="22"/>
          <w:szCs w:val="22"/>
        </w:rPr>
        <w:t xml:space="preserve"> </w:t>
      </w:r>
    </w:p>
    <w:p w:rsidR="008015F5" w:rsidRPr="00BA79A3" w:rsidRDefault="008015F5" w:rsidP="000D5907">
      <w:pPr>
        <w:rPr>
          <w:sz w:val="22"/>
          <w:szCs w:val="22"/>
        </w:rPr>
      </w:pPr>
    </w:p>
    <w:p w:rsidR="00471C87" w:rsidRPr="00BA79A3" w:rsidRDefault="00471C87" w:rsidP="00E74F5A">
      <w:pPr>
        <w:ind w:firstLine="720"/>
        <w:rPr>
          <w:sz w:val="22"/>
          <w:szCs w:val="22"/>
        </w:rPr>
      </w:pPr>
      <w:r w:rsidRPr="00BA79A3">
        <w:rPr>
          <w:sz w:val="22"/>
          <w:szCs w:val="22"/>
        </w:rPr>
        <w:t xml:space="preserve">Section 1.946 of the Commission’s rules </w:t>
      </w:r>
      <w:r w:rsidR="005D7688" w:rsidRPr="00BA79A3">
        <w:rPr>
          <w:sz w:val="22"/>
          <w:szCs w:val="22"/>
        </w:rPr>
        <w:t>governs extensions of construction periods for stations in the wireless radio services</w:t>
      </w:r>
      <w:r w:rsidRPr="00BA79A3">
        <w:rPr>
          <w:sz w:val="22"/>
          <w:szCs w:val="22"/>
        </w:rPr>
        <w:t>.</w:t>
      </w:r>
      <w:r w:rsidRPr="00BA79A3">
        <w:rPr>
          <w:rStyle w:val="FootnoteReference"/>
          <w:sz w:val="22"/>
          <w:szCs w:val="22"/>
        </w:rPr>
        <w:footnoteReference w:id="21"/>
      </w:r>
      <w:r w:rsidRPr="00BA79A3">
        <w:rPr>
          <w:sz w:val="22"/>
          <w:szCs w:val="22"/>
        </w:rPr>
        <w:t xml:space="preserve">  </w:t>
      </w:r>
      <w:r w:rsidR="005D7688" w:rsidRPr="00BA79A3">
        <w:rPr>
          <w:sz w:val="22"/>
          <w:szCs w:val="22"/>
        </w:rPr>
        <w:t xml:space="preserve">The rule provides that relief may be granted for good cause if such relief is requested </w:t>
      </w:r>
      <w:r w:rsidRPr="00BA79A3">
        <w:rPr>
          <w:sz w:val="22"/>
          <w:szCs w:val="22"/>
        </w:rPr>
        <w:t>before the expiration of the construction period.</w:t>
      </w:r>
      <w:r w:rsidRPr="00BA79A3">
        <w:rPr>
          <w:rStyle w:val="FootnoteReference"/>
          <w:sz w:val="22"/>
          <w:szCs w:val="22"/>
        </w:rPr>
        <w:footnoteReference w:id="22"/>
      </w:r>
      <w:r w:rsidRPr="00BA79A3">
        <w:rPr>
          <w:sz w:val="22"/>
          <w:szCs w:val="22"/>
        </w:rPr>
        <w:t xml:space="preserve"> </w:t>
      </w:r>
      <w:r w:rsidR="005C5F10" w:rsidRPr="00BA79A3">
        <w:rPr>
          <w:sz w:val="22"/>
          <w:szCs w:val="22"/>
        </w:rPr>
        <w:t xml:space="preserve"> Because Data-Max did not request an extension of the tribal lands construction requirement in a timely manner, Data-Max requires a waiver of section 1.946(e) to allow consideration of its untimely filing.  The Commission has repeatedly emphasized that requiring licensees to timely seek relief serves important public policy objectives and has dismissed untimely requests for relief.</w:t>
      </w:r>
      <w:r w:rsidR="005C5F10" w:rsidRPr="00BA79A3">
        <w:rPr>
          <w:rStyle w:val="FootnoteReference"/>
          <w:sz w:val="22"/>
          <w:szCs w:val="22"/>
        </w:rPr>
        <w:footnoteReference w:id="23"/>
      </w:r>
      <w:r w:rsidR="005C5F10" w:rsidRPr="00BA79A3">
        <w:rPr>
          <w:sz w:val="22"/>
          <w:szCs w:val="22"/>
        </w:rPr>
        <w:t xml:space="preserve">  The Commission may, however, entertain late-filed petitions where it is in the public interest to grant relief.  </w:t>
      </w:r>
      <w:r w:rsidR="00DB5444" w:rsidRPr="00BA79A3">
        <w:rPr>
          <w:sz w:val="22"/>
          <w:szCs w:val="22"/>
        </w:rPr>
        <w:t>If a licensee does not file a request to extend the construction period before its expiration, a waiver from Section 1.946(e) to permit untimely filing may be granted, pursuant to section 1.925(b)(3) of the Commission’s rules, if the petitioner establishes that: 1) the underlying purpose of the rule would not be served or would be frustrated by application of the instant case, and that grant of the waiver would be in the public interest; or 2) where the petitioner establishes unique or unusual factual circumstances, that application of the rules would be inequitable, unduly burdensome or contrary to the public interest, or the applicant has no reasonable alternative.</w:t>
      </w:r>
      <w:r w:rsidR="00DB5444" w:rsidRPr="00BA79A3">
        <w:rPr>
          <w:rStyle w:val="FootnoteReference"/>
          <w:sz w:val="22"/>
          <w:szCs w:val="22"/>
        </w:rPr>
        <w:footnoteReference w:id="24"/>
      </w:r>
      <w:r w:rsidR="00DB5444" w:rsidRPr="00BA79A3">
        <w:rPr>
          <w:sz w:val="22"/>
          <w:szCs w:val="22"/>
        </w:rPr>
        <w:t xml:space="preserve">  </w:t>
      </w:r>
      <w:r w:rsidRPr="00BA79A3">
        <w:rPr>
          <w:sz w:val="22"/>
          <w:szCs w:val="22"/>
        </w:rPr>
        <w:t xml:space="preserve">Despite </w:t>
      </w:r>
      <w:r w:rsidR="00C939A6" w:rsidRPr="00BA79A3">
        <w:rPr>
          <w:sz w:val="22"/>
          <w:szCs w:val="22"/>
        </w:rPr>
        <w:t>Data</w:t>
      </w:r>
      <w:r w:rsidR="004E0BEA" w:rsidRPr="00BA79A3">
        <w:rPr>
          <w:sz w:val="22"/>
          <w:szCs w:val="22"/>
        </w:rPr>
        <w:t>-</w:t>
      </w:r>
      <w:r w:rsidR="00C939A6" w:rsidRPr="00BA79A3">
        <w:rPr>
          <w:sz w:val="22"/>
          <w:szCs w:val="22"/>
        </w:rPr>
        <w:t>Max’s failure to file it</w:t>
      </w:r>
      <w:r w:rsidR="005D7688" w:rsidRPr="00BA79A3">
        <w:rPr>
          <w:sz w:val="22"/>
          <w:szCs w:val="22"/>
        </w:rPr>
        <w:t xml:space="preserve">s petition until after </w:t>
      </w:r>
      <w:r w:rsidR="009E68F6" w:rsidRPr="00BA79A3">
        <w:rPr>
          <w:sz w:val="22"/>
          <w:szCs w:val="22"/>
        </w:rPr>
        <w:t>its</w:t>
      </w:r>
      <w:r w:rsidR="005D7688" w:rsidRPr="00BA79A3">
        <w:rPr>
          <w:sz w:val="22"/>
          <w:szCs w:val="22"/>
        </w:rPr>
        <w:t xml:space="preserve"> tribal lands construction period had lapsed</w:t>
      </w:r>
      <w:r w:rsidRPr="00BA79A3">
        <w:rPr>
          <w:sz w:val="22"/>
          <w:szCs w:val="22"/>
        </w:rPr>
        <w:t>, we find tha</w:t>
      </w:r>
      <w:r w:rsidR="001F1244" w:rsidRPr="00BA79A3">
        <w:rPr>
          <w:sz w:val="22"/>
          <w:szCs w:val="22"/>
        </w:rPr>
        <w:t xml:space="preserve">t based on the totality of </w:t>
      </w:r>
      <w:r w:rsidR="003F105F">
        <w:rPr>
          <w:sz w:val="22"/>
          <w:szCs w:val="22"/>
        </w:rPr>
        <w:t>factors</w:t>
      </w:r>
      <w:r w:rsidR="001F1244" w:rsidRPr="00BA79A3">
        <w:rPr>
          <w:sz w:val="22"/>
          <w:szCs w:val="22"/>
        </w:rPr>
        <w:t xml:space="preserve"> presented, good cause </w:t>
      </w:r>
      <w:r w:rsidR="00326350" w:rsidRPr="00BA79A3">
        <w:rPr>
          <w:sz w:val="22"/>
          <w:szCs w:val="22"/>
        </w:rPr>
        <w:t xml:space="preserve">exists </w:t>
      </w:r>
      <w:r w:rsidRPr="00BA79A3">
        <w:rPr>
          <w:sz w:val="22"/>
          <w:szCs w:val="22"/>
        </w:rPr>
        <w:t>to consider t</w:t>
      </w:r>
      <w:r w:rsidR="00F47401" w:rsidRPr="00BA79A3">
        <w:rPr>
          <w:sz w:val="22"/>
          <w:szCs w:val="22"/>
        </w:rPr>
        <w:t>he merits of Data</w:t>
      </w:r>
      <w:r w:rsidR="004E0BEA" w:rsidRPr="00BA79A3">
        <w:rPr>
          <w:sz w:val="22"/>
          <w:szCs w:val="22"/>
        </w:rPr>
        <w:t>-</w:t>
      </w:r>
      <w:r w:rsidR="001F1244" w:rsidRPr="00BA79A3">
        <w:rPr>
          <w:sz w:val="22"/>
          <w:szCs w:val="22"/>
        </w:rPr>
        <w:t>Max's petition and to gr</w:t>
      </w:r>
      <w:r w:rsidR="003F105F">
        <w:rPr>
          <w:sz w:val="22"/>
          <w:szCs w:val="22"/>
        </w:rPr>
        <w:t>ant a limited waiver of the Commission’s</w:t>
      </w:r>
      <w:r w:rsidR="001F1244" w:rsidRPr="00BA79A3">
        <w:rPr>
          <w:sz w:val="22"/>
          <w:szCs w:val="22"/>
        </w:rPr>
        <w:t xml:space="preserve"> rules.</w:t>
      </w:r>
      <w:r w:rsidR="00BD66FE">
        <w:rPr>
          <w:rStyle w:val="FootnoteReference"/>
          <w:sz w:val="22"/>
          <w:szCs w:val="22"/>
        </w:rPr>
        <w:footnoteReference w:id="25"/>
      </w:r>
    </w:p>
    <w:p w:rsidR="00326350" w:rsidRPr="00BA79A3" w:rsidRDefault="00326350" w:rsidP="000D5907">
      <w:pPr>
        <w:rPr>
          <w:sz w:val="22"/>
          <w:szCs w:val="22"/>
        </w:rPr>
      </w:pPr>
    </w:p>
    <w:p w:rsidR="004629FC" w:rsidRPr="00BA79A3" w:rsidRDefault="00A9272E" w:rsidP="00A9272E">
      <w:pPr>
        <w:ind w:firstLine="720"/>
        <w:rPr>
          <w:sz w:val="22"/>
          <w:szCs w:val="22"/>
        </w:rPr>
      </w:pPr>
      <w:r>
        <w:rPr>
          <w:sz w:val="22"/>
          <w:szCs w:val="22"/>
        </w:rPr>
        <w:t>W</w:t>
      </w:r>
      <w:r w:rsidRPr="00BA79A3">
        <w:rPr>
          <w:sz w:val="22"/>
          <w:szCs w:val="22"/>
        </w:rPr>
        <w:t>e conclude</w:t>
      </w:r>
      <w:r>
        <w:rPr>
          <w:sz w:val="22"/>
          <w:szCs w:val="22"/>
        </w:rPr>
        <w:t xml:space="preserve"> that</w:t>
      </w:r>
      <w:r w:rsidR="00C47D73">
        <w:rPr>
          <w:sz w:val="22"/>
          <w:szCs w:val="22"/>
        </w:rPr>
        <w:t xml:space="preserve"> </w:t>
      </w:r>
      <w:r>
        <w:rPr>
          <w:sz w:val="22"/>
          <w:szCs w:val="22"/>
        </w:rPr>
        <w:t xml:space="preserve">the underlying purpose of the rules would not be served, and that </w:t>
      </w:r>
      <w:r w:rsidRPr="00BA79A3">
        <w:rPr>
          <w:sz w:val="22"/>
          <w:szCs w:val="22"/>
        </w:rPr>
        <w:t>the public interest supports a waiver of the automatic termination provision found in section 1.2110(f)</w:t>
      </w:r>
      <w:r w:rsidR="003932C9">
        <w:rPr>
          <w:sz w:val="22"/>
          <w:szCs w:val="22"/>
        </w:rPr>
        <w:t>(3)</w:t>
      </w:r>
      <w:r w:rsidRPr="00BA79A3">
        <w:rPr>
          <w:sz w:val="22"/>
          <w:szCs w:val="22"/>
        </w:rPr>
        <w:t xml:space="preserve">(viii) and reinstatement of Data-Max’s license.  </w:t>
      </w:r>
      <w:r w:rsidR="004629FC" w:rsidRPr="00BA79A3">
        <w:rPr>
          <w:sz w:val="22"/>
          <w:szCs w:val="22"/>
        </w:rPr>
        <w:t>The Commission established the tribal lands bidding credit program in order to encourage the deployment of wireless telecommunications services to underserved tribal areas.</w:t>
      </w:r>
      <w:r w:rsidR="004629FC" w:rsidRPr="00BA79A3">
        <w:rPr>
          <w:rStyle w:val="FootnoteReference"/>
          <w:sz w:val="22"/>
          <w:szCs w:val="22"/>
        </w:rPr>
        <w:footnoteReference w:id="26"/>
      </w:r>
      <w:r w:rsidR="004629FC" w:rsidRPr="00BA79A3">
        <w:rPr>
          <w:sz w:val="22"/>
          <w:szCs w:val="22"/>
        </w:rPr>
        <w:t xml:space="preserve">  From a review of services currently being provided on the Hualapai Indian Reservation, it appears that, while some wireless service is available, </w:t>
      </w:r>
      <w:r w:rsidR="004629FC">
        <w:rPr>
          <w:sz w:val="22"/>
          <w:szCs w:val="22"/>
        </w:rPr>
        <w:t xml:space="preserve">little or no </w:t>
      </w:r>
      <w:r w:rsidR="004629FC" w:rsidRPr="00BA79A3">
        <w:rPr>
          <w:sz w:val="22"/>
          <w:szCs w:val="22"/>
        </w:rPr>
        <w:t>wir</w:t>
      </w:r>
      <w:r w:rsidR="004629FC">
        <w:rPr>
          <w:sz w:val="22"/>
          <w:szCs w:val="22"/>
        </w:rPr>
        <w:t>eless broadband services are</w:t>
      </w:r>
      <w:r w:rsidR="004629FC" w:rsidRPr="00BA79A3">
        <w:rPr>
          <w:sz w:val="22"/>
          <w:szCs w:val="22"/>
        </w:rPr>
        <w:t xml:space="preserve"> currently being offered to this community.</w:t>
      </w:r>
      <w:r w:rsidR="00CF4CDC">
        <w:rPr>
          <w:rStyle w:val="FootnoteReference"/>
          <w:sz w:val="22"/>
          <w:szCs w:val="22"/>
        </w:rPr>
        <w:footnoteReference w:id="27"/>
      </w:r>
      <w:r w:rsidR="00C47D73">
        <w:rPr>
          <w:sz w:val="22"/>
          <w:szCs w:val="22"/>
        </w:rPr>
        <w:t xml:space="preserve">  </w:t>
      </w:r>
      <w:r w:rsidR="00932CF6">
        <w:rPr>
          <w:sz w:val="22"/>
          <w:szCs w:val="22"/>
        </w:rPr>
        <w:t xml:space="preserve">While the scarcity of ubiquitous telephony and advanced services available to this community favors granting relief, </w:t>
      </w:r>
      <w:r w:rsidR="00C47D73">
        <w:rPr>
          <w:sz w:val="22"/>
          <w:szCs w:val="22"/>
        </w:rPr>
        <w:t xml:space="preserve">any relief provided must </w:t>
      </w:r>
      <w:r w:rsidR="00932CF6">
        <w:rPr>
          <w:sz w:val="22"/>
          <w:szCs w:val="22"/>
        </w:rPr>
        <w:t xml:space="preserve">also </w:t>
      </w:r>
      <w:r w:rsidR="00C47D73">
        <w:rPr>
          <w:sz w:val="22"/>
          <w:szCs w:val="22"/>
        </w:rPr>
        <w:t>be in line with</w:t>
      </w:r>
      <w:r w:rsidR="00932CF6">
        <w:rPr>
          <w:sz w:val="22"/>
          <w:szCs w:val="22"/>
        </w:rPr>
        <w:t xml:space="preserve"> policies underlying the</w:t>
      </w:r>
      <w:r w:rsidR="00C47D73">
        <w:rPr>
          <w:sz w:val="22"/>
          <w:szCs w:val="22"/>
        </w:rPr>
        <w:t xml:space="preserve"> stringent performance requirements and penalties put in place by the Commission</w:t>
      </w:r>
      <w:r w:rsidR="00932CF6">
        <w:rPr>
          <w:sz w:val="22"/>
          <w:szCs w:val="22"/>
        </w:rPr>
        <w:t xml:space="preserve"> to ensure</w:t>
      </w:r>
      <w:r w:rsidR="004629FC" w:rsidRPr="00BA79A3">
        <w:rPr>
          <w:sz w:val="22"/>
          <w:szCs w:val="22"/>
        </w:rPr>
        <w:t xml:space="preserve"> that applicants awarded bidding credits rapidly deploy facilities and </w:t>
      </w:r>
      <w:r w:rsidR="00932CF6">
        <w:rPr>
          <w:sz w:val="22"/>
          <w:szCs w:val="22"/>
        </w:rPr>
        <w:t>provide service to tribal lands</w:t>
      </w:r>
      <w:r w:rsidR="004629FC" w:rsidRPr="00BA79A3">
        <w:rPr>
          <w:sz w:val="22"/>
          <w:szCs w:val="22"/>
        </w:rPr>
        <w:t>.</w:t>
      </w:r>
      <w:r w:rsidR="004629FC" w:rsidRPr="00BA79A3">
        <w:rPr>
          <w:rStyle w:val="FootnoteReference"/>
          <w:sz w:val="22"/>
          <w:szCs w:val="22"/>
        </w:rPr>
        <w:footnoteReference w:id="28"/>
      </w:r>
      <w:r w:rsidR="004629FC">
        <w:rPr>
          <w:sz w:val="22"/>
          <w:szCs w:val="22"/>
        </w:rPr>
        <w:t xml:space="preserve">  </w:t>
      </w:r>
    </w:p>
    <w:p w:rsidR="004629FC" w:rsidRDefault="004629FC" w:rsidP="004629FC">
      <w:pPr>
        <w:rPr>
          <w:sz w:val="22"/>
          <w:szCs w:val="22"/>
        </w:rPr>
      </w:pPr>
    </w:p>
    <w:p w:rsidR="005559C5" w:rsidRPr="00BA79A3" w:rsidRDefault="00C16D65" w:rsidP="00A9272E">
      <w:pPr>
        <w:ind w:firstLine="720"/>
        <w:rPr>
          <w:sz w:val="22"/>
          <w:szCs w:val="22"/>
        </w:rPr>
      </w:pPr>
      <w:r w:rsidRPr="00BA79A3">
        <w:rPr>
          <w:sz w:val="22"/>
          <w:szCs w:val="22"/>
        </w:rPr>
        <w:t xml:space="preserve">We </w:t>
      </w:r>
      <w:r w:rsidR="008E2A31" w:rsidRPr="00BA79A3">
        <w:rPr>
          <w:sz w:val="22"/>
          <w:szCs w:val="22"/>
        </w:rPr>
        <w:t xml:space="preserve">find that </w:t>
      </w:r>
      <w:r w:rsidR="001A58A3" w:rsidRPr="00BA79A3">
        <w:rPr>
          <w:sz w:val="22"/>
          <w:szCs w:val="22"/>
        </w:rPr>
        <w:t xml:space="preserve">the </w:t>
      </w:r>
      <w:r w:rsidRPr="00BA79A3">
        <w:rPr>
          <w:sz w:val="22"/>
          <w:szCs w:val="22"/>
        </w:rPr>
        <w:t xml:space="preserve">remedy </w:t>
      </w:r>
      <w:r w:rsidR="00266147" w:rsidRPr="00BA79A3">
        <w:rPr>
          <w:sz w:val="22"/>
          <w:szCs w:val="22"/>
        </w:rPr>
        <w:t>identified</w:t>
      </w:r>
      <w:r w:rsidR="008015F5" w:rsidRPr="00BA79A3">
        <w:rPr>
          <w:sz w:val="22"/>
          <w:szCs w:val="22"/>
        </w:rPr>
        <w:t xml:space="preserve"> by Data-Max in its Waiver Request and S</w:t>
      </w:r>
      <w:r w:rsidRPr="00BA79A3">
        <w:rPr>
          <w:sz w:val="22"/>
          <w:szCs w:val="22"/>
        </w:rPr>
        <w:t xml:space="preserve">upplement, serves the </w:t>
      </w:r>
      <w:r w:rsidR="001A58A3" w:rsidRPr="00BA79A3">
        <w:rPr>
          <w:sz w:val="22"/>
          <w:szCs w:val="22"/>
        </w:rPr>
        <w:t xml:space="preserve">underlying purposes of the tribal lands bidding credit rules </w:t>
      </w:r>
      <w:r w:rsidR="00877A36" w:rsidRPr="00BA79A3">
        <w:rPr>
          <w:sz w:val="22"/>
          <w:szCs w:val="22"/>
        </w:rPr>
        <w:t>without jeopardizing the integrity of the tribal lands bidding credit program</w:t>
      </w:r>
      <w:r w:rsidR="001A58A3" w:rsidRPr="00BA79A3">
        <w:rPr>
          <w:sz w:val="22"/>
          <w:szCs w:val="22"/>
        </w:rPr>
        <w:t>.</w:t>
      </w:r>
      <w:r w:rsidR="00E12862">
        <w:rPr>
          <w:rStyle w:val="FootnoteReference"/>
          <w:sz w:val="22"/>
          <w:szCs w:val="22"/>
        </w:rPr>
        <w:footnoteReference w:id="29"/>
      </w:r>
      <w:r w:rsidR="005B365F" w:rsidRPr="00BA79A3">
        <w:rPr>
          <w:sz w:val="22"/>
          <w:szCs w:val="22"/>
        </w:rPr>
        <w:t xml:space="preserve">  </w:t>
      </w:r>
      <w:r w:rsidR="009E68F6" w:rsidRPr="00BA79A3">
        <w:rPr>
          <w:sz w:val="22"/>
          <w:szCs w:val="22"/>
        </w:rPr>
        <w:t xml:space="preserve">As noted, Data-Max has previously repaid the </w:t>
      </w:r>
      <w:r w:rsidR="00E74F5A" w:rsidRPr="00BA79A3">
        <w:rPr>
          <w:sz w:val="22"/>
          <w:szCs w:val="22"/>
        </w:rPr>
        <w:t>TLBC and</w:t>
      </w:r>
      <w:r w:rsidR="009E68F6" w:rsidRPr="00BA79A3">
        <w:rPr>
          <w:sz w:val="22"/>
          <w:szCs w:val="22"/>
        </w:rPr>
        <w:t xml:space="preserve"> interest as </w:t>
      </w:r>
      <w:r w:rsidR="003932C9">
        <w:rPr>
          <w:sz w:val="22"/>
          <w:szCs w:val="22"/>
        </w:rPr>
        <w:t>specified in</w:t>
      </w:r>
      <w:r w:rsidR="009E68F6" w:rsidRPr="00BA79A3">
        <w:rPr>
          <w:sz w:val="22"/>
          <w:szCs w:val="22"/>
        </w:rPr>
        <w:t xml:space="preserve"> the </w:t>
      </w:r>
      <w:r w:rsidR="00534B6E">
        <w:rPr>
          <w:sz w:val="22"/>
          <w:szCs w:val="22"/>
        </w:rPr>
        <w:t>Commission’s</w:t>
      </w:r>
      <w:r w:rsidR="009E68F6" w:rsidRPr="00BA79A3">
        <w:rPr>
          <w:sz w:val="22"/>
          <w:szCs w:val="22"/>
        </w:rPr>
        <w:t xml:space="preserve"> rules, and has committed to </w:t>
      </w:r>
      <w:r w:rsidR="00A9272E">
        <w:rPr>
          <w:sz w:val="22"/>
          <w:szCs w:val="22"/>
        </w:rPr>
        <w:t>constructing</w:t>
      </w:r>
      <w:r w:rsidR="009E68F6" w:rsidRPr="00BA79A3">
        <w:rPr>
          <w:sz w:val="22"/>
          <w:szCs w:val="22"/>
        </w:rPr>
        <w:t xml:space="preserve"> facilities and provi</w:t>
      </w:r>
      <w:r w:rsidR="001B4562" w:rsidRPr="00BA79A3">
        <w:rPr>
          <w:sz w:val="22"/>
          <w:szCs w:val="22"/>
        </w:rPr>
        <w:t>ding</w:t>
      </w:r>
      <w:r w:rsidR="009E68F6" w:rsidRPr="00BA79A3">
        <w:rPr>
          <w:sz w:val="22"/>
          <w:szCs w:val="22"/>
        </w:rPr>
        <w:t xml:space="preserve"> service to the Hualapai Indian Reservation </w:t>
      </w:r>
      <w:r w:rsidR="00266147" w:rsidRPr="00BA79A3">
        <w:rPr>
          <w:sz w:val="22"/>
          <w:szCs w:val="22"/>
        </w:rPr>
        <w:t>in a manner consistent with</w:t>
      </w:r>
      <w:r w:rsidR="009E68F6" w:rsidRPr="00BA79A3">
        <w:rPr>
          <w:sz w:val="22"/>
          <w:szCs w:val="22"/>
        </w:rPr>
        <w:t xml:space="preserve"> the TLBC rules upon reinstatement of its license.  </w:t>
      </w:r>
      <w:r w:rsidRPr="00BA79A3">
        <w:rPr>
          <w:sz w:val="22"/>
          <w:szCs w:val="22"/>
        </w:rPr>
        <w:t xml:space="preserve">We find that this resolution </w:t>
      </w:r>
      <w:r w:rsidR="00605336">
        <w:rPr>
          <w:sz w:val="22"/>
          <w:szCs w:val="22"/>
        </w:rPr>
        <w:t>advances</w:t>
      </w:r>
      <w:r w:rsidR="00266147" w:rsidRPr="00BA79A3">
        <w:rPr>
          <w:sz w:val="22"/>
          <w:szCs w:val="22"/>
        </w:rPr>
        <w:t xml:space="preserve"> both </w:t>
      </w:r>
      <w:r w:rsidR="00C40F5C" w:rsidRPr="00BA79A3">
        <w:rPr>
          <w:sz w:val="22"/>
          <w:szCs w:val="22"/>
        </w:rPr>
        <w:t>policy objectives</w:t>
      </w:r>
      <w:r w:rsidR="000E3194">
        <w:rPr>
          <w:sz w:val="22"/>
          <w:szCs w:val="22"/>
        </w:rPr>
        <w:t xml:space="preserve"> of the TLBC rules; t</w:t>
      </w:r>
      <w:r w:rsidR="005559C5" w:rsidRPr="00BA79A3">
        <w:rPr>
          <w:sz w:val="22"/>
          <w:szCs w:val="22"/>
        </w:rPr>
        <w:t>he limited relief pr</w:t>
      </w:r>
      <w:r w:rsidR="000E3194">
        <w:rPr>
          <w:sz w:val="22"/>
          <w:szCs w:val="22"/>
        </w:rPr>
        <w:t>oposed by Data-Max furthers</w:t>
      </w:r>
      <w:r w:rsidR="000E3194" w:rsidRPr="00BA79A3">
        <w:rPr>
          <w:sz w:val="22"/>
          <w:szCs w:val="22"/>
        </w:rPr>
        <w:t xml:space="preserve"> the TLBC’s underlying purpose by facilitating the deployment of high speed, advanced wireless offerings to a tribal community that currently does not have access to such service</w:t>
      </w:r>
      <w:r w:rsidR="000E3194">
        <w:rPr>
          <w:sz w:val="22"/>
          <w:szCs w:val="22"/>
        </w:rPr>
        <w:t xml:space="preserve">, yet </w:t>
      </w:r>
      <w:r w:rsidR="00A9272E">
        <w:rPr>
          <w:sz w:val="22"/>
          <w:szCs w:val="22"/>
        </w:rPr>
        <w:t>does</w:t>
      </w:r>
      <w:r w:rsidR="000E3194">
        <w:rPr>
          <w:sz w:val="22"/>
          <w:szCs w:val="22"/>
        </w:rPr>
        <w:t xml:space="preserve"> not contravene the</w:t>
      </w:r>
      <w:r w:rsidR="00A9272E">
        <w:rPr>
          <w:sz w:val="22"/>
          <w:szCs w:val="22"/>
        </w:rPr>
        <w:t xml:space="preserve"> purpose of the</w:t>
      </w:r>
      <w:r w:rsidR="000E3194">
        <w:rPr>
          <w:sz w:val="22"/>
          <w:szCs w:val="22"/>
        </w:rPr>
        <w:t xml:space="preserve"> </w:t>
      </w:r>
      <w:r w:rsidR="00DB1BA5">
        <w:rPr>
          <w:sz w:val="22"/>
          <w:szCs w:val="22"/>
        </w:rPr>
        <w:t xml:space="preserve">heightened performance and penalty provisions of the TLBC rules which </w:t>
      </w:r>
      <w:r w:rsidR="000E3194">
        <w:rPr>
          <w:sz w:val="22"/>
          <w:szCs w:val="22"/>
        </w:rPr>
        <w:t>are meant to ensure</w:t>
      </w:r>
      <w:r w:rsidR="00DB1BA5">
        <w:rPr>
          <w:sz w:val="22"/>
          <w:szCs w:val="22"/>
        </w:rPr>
        <w:t xml:space="preserve"> that licensees quickly </w:t>
      </w:r>
      <w:r w:rsidR="006916B3">
        <w:rPr>
          <w:sz w:val="22"/>
          <w:szCs w:val="22"/>
        </w:rPr>
        <w:t>and diligently</w:t>
      </w:r>
      <w:r w:rsidR="00DB1BA5">
        <w:rPr>
          <w:sz w:val="22"/>
          <w:szCs w:val="22"/>
        </w:rPr>
        <w:t xml:space="preserve"> </w:t>
      </w:r>
      <w:r w:rsidR="000E3194">
        <w:rPr>
          <w:sz w:val="22"/>
          <w:szCs w:val="22"/>
        </w:rPr>
        <w:t xml:space="preserve">construct </w:t>
      </w:r>
      <w:r w:rsidR="00B3738C">
        <w:rPr>
          <w:sz w:val="22"/>
          <w:szCs w:val="22"/>
        </w:rPr>
        <w:t xml:space="preserve">and </w:t>
      </w:r>
      <w:r w:rsidR="005559C5" w:rsidRPr="00BA79A3">
        <w:rPr>
          <w:sz w:val="22"/>
          <w:szCs w:val="22"/>
        </w:rPr>
        <w:t>provide service</w:t>
      </w:r>
      <w:r w:rsidR="00DB1BA5">
        <w:rPr>
          <w:sz w:val="22"/>
          <w:szCs w:val="22"/>
        </w:rPr>
        <w:t xml:space="preserve"> to the applicable tribal areas</w:t>
      </w:r>
      <w:r w:rsidR="005559C5" w:rsidRPr="00BA79A3">
        <w:rPr>
          <w:sz w:val="22"/>
          <w:szCs w:val="22"/>
        </w:rPr>
        <w:t xml:space="preserve"> as required or </w:t>
      </w:r>
      <w:r w:rsidR="000E3194">
        <w:rPr>
          <w:sz w:val="22"/>
          <w:szCs w:val="22"/>
        </w:rPr>
        <w:t xml:space="preserve">suffer consequences for </w:t>
      </w:r>
      <w:r w:rsidR="00A9272E">
        <w:rPr>
          <w:sz w:val="22"/>
          <w:szCs w:val="22"/>
        </w:rPr>
        <w:t>lack of compliance</w:t>
      </w:r>
      <w:r w:rsidR="004629FC">
        <w:rPr>
          <w:sz w:val="22"/>
          <w:szCs w:val="22"/>
        </w:rPr>
        <w:t>.</w:t>
      </w:r>
    </w:p>
    <w:p w:rsidR="005559C5" w:rsidRPr="00BA79A3" w:rsidRDefault="005559C5" w:rsidP="00AA222F">
      <w:pPr>
        <w:ind w:firstLine="720"/>
        <w:rPr>
          <w:sz w:val="22"/>
          <w:szCs w:val="22"/>
        </w:rPr>
      </w:pPr>
    </w:p>
    <w:p w:rsidR="00164EB8" w:rsidRPr="00CB1DB9" w:rsidRDefault="00470BE0" w:rsidP="00470BE0">
      <w:pPr>
        <w:ind w:firstLine="720"/>
        <w:rPr>
          <w:color w:val="000000"/>
          <w:sz w:val="22"/>
          <w:szCs w:val="22"/>
        </w:rPr>
      </w:pPr>
      <w:r>
        <w:rPr>
          <w:sz w:val="22"/>
          <w:szCs w:val="22"/>
        </w:rPr>
        <w:t xml:space="preserve">We are further influenced by </w:t>
      </w:r>
      <w:r w:rsidR="003F105F">
        <w:rPr>
          <w:sz w:val="22"/>
          <w:szCs w:val="22"/>
        </w:rPr>
        <w:t>Data-Max’s</w:t>
      </w:r>
      <w:r w:rsidR="003F105F" w:rsidRPr="00BA79A3">
        <w:rPr>
          <w:sz w:val="22"/>
          <w:szCs w:val="22"/>
        </w:rPr>
        <w:t xml:space="preserve"> diligence in taking appropriate </w:t>
      </w:r>
      <w:r w:rsidR="003F105F">
        <w:rPr>
          <w:sz w:val="22"/>
          <w:szCs w:val="22"/>
        </w:rPr>
        <w:t>measures</w:t>
      </w:r>
      <w:r w:rsidR="003F105F" w:rsidRPr="00BA79A3">
        <w:rPr>
          <w:sz w:val="22"/>
          <w:szCs w:val="22"/>
        </w:rPr>
        <w:t xml:space="preserve"> to construct its 700 MHz network</w:t>
      </w:r>
      <w:r w:rsidR="003F105F">
        <w:rPr>
          <w:sz w:val="22"/>
          <w:szCs w:val="22"/>
        </w:rPr>
        <w:t xml:space="preserve">.  </w:t>
      </w:r>
      <w:r w:rsidR="003F105F" w:rsidRPr="00BA79A3">
        <w:rPr>
          <w:sz w:val="22"/>
          <w:szCs w:val="22"/>
        </w:rPr>
        <w:t>Data-Max has demonstrated</w:t>
      </w:r>
      <w:r w:rsidR="00164EB8">
        <w:rPr>
          <w:sz w:val="22"/>
          <w:szCs w:val="22"/>
        </w:rPr>
        <w:t xml:space="preserve"> that it has </w:t>
      </w:r>
      <w:r w:rsidR="00B21F11">
        <w:rPr>
          <w:sz w:val="22"/>
          <w:szCs w:val="22"/>
        </w:rPr>
        <w:t>already</w:t>
      </w:r>
      <w:r w:rsidR="003F105F" w:rsidRPr="00BA79A3">
        <w:rPr>
          <w:sz w:val="22"/>
          <w:szCs w:val="22"/>
        </w:rPr>
        <w:t xml:space="preserve"> taken meaningful steps towards construction of its network by its</w:t>
      </w:r>
      <w:r w:rsidR="003F105F" w:rsidRPr="00BA79A3">
        <w:rPr>
          <w:color w:val="000000"/>
          <w:sz w:val="22"/>
          <w:szCs w:val="22"/>
        </w:rPr>
        <w:t xml:space="preserve"> significant investments and progress in constructing the necessary infrastructure that will be used to serve the Hualapai Reservation. </w:t>
      </w:r>
      <w:r w:rsidR="003F105F">
        <w:rPr>
          <w:color w:val="000000"/>
          <w:sz w:val="22"/>
          <w:szCs w:val="22"/>
        </w:rPr>
        <w:t xml:space="preserve"> It appears</w:t>
      </w:r>
      <w:r w:rsidR="00B21F11">
        <w:rPr>
          <w:color w:val="000000"/>
          <w:sz w:val="22"/>
          <w:szCs w:val="22"/>
        </w:rPr>
        <w:t xml:space="preserve"> from the record</w:t>
      </w:r>
      <w:r w:rsidR="003F105F">
        <w:rPr>
          <w:color w:val="000000"/>
          <w:sz w:val="22"/>
          <w:szCs w:val="22"/>
        </w:rPr>
        <w:t xml:space="preserve"> that Data-Max has diligently sought out equipment manufacturers and resellers to find fixed LTE broadband equipment</w:t>
      </w:r>
      <w:r w:rsidR="003F105F" w:rsidRPr="00BA79A3">
        <w:rPr>
          <w:color w:val="000000"/>
          <w:sz w:val="22"/>
          <w:szCs w:val="22"/>
        </w:rPr>
        <w:t xml:space="preserve"> </w:t>
      </w:r>
      <w:r w:rsidR="003F105F">
        <w:rPr>
          <w:color w:val="000000"/>
          <w:sz w:val="22"/>
          <w:szCs w:val="22"/>
        </w:rPr>
        <w:t xml:space="preserve">for use with its </w:t>
      </w:r>
      <w:r w:rsidR="001E3299">
        <w:rPr>
          <w:color w:val="000000"/>
          <w:sz w:val="22"/>
          <w:szCs w:val="22"/>
        </w:rPr>
        <w:t xml:space="preserve">lower </w:t>
      </w:r>
      <w:r w:rsidR="003F105F">
        <w:rPr>
          <w:color w:val="000000"/>
          <w:sz w:val="22"/>
          <w:szCs w:val="22"/>
        </w:rPr>
        <w:t xml:space="preserve">700 MHz B Block license, and appears to have recently identified appropriate equipment. </w:t>
      </w:r>
      <w:r w:rsidR="00164EB8">
        <w:rPr>
          <w:color w:val="000000"/>
          <w:sz w:val="22"/>
          <w:szCs w:val="22"/>
        </w:rPr>
        <w:t xml:space="preserve"> Nothing in the record suggest that Data-Max will not </w:t>
      </w:r>
      <w:r w:rsidR="00090E20">
        <w:rPr>
          <w:color w:val="000000"/>
          <w:sz w:val="22"/>
          <w:szCs w:val="22"/>
        </w:rPr>
        <w:t>continue</w:t>
      </w:r>
      <w:r w:rsidR="00164EB8">
        <w:rPr>
          <w:color w:val="000000"/>
          <w:sz w:val="22"/>
          <w:szCs w:val="22"/>
        </w:rPr>
        <w:t xml:space="preserve"> its efforts to construct a network to provide service to the Hualapai</w:t>
      </w:r>
      <w:r w:rsidR="00B21F11">
        <w:rPr>
          <w:color w:val="000000"/>
          <w:sz w:val="22"/>
          <w:szCs w:val="22"/>
        </w:rPr>
        <w:t xml:space="preserve"> Indian</w:t>
      </w:r>
      <w:r w:rsidR="00164EB8">
        <w:rPr>
          <w:color w:val="000000"/>
          <w:sz w:val="22"/>
          <w:szCs w:val="22"/>
        </w:rPr>
        <w:t xml:space="preserve"> Reservation as we</w:t>
      </w:r>
      <w:r w:rsidR="00CB1DB9">
        <w:rPr>
          <w:color w:val="000000"/>
          <w:sz w:val="22"/>
          <w:szCs w:val="22"/>
        </w:rPr>
        <w:t xml:space="preserve">ll </w:t>
      </w:r>
      <w:r w:rsidR="00CB1DB9" w:rsidRPr="00CB1DB9">
        <w:rPr>
          <w:color w:val="000000"/>
          <w:sz w:val="22"/>
          <w:szCs w:val="22"/>
        </w:rPr>
        <w:t>as the rest of its</w:t>
      </w:r>
      <w:r w:rsidR="000E4B04">
        <w:rPr>
          <w:color w:val="000000"/>
          <w:sz w:val="22"/>
          <w:szCs w:val="22"/>
        </w:rPr>
        <w:t xml:space="preserve"> Mohave County</w:t>
      </w:r>
      <w:r w:rsidR="00B21F11">
        <w:rPr>
          <w:color w:val="000000"/>
          <w:sz w:val="22"/>
          <w:szCs w:val="22"/>
        </w:rPr>
        <w:t>, Arizona</w:t>
      </w:r>
      <w:r w:rsidR="00CB1DB9" w:rsidRPr="00CB1DB9">
        <w:rPr>
          <w:color w:val="000000"/>
          <w:sz w:val="22"/>
          <w:szCs w:val="22"/>
        </w:rPr>
        <w:t xml:space="preserve"> market, and there </w:t>
      </w:r>
      <w:r w:rsidR="00164EB8" w:rsidRPr="00CB1DB9">
        <w:rPr>
          <w:color w:val="000000"/>
          <w:sz w:val="22"/>
          <w:szCs w:val="22"/>
        </w:rPr>
        <w:t>is no</w:t>
      </w:r>
      <w:r w:rsidR="003F105F" w:rsidRPr="00CB1DB9">
        <w:rPr>
          <w:color w:val="000000"/>
          <w:sz w:val="22"/>
          <w:szCs w:val="22"/>
        </w:rPr>
        <w:t xml:space="preserve"> </w:t>
      </w:r>
      <w:r w:rsidR="00164EB8" w:rsidRPr="00CB1DB9">
        <w:rPr>
          <w:color w:val="000000"/>
          <w:sz w:val="22"/>
          <w:szCs w:val="22"/>
        </w:rPr>
        <w:t xml:space="preserve">indication that Data-Max </w:t>
      </w:r>
      <w:r w:rsidR="00B21F11">
        <w:rPr>
          <w:color w:val="000000"/>
          <w:sz w:val="22"/>
          <w:szCs w:val="22"/>
        </w:rPr>
        <w:t xml:space="preserve">is </w:t>
      </w:r>
      <w:r w:rsidR="00164EB8" w:rsidRPr="00CB1DB9">
        <w:rPr>
          <w:color w:val="000000"/>
          <w:sz w:val="22"/>
          <w:szCs w:val="22"/>
        </w:rPr>
        <w:t xml:space="preserve"> simply seek</w:t>
      </w:r>
      <w:r w:rsidR="00B21F11">
        <w:rPr>
          <w:color w:val="000000"/>
          <w:sz w:val="22"/>
          <w:szCs w:val="22"/>
        </w:rPr>
        <w:t>ing</w:t>
      </w:r>
      <w:r w:rsidR="00164EB8" w:rsidRPr="00CB1DB9">
        <w:rPr>
          <w:color w:val="000000"/>
          <w:sz w:val="22"/>
          <w:szCs w:val="22"/>
        </w:rPr>
        <w:t xml:space="preserve"> to warehouse </w:t>
      </w:r>
      <w:r w:rsidR="00B21F11">
        <w:rPr>
          <w:color w:val="000000"/>
          <w:sz w:val="22"/>
          <w:szCs w:val="22"/>
        </w:rPr>
        <w:t>its</w:t>
      </w:r>
      <w:r w:rsidR="00164EB8" w:rsidRPr="00CB1DB9">
        <w:rPr>
          <w:color w:val="000000"/>
          <w:sz w:val="22"/>
          <w:szCs w:val="22"/>
        </w:rPr>
        <w:t xml:space="preserve"> spectrum.  </w:t>
      </w:r>
    </w:p>
    <w:p w:rsidR="00164EB8" w:rsidRPr="00CB1DB9" w:rsidRDefault="00164EB8" w:rsidP="00470BE0">
      <w:pPr>
        <w:ind w:firstLine="720"/>
        <w:rPr>
          <w:color w:val="000000"/>
          <w:sz w:val="22"/>
          <w:szCs w:val="22"/>
        </w:rPr>
      </w:pPr>
    </w:p>
    <w:p w:rsidR="00470BE0" w:rsidRDefault="00CB1DB9" w:rsidP="00470BE0">
      <w:pPr>
        <w:ind w:firstLine="720"/>
        <w:rPr>
          <w:sz w:val="22"/>
          <w:szCs w:val="22"/>
        </w:rPr>
      </w:pPr>
      <w:r w:rsidRPr="00CB1DB9">
        <w:rPr>
          <w:color w:val="000000"/>
          <w:sz w:val="22"/>
          <w:szCs w:val="22"/>
        </w:rPr>
        <w:t xml:space="preserve">Further, </w:t>
      </w:r>
      <w:r w:rsidR="003F105F" w:rsidRPr="00CB1DB9">
        <w:rPr>
          <w:color w:val="000000"/>
          <w:sz w:val="22"/>
          <w:szCs w:val="22"/>
        </w:rPr>
        <w:t xml:space="preserve">Data-Max is </w:t>
      </w:r>
      <w:r w:rsidRPr="00CB1DB9">
        <w:rPr>
          <w:color w:val="000000"/>
          <w:sz w:val="22"/>
          <w:szCs w:val="22"/>
        </w:rPr>
        <w:t xml:space="preserve">continuing to </w:t>
      </w:r>
      <w:r w:rsidR="003F105F" w:rsidRPr="00CB1DB9">
        <w:rPr>
          <w:color w:val="000000"/>
          <w:sz w:val="22"/>
          <w:szCs w:val="22"/>
        </w:rPr>
        <w:t xml:space="preserve">work with </w:t>
      </w:r>
      <w:r w:rsidR="00B21F11">
        <w:rPr>
          <w:color w:val="000000"/>
          <w:sz w:val="22"/>
          <w:szCs w:val="22"/>
        </w:rPr>
        <w:t>tribal</w:t>
      </w:r>
      <w:r w:rsidR="003F105F" w:rsidRPr="00CB1DB9">
        <w:rPr>
          <w:color w:val="000000"/>
          <w:sz w:val="22"/>
          <w:szCs w:val="22"/>
        </w:rPr>
        <w:t xml:space="preserve"> authorities to facilitate construction of Data-Max’s network</w:t>
      </w:r>
      <w:r w:rsidRPr="00CB1DB9">
        <w:rPr>
          <w:color w:val="000000"/>
          <w:sz w:val="22"/>
          <w:szCs w:val="22"/>
        </w:rPr>
        <w:t xml:space="preserve"> and service to the </w:t>
      </w:r>
      <w:r w:rsidR="00B21F11">
        <w:rPr>
          <w:color w:val="000000"/>
          <w:sz w:val="22"/>
          <w:szCs w:val="22"/>
        </w:rPr>
        <w:t>Hualapai T</w:t>
      </w:r>
      <w:r w:rsidRPr="00CB1DB9">
        <w:rPr>
          <w:color w:val="000000"/>
          <w:sz w:val="22"/>
          <w:szCs w:val="22"/>
        </w:rPr>
        <w:t>ribe</w:t>
      </w:r>
      <w:r w:rsidR="003F105F" w:rsidRPr="00CB1DB9">
        <w:rPr>
          <w:color w:val="000000"/>
          <w:sz w:val="22"/>
          <w:szCs w:val="22"/>
        </w:rPr>
        <w:t xml:space="preserve">.  </w:t>
      </w:r>
      <w:r w:rsidRPr="00CB1DB9">
        <w:rPr>
          <w:color w:val="000000"/>
          <w:sz w:val="22"/>
          <w:szCs w:val="22"/>
        </w:rPr>
        <w:t>Importantly, t</w:t>
      </w:r>
      <w:r w:rsidR="003F105F" w:rsidRPr="00CB1DB9">
        <w:rPr>
          <w:color w:val="000000"/>
          <w:sz w:val="22"/>
          <w:szCs w:val="22"/>
        </w:rPr>
        <w:t xml:space="preserve">he Hualapai Tribal Council </w:t>
      </w:r>
      <w:r w:rsidRPr="00CB1DB9">
        <w:rPr>
          <w:color w:val="000000"/>
          <w:sz w:val="22"/>
          <w:szCs w:val="22"/>
        </w:rPr>
        <w:t xml:space="preserve">(Council) </w:t>
      </w:r>
      <w:r w:rsidR="003F105F" w:rsidRPr="00CB1DB9">
        <w:rPr>
          <w:color w:val="000000"/>
          <w:sz w:val="22"/>
          <w:szCs w:val="22"/>
        </w:rPr>
        <w:t>has filed in support of Data-Max,</w:t>
      </w:r>
      <w:r w:rsidR="003F105F" w:rsidRPr="00CB1DB9">
        <w:rPr>
          <w:sz w:val="22"/>
          <w:szCs w:val="22"/>
        </w:rPr>
        <w:t xml:space="preserve"> stating that Data-Max will, as a local company, be able to provide services beneficial to Hualapai tribal members.</w:t>
      </w:r>
      <w:r w:rsidR="003F105F" w:rsidRPr="00CB1DB9">
        <w:rPr>
          <w:rStyle w:val="FootnoteReference"/>
          <w:sz w:val="22"/>
          <w:szCs w:val="22"/>
        </w:rPr>
        <w:footnoteReference w:id="30"/>
      </w:r>
      <w:r w:rsidR="003F105F" w:rsidRPr="00CB1DB9">
        <w:rPr>
          <w:color w:val="000000"/>
          <w:sz w:val="22"/>
          <w:szCs w:val="22"/>
        </w:rPr>
        <w:t xml:space="preserve">  </w:t>
      </w:r>
      <w:r w:rsidRPr="00CB1DB9">
        <w:rPr>
          <w:color w:val="000000"/>
          <w:sz w:val="22"/>
          <w:szCs w:val="22"/>
        </w:rPr>
        <w:t>The Council believes that Data-Max is more likely to provide these services to the tribal community than a ‘larger carrier,’ and requests that we grant relief in this matter.</w:t>
      </w:r>
      <w:r>
        <w:rPr>
          <w:rStyle w:val="FootnoteReference"/>
          <w:color w:val="000000"/>
          <w:sz w:val="22"/>
          <w:szCs w:val="22"/>
        </w:rPr>
        <w:footnoteReference w:id="31"/>
      </w:r>
    </w:p>
    <w:p w:rsidR="00524B51" w:rsidRDefault="00524B51" w:rsidP="000E4B04">
      <w:pPr>
        <w:rPr>
          <w:sz w:val="22"/>
          <w:szCs w:val="22"/>
        </w:rPr>
      </w:pPr>
    </w:p>
    <w:p w:rsidR="00E13906" w:rsidRPr="00E13906" w:rsidRDefault="00CD2CB2" w:rsidP="00A46BA2">
      <w:pPr>
        <w:ind w:firstLine="720"/>
        <w:rPr>
          <w:sz w:val="22"/>
          <w:szCs w:val="22"/>
        </w:rPr>
      </w:pPr>
      <w:r>
        <w:rPr>
          <w:sz w:val="22"/>
          <w:szCs w:val="22"/>
        </w:rPr>
        <w:t>Accordingly, we conclude</w:t>
      </w:r>
      <w:r w:rsidR="00572725" w:rsidRPr="00BA79A3">
        <w:rPr>
          <w:sz w:val="22"/>
          <w:szCs w:val="22"/>
        </w:rPr>
        <w:t xml:space="preserve"> that</w:t>
      </w:r>
      <w:r w:rsidR="00E77B2B">
        <w:rPr>
          <w:sz w:val="22"/>
          <w:szCs w:val="22"/>
        </w:rPr>
        <w:t xml:space="preserve">, in light of the totality of factors presented here, </w:t>
      </w:r>
      <w:r w:rsidR="00E77B2B" w:rsidRPr="00BA79A3">
        <w:rPr>
          <w:sz w:val="22"/>
          <w:szCs w:val="22"/>
        </w:rPr>
        <w:t>the public interest would be served by grant</w:t>
      </w:r>
      <w:r>
        <w:rPr>
          <w:sz w:val="22"/>
          <w:szCs w:val="22"/>
        </w:rPr>
        <w:t>ing limited relief in the form of a waiver of the automatic termination provision of section 1.2110(f)(3)(viii) of the Commission’s rules and reinstatement of Call Sign WQJQ674.  This l</w:t>
      </w:r>
      <w:r w:rsidR="00074BDA">
        <w:rPr>
          <w:sz w:val="22"/>
          <w:szCs w:val="22"/>
        </w:rPr>
        <w:t>imited waiver</w:t>
      </w:r>
      <w:r w:rsidR="00D249F5">
        <w:rPr>
          <w:sz w:val="22"/>
          <w:szCs w:val="22"/>
        </w:rPr>
        <w:t xml:space="preserve"> and reinstatement</w:t>
      </w:r>
      <w:r w:rsidR="00074BDA">
        <w:rPr>
          <w:sz w:val="22"/>
          <w:szCs w:val="22"/>
        </w:rPr>
        <w:t xml:space="preserve"> is conditioned </w:t>
      </w:r>
      <w:r w:rsidR="006D5D91">
        <w:rPr>
          <w:sz w:val="22"/>
          <w:szCs w:val="22"/>
        </w:rPr>
        <w:t>up</w:t>
      </w:r>
      <w:r w:rsidR="00074BDA">
        <w:rPr>
          <w:sz w:val="22"/>
          <w:szCs w:val="22"/>
        </w:rPr>
        <w:t>on completion by Data</w:t>
      </w:r>
      <w:r w:rsidR="00E13906">
        <w:rPr>
          <w:sz w:val="22"/>
          <w:szCs w:val="22"/>
        </w:rPr>
        <w:t xml:space="preserve">-Max of construction </w:t>
      </w:r>
      <w:r w:rsidR="00223D78">
        <w:rPr>
          <w:sz w:val="22"/>
          <w:szCs w:val="22"/>
        </w:rPr>
        <w:t xml:space="preserve">equivalent to the TLBC performance requirement in </w:t>
      </w:r>
      <w:r w:rsidR="00E13906">
        <w:rPr>
          <w:sz w:val="22"/>
          <w:szCs w:val="22"/>
        </w:rPr>
        <w:t>section 1.2110(f)(3)(vii); that is, Data-Max must construct and operate a system covering seventy-five (75) per cent of the population of the qualifying tribal land (</w:t>
      </w:r>
      <w:r w:rsidR="00E13906">
        <w:rPr>
          <w:i/>
          <w:sz w:val="22"/>
          <w:szCs w:val="22"/>
        </w:rPr>
        <w:t xml:space="preserve">i.e. </w:t>
      </w:r>
      <w:r w:rsidR="00E13906">
        <w:rPr>
          <w:sz w:val="22"/>
          <w:szCs w:val="22"/>
        </w:rPr>
        <w:t>the Hualapai Indian Reservation) in its market</w:t>
      </w:r>
      <w:r w:rsidR="00A707E6">
        <w:rPr>
          <w:sz w:val="22"/>
          <w:szCs w:val="22"/>
        </w:rPr>
        <w:t xml:space="preserve"> as part of its overall required buildout</w:t>
      </w:r>
      <w:r w:rsidR="00E13906">
        <w:rPr>
          <w:sz w:val="22"/>
          <w:szCs w:val="22"/>
        </w:rPr>
        <w:t>.</w:t>
      </w:r>
      <w:r w:rsidR="0040119D">
        <w:rPr>
          <w:sz w:val="22"/>
          <w:szCs w:val="22"/>
        </w:rPr>
        <w:t xml:space="preserve">  </w:t>
      </w:r>
      <w:r w:rsidR="00DD6F48">
        <w:rPr>
          <w:sz w:val="22"/>
          <w:szCs w:val="22"/>
        </w:rPr>
        <w:t xml:space="preserve">Data-Max </w:t>
      </w:r>
      <w:r w:rsidR="0040119D">
        <w:rPr>
          <w:sz w:val="22"/>
          <w:szCs w:val="22"/>
        </w:rPr>
        <w:t>must</w:t>
      </w:r>
      <w:r w:rsidR="00DD6F48">
        <w:rPr>
          <w:sz w:val="22"/>
          <w:szCs w:val="22"/>
        </w:rPr>
        <w:t xml:space="preserve"> include this tribal coverage as part of their interim construction showing.</w:t>
      </w:r>
    </w:p>
    <w:p w:rsidR="00E13906" w:rsidRDefault="00E13906" w:rsidP="00A46BA2">
      <w:pPr>
        <w:ind w:firstLine="720"/>
        <w:rPr>
          <w:sz w:val="22"/>
          <w:szCs w:val="22"/>
        </w:rPr>
      </w:pPr>
    </w:p>
    <w:p w:rsidR="00572725" w:rsidRPr="00102EC0" w:rsidRDefault="00CD2CB2" w:rsidP="007B3AF7">
      <w:pPr>
        <w:ind w:firstLine="720"/>
        <w:rPr>
          <w:color w:val="000000"/>
          <w:sz w:val="22"/>
          <w:szCs w:val="22"/>
        </w:rPr>
      </w:pPr>
      <w:r>
        <w:rPr>
          <w:sz w:val="22"/>
          <w:szCs w:val="22"/>
        </w:rPr>
        <w:t>The effect of this</w:t>
      </w:r>
      <w:r w:rsidR="00E13906">
        <w:rPr>
          <w:sz w:val="22"/>
          <w:szCs w:val="22"/>
        </w:rPr>
        <w:t xml:space="preserve"> limited waiver</w:t>
      </w:r>
      <w:r>
        <w:rPr>
          <w:sz w:val="22"/>
          <w:szCs w:val="22"/>
        </w:rPr>
        <w:t xml:space="preserve"> </w:t>
      </w:r>
      <w:r w:rsidR="00E13906" w:rsidRPr="00BA79A3">
        <w:rPr>
          <w:color w:val="000000"/>
          <w:sz w:val="22"/>
          <w:szCs w:val="22"/>
        </w:rPr>
        <w:t>places Data-Max in the same position</w:t>
      </w:r>
      <w:r w:rsidR="00E13906">
        <w:rPr>
          <w:color w:val="000000"/>
          <w:sz w:val="22"/>
          <w:szCs w:val="22"/>
        </w:rPr>
        <w:t xml:space="preserve"> </w:t>
      </w:r>
      <w:r w:rsidR="00E13906" w:rsidRPr="00BA79A3">
        <w:rPr>
          <w:color w:val="000000"/>
          <w:sz w:val="22"/>
          <w:szCs w:val="22"/>
        </w:rPr>
        <w:t>to that of</w:t>
      </w:r>
      <w:r w:rsidR="00223D78">
        <w:rPr>
          <w:color w:val="000000"/>
          <w:sz w:val="22"/>
          <w:szCs w:val="22"/>
        </w:rPr>
        <w:t xml:space="preserve"> Lower 700 MHz B Block </w:t>
      </w:r>
      <w:r w:rsidR="006D5D91">
        <w:rPr>
          <w:color w:val="000000"/>
          <w:sz w:val="22"/>
          <w:szCs w:val="22"/>
        </w:rPr>
        <w:t xml:space="preserve">TLBC recipients that timely repaid their bidding credits </w:t>
      </w:r>
      <w:r w:rsidR="00B21F11">
        <w:rPr>
          <w:color w:val="000000"/>
          <w:sz w:val="22"/>
          <w:szCs w:val="22"/>
        </w:rPr>
        <w:t>or</w:t>
      </w:r>
      <w:r w:rsidR="006D5D91">
        <w:rPr>
          <w:color w:val="000000"/>
          <w:sz w:val="22"/>
          <w:szCs w:val="22"/>
        </w:rPr>
        <w:t xml:space="preserve"> those </w:t>
      </w:r>
      <w:r w:rsidR="00223D78">
        <w:rPr>
          <w:color w:val="000000"/>
          <w:sz w:val="22"/>
          <w:szCs w:val="22"/>
        </w:rPr>
        <w:t>who did not receive a TLBC</w:t>
      </w:r>
      <w:r w:rsidR="00AA2F51">
        <w:rPr>
          <w:color w:val="000000"/>
          <w:sz w:val="22"/>
          <w:szCs w:val="22"/>
        </w:rPr>
        <w:t xml:space="preserve">.  </w:t>
      </w:r>
      <w:r w:rsidR="00223D78">
        <w:rPr>
          <w:color w:val="000000"/>
          <w:sz w:val="22"/>
          <w:szCs w:val="22"/>
        </w:rPr>
        <w:t xml:space="preserve"> </w:t>
      </w:r>
      <w:r w:rsidR="00D249F5">
        <w:rPr>
          <w:color w:val="000000"/>
          <w:sz w:val="22"/>
          <w:szCs w:val="22"/>
        </w:rPr>
        <w:t>N</w:t>
      </w:r>
      <w:r w:rsidR="00E13906" w:rsidRPr="00BA79A3">
        <w:rPr>
          <w:color w:val="000000"/>
          <w:sz w:val="22"/>
          <w:szCs w:val="22"/>
        </w:rPr>
        <w:t xml:space="preserve">otwithstanding </w:t>
      </w:r>
      <w:r w:rsidR="00D249F5">
        <w:rPr>
          <w:color w:val="000000"/>
          <w:sz w:val="22"/>
          <w:szCs w:val="22"/>
        </w:rPr>
        <w:t>its</w:t>
      </w:r>
      <w:r w:rsidR="00E13906" w:rsidRPr="00BA79A3">
        <w:rPr>
          <w:color w:val="000000"/>
          <w:sz w:val="22"/>
          <w:szCs w:val="22"/>
        </w:rPr>
        <w:t xml:space="preserve"> continuing obligation to</w:t>
      </w:r>
      <w:r w:rsidR="00A707E6">
        <w:rPr>
          <w:color w:val="000000"/>
          <w:sz w:val="22"/>
          <w:szCs w:val="22"/>
        </w:rPr>
        <w:t xml:space="preserve"> construct and</w:t>
      </w:r>
      <w:r w:rsidR="00E13906" w:rsidRPr="00BA79A3">
        <w:rPr>
          <w:color w:val="000000"/>
          <w:sz w:val="22"/>
          <w:szCs w:val="22"/>
        </w:rPr>
        <w:t xml:space="preserve"> </w:t>
      </w:r>
      <w:r w:rsidR="00A707E6">
        <w:rPr>
          <w:color w:val="000000"/>
          <w:sz w:val="22"/>
          <w:szCs w:val="22"/>
        </w:rPr>
        <w:t>provide service to</w:t>
      </w:r>
      <w:r w:rsidR="00E13906" w:rsidRPr="00BA79A3">
        <w:rPr>
          <w:color w:val="000000"/>
          <w:sz w:val="22"/>
          <w:szCs w:val="22"/>
        </w:rPr>
        <w:t xml:space="preserve"> the Hualapai </w:t>
      </w:r>
      <w:r w:rsidR="00B21F11">
        <w:rPr>
          <w:color w:val="000000"/>
          <w:sz w:val="22"/>
          <w:szCs w:val="22"/>
        </w:rPr>
        <w:t xml:space="preserve">Indian </w:t>
      </w:r>
      <w:r w:rsidR="00E13906" w:rsidRPr="00BA79A3">
        <w:rPr>
          <w:color w:val="000000"/>
          <w:sz w:val="22"/>
          <w:szCs w:val="22"/>
        </w:rPr>
        <w:t>Reservation</w:t>
      </w:r>
      <w:r w:rsidR="00B21F11">
        <w:rPr>
          <w:color w:val="000000"/>
          <w:sz w:val="22"/>
          <w:szCs w:val="22"/>
        </w:rPr>
        <w:t>,</w:t>
      </w:r>
      <w:r w:rsidR="00D249F5">
        <w:rPr>
          <w:color w:val="000000"/>
          <w:sz w:val="22"/>
          <w:szCs w:val="22"/>
        </w:rPr>
        <w:t xml:space="preserve"> Data-Max is therefore subject to rules generally applicable to all other such</w:t>
      </w:r>
      <w:r w:rsidR="00D249F5" w:rsidRPr="00BA79A3">
        <w:rPr>
          <w:color w:val="000000"/>
          <w:sz w:val="22"/>
          <w:szCs w:val="22"/>
        </w:rPr>
        <w:t xml:space="preserve"> licensees</w:t>
      </w:r>
      <w:r w:rsidR="00D249F5">
        <w:rPr>
          <w:color w:val="000000"/>
          <w:sz w:val="22"/>
          <w:szCs w:val="22"/>
        </w:rPr>
        <w:t>,</w:t>
      </w:r>
      <w:r w:rsidR="00B21F11">
        <w:rPr>
          <w:color w:val="000000"/>
          <w:sz w:val="22"/>
          <w:szCs w:val="22"/>
        </w:rPr>
        <w:t xml:space="preserve"> including the time period in which it must complete its interim and final construction obligations</w:t>
      </w:r>
      <w:r w:rsidR="00E13906" w:rsidRPr="00BA79A3">
        <w:rPr>
          <w:color w:val="000000"/>
          <w:sz w:val="22"/>
          <w:szCs w:val="22"/>
        </w:rPr>
        <w:t xml:space="preserve">.  </w:t>
      </w:r>
      <w:r w:rsidR="00223D78">
        <w:rPr>
          <w:color w:val="000000"/>
          <w:sz w:val="22"/>
          <w:szCs w:val="22"/>
        </w:rPr>
        <w:t>I</w:t>
      </w:r>
      <w:r w:rsidR="007B3AF7" w:rsidRPr="00BA79A3">
        <w:rPr>
          <w:color w:val="000000"/>
          <w:sz w:val="22"/>
          <w:szCs w:val="22"/>
        </w:rPr>
        <w:t xml:space="preserve">n the recent </w:t>
      </w:r>
      <w:r w:rsidR="007B3AF7" w:rsidRPr="00BA79A3">
        <w:rPr>
          <w:i/>
          <w:color w:val="000000"/>
          <w:sz w:val="22"/>
          <w:szCs w:val="22"/>
        </w:rPr>
        <w:t>700 MHz Interoperability Report and Order,</w:t>
      </w:r>
      <w:r w:rsidR="00CD2B0B" w:rsidRPr="00BA79A3">
        <w:rPr>
          <w:color w:val="000000"/>
          <w:sz w:val="22"/>
          <w:szCs w:val="22"/>
        </w:rPr>
        <w:t xml:space="preserve"> </w:t>
      </w:r>
      <w:r w:rsidR="00BC3C31" w:rsidRPr="00BA79A3">
        <w:rPr>
          <w:color w:val="000000"/>
          <w:sz w:val="22"/>
          <w:szCs w:val="22"/>
        </w:rPr>
        <w:t xml:space="preserve">the Commission </w:t>
      </w:r>
      <w:r w:rsidR="007B3AF7" w:rsidRPr="00BA79A3">
        <w:rPr>
          <w:color w:val="000000"/>
          <w:sz w:val="22"/>
          <w:szCs w:val="22"/>
        </w:rPr>
        <w:t xml:space="preserve">took </w:t>
      </w:r>
      <w:r w:rsidR="00F37790" w:rsidRPr="00BA79A3">
        <w:rPr>
          <w:color w:val="000000"/>
          <w:sz w:val="22"/>
          <w:szCs w:val="22"/>
        </w:rPr>
        <w:t xml:space="preserve">steps to facilitate an industry </w:t>
      </w:r>
      <w:r w:rsidR="00223D78">
        <w:rPr>
          <w:color w:val="000000"/>
          <w:sz w:val="22"/>
          <w:szCs w:val="22"/>
        </w:rPr>
        <w:t xml:space="preserve">consensus </w:t>
      </w:r>
      <w:r w:rsidR="00CD2B0B" w:rsidRPr="00BA79A3">
        <w:rPr>
          <w:color w:val="000000"/>
          <w:sz w:val="22"/>
          <w:szCs w:val="22"/>
        </w:rPr>
        <w:t xml:space="preserve">solution designed to resolve the lack of </w:t>
      </w:r>
      <w:r w:rsidR="00CB342D" w:rsidRPr="00BA79A3">
        <w:rPr>
          <w:color w:val="000000"/>
          <w:sz w:val="22"/>
          <w:szCs w:val="22"/>
        </w:rPr>
        <w:t xml:space="preserve">mobile </w:t>
      </w:r>
      <w:r w:rsidR="001E3299">
        <w:rPr>
          <w:color w:val="000000"/>
          <w:sz w:val="22"/>
          <w:szCs w:val="22"/>
        </w:rPr>
        <w:t xml:space="preserve">device </w:t>
      </w:r>
      <w:r w:rsidR="00CD2B0B" w:rsidRPr="00BA79A3">
        <w:rPr>
          <w:color w:val="000000"/>
          <w:sz w:val="22"/>
          <w:szCs w:val="22"/>
        </w:rPr>
        <w:t xml:space="preserve">interoperability in the </w:t>
      </w:r>
      <w:r w:rsidR="005C4410" w:rsidRPr="00BA79A3">
        <w:rPr>
          <w:color w:val="000000"/>
          <w:sz w:val="22"/>
          <w:szCs w:val="22"/>
        </w:rPr>
        <w:t xml:space="preserve">700 MHz </w:t>
      </w:r>
      <w:r w:rsidR="00CD2B0B" w:rsidRPr="00BA79A3">
        <w:rPr>
          <w:color w:val="000000"/>
          <w:sz w:val="22"/>
          <w:szCs w:val="22"/>
        </w:rPr>
        <w:t>band</w:t>
      </w:r>
      <w:r w:rsidR="00917F46" w:rsidRPr="00BA79A3">
        <w:rPr>
          <w:color w:val="000000"/>
          <w:sz w:val="22"/>
          <w:szCs w:val="22"/>
        </w:rPr>
        <w:t>.</w:t>
      </w:r>
      <w:r w:rsidR="00CD2B0B" w:rsidRPr="00BA79A3">
        <w:rPr>
          <w:rStyle w:val="FootnoteReference"/>
          <w:color w:val="000000"/>
          <w:sz w:val="22"/>
          <w:szCs w:val="22"/>
        </w:rPr>
        <w:footnoteReference w:id="32"/>
      </w:r>
      <w:r w:rsidR="007B3AF7" w:rsidRPr="00BA79A3">
        <w:rPr>
          <w:color w:val="000000"/>
          <w:sz w:val="22"/>
          <w:szCs w:val="22"/>
        </w:rPr>
        <w:t xml:space="preserve"> </w:t>
      </w:r>
      <w:r w:rsidR="00B61BCE" w:rsidRPr="00BA79A3">
        <w:rPr>
          <w:color w:val="000000"/>
          <w:sz w:val="22"/>
          <w:szCs w:val="22"/>
        </w:rPr>
        <w:t xml:space="preserve"> </w:t>
      </w:r>
      <w:r w:rsidR="006A1883" w:rsidRPr="00BA79A3">
        <w:rPr>
          <w:color w:val="000000"/>
          <w:sz w:val="22"/>
          <w:szCs w:val="22"/>
        </w:rPr>
        <w:t xml:space="preserve">In order to provide licensees sufficient opportunity to evaluate </w:t>
      </w:r>
      <w:r w:rsidR="00323601">
        <w:rPr>
          <w:color w:val="000000"/>
          <w:sz w:val="22"/>
          <w:szCs w:val="22"/>
        </w:rPr>
        <w:t xml:space="preserve">their networks in light of </w:t>
      </w:r>
      <w:r w:rsidR="00223D78">
        <w:rPr>
          <w:color w:val="000000"/>
          <w:sz w:val="22"/>
          <w:szCs w:val="22"/>
        </w:rPr>
        <w:t xml:space="preserve">the </w:t>
      </w:r>
      <w:r w:rsidR="007B3AF7" w:rsidRPr="00BA79A3">
        <w:rPr>
          <w:i/>
          <w:color w:val="000000"/>
          <w:sz w:val="22"/>
          <w:szCs w:val="22"/>
        </w:rPr>
        <w:t xml:space="preserve">700 MHz Interoperability Report and Order </w:t>
      </w:r>
      <w:r w:rsidR="007B3AF7" w:rsidRPr="00BA79A3">
        <w:rPr>
          <w:color w:val="000000"/>
          <w:sz w:val="22"/>
          <w:szCs w:val="22"/>
        </w:rPr>
        <w:t xml:space="preserve">and the industry consensus plan, the Commission </w:t>
      </w:r>
      <w:r w:rsidR="005C4410" w:rsidRPr="00BA79A3">
        <w:rPr>
          <w:color w:val="000000"/>
          <w:sz w:val="22"/>
          <w:szCs w:val="22"/>
        </w:rPr>
        <w:t>extended</w:t>
      </w:r>
      <w:r w:rsidR="006D5D91">
        <w:rPr>
          <w:color w:val="000000"/>
          <w:sz w:val="22"/>
          <w:szCs w:val="22"/>
        </w:rPr>
        <w:t>, in part,</w:t>
      </w:r>
      <w:r w:rsidR="005C4410" w:rsidRPr="00BA79A3">
        <w:rPr>
          <w:color w:val="000000"/>
          <w:sz w:val="22"/>
          <w:szCs w:val="22"/>
        </w:rPr>
        <w:t xml:space="preserve"> the interim 700 MHz construction deadline to December 13, 2016 for all active </w:t>
      </w:r>
      <w:r w:rsidR="007B3AF7" w:rsidRPr="00BA79A3">
        <w:rPr>
          <w:color w:val="000000"/>
          <w:sz w:val="22"/>
          <w:szCs w:val="22"/>
        </w:rPr>
        <w:t xml:space="preserve">Lower 700 MHz B Block licensees.  </w:t>
      </w:r>
      <w:r w:rsidR="00AA2F51">
        <w:rPr>
          <w:color w:val="000000"/>
          <w:sz w:val="22"/>
          <w:szCs w:val="22"/>
        </w:rPr>
        <w:t>Accordingly, Data-Max must satisfy its interim construction requirements</w:t>
      </w:r>
      <w:r w:rsidR="001F0032">
        <w:rPr>
          <w:color w:val="000000"/>
          <w:sz w:val="22"/>
          <w:szCs w:val="22"/>
        </w:rPr>
        <w:t>, including the required buildout of the Hualapai Indian Reservation,</w:t>
      </w:r>
      <w:r w:rsidR="00AA2F51">
        <w:rPr>
          <w:color w:val="000000"/>
          <w:sz w:val="22"/>
          <w:szCs w:val="22"/>
        </w:rPr>
        <w:t xml:space="preserve"> by</w:t>
      </w:r>
      <w:r w:rsidR="0008661A">
        <w:rPr>
          <w:color w:val="000000"/>
          <w:sz w:val="22"/>
          <w:szCs w:val="22"/>
        </w:rPr>
        <w:t xml:space="preserve"> December 13, 2016</w:t>
      </w:r>
      <w:r w:rsidR="00AA2F51">
        <w:rPr>
          <w:color w:val="000000"/>
          <w:sz w:val="22"/>
          <w:szCs w:val="22"/>
        </w:rPr>
        <w:t xml:space="preserve">. </w:t>
      </w:r>
      <w:r w:rsidR="00270A0D">
        <w:rPr>
          <w:color w:val="000000"/>
          <w:sz w:val="22"/>
          <w:szCs w:val="22"/>
        </w:rPr>
        <w:t xml:space="preserve"> </w:t>
      </w:r>
      <w:r w:rsidR="0008661A">
        <w:rPr>
          <w:color w:val="000000"/>
          <w:sz w:val="22"/>
          <w:szCs w:val="22"/>
        </w:rPr>
        <w:t xml:space="preserve"> </w:t>
      </w:r>
      <w:r w:rsidR="00574D82" w:rsidRPr="00102EC0">
        <w:rPr>
          <w:color w:val="000000"/>
          <w:sz w:val="22"/>
          <w:szCs w:val="22"/>
        </w:rPr>
        <w:t xml:space="preserve">We specify that, to the extent that Data-Max does not satisfactorily meet the required tribal lands construction by December 13, 2016, we will find that Data-Max has not met its interim construction requirement, regardless of the amount of construction </w:t>
      </w:r>
      <w:r w:rsidR="00B21F11">
        <w:rPr>
          <w:color w:val="000000"/>
          <w:sz w:val="22"/>
          <w:szCs w:val="22"/>
        </w:rPr>
        <w:t>completed in other parts of Data-Max’s</w:t>
      </w:r>
      <w:r w:rsidR="00574D82" w:rsidRPr="00102EC0">
        <w:rPr>
          <w:color w:val="000000"/>
          <w:sz w:val="22"/>
          <w:szCs w:val="22"/>
        </w:rPr>
        <w:t xml:space="preserve"> market.</w:t>
      </w:r>
    </w:p>
    <w:p w:rsidR="00BC3C31" w:rsidRPr="00102EC0" w:rsidRDefault="00BC3C31" w:rsidP="00AA222F">
      <w:pPr>
        <w:ind w:firstLine="720"/>
        <w:rPr>
          <w:color w:val="000000"/>
          <w:sz w:val="22"/>
          <w:szCs w:val="22"/>
        </w:rPr>
      </w:pPr>
    </w:p>
    <w:p w:rsidR="000465DE" w:rsidRPr="00102EC0" w:rsidRDefault="006D5D91" w:rsidP="006D5D91">
      <w:pPr>
        <w:ind w:firstLine="720"/>
        <w:rPr>
          <w:color w:val="000000"/>
          <w:sz w:val="22"/>
          <w:szCs w:val="22"/>
        </w:rPr>
      </w:pPr>
      <w:r w:rsidRPr="00102EC0">
        <w:rPr>
          <w:color w:val="000000"/>
          <w:sz w:val="22"/>
          <w:szCs w:val="22"/>
        </w:rPr>
        <w:t>Accordingly, IT IS ORDERED, that pursuant to Section 4(i) of the Communications Act, as amended, 47 U.S.C. § 154(i), and sections</w:t>
      </w:r>
      <w:r w:rsidR="000465DE" w:rsidRPr="00102EC0">
        <w:rPr>
          <w:color w:val="000000"/>
          <w:sz w:val="22"/>
          <w:szCs w:val="22"/>
        </w:rPr>
        <w:t xml:space="preserve"> 1.3,</w:t>
      </w:r>
      <w:r w:rsidRPr="00102EC0">
        <w:rPr>
          <w:color w:val="000000"/>
          <w:sz w:val="22"/>
          <w:szCs w:val="22"/>
        </w:rPr>
        <w:t xml:space="preserve"> 1.925, 1.946(e), </w:t>
      </w:r>
      <w:r w:rsidR="000465DE" w:rsidRPr="00102EC0">
        <w:rPr>
          <w:color w:val="000000"/>
          <w:sz w:val="22"/>
          <w:szCs w:val="22"/>
        </w:rPr>
        <w:t xml:space="preserve">and </w:t>
      </w:r>
      <w:r w:rsidRPr="00102EC0">
        <w:rPr>
          <w:color w:val="000000"/>
          <w:sz w:val="22"/>
          <w:szCs w:val="22"/>
        </w:rPr>
        <w:t>1.2110(f)(3) of Commi</w:t>
      </w:r>
      <w:r w:rsidR="000465DE" w:rsidRPr="00102EC0">
        <w:rPr>
          <w:color w:val="000000"/>
          <w:sz w:val="22"/>
          <w:szCs w:val="22"/>
        </w:rPr>
        <w:t>ssion’s Rules, 47 C.F.R. §§ 1.3,</w:t>
      </w:r>
      <w:r w:rsidRPr="00102EC0">
        <w:rPr>
          <w:color w:val="000000"/>
          <w:sz w:val="22"/>
          <w:szCs w:val="22"/>
        </w:rPr>
        <w:t xml:space="preserve"> 1.925, </w:t>
      </w:r>
      <w:r w:rsidR="000465DE" w:rsidRPr="00102EC0">
        <w:rPr>
          <w:color w:val="000000"/>
          <w:sz w:val="22"/>
          <w:szCs w:val="22"/>
        </w:rPr>
        <w:t>1.946(e), 1.2110(f)(3), that the Request for Waiver and Extension of Time of Tribal Land Bidding Credit Requirements filed by Data-Max Wirel</w:t>
      </w:r>
      <w:r w:rsidR="00B21F11">
        <w:rPr>
          <w:color w:val="000000"/>
          <w:sz w:val="22"/>
          <w:szCs w:val="22"/>
        </w:rPr>
        <w:t>ess, LLC, on February 22, 2013,</w:t>
      </w:r>
      <w:r w:rsidR="000465DE" w:rsidRPr="00102EC0">
        <w:rPr>
          <w:color w:val="000000"/>
          <w:sz w:val="22"/>
          <w:szCs w:val="22"/>
        </w:rPr>
        <w:t xml:space="preserve"> and supplemented on February 20, 2014, is GRANTED to the extent described herein and is otherwise DENIED, and the license for Station WQJQ674 is hereby </w:t>
      </w:r>
      <w:r w:rsidR="00A93177" w:rsidRPr="00102EC0">
        <w:rPr>
          <w:color w:val="000000"/>
          <w:sz w:val="22"/>
          <w:szCs w:val="22"/>
        </w:rPr>
        <w:t>RETURNED</w:t>
      </w:r>
      <w:r w:rsidR="000465DE" w:rsidRPr="00102EC0">
        <w:rPr>
          <w:color w:val="000000"/>
          <w:sz w:val="22"/>
          <w:szCs w:val="22"/>
        </w:rPr>
        <w:t xml:space="preserve"> to active status. </w:t>
      </w:r>
    </w:p>
    <w:p w:rsidR="002256CD" w:rsidRPr="00102EC0" w:rsidRDefault="002256CD" w:rsidP="006D5D91">
      <w:pPr>
        <w:ind w:firstLine="720"/>
        <w:rPr>
          <w:color w:val="000000"/>
          <w:sz w:val="22"/>
          <w:szCs w:val="22"/>
        </w:rPr>
      </w:pPr>
    </w:p>
    <w:p w:rsidR="00A93177" w:rsidRPr="00102EC0" w:rsidRDefault="002256CD" w:rsidP="006D5D91">
      <w:pPr>
        <w:ind w:firstLine="720"/>
        <w:rPr>
          <w:sz w:val="22"/>
          <w:szCs w:val="22"/>
        </w:rPr>
      </w:pPr>
      <w:r w:rsidRPr="00102EC0">
        <w:rPr>
          <w:sz w:val="22"/>
          <w:szCs w:val="22"/>
        </w:rPr>
        <w:t xml:space="preserve">IT IS FURTHER ORDERED that pursuant to Section 4(i) of the Communications Act, as amended, 47 U.S.C. § 154(i), and </w:t>
      </w:r>
      <w:r w:rsidR="00F937E8" w:rsidRPr="00102EC0">
        <w:rPr>
          <w:sz w:val="22"/>
          <w:szCs w:val="22"/>
        </w:rPr>
        <w:t>s</w:t>
      </w:r>
      <w:r w:rsidRPr="00102EC0">
        <w:rPr>
          <w:sz w:val="22"/>
          <w:szCs w:val="22"/>
        </w:rPr>
        <w:t xml:space="preserve">ections 1.3, 1.925, </w:t>
      </w:r>
      <w:r w:rsidR="00F937E8" w:rsidRPr="00102EC0">
        <w:rPr>
          <w:sz w:val="22"/>
          <w:szCs w:val="22"/>
        </w:rPr>
        <w:t xml:space="preserve">1.946, </w:t>
      </w:r>
      <w:r w:rsidRPr="00102EC0">
        <w:rPr>
          <w:sz w:val="22"/>
          <w:szCs w:val="22"/>
        </w:rPr>
        <w:t xml:space="preserve">and 27.14(g) of Commission’s Rules, 47 C.F.R. §§ 1.3, 1.925, </w:t>
      </w:r>
      <w:r w:rsidR="00F937E8" w:rsidRPr="00102EC0">
        <w:rPr>
          <w:sz w:val="22"/>
          <w:szCs w:val="22"/>
        </w:rPr>
        <w:t xml:space="preserve">1.946, </w:t>
      </w:r>
      <w:r w:rsidRPr="00102EC0">
        <w:rPr>
          <w:sz w:val="22"/>
          <w:szCs w:val="22"/>
        </w:rPr>
        <w:t xml:space="preserve">and 27.14(g), </w:t>
      </w:r>
      <w:r w:rsidR="00A93177" w:rsidRPr="00102EC0">
        <w:rPr>
          <w:color w:val="000000"/>
          <w:sz w:val="22"/>
          <w:szCs w:val="22"/>
        </w:rPr>
        <w:t xml:space="preserve">that the </w:t>
      </w:r>
      <w:r w:rsidR="007962B4">
        <w:rPr>
          <w:color w:val="000000"/>
          <w:sz w:val="22"/>
          <w:szCs w:val="22"/>
        </w:rPr>
        <w:t>deadline by</w:t>
      </w:r>
      <w:r w:rsidR="00A93177" w:rsidRPr="00102EC0">
        <w:rPr>
          <w:color w:val="000000"/>
          <w:sz w:val="22"/>
          <w:szCs w:val="22"/>
        </w:rPr>
        <w:t xml:space="preserve"> which Data-Max Wireless, LLC</w:t>
      </w:r>
      <w:r w:rsidR="00F937E8" w:rsidRPr="00102EC0">
        <w:rPr>
          <w:color w:val="000000"/>
          <w:sz w:val="22"/>
          <w:szCs w:val="22"/>
        </w:rPr>
        <w:t>,</w:t>
      </w:r>
      <w:r w:rsidR="00A93177" w:rsidRPr="00102EC0">
        <w:rPr>
          <w:color w:val="000000"/>
          <w:sz w:val="22"/>
          <w:szCs w:val="22"/>
        </w:rPr>
        <w:t xml:space="preserve"> must meet </w:t>
      </w:r>
      <w:r w:rsidR="00624B56" w:rsidRPr="00102EC0">
        <w:rPr>
          <w:color w:val="000000"/>
          <w:sz w:val="22"/>
          <w:szCs w:val="22"/>
        </w:rPr>
        <w:t>its</w:t>
      </w:r>
      <w:r w:rsidR="00A93177" w:rsidRPr="00102EC0">
        <w:rPr>
          <w:color w:val="000000"/>
          <w:sz w:val="22"/>
          <w:szCs w:val="22"/>
        </w:rPr>
        <w:t xml:space="preserve"> interim </w:t>
      </w:r>
      <w:r w:rsidR="007962B4">
        <w:rPr>
          <w:color w:val="000000"/>
          <w:sz w:val="22"/>
          <w:szCs w:val="22"/>
        </w:rPr>
        <w:t>performance</w:t>
      </w:r>
      <w:r w:rsidR="00A93177" w:rsidRPr="00102EC0">
        <w:rPr>
          <w:color w:val="000000"/>
          <w:sz w:val="22"/>
          <w:szCs w:val="22"/>
        </w:rPr>
        <w:t xml:space="preserve"> </w:t>
      </w:r>
      <w:r w:rsidR="007962B4">
        <w:rPr>
          <w:color w:val="000000"/>
          <w:sz w:val="22"/>
          <w:szCs w:val="22"/>
        </w:rPr>
        <w:t xml:space="preserve">requirement </w:t>
      </w:r>
      <w:r w:rsidR="00F937E8" w:rsidRPr="00102EC0">
        <w:rPr>
          <w:color w:val="000000"/>
          <w:sz w:val="22"/>
          <w:szCs w:val="22"/>
        </w:rPr>
        <w:t>for station license</w:t>
      </w:r>
      <w:r w:rsidR="00A93177" w:rsidRPr="00102EC0">
        <w:rPr>
          <w:color w:val="000000"/>
          <w:sz w:val="22"/>
          <w:szCs w:val="22"/>
        </w:rPr>
        <w:t xml:space="preserve"> WQJQ674 is extended to December 13, 2016</w:t>
      </w:r>
      <w:r w:rsidR="00F937E8" w:rsidRPr="00102EC0">
        <w:rPr>
          <w:color w:val="000000"/>
          <w:sz w:val="22"/>
          <w:szCs w:val="22"/>
        </w:rPr>
        <w:t xml:space="preserve">.  </w:t>
      </w:r>
      <w:r w:rsidR="00624B56" w:rsidRPr="00102EC0">
        <w:rPr>
          <w:color w:val="000000"/>
          <w:sz w:val="22"/>
          <w:szCs w:val="22"/>
        </w:rPr>
        <w:t xml:space="preserve">As part of its interim </w:t>
      </w:r>
      <w:r w:rsidR="007962B4">
        <w:rPr>
          <w:color w:val="000000"/>
          <w:sz w:val="22"/>
          <w:szCs w:val="22"/>
        </w:rPr>
        <w:t xml:space="preserve">performance requirement </w:t>
      </w:r>
      <w:r w:rsidR="00624B56" w:rsidRPr="00102EC0">
        <w:rPr>
          <w:color w:val="000000"/>
          <w:sz w:val="22"/>
          <w:szCs w:val="22"/>
        </w:rPr>
        <w:t>for station license WQJQ674, Data-Max Wireless, LLC, must construct and operate</w:t>
      </w:r>
      <w:r w:rsidR="00624B56" w:rsidRPr="00102EC0">
        <w:rPr>
          <w:sz w:val="22"/>
          <w:szCs w:val="22"/>
        </w:rPr>
        <w:t xml:space="preserve"> </w:t>
      </w:r>
      <w:r w:rsidR="00624B56" w:rsidRPr="00102EC0">
        <w:rPr>
          <w:color w:val="000000"/>
          <w:sz w:val="22"/>
          <w:szCs w:val="22"/>
        </w:rPr>
        <w:t>a system capable of serving seventy-five (75) percent of the population of the tribal land for which it was previously granted a bidding credit</w:t>
      </w:r>
      <w:r w:rsidR="00102EC0" w:rsidRPr="00102EC0">
        <w:rPr>
          <w:color w:val="000000"/>
          <w:sz w:val="22"/>
          <w:szCs w:val="22"/>
        </w:rPr>
        <w:t xml:space="preserve"> pursuant to section 1.2110(f)(3) of the Commission’s rules, 47 C.F.R. § 1.2110(f)(3).</w:t>
      </w:r>
    </w:p>
    <w:p w:rsidR="006D5D91" w:rsidRPr="00102EC0" w:rsidRDefault="006D5D91" w:rsidP="006D5D91">
      <w:pPr>
        <w:ind w:firstLine="720"/>
        <w:rPr>
          <w:color w:val="000000"/>
          <w:sz w:val="22"/>
          <w:szCs w:val="22"/>
        </w:rPr>
      </w:pPr>
    </w:p>
    <w:p w:rsidR="006D5D91" w:rsidRPr="00102EC0" w:rsidRDefault="006D5D91" w:rsidP="006D5D91">
      <w:pPr>
        <w:ind w:firstLine="720"/>
        <w:rPr>
          <w:color w:val="000000"/>
          <w:sz w:val="22"/>
          <w:szCs w:val="22"/>
        </w:rPr>
      </w:pPr>
      <w:r w:rsidRPr="00102EC0">
        <w:rPr>
          <w:color w:val="000000"/>
          <w:sz w:val="22"/>
          <w:szCs w:val="22"/>
        </w:rPr>
        <w:t>Th</w:t>
      </w:r>
      <w:r w:rsidR="007962B4">
        <w:rPr>
          <w:color w:val="000000"/>
          <w:sz w:val="22"/>
          <w:szCs w:val="22"/>
        </w:rPr>
        <w:t>ese actions are taken under</w:t>
      </w:r>
      <w:r w:rsidRPr="00102EC0">
        <w:rPr>
          <w:color w:val="000000"/>
          <w:sz w:val="22"/>
          <w:szCs w:val="22"/>
        </w:rPr>
        <w:t xml:space="preserve"> delegated authority pursuant to </w:t>
      </w:r>
      <w:r w:rsidR="007962B4">
        <w:rPr>
          <w:color w:val="000000"/>
          <w:sz w:val="22"/>
          <w:szCs w:val="22"/>
        </w:rPr>
        <w:t>s</w:t>
      </w:r>
      <w:r w:rsidRPr="00102EC0">
        <w:rPr>
          <w:color w:val="000000"/>
          <w:sz w:val="22"/>
          <w:szCs w:val="22"/>
        </w:rPr>
        <w:t>ections 0.131 and 0.331 of the Commission’s Rules, 47 C.F.R. §§ 0.131, 0.331.</w:t>
      </w:r>
    </w:p>
    <w:p w:rsidR="004E0BEA" w:rsidRPr="00BA79A3" w:rsidRDefault="004E0BEA" w:rsidP="000D5907">
      <w:pPr>
        <w:rPr>
          <w:sz w:val="22"/>
          <w:szCs w:val="22"/>
        </w:rPr>
      </w:pPr>
    </w:p>
    <w:p w:rsidR="004E0BEA" w:rsidRPr="00BA79A3" w:rsidRDefault="004E0BEA" w:rsidP="000D5907">
      <w:pPr>
        <w:rPr>
          <w:sz w:val="22"/>
          <w:szCs w:val="22"/>
        </w:rPr>
      </w:pPr>
    </w:p>
    <w:p w:rsidR="00471C87" w:rsidRDefault="00102EC0" w:rsidP="000D590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102EC0" w:rsidRDefault="00102EC0" w:rsidP="000D5907">
      <w:pPr>
        <w:rPr>
          <w:sz w:val="22"/>
          <w:szCs w:val="22"/>
        </w:rPr>
      </w:pPr>
    </w:p>
    <w:p w:rsidR="00102EC0" w:rsidRDefault="00102EC0" w:rsidP="000D5907">
      <w:pPr>
        <w:rPr>
          <w:sz w:val="22"/>
          <w:szCs w:val="22"/>
        </w:rPr>
      </w:pPr>
    </w:p>
    <w:p w:rsidR="00102EC0" w:rsidRDefault="00102EC0" w:rsidP="000D5907">
      <w:pPr>
        <w:rPr>
          <w:sz w:val="22"/>
          <w:szCs w:val="22"/>
        </w:rPr>
      </w:pPr>
    </w:p>
    <w:p w:rsidR="00102EC0" w:rsidRDefault="00102EC0" w:rsidP="000D590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Roger S. Noel</w:t>
      </w:r>
    </w:p>
    <w:p w:rsidR="00102EC0" w:rsidRDefault="00102EC0" w:rsidP="000D590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Chief, Mobility Division</w:t>
      </w:r>
    </w:p>
    <w:p w:rsidR="00102EC0" w:rsidRPr="00BA79A3" w:rsidRDefault="00102EC0" w:rsidP="000D590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Wireless Telecommunications Bureau</w:t>
      </w:r>
    </w:p>
    <w:p w:rsidR="00471C87" w:rsidRPr="00BA79A3" w:rsidRDefault="00471C87" w:rsidP="000D5907">
      <w:pPr>
        <w:rPr>
          <w:sz w:val="22"/>
          <w:szCs w:val="22"/>
        </w:rPr>
      </w:pPr>
    </w:p>
    <w:p w:rsidR="009E68F6" w:rsidRPr="00BA79A3" w:rsidRDefault="009E68F6" w:rsidP="000D5907">
      <w:pPr>
        <w:rPr>
          <w:sz w:val="22"/>
          <w:szCs w:val="22"/>
        </w:rPr>
      </w:pPr>
    </w:p>
    <w:sectPr w:rsidR="009E68F6" w:rsidRPr="00BA79A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5B" w:rsidRDefault="00063E5B">
      <w:r>
        <w:separator/>
      </w:r>
    </w:p>
  </w:endnote>
  <w:endnote w:type="continuationSeparator" w:id="0">
    <w:p w:rsidR="00063E5B" w:rsidRDefault="0006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F6" w:rsidRDefault="00081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F6" w:rsidRDefault="00081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F6" w:rsidRDefault="00081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5B" w:rsidRDefault="00063E5B">
      <w:r>
        <w:separator/>
      </w:r>
    </w:p>
  </w:footnote>
  <w:footnote w:type="continuationSeparator" w:id="0">
    <w:p w:rsidR="00063E5B" w:rsidRDefault="00063E5B">
      <w:r>
        <w:continuationSeparator/>
      </w:r>
    </w:p>
  </w:footnote>
  <w:footnote w:id="1">
    <w:p w:rsidR="004A5181" w:rsidRDefault="004A5181" w:rsidP="008C4E38">
      <w:pPr>
        <w:pStyle w:val="FootnoteText"/>
        <w:spacing w:after="120"/>
      </w:pPr>
      <w:r>
        <w:rPr>
          <w:rStyle w:val="FootnoteReference"/>
        </w:rPr>
        <w:footnoteRef/>
      </w:r>
      <w:r>
        <w:t xml:space="preserve"> </w:t>
      </w:r>
      <w:r w:rsidRPr="000D5907">
        <w:rPr>
          <w:i/>
        </w:rPr>
        <w:t>See</w:t>
      </w:r>
      <w:r w:rsidRPr="000D5907">
        <w:t xml:space="preserve"> Data-Max Wireless, LLC, Request for Waiver and Extension of Time of Tribal Land Bidding Credit Requireme</w:t>
      </w:r>
      <w:r w:rsidR="00C03717">
        <w:t xml:space="preserve">nts, Call Sign </w:t>
      </w:r>
      <w:r w:rsidR="00186B7E">
        <w:t xml:space="preserve">WQJQ674, </w:t>
      </w:r>
      <w:r w:rsidRPr="000D5907">
        <w:t>File Number 0005662520, filed Feb. 22, 2013</w:t>
      </w:r>
      <w:r w:rsidR="00C80BE7">
        <w:t xml:space="preserve"> (Waiver Request)</w:t>
      </w:r>
      <w:r w:rsidRPr="000D5907">
        <w:t>.</w:t>
      </w:r>
    </w:p>
  </w:footnote>
  <w:footnote w:id="2">
    <w:p w:rsidR="000D5907" w:rsidRDefault="000D5907" w:rsidP="008C4E38">
      <w:pPr>
        <w:pStyle w:val="FootnoteText"/>
        <w:spacing w:after="120"/>
      </w:pPr>
      <w:r>
        <w:rPr>
          <w:rStyle w:val="FootnoteReference"/>
        </w:rPr>
        <w:footnoteRef/>
      </w:r>
      <w:r>
        <w:t xml:space="preserve"> </w:t>
      </w:r>
      <w:r w:rsidRPr="000D5907">
        <w:rPr>
          <w:i/>
        </w:rPr>
        <w:t>See</w:t>
      </w:r>
      <w:r w:rsidRPr="000D5907">
        <w:t xml:space="preserve"> Auction of 700 MHz Band Licenses Closes, Winning Bidders Announced for Auction 73, </w:t>
      </w:r>
      <w:r w:rsidRPr="000D5907">
        <w:rPr>
          <w:i/>
        </w:rPr>
        <w:t>Public Notice</w:t>
      </w:r>
      <w:r w:rsidRPr="000D5907">
        <w:t>, 23 FCC Rcd 4572 (WTB 2008) (</w:t>
      </w:r>
      <w:r w:rsidRPr="000D5907">
        <w:rPr>
          <w:i/>
        </w:rPr>
        <w:t>700 MHz Closing Public Notice</w:t>
      </w:r>
      <w:r w:rsidRPr="000D5907">
        <w:t>).</w:t>
      </w:r>
    </w:p>
  </w:footnote>
  <w:footnote w:id="3">
    <w:p w:rsidR="000D5907" w:rsidRDefault="000D5907" w:rsidP="008C4E38">
      <w:pPr>
        <w:pStyle w:val="FootnoteText"/>
        <w:spacing w:after="120"/>
      </w:pPr>
      <w:r>
        <w:rPr>
          <w:rStyle w:val="FootnoteReference"/>
        </w:rPr>
        <w:footnoteRef/>
      </w:r>
      <w:r>
        <w:t xml:space="preserve"> </w:t>
      </w:r>
      <w:r w:rsidRPr="000D5907">
        <w:rPr>
          <w:i/>
        </w:rPr>
        <w:t>See</w:t>
      </w:r>
      <w:r w:rsidRPr="000D5907">
        <w:t xml:space="preserve"> Wireless Telecommunications Bureau Grants 700 MHz Band Licenses, Auction Event No. 73, Report No. AUC-73 (Auction No. 73), </w:t>
      </w:r>
      <w:r w:rsidRPr="000D5907">
        <w:rPr>
          <w:i/>
        </w:rPr>
        <w:t>Public Notice</w:t>
      </w:r>
      <w:r w:rsidRPr="000D5907">
        <w:t>, 23 FCC Rcd 17074 (WTB 2008).</w:t>
      </w:r>
    </w:p>
  </w:footnote>
  <w:footnote w:id="4">
    <w:p w:rsidR="000D5907" w:rsidRDefault="000D5907" w:rsidP="008C4E38">
      <w:pPr>
        <w:pStyle w:val="FootnoteText"/>
        <w:spacing w:after="120"/>
      </w:pPr>
      <w:r>
        <w:rPr>
          <w:rStyle w:val="FootnoteReference"/>
        </w:rPr>
        <w:footnoteRef/>
      </w:r>
      <w:r>
        <w:t xml:space="preserve"> </w:t>
      </w:r>
      <w:r w:rsidRPr="000D5907">
        <w:rPr>
          <w:i/>
        </w:rPr>
        <w:t>See</w:t>
      </w:r>
      <w:r w:rsidRPr="000D5907">
        <w:t xml:space="preserve"> </w:t>
      </w:r>
      <w:r w:rsidRPr="000D5907">
        <w:rPr>
          <w:i/>
        </w:rPr>
        <w:t>700 MHz Closing Public Notice</w:t>
      </w:r>
      <w:r w:rsidRPr="000D5907">
        <w:t>; 47 C.F.R. § 1.2110(f)(3)(iv).</w:t>
      </w:r>
    </w:p>
  </w:footnote>
  <w:footnote w:id="5">
    <w:p w:rsidR="000D5907" w:rsidRDefault="000D5907" w:rsidP="008C4E38">
      <w:pPr>
        <w:pStyle w:val="FootnoteText"/>
        <w:spacing w:after="120"/>
      </w:pPr>
      <w:r>
        <w:rPr>
          <w:rStyle w:val="FootnoteReference"/>
        </w:rPr>
        <w:footnoteRef/>
      </w:r>
      <w:r>
        <w:t xml:space="preserve"> </w:t>
      </w:r>
      <w:r w:rsidRPr="000D5907">
        <w:t xml:space="preserve">47 C.F.R. § 1.2110(f)(3)(vii).  </w:t>
      </w:r>
    </w:p>
  </w:footnote>
  <w:footnote w:id="6">
    <w:p w:rsidR="000D5907" w:rsidRDefault="000D5907" w:rsidP="00EE2638">
      <w:pPr>
        <w:pStyle w:val="FootnoteText"/>
        <w:spacing w:after="120"/>
      </w:pPr>
      <w:r>
        <w:rPr>
          <w:rStyle w:val="FootnoteReference"/>
        </w:rPr>
        <w:footnoteRef/>
      </w:r>
      <w:r>
        <w:t xml:space="preserve"> </w:t>
      </w:r>
      <w:r w:rsidRPr="000D5907">
        <w:t xml:space="preserve">The 700 MHz Band was made available for wireless services as a result of the DTV transition. The DTV Delay Act extended the deadline by which television broadcasters were required to complete the transition </w:t>
      </w:r>
      <w:r w:rsidR="00B66478">
        <w:t xml:space="preserve">of their facilities </w:t>
      </w:r>
      <w:r w:rsidRPr="000D5907">
        <w:t xml:space="preserve">to new digital channels from February 17, 2009 to June 12, 2009.  </w:t>
      </w:r>
      <w:r w:rsidRPr="005774BA">
        <w:rPr>
          <w:i/>
        </w:rPr>
        <w:t>See</w:t>
      </w:r>
      <w:r w:rsidRPr="000D5907">
        <w:t xml:space="preserve"> Implementation of the DTV Delay Act, </w:t>
      </w:r>
      <w:r w:rsidRPr="000D5907">
        <w:rPr>
          <w:i/>
        </w:rPr>
        <w:t>Second Report and Order and Notice of Proposed Rulemaking</w:t>
      </w:r>
      <w:r w:rsidRPr="000D5907">
        <w:t>, 24 FCC Rcd 2526 (2009)</w:t>
      </w:r>
      <w:r w:rsidR="007B205B">
        <w:t xml:space="preserve"> (</w:t>
      </w:r>
      <w:r w:rsidR="007B205B" w:rsidRPr="007B205B">
        <w:rPr>
          <w:i/>
        </w:rPr>
        <w:t>DTV Delay Order</w:t>
      </w:r>
      <w:r w:rsidR="007B205B">
        <w:t>)</w:t>
      </w:r>
      <w:r w:rsidRPr="000D5907">
        <w:t>; DTV Delay Act, Pub. L. No. 111-4, 123 Stat. 112 (2009) (DTV Delay Act)</w:t>
      </w:r>
      <w:r w:rsidR="00D71989">
        <w:t>.</w:t>
      </w:r>
      <w:r w:rsidR="005774BA">
        <w:t xml:space="preserve">  </w:t>
      </w:r>
      <w:r w:rsidR="005774BA" w:rsidRPr="000D5907">
        <w:t xml:space="preserve">The 700 MHz spectrum therefore became available for wireless </w:t>
      </w:r>
      <w:r w:rsidR="00B66478">
        <w:t>use</w:t>
      </w:r>
      <w:r w:rsidR="005774BA" w:rsidRPr="000D5907">
        <w:t xml:space="preserve"> as of June 13, 2009.</w:t>
      </w:r>
    </w:p>
  </w:footnote>
  <w:footnote w:id="7">
    <w:p w:rsidR="00EE2638" w:rsidRDefault="00EE2638" w:rsidP="00EE2638">
      <w:pPr>
        <w:pStyle w:val="FootnoteText"/>
        <w:spacing w:after="120"/>
      </w:pPr>
      <w:r>
        <w:rPr>
          <w:rStyle w:val="FootnoteReference"/>
        </w:rPr>
        <w:footnoteRef/>
      </w:r>
      <w:r>
        <w:t xml:space="preserve"> 47 C.F.R. § </w:t>
      </w:r>
      <w:r w:rsidRPr="00EE2638">
        <w:t>1.2110(f)(3)(vii)</w:t>
      </w:r>
      <w:r>
        <w:t>.</w:t>
      </w:r>
    </w:p>
  </w:footnote>
  <w:footnote w:id="8">
    <w:p w:rsidR="00EE2638" w:rsidRDefault="00EE2638" w:rsidP="00EE2638">
      <w:pPr>
        <w:pStyle w:val="FootnoteText"/>
        <w:spacing w:after="120"/>
      </w:pPr>
      <w:r>
        <w:rPr>
          <w:rStyle w:val="FootnoteReference"/>
        </w:rPr>
        <w:footnoteRef/>
      </w:r>
      <w:r>
        <w:t xml:space="preserve"> 47 C.F.R. § </w:t>
      </w:r>
      <w:r w:rsidRPr="00EE2638">
        <w:t>1.2110(f)(3)(viii)</w:t>
      </w:r>
      <w:r>
        <w:t>.</w:t>
      </w:r>
    </w:p>
  </w:footnote>
  <w:footnote w:id="9">
    <w:p w:rsidR="00EE2638" w:rsidRPr="00EE2638" w:rsidRDefault="00EE2638" w:rsidP="00EE2638">
      <w:pPr>
        <w:pStyle w:val="FootnoteText"/>
        <w:spacing w:after="120"/>
        <w:rPr>
          <w:i/>
        </w:rPr>
      </w:pPr>
      <w:r>
        <w:rPr>
          <w:rStyle w:val="FootnoteReference"/>
        </w:rPr>
        <w:footnoteRef/>
      </w:r>
      <w:r>
        <w:t xml:space="preserve"> </w:t>
      </w:r>
      <w:r>
        <w:rPr>
          <w:i/>
        </w:rPr>
        <w:t>Id.</w:t>
      </w:r>
    </w:p>
  </w:footnote>
  <w:footnote w:id="10">
    <w:p w:rsidR="000D5907" w:rsidRDefault="000D5907" w:rsidP="00EE2638">
      <w:pPr>
        <w:pStyle w:val="FootnoteText"/>
        <w:spacing w:after="120"/>
      </w:pPr>
      <w:r>
        <w:rPr>
          <w:rStyle w:val="FootnoteReference"/>
        </w:rPr>
        <w:footnoteRef/>
      </w:r>
      <w:r>
        <w:t xml:space="preserve"> </w:t>
      </w:r>
      <w:r w:rsidR="00EE2638">
        <w:rPr>
          <w:i/>
        </w:rPr>
        <w:t>Id.</w:t>
      </w:r>
    </w:p>
  </w:footnote>
  <w:footnote w:id="11">
    <w:p w:rsidR="004A5181" w:rsidRDefault="004A5181" w:rsidP="008C4E38">
      <w:pPr>
        <w:pStyle w:val="FootnoteText"/>
        <w:spacing w:after="120"/>
      </w:pPr>
      <w:r>
        <w:rPr>
          <w:rStyle w:val="FootnoteReference"/>
        </w:rPr>
        <w:footnoteRef/>
      </w:r>
      <w:r>
        <w:t xml:space="preserve"> </w:t>
      </w:r>
      <w:r w:rsidRPr="000D5907">
        <w:rPr>
          <w:i/>
        </w:rPr>
        <w:t>See</w:t>
      </w:r>
      <w:r w:rsidRPr="000D5907">
        <w:t xml:space="preserve"> Data-Max Wireless, LLC, Request for Waiver and Extension of Time of Tribal Land Bidding Credit Requirements for 700 MHz B Block License WQJQ674, ULS File Number 0005662520, filed Feb. 22, 2013</w:t>
      </w:r>
      <w:r w:rsidR="00EE2638">
        <w:t xml:space="preserve"> (Waiver Request)</w:t>
      </w:r>
      <w:r w:rsidRPr="000D5907">
        <w:t>.</w:t>
      </w:r>
    </w:p>
  </w:footnote>
  <w:footnote w:id="12">
    <w:p w:rsidR="009E68F6" w:rsidRDefault="009E68F6" w:rsidP="008C4E38">
      <w:pPr>
        <w:pStyle w:val="FootnoteText"/>
        <w:spacing w:after="120"/>
      </w:pPr>
      <w:r>
        <w:rPr>
          <w:rStyle w:val="FootnoteReference"/>
        </w:rPr>
        <w:footnoteRef/>
      </w:r>
      <w:r>
        <w:t xml:space="preserve"> </w:t>
      </w:r>
      <w:r w:rsidR="0056063A">
        <w:rPr>
          <w:i/>
        </w:rPr>
        <w:t xml:space="preserve">Id. </w:t>
      </w:r>
      <w:r w:rsidR="0056063A">
        <w:t>at</w:t>
      </w:r>
      <w:r w:rsidR="00102EC0">
        <w:t xml:space="preserve"> 10.</w:t>
      </w:r>
    </w:p>
  </w:footnote>
  <w:footnote w:id="13">
    <w:p w:rsidR="009E68F6" w:rsidRDefault="009E68F6" w:rsidP="008C4E38">
      <w:pPr>
        <w:pStyle w:val="FootnoteText"/>
        <w:spacing w:after="120"/>
      </w:pPr>
      <w:r>
        <w:rPr>
          <w:rStyle w:val="FootnoteReference"/>
        </w:rPr>
        <w:footnoteRef/>
      </w:r>
      <w:r>
        <w:t xml:space="preserve"> </w:t>
      </w:r>
      <w:r w:rsidR="0056063A">
        <w:rPr>
          <w:i/>
        </w:rPr>
        <w:t>Id.</w:t>
      </w:r>
      <w:r w:rsidRPr="0092278B">
        <w:t xml:space="preserve"> at 13.</w:t>
      </w:r>
    </w:p>
  </w:footnote>
  <w:footnote w:id="14">
    <w:p w:rsidR="009E68F6" w:rsidRDefault="009E68F6" w:rsidP="008C4E38">
      <w:pPr>
        <w:pStyle w:val="FootnoteText"/>
        <w:spacing w:after="120"/>
      </w:pPr>
      <w:r>
        <w:rPr>
          <w:rStyle w:val="FootnoteReference"/>
        </w:rPr>
        <w:footnoteRef/>
      </w:r>
      <w:r>
        <w:t xml:space="preserve"> </w:t>
      </w:r>
      <w:r w:rsidRPr="0092278B">
        <w:rPr>
          <w:i/>
        </w:rPr>
        <w:t>See</w:t>
      </w:r>
      <w:r w:rsidRPr="0092278B">
        <w:t xml:space="preserve"> </w:t>
      </w:r>
      <w:r w:rsidR="0056063A">
        <w:rPr>
          <w:i/>
        </w:rPr>
        <w:t>id.</w:t>
      </w:r>
      <w:r w:rsidRPr="0092278B">
        <w:t xml:space="preserve"> at 14.</w:t>
      </w:r>
      <w:r w:rsidR="0056063A">
        <w:t xml:space="preserve"> </w:t>
      </w:r>
    </w:p>
  </w:footnote>
  <w:footnote w:id="15">
    <w:p w:rsidR="009E68F6" w:rsidRDefault="009E68F6" w:rsidP="008C4E38">
      <w:pPr>
        <w:pStyle w:val="FootnoteText"/>
        <w:spacing w:after="120"/>
      </w:pPr>
      <w:r>
        <w:rPr>
          <w:rStyle w:val="FootnoteReference"/>
        </w:rPr>
        <w:footnoteRef/>
      </w:r>
      <w:r>
        <w:t xml:space="preserve"> </w:t>
      </w:r>
      <w:r w:rsidRPr="0092278B">
        <w:rPr>
          <w:i/>
        </w:rPr>
        <w:t>See</w:t>
      </w:r>
      <w:r w:rsidRPr="0092278B">
        <w:t xml:space="preserve"> </w:t>
      </w:r>
      <w:r w:rsidR="0056063A">
        <w:rPr>
          <w:i/>
        </w:rPr>
        <w:t>id.</w:t>
      </w:r>
      <w:r w:rsidRPr="0092278B">
        <w:t xml:space="preserve"> at 15, 18.</w:t>
      </w:r>
    </w:p>
  </w:footnote>
  <w:footnote w:id="16">
    <w:p w:rsidR="009E68F6" w:rsidRDefault="009E68F6" w:rsidP="00411006">
      <w:pPr>
        <w:pStyle w:val="FootnoteText"/>
        <w:spacing w:after="120"/>
      </w:pPr>
      <w:r>
        <w:rPr>
          <w:rStyle w:val="FootnoteReference"/>
        </w:rPr>
        <w:footnoteRef/>
      </w:r>
      <w:r>
        <w:t xml:space="preserve"> </w:t>
      </w:r>
      <w:r w:rsidR="0056063A">
        <w:rPr>
          <w:i/>
        </w:rPr>
        <w:t xml:space="preserve">Id. </w:t>
      </w:r>
      <w:r w:rsidRPr="007B6929">
        <w:t>at 18.</w:t>
      </w:r>
    </w:p>
  </w:footnote>
  <w:footnote w:id="17">
    <w:p w:rsidR="008015F5" w:rsidRDefault="008015F5" w:rsidP="00411006">
      <w:pPr>
        <w:pStyle w:val="FootnoteText"/>
        <w:spacing w:after="120"/>
      </w:pPr>
      <w:r>
        <w:rPr>
          <w:rStyle w:val="FootnoteReference"/>
        </w:rPr>
        <w:footnoteRef/>
      </w:r>
      <w:r>
        <w:t xml:space="preserve"> </w:t>
      </w:r>
      <w:r w:rsidR="0056063A">
        <w:rPr>
          <w:i/>
        </w:rPr>
        <w:t>Id.</w:t>
      </w:r>
      <w:r>
        <w:t xml:space="preserve"> at 18, note 31.</w:t>
      </w:r>
    </w:p>
  </w:footnote>
  <w:footnote w:id="18">
    <w:p w:rsidR="00411006" w:rsidRPr="0053688D" w:rsidRDefault="00411006" w:rsidP="00411006">
      <w:pPr>
        <w:pStyle w:val="FootnoteText"/>
        <w:spacing w:after="120"/>
      </w:pPr>
      <w:r>
        <w:rPr>
          <w:rStyle w:val="FootnoteReference"/>
        </w:rPr>
        <w:footnoteRef/>
      </w:r>
      <w:r>
        <w:t xml:space="preserve"> Data-Max Wireless, L.L.C. Supplement to Request for Waiver and Extension of Tribal Land Bidding Credit Requirements, </w:t>
      </w:r>
      <w:r w:rsidR="0053688D">
        <w:t>dated</w:t>
      </w:r>
      <w:r>
        <w:t xml:space="preserve"> February 10, 2014 (Supplement).</w:t>
      </w:r>
      <w:r w:rsidR="007962B4">
        <w:t xml:space="preserve">  </w:t>
      </w:r>
      <w:r w:rsidR="0053688D">
        <w:t xml:space="preserve">Filings relating to a request for waiver or extension of time generally must be filed electronically through the Universal Licensing System (ULS).  </w:t>
      </w:r>
      <w:r w:rsidR="0053688D">
        <w:rPr>
          <w:i/>
        </w:rPr>
        <w:t xml:space="preserve">See </w:t>
      </w:r>
      <w:r w:rsidR="0053688D">
        <w:t>47 C.F.R. § 1.913(a)(1).  Here, Data-Max could not file the Supplement through ULS because the station license automatically terminated by operation of the Commission’s rules.  We therefore grant Data-Max such waivers as necessary to allow full consideration of Data-Max’s request for relief.</w:t>
      </w:r>
    </w:p>
  </w:footnote>
  <w:footnote w:id="19">
    <w:p w:rsidR="00126D46" w:rsidRPr="00126D46" w:rsidRDefault="00126D46" w:rsidP="00126D46">
      <w:pPr>
        <w:pStyle w:val="FootnoteText"/>
        <w:spacing w:after="120"/>
      </w:pPr>
      <w:r>
        <w:rPr>
          <w:rStyle w:val="FootnoteReference"/>
        </w:rPr>
        <w:footnoteRef/>
      </w:r>
      <w:r>
        <w:rPr>
          <w:rStyle w:val="FootnoteReference"/>
        </w:rPr>
        <w:t xml:space="preserve"> </w:t>
      </w:r>
      <w:r w:rsidR="0056063A">
        <w:t xml:space="preserve">Supplement </w:t>
      </w:r>
      <w:r>
        <w:t>at 3.</w:t>
      </w:r>
    </w:p>
  </w:footnote>
  <w:footnote w:id="20">
    <w:p w:rsidR="003C2733" w:rsidRDefault="003C2733" w:rsidP="00300CAD">
      <w:pPr>
        <w:pStyle w:val="FootnoteText"/>
        <w:spacing w:after="120"/>
      </w:pPr>
      <w:r>
        <w:rPr>
          <w:rStyle w:val="FootnoteReference"/>
        </w:rPr>
        <w:footnoteRef/>
      </w:r>
      <w:r>
        <w:t xml:space="preserve"> </w:t>
      </w:r>
      <w:r w:rsidR="00323601">
        <w:rPr>
          <w:i/>
        </w:rPr>
        <w:t xml:space="preserve">See </w:t>
      </w:r>
      <w:r w:rsidR="00323601">
        <w:t xml:space="preserve">47 C.F.R. §§ </w:t>
      </w:r>
      <w:r w:rsidR="00BE1679">
        <w:t>1.1940, 1.2110(f)(3)(iii)</w:t>
      </w:r>
      <w:r w:rsidR="00323601">
        <w:t xml:space="preserve">.  </w:t>
      </w:r>
      <w:r>
        <w:t>Data-Max pro</w:t>
      </w:r>
      <w:r w:rsidR="00300CAD">
        <w:t>vided repayment on February 27, 2014.</w:t>
      </w:r>
    </w:p>
  </w:footnote>
  <w:footnote w:id="21">
    <w:p w:rsidR="00471C87" w:rsidRDefault="00471C87" w:rsidP="00411006">
      <w:pPr>
        <w:pStyle w:val="FootnoteText"/>
        <w:spacing w:after="120"/>
      </w:pPr>
      <w:r>
        <w:rPr>
          <w:rStyle w:val="FootnoteReference"/>
        </w:rPr>
        <w:footnoteRef/>
      </w:r>
      <w:r>
        <w:t xml:space="preserve"> </w:t>
      </w:r>
      <w:r w:rsidRPr="00471C87">
        <w:t>47 C.F.R. § 1.946(e).</w:t>
      </w:r>
      <w:r w:rsidR="0056063A">
        <w:t xml:space="preserve"> </w:t>
      </w:r>
    </w:p>
  </w:footnote>
  <w:footnote w:id="22">
    <w:p w:rsidR="00471C87" w:rsidRDefault="00471C87" w:rsidP="008C4E38">
      <w:pPr>
        <w:pStyle w:val="FootnoteText"/>
        <w:spacing w:after="120"/>
      </w:pPr>
      <w:r>
        <w:rPr>
          <w:rStyle w:val="FootnoteReference"/>
        </w:rPr>
        <w:footnoteRef/>
      </w:r>
      <w:r>
        <w:t xml:space="preserve"> </w:t>
      </w:r>
      <w:r w:rsidRPr="00471C87">
        <w:rPr>
          <w:i/>
        </w:rPr>
        <w:t>Id</w:t>
      </w:r>
      <w:r w:rsidRPr="00471C87">
        <w:t>.</w:t>
      </w:r>
      <w:r w:rsidR="0056063A">
        <w:t xml:space="preserve"> </w:t>
      </w:r>
    </w:p>
  </w:footnote>
  <w:footnote w:id="23">
    <w:p w:rsidR="005C5F10" w:rsidRDefault="005C5F10" w:rsidP="005C5F10">
      <w:pPr>
        <w:pStyle w:val="FootnoteText"/>
        <w:spacing w:after="120"/>
      </w:pPr>
      <w:r>
        <w:rPr>
          <w:rStyle w:val="FootnoteReference"/>
        </w:rPr>
        <w:footnoteRef/>
      </w:r>
      <w:r>
        <w:t xml:space="preserve"> </w:t>
      </w:r>
      <w:r w:rsidRPr="007B205B">
        <w:rPr>
          <w:i/>
        </w:rPr>
        <w:t>See</w:t>
      </w:r>
      <w:r w:rsidRPr="00471C87">
        <w:t xml:space="preserve"> Nathan Sherman Enterprises, Inc., Lubbock SMR, Inc., S&amp;C Investments, Inc., Triangle Communications, Inc., Mobilecom One, L.L.C., Hawaiian Wireless, Inc., HBS Communications, Inc., SRI, Inc. and Spectrum Resources of the Northeast, Inc., </w:t>
      </w:r>
      <w:r w:rsidRPr="007B205B">
        <w:rPr>
          <w:i/>
        </w:rPr>
        <w:t>Order</w:t>
      </w:r>
      <w:r w:rsidRPr="00471C87">
        <w:t xml:space="preserve">, 16 FCC Rcd 11150 (2001) (“As a general matter, allowing the filing of untimely extension requests... would undermine orderly and efficient spectrum management, lead to administrative uncertainty and delay, and hinder [the Commission's] ability to relicense scarce spectrum resources to other licensees who are ready and able to construct”); </w:t>
      </w:r>
      <w:r w:rsidRPr="007B205B">
        <w:rPr>
          <w:i/>
        </w:rPr>
        <w:t>see also</w:t>
      </w:r>
      <w:r w:rsidRPr="00471C87">
        <w:t xml:space="preserve"> Request For Extension of Time to Construct an Industrial/Business Radio Service Trunked Station, Call Sign WPNZ 964, File No. 0000356906, </w:t>
      </w:r>
      <w:r w:rsidRPr="007B205B">
        <w:rPr>
          <w:i/>
        </w:rPr>
        <w:t>Memorandum Opinion and Order</w:t>
      </w:r>
      <w:r w:rsidRPr="00471C87">
        <w:t>, 18 FCC 22055 (</w:t>
      </w:r>
      <w:r w:rsidR="002D5788">
        <w:t>WTB, CWD 200</w:t>
      </w:r>
      <w:r w:rsidRPr="00471C87">
        <w:t xml:space="preserve">3); Instapage Network, Ltd., Notification of Construction and Request for Waiver of Narrowband PCS Station KNKV222, File No. 0000175254, </w:t>
      </w:r>
      <w:r w:rsidRPr="007B205B">
        <w:rPr>
          <w:i/>
        </w:rPr>
        <w:t>Order on Reconsideration</w:t>
      </w:r>
      <w:r w:rsidRPr="00471C87">
        <w:t>, 17 FCC Rcd 19083 (WTB 2002)</w:t>
      </w:r>
      <w:r w:rsidR="008E6692">
        <w:t xml:space="preserve"> (</w:t>
      </w:r>
      <w:r w:rsidR="008E6692">
        <w:rPr>
          <w:i/>
        </w:rPr>
        <w:t>Instapage</w:t>
      </w:r>
      <w:r w:rsidR="008E6692">
        <w:t>)</w:t>
      </w:r>
      <w:r w:rsidRPr="00471C87">
        <w:t xml:space="preserve">; Interstate Power and Light Co., </w:t>
      </w:r>
      <w:r w:rsidRPr="007B205B">
        <w:rPr>
          <w:i/>
        </w:rPr>
        <w:t>Order</w:t>
      </w:r>
      <w:r w:rsidRPr="00471C87">
        <w:t>, 18 FCC Rcd 11051 (WTB PSPWD 2003)</w:t>
      </w:r>
      <w:r w:rsidR="009D4D4D">
        <w:t xml:space="preserve">;  </w:t>
      </w:r>
      <w:r w:rsidR="00AD4179">
        <w:t xml:space="preserve">Vijay Ravenkar, </w:t>
      </w:r>
      <w:r w:rsidR="009D4D4D">
        <w:t>The Port Authority of New York and New Jersey, Requests for Waiver to Permit Untimely Filing and to Extend the Construction Period for Station WQPK961, File No. 000619</w:t>
      </w:r>
      <w:r w:rsidR="00BD66FE">
        <w:t xml:space="preserve">1959, </w:t>
      </w:r>
      <w:r w:rsidR="00BD66FE">
        <w:rPr>
          <w:i/>
        </w:rPr>
        <w:t>Letter Order</w:t>
      </w:r>
      <w:r w:rsidR="00BD66FE">
        <w:t xml:space="preserve">, DA 14-473 (WTB MD </w:t>
      </w:r>
      <w:r w:rsidR="00300CAD">
        <w:t xml:space="preserve">rel. </w:t>
      </w:r>
      <w:r w:rsidR="00BD66FE">
        <w:t>April 8, 2014) (inattention to Commission rules due to oversight is not a compelling basis for a waiver)</w:t>
      </w:r>
      <w:r w:rsidR="00AD4179">
        <w:t xml:space="preserve"> (</w:t>
      </w:r>
      <w:r w:rsidR="00AD4179" w:rsidRPr="00AD4179">
        <w:rPr>
          <w:i/>
        </w:rPr>
        <w:t>Ravenkar</w:t>
      </w:r>
      <w:r w:rsidR="00AD4179">
        <w:t>)</w:t>
      </w:r>
      <w:r w:rsidRPr="00471C87">
        <w:t>.</w:t>
      </w:r>
    </w:p>
  </w:footnote>
  <w:footnote w:id="24">
    <w:p w:rsidR="00DB5444" w:rsidRPr="00AD4179" w:rsidRDefault="00DB5444" w:rsidP="008C4E38">
      <w:pPr>
        <w:pStyle w:val="FootnoteText"/>
        <w:spacing w:after="120"/>
      </w:pPr>
      <w:r w:rsidRPr="0088458B">
        <w:rPr>
          <w:rStyle w:val="FootnoteReference"/>
        </w:rPr>
        <w:footnoteRef/>
      </w:r>
      <w:r w:rsidR="00AD4179">
        <w:t xml:space="preserve"> 47 C.F.R. § 1.925(b)(3); s</w:t>
      </w:r>
      <w:r w:rsidR="00AD4179">
        <w:rPr>
          <w:i/>
        </w:rPr>
        <w:t xml:space="preserve">ee also </w:t>
      </w:r>
      <w:r w:rsidR="00AD4179" w:rsidRPr="00AD4179">
        <w:rPr>
          <w:i/>
        </w:rPr>
        <w:t xml:space="preserve">Ravenkar </w:t>
      </w:r>
      <w:r w:rsidR="00AD4179">
        <w:t>at 3.</w:t>
      </w:r>
    </w:p>
  </w:footnote>
  <w:footnote w:id="25">
    <w:p w:rsidR="00BD66FE" w:rsidRDefault="00BD66FE" w:rsidP="0062564C">
      <w:pPr>
        <w:pStyle w:val="FootnoteText"/>
        <w:spacing w:after="120"/>
      </w:pPr>
      <w:r>
        <w:rPr>
          <w:rStyle w:val="FootnoteReference"/>
        </w:rPr>
        <w:footnoteRef/>
      </w:r>
      <w:r>
        <w:t xml:space="preserve"> We </w:t>
      </w:r>
      <w:r w:rsidR="00220231">
        <w:t>note</w:t>
      </w:r>
      <w:r>
        <w:t xml:space="preserve"> that confusion over applicable </w:t>
      </w:r>
      <w:r w:rsidR="00FB3B91">
        <w:t>C</w:t>
      </w:r>
      <w:r>
        <w:t>ommission rules is insufficient</w:t>
      </w:r>
      <w:r w:rsidR="0062564C">
        <w:t>,</w:t>
      </w:r>
      <w:r>
        <w:t xml:space="preserve"> on its own</w:t>
      </w:r>
      <w:r w:rsidR="0062564C">
        <w:t>,</w:t>
      </w:r>
      <w:r>
        <w:t xml:space="preserve"> to excuse failure to comply with the Commission’s rules.  </w:t>
      </w:r>
      <w:r w:rsidR="00F24716">
        <w:rPr>
          <w:i/>
        </w:rPr>
        <w:t>See</w:t>
      </w:r>
      <w:r w:rsidR="008E6692">
        <w:rPr>
          <w:i/>
        </w:rPr>
        <w:t xml:space="preserve"> e.g.</w:t>
      </w:r>
      <w:r w:rsidR="008E6692">
        <w:t xml:space="preserve"> </w:t>
      </w:r>
      <w:r w:rsidR="008E6692">
        <w:rPr>
          <w:i/>
        </w:rPr>
        <w:t xml:space="preserve">Instapage, </w:t>
      </w:r>
      <w:r w:rsidR="008E6692">
        <w:t xml:space="preserve">17 FCC Rcd at 19091 ¶ 16; </w:t>
      </w:r>
      <w:r w:rsidRPr="00BD66FE">
        <w:t xml:space="preserve">Commission's Forfeiture Policy Statement and Amendment of Section 1.80 of the Rules to Incorporate the Forfeiture Guidelines, </w:t>
      </w:r>
      <w:r w:rsidRPr="00F24716">
        <w:rPr>
          <w:i/>
        </w:rPr>
        <w:t>Report and Order</w:t>
      </w:r>
      <w:r w:rsidRPr="00BD66FE">
        <w:t>, 12 FCC Rcd 17087, 17099 ¶ 22 (1997) (</w:t>
      </w:r>
      <w:r w:rsidR="00FB3B91">
        <w:t>t</w:t>
      </w:r>
      <w:r w:rsidR="00FB3B91" w:rsidRPr="00FB3B91">
        <w:t>he Commission expects, and it is each licensee's obligation, to know and comply wit</w:t>
      </w:r>
      <w:r w:rsidR="00220231">
        <w:t>h all of the Commission's rules</w:t>
      </w:r>
      <w:r w:rsidR="00FB3B91">
        <w:t>)</w:t>
      </w:r>
      <w:r w:rsidR="00220231">
        <w:t>.</w:t>
      </w:r>
      <w:r w:rsidR="00F24716">
        <w:t xml:space="preserve">  However, as discuss</w:t>
      </w:r>
      <w:r w:rsidR="00220231">
        <w:t>ed herein</w:t>
      </w:r>
      <w:r w:rsidR="00F24716">
        <w:t xml:space="preserve">, we find that the totality of factors presented </w:t>
      </w:r>
      <w:r w:rsidR="000510FA">
        <w:t xml:space="preserve">by Data-Max </w:t>
      </w:r>
      <w:r w:rsidR="003F105F">
        <w:t>including</w:t>
      </w:r>
      <w:r w:rsidR="00F24716">
        <w:t xml:space="preserve"> the policy obje</w:t>
      </w:r>
      <w:r w:rsidR="000510FA">
        <w:t xml:space="preserve">ctives that would be advanced by reinstatement of Data-Max’s license warrant consideration </w:t>
      </w:r>
      <w:r w:rsidR="00164EB8">
        <w:t xml:space="preserve">and partial grant </w:t>
      </w:r>
      <w:r w:rsidR="000510FA">
        <w:t>of the late-filed request for relief.</w:t>
      </w:r>
    </w:p>
  </w:footnote>
  <w:footnote w:id="26">
    <w:p w:rsidR="004629FC" w:rsidRDefault="004629FC" w:rsidP="004629FC">
      <w:pPr>
        <w:pStyle w:val="FootnoteText"/>
        <w:spacing w:after="120"/>
      </w:pPr>
      <w:r>
        <w:rPr>
          <w:rStyle w:val="FootnoteReference"/>
        </w:rPr>
        <w:footnoteRef/>
      </w:r>
      <w:r>
        <w:t xml:space="preserve"> </w:t>
      </w:r>
      <w:r>
        <w:rPr>
          <w:i/>
        </w:rPr>
        <w:t xml:space="preserve">See </w:t>
      </w:r>
      <w:r w:rsidRPr="005B365F">
        <w:t xml:space="preserve">Extending Wireless Telecommunications Services to Tribal Lands, WT Docket No. 99-266, </w:t>
      </w:r>
      <w:r w:rsidRPr="005B365F">
        <w:rPr>
          <w:i/>
        </w:rPr>
        <w:t>Report and Order and F</w:t>
      </w:r>
      <w:r>
        <w:rPr>
          <w:i/>
        </w:rPr>
        <w:t>urther Notice of Proposed Rulem</w:t>
      </w:r>
      <w:r w:rsidRPr="005B365F">
        <w:rPr>
          <w:i/>
        </w:rPr>
        <w:t>aking</w:t>
      </w:r>
      <w:r>
        <w:t>, 15 FCC Rcd 11</w:t>
      </w:r>
      <w:r w:rsidRPr="005B365F">
        <w:t>794 (2000)</w:t>
      </w:r>
      <w:r w:rsidR="007962B4">
        <w:t xml:space="preserve"> (</w:t>
      </w:r>
      <w:r w:rsidR="007962B4">
        <w:rPr>
          <w:i/>
        </w:rPr>
        <w:t>Tribal Lands R&amp;O</w:t>
      </w:r>
      <w:r w:rsidR="007962B4">
        <w:t>)</w:t>
      </w:r>
      <w:r>
        <w:t>.</w:t>
      </w:r>
    </w:p>
  </w:footnote>
  <w:footnote w:id="27">
    <w:p w:rsidR="00CF4CDC" w:rsidRPr="00625654" w:rsidRDefault="00CF4CDC" w:rsidP="00CD237E">
      <w:pPr>
        <w:pStyle w:val="FootnoteText"/>
        <w:spacing w:after="120"/>
      </w:pPr>
      <w:r>
        <w:rPr>
          <w:rStyle w:val="FootnoteReference"/>
        </w:rPr>
        <w:footnoteRef/>
      </w:r>
      <w:r>
        <w:t xml:space="preserve"> </w:t>
      </w:r>
      <w:r w:rsidRPr="00CF4CDC">
        <w:t xml:space="preserve">Those living on tribal lands </w:t>
      </w:r>
      <w:r w:rsidR="003932C9">
        <w:t xml:space="preserve">largely </w:t>
      </w:r>
      <w:r>
        <w:t xml:space="preserve">lack broadband access, </w:t>
      </w:r>
      <w:r w:rsidRPr="00CF4CDC">
        <w:t xml:space="preserve">and the Commission has stated that this lack of </w:t>
      </w:r>
      <w:r w:rsidR="00CD237E">
        <w:t xml:space="preserve">availability </w:t>
      </w:r>
      <w:r w:rsidRPr="00CF4CDC">
        <w:t xml:space="preserve">presents serious impediments to Native Nations' efforts to preserve their cultures and build their internal structures for self-governance, economic opportunity, health, education, public safety, and welfare.  </w:t>
      </w:r>
      <w:r w:rsidR="00625654">
        <w:rPr>
          <w:i/>
        </w:rPr>
        <w:t>S</w:t>
      </w:r>
      <w:r>
        <w:rPr>
          <w:i/>
        </w:rPr>
        <w:t>ee</w:t>
      </w:r>
      <w:r w:rsidR="00625654">
        <w:rPr>
          <w:i/>
        </w:rPr>
        <w:t xml:space="preserve"> </w:t>
      </w:r>
      <w:r w:rsidR="00625654" w:rsidRPr="00625654">
        <w:t xml:space="preserve">Improving Communications Services For Native Nations, CG Docket No. 11-41, </w:t>
      </w:r>
      <w:r w:rsidR="00625654" w:rsidRPr="00625654">
        <w:rPr>
          <w:i/>
        </w:rPr>
        <w:t xml:space="preserve">Notice of Inquiry, </w:t>
      </w:r>
      <w:r w:rsidR="00625654">
        <w:t>26 FCC Rcd</w:t>
      </w:r>
      <w:r w:rsidR="00625654" w:rsidRPr="00625654">
        <w:t xml:space="preserve"> 2672 (2011)</w:t>
      </w:r>
      <w:r w:rsidR="00625654">
        <w:t>.  T</w:t>
      </w:r>
      <w:r w:rsidR="00625654" w:rsidRPr="00625654">
        <w:t xml:space="preserve">here is no </w:t>
      </w:r>
      <w:r w:rsidR="00625654">
        <w:t>comprehensive</w:t>
      </w:r>
      <w:r w:rsidR="00625654" w:rsidRPr="00625654">
        <w:t xml:space="preserve"> data on broad</w:t>
      </w:r>
      <w:r w:rsidR="00CD237E">
        <w:t>band deployment on tribal lands; however, previous estimates ha</w:t>
      </w:r>
      <w:r w:rsidR="007962B4">
        <w:t>ve</w:t>
      </w:r>
      <w:r w:rsidR="00CD237E">
        <w:t xml:space="preserve"> approximated</w:t>
      </w:r>
      <w:r w:rsidR="00625654" w:rsidRPr="00625654">
        <w:t xml:space="preserve"> availability </w:t>
      </w:r>
      <w:r w:rsidR="00CD237E">
        <w:t>at</w:t>
      </w:r>
      <w:r w:rsidR="00625654" w:rsidRPr="00625654">
        <w:t xml:space="preserve"> less than ten percent.</w:t>
      </w:r>
      <w:r w:rsidR="00625654">
        <w:t xml:space="preserve">  </w:t>
      </w:r>
      <w:r w:rsidR="00CD237E" w:rsidRPr="00B279E3">
        <w:t xml:space="preserve">Connecting America: The National Broadband Plan (rel. Mar. 16, 2010) </w:t>
      </w:r>
      <w:r w:rsidR="00CD237E" w:rsidRPr="00CF4CDC">
        <w:t>at 152, Box 8-4 and citations therein</w:t>
      </w:r>
      <w:r w:rsidR="00CD237E">
        <w:t xml:space="preserve">; </w:t>
      </w:r>
      <w:r w:rsidR="00CD237E" w:rsidRPr="00B279E3">
        <w:t>available at</w:t>
      </w:r>
      <w:r w:rsidR="00CD237E">
        <w:t xml:space="preserve"> </w:t>
      </w:r>
      <w:r w:rsidR="00CD237E" w:rsidRPr="00B279E3">
        <w:t>http:// www.broadband.gov/plan/.</w:t>
      </w:r>
    </w:p>
  </w:footnote>
  <w:footnote w:id="28">
    <w:p w:rsidR="004629FC" w:rsidRPr="00B86202" w:rsidRDefault="004629FC" w:rsidP="004629FC">
      <w:pPr>
        <w:pStyle w:val="FootnoteText"/>
        <w:spacing w:after="120"/>
        <w:rPr>
          <w:i/>
        </w:rPr>
      </w:pPr>
      <w:r>
        <w:rPr>
          <w:rStyle w:val="FootnoteReference"/>
        </w:rPr>
        <w:footnoteRef/>
      </w:r>
      <w:r>
        <w:t xml:space="preserve"> </w:t>
      </w:r>
      <w:r>
        <w:rPr>
          <w:i/>
        </w:rPr>
        <w:t xml:space="preserve">See </w:t>
      </w:r>
      <w:r w:rsidR="007962B4">
        <w:rPr>
          <w:i/>
        </w:rPr>
        <w:t>Tribal Lands R&amp;O</w:t>
      </w:r>
      <w:r w:rsidR="007962B4">
        <w:t>, 15 FCC Rcd</w:t>
      </w:r>
      <w:r>
        <w:t xml:space="preserve"> at 11,807, ¶ 35.</w:t>
      </w:r>
    </w:p>
  </w:footnote>
  <w:footnote w:id="29">
    <w:p w:rsidR="00E12862" w:rsidRDefault="00E12862" w:rsidP="009F29F0">
      <w:pPr>
        <w:pStyle w:val="FootnoteText"/>
        <w:spacing w:after="120"/>
      </w:pPr>
      <w:r>
        <w:rPr>
          <w:rStyle w:val="FootnoteReference"/>
        </w:rPr>
        <w:footnoteRef/>
      </w:r>
      <w:r>
        <w:t xml:space="preserve"> </w:t>
      </w:r>
      <w:r w:rsidRPr="00E12862">
        <w:t xml:space="preserve">Although Data-Max argues that it was unable to meet the TLBC construction due to lack of fixed LTE devices for 700 MHz, we do not reach that issue here in light of Data-Max’s alternative proposal.  </w:t>
      </w:r>
    </w:p>
  </w:footnote>
  <w:footnote w:id="30">
    <w:p w:rsidR="003F105F" w:rsidRPr="004E0BEA" w:rsidRDefault="003F105F" w:rsidP="003F105F">
      <w:pPr>
        <w:pStyle w:val="FootnoteText"/>
        <w:spacing w:after="120"/>
      </w:pPr>
      <w:r>
        <w:rPr>
          <w:rStyle w:val="FootnoteReference"/>
        </w:rPr>
        <w:footnoteRef/>
      </w:r>
      <w:r>
        <w:t xml:space="preserve"> </w:t>
      </w:r>
      <w:r>
        <w:rPr>
          <w:i/>
        </w:rPr>
        <w:t>See</w:t>
      </w:r>
      <w:r>
        <w:t xml:space="preserve"> Letter from Sherry J. Counts, Chairwoman, Hualapai Tribal Council, </w:t>
      </w:r>
      <w:r w:rsidR="007962B4">
        <w:t xml:space="preserve">to the Federal Communications Commission, </w:t>
      </w:r>
      <w:r>
        <w:t>dated November 24, 2013.</w:t>
      </w:r>
    </w:p>
  </w:footnote>
  <w:footnote w:id="31">
    <w:p w:rsidR="00CB1DB9" w:rsidRPr="00CB1DB9" w:rsidRDefault="00CB1DB9" w:rsidP="00CB1DB9">
      <w:pPr>
        <w:pStyle w:val="FootnoteText"/>
        <w:spacing w:after="120"/>
        <w:rPr>
          <w:i/>
        </w:rPr>
      </w:pPr>
      <w:r>
        <w:rPr>
          <w:rStyle w:val="FootnoteReference"/>
        </w:rPr>
        <w:footnoteRef/>
      </w:r>
      <w:r>
        <w:t xml:space="preserve"> </w:t>
      </w:r>
      <w:r>
        <w:rPr>
          <w:i/>
        </w:rPr>
        <w:t>Id.</w:t>
      </w:r>
    </w:p>
  </w:footnote>
  <w:footnote w:id="32">
    <w:p w:rsidR="00CD2B0B" w:rsidRDefault="00CD2B0B" w:rsidP="008C4E38">
      <w:pPr>
        <w:pStyle w:val="FootnoteText"/>
        <w:spacing w:after="120"/>
      </w:pPr>
      <w:r>
        <w:rPr>
          <w:rStyle w:val="FootnoteReference"/>
        </w:rPr>
        <w:footnoteRef/>
      </w:r>
      <w:r>
        <w:t xml:space="preserve"> </w:t>
      </w:r>
      <w:r w:rsidRPr="00F209DA">
        <w:t xml:space="preserve">Promoting Interoperability in the 700 MHz Commercial Spectrum, </w:t>
      </w:r>
      <w:r w:rsidRPr="00F209DA">
        <w:rPr>
          <w:i/>
        </w:rPr>
        <w:t>Report and Order and Order of Proposed Modification</w:t>
      </w:r>
      <w:r w:rsidR="005C4410">
        <w:t>, 28 FCC Rcd 15122 (2013) (</w:t>
      </w:r>
      <w:r w:rsidR="005C4410" w:rsidRPr="00A93177">
        <w:rPr>
          <w:i/>
        </w:rPr>
        <w:t>700 MHz Interoperability Report and Order</w:t>
      </w:r>
      <w:r w:rsidR="005C4410">
        <w:t>).</w:t>
      </w:r>
      <w:r w:rsidR="006916B3">
        <w:t xml:space="preserve">  </w:t>
      </w:r>
      <w:r w:rsidR="00E0196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F6" w:rsidRDefault="00081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8B" w:rsidRPr="00102EC0" w:rsidRDefault="0092278B">
    <w:pPr>
      <w:pStyle w:val="Header"/>
      <w:rPr>
        <w:sz w:val="22"/>
        <w:szCs w:val="22"/>
      </w:rPr>
    </w:pPr>
    <w:r w:rsidRPr="00102EC0">
      <w:rPr>
        <w:sz w:val="22"/>
        <w:szCs w:val="22"/>
      </w:rPr>
      <w:t>Larry J. Movshin, Esq.</w:t>
    </w:r>
  </w:p>
  <w:p w:rsidR="00CB1DB9" w:rsidRPr="00102EC0" w:rsidRDefault="00CB1DB9">
    <w:pPr>
      <w:pStyle w:val="Header"/>
      <w:rPr>
        <w:sz w:val="22"/>
        <w:szCs w:val="22"/>
      </w:rPr>
    </w:pPr>
    <w:r w:rsidRPr="00102EC0">
      <w:rPr>
        <w:sz w:val="22"/>
        <w:szCs w:val="22"/>
      </w:rPr>
      <w:t>Jennifer L. Kostyu, Esq.</w:t>
    </w:r>
  </w:p>
  <w:p w:rsidR="0092278B" w:rsidRPr="00102EC0" w:rsidRDefault="0092278B">
    <w:pPr>
      <w:pStyle w:val="Header"/>
      <w:rPr>
        <w:sz w:val="22"/>
        <w:szCs w:val="22"/>
      </w:rPr>
    </w:pPr>
    <w:r w:rsidRPr="00102EC0">
      <w:rPr>
        <w:sz w:val="22"/>
        <w:szCs w:val="22"/>
      </w:rPr>
      <w:t xml:space="preserve">Page </w:t>
    </w:r>
    <w:r w:rsidRPr="00102EC0">
      <w:rPr>
        <w:sz w:val="22"/>
        <w:szCs w:val="22"/>
      </w:rPr>
      <w:fldChar w:fldCharType="begin"/>
    </w:r>
    <w:r w:rsidRPr="00102EC0">
      <w:rPr>
        <w:sz w:val="22"/>
        <w:szCs w:val="22"/>
      </w:rPr>
      <w:instrText xml:space="preserve"> PAGE   \* MERGEFORMAT </w:instrText>
    </w:r>
    <w:r w:rsidRPr="00102EC0">
      <w:rPr>
        <w:sz w:val="22"/>
        <w:szCs w:val="22"/>
      </w:rPr>
      <w:fldChar w:fldCharType="separate"/>
    </w:r>
    <w:r w:rsidR="007922F1">
      <w:rPr>
        <w:noProof/>
        <w:sz w:val="22"/>
        <w:szCs w:val="22"/>
      </w:rPr>
      <w:t>2</w:t>
    </w:r>
    <w:r w:rsidRPr="00102EC0">
      <w:rPr>
        <w:noProof/>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69" w:rsidRDefault="007922F1">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mso-position-horizontal:absolute;mso-position-horizontal-relative:text;mso-position-vertical:absolute;mso-position-vertical-relative:text" o:allowincell="f" filled="t" fillcolor="#3cc">
          <v:imagedata r:id="rId1" o:title="" gain="69719f"/>
          <w10:wrap type="topAndBottom"/>
        </v:shape>
        <o:OLEObject Type="Embed" ProgID="Word.Picture.8" ShapeID="_x0000_s2049" DrawAspect="Content" ObjectID="_1461588169" r:id="rId2"/>
      </w:pict>
    </w:r>
    <w:r w:rsidR="00CB69F5">
      <w:rPr>
        <w:rFonts w:ascii="CG Times (W1)" w:hAnsi="CG Times (W1)"/>
        <w:sz w:val="28"/>
      </w:rPr>
      <w:t>Federal Communications Commission</w:t>
    </w:r>
  </w:p>
  <w:p w:rsidR="00FD2669" w:rsidRDefault="00CB69F5">
    <w:pPr>
      <w:jc w:val="center"/>
    </w:pPr>
    <w:r>
      <w:rPr>
        <w:rFonts w:ascii="CG Times (W1)" w:hAnsi="CG Times (W1)"/>
        <w:sz w:val="28"/>
      </w:rPr>
      <w:t>Washington, D.C. 20554</w:t>
    </w:r>
  </w:p>
  <w:p w:rsidR="00FD2669" w:rsidRDefault="00FD2669">
    <w:pPr>
      <w:pStyle w:val="Header"/>
      <w:tabs>
        <w:tab w:val="clear" w:pos="4320"/>
      </w:tabs>
      <w:jc w:val="center"/>
      <w:rPr>
        <w:sz w:val="22"/>
      </w:rPr>
    </w:pPr>
  </w:p>
  <w:p w:rsidR="00FD2669" w:rsidRDefault="00FD2669">
    <w:pPr>
      <w:pStyle w:val="Header"/>
      <w:tabs>
        <w:tab w:val="clear" w:pos="4320"/>
      </w:tabs>
      <w:jc w:val="center"/>
      <w:rPr>
        <w:sz w:val="22"/>
      </w:rPr>
    </w:pPr>
  </w:p>
  <w:p w:rsidR="00FD2669" w:rsidRDefault="00CB69F5">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7922F1">
      <w:rPr>
        <w:noProof/>
        <w:sz w:val="24"/>
      </w:rPr>
      <w:t>May 14, 2014</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07"/>
    <w:rsid w:val="000465DE"/>
    <w:rsid w:val="000510FA"/>
    <w:rsid w:val="000550D8"/>
    <w:rsid w:val="00063E5B"/>
    <w:rsid w:val="00074BDA"/>
    <w:rsid w:val="000818F6"/>
    <w:rsid w:val="0008661A"/>
    <w:rsid w:val="00090E20"/>
    <w:rsid w:val="000C0831"/>
    <w:rsid w:val="000D5907"/>
    <w:rsid w:val="000E3194"/>
    <w:rsid w:val="000E4B04"/>
    <w:rsid w:val="00102EC0"/>
    <w:rsid w:val="00126D46"/>
    <w:rsid w:val="00137E10"/>
    <w:rsid w:val="00164EB8"/>
    <w:rsid w:val="00184EAE"/>
    <w:rsid w:val="00186B7E"/>
    <w:rsid w:val="001A58A3"/>
    <w:rsid w:val="001B0848"/>
    <w:rsid w:val="001B143F"/>
    <w:rsid w:val="001B4562"/>
    <w:rsid w:val="001C7B03"/>
    <w:rsid w:val="001D041F"/>
    <w:rsid w:val="001D1A28"/>
    <w:rsid w:val="001D27B3"/>
    <w:rsid w:val="001E3299"/>
    <w:rsid w:val="001F0032"/>
    <w:rsid w:val="001F1244"/>
    <w:rsid w:val="002073A5"/>
    <w:rsid w:val="00220231"/>
    <w:rsid w:val="00223D78"/>
    <w:rsid w:val="002256CD"/>
    <w:rsid w:val="00266147"/>
    <w:rsid w:val="00270A0D"/>
    <w:rsid w:val="00295998"/>
    <w:rsid w:val="002D1458"/>
    <w:rsid w:val="002D5788"/>
    <w:rsid w:val="002D5C4E"/>
    <w:rsid w:val="002D7299"/>
    <w:rsid w:val="002E04A4"/>
    <w:rsid w:val="002E1B8E"/>
    <w:rsid w:val="00300CAD"/>
    <w:rsid w:val="00303D6C"/>
    <w:rsid w:val="003179D7"/>
    <w:rsid w:val="00323601"/>
    <w:rsid w:val="003239EC"/>
    <w:rsid w:val="00326350"/>
    <w:rsid w:val="00357C4F"/>
    <w:rsid w:val="003932C9"/>
    <w:rsid w:val="003C2733"/>
    <w:rsid w:val="003D2C95"/>
    <w:rsid w:val="003F105F"/>
    <w:rsid w:val="00400A12"/>
    <w:rsid w:val="0040119D"/>
    <w:rsid w:val="00411006"/>
    <w:rsid w:val="00411F25"/>
    <w:rsid w:val="00440BF3"/>
    <w:rsid w:val="004629FC"/>
    <w:rsid w:val="004678F9"/>
    <w:rsid w:val="00470BE0"/>
    <w:rsid w:val="00471617"/>
    <w:rsid w:val="00471C87"/>
    <w:rsid w:val="00476354"/>
    <w:rsid w:val="0048674F"/>
    <w:rsid w:val="00495A62"/>
    <w:rsid w:val="004A5181"/>
    <w:rsid w:val="004B0C5B"/>
    <w:rsid w:val="004E0BEA"/>
    <w:rsid w:val="005159E5"/>
    <w:rsid w:val="0052084B"/>
    <w:rsid w:val="00522A1D"/>
    <w:rsid w:val="00524B51"/>
    <w:rsid w:val="00534B6E"/>
    <w:rsid w:val="0053688D"/>
    <w:rsid w:val="00545A15"/>
    <w:rsid w:val="005559C5"/>
    <w:rsid w:val="0056063A"/>
    <w:rsid w:val="00564E37"/>
    <w:rsid w:val="00567485"/>
    <w:rsid w:val="00570823"/>
    <w:rsid w:val="005716A0"/>
    <w:rsid w:val="00572725"/>
    <w:rsid w:val="00574D82"/>
    <w:rsid w:val="005774BA"/>
    <w:rsid w:val="005807CB"/>
    <w:rsid w:val="005A0E49"/>
    <w:rsid w:val="005A4407"/>
    <w:rsid w:val="005B365F"/>
    <w:rsid w:val="005C4410"/>
    <w:rsid w:val="005C5F10"/>
    <w:rsid w:val="005D7688"/>
    <w:rsid w:val="00605336"/>
    <w:rsid w:val="00605ADC"/>
    <w:rsid w:val="00624B56"/>
    <w:rsid w:val="0062564C"/>
    <w:rsid w:val="00625654"/>
    <w:rsid w:val="00634E5B"/>
    <w:rsid w:val="00681D47"/>
    <w:rsid w:val="006916B3"/>
    <w:rsid w:val="006A1883"/>
    <w:rsid w:val="006C35FB"/>
    <w:rsid w:val="006C7DB4"/>
    <w:rsid w:val="006D5D91"/>
    <w:rsid w:val="006F1E17"/>
    <w:rsid w:val="00747A24"/>
    <w:rsid w:val="0077066A"/>
    <w:rsid w:val="00773CBE"/>
    <w:rsid w:val="007922F1"/>
    <w:rsid w:val="007962B4"/>
    <w:rsid w:val="007976BE"/>
    <w:rsid w:val="007B205B"/>
    <w:rsid w:val="007B3AF7"/>
    <w:rsid w:val="007B6929"/>
    <w:rsid w:val="007E03C5"/>
    <w:rsid w:val="007E3EFA"/>
    <w:rsid w:val="007E76E6"/>
    <w:rsid w:val="008015F5"/>
    <w:rsid w:val="00823CAC"/>
    <w:rsid w:val="008767F3"/>
    <w:rsid w:val="00877A36"/>
    <w:rsid w:val="0089241F"/>
    <w:rsid w:val="0089274E"/>
    <w:rsid w:val="008B1F90"/>
    <w:rsid w:val="008B4B17"/>
    <w:rsid w:val="008C4E38"/>
    <w:rsid w:val="008E2A31"/>
    <w:rsid w:val="008E6692"/>
    <w:rsid w:val="008F2BB5"/>
    <w:rsid w:val="008F3A6B"/>
    <w:rsid w:val="00917F46"/>
    <w:rsid w:val="0092278B"/>
    <w:rsid w:val="00932CF6"/>
    <w:rsid w:val="00943892"/>
    <w:rsid w:val="009728CF"/>
    <w:rsid w:val="009C20FE"/>
    <w:rsid w:val="009C57B1"/>
    <w:rsid w:val="009D4D4D"/>
    <w:rsid w:val="009E68F6"/>
    <w:rsid w:val="009F29F0"/>
    <w:rsid w:val="00A07AB7"/>
    <w:rsid w:val="00A17248"/>
    <w:rsid w:val="00A179FA"/>
    <w:rsid w:val="00A27E11"/>
    <w:rsid w:val="00A34F0D"/>
    <w:rsid w:val="00A46BA2"/>
    <w:rsid w:val="00A707E6"/>
    <w:rsid w:val="00A846BF"/>
    <w:rsid w:val="00A9272E"/>
    <w:rsid w:val="00A93177"/>
    <w:rsid w:val="00AA222F"/>
    <w:rsid w:val="00AA2F51"/>
    <w:rsid w:val="00AD4179"/>
    <w:rsid w:val="00AD77C3"/>
    <w:rsid w:val="00AF077B"/>
    <w:rsid w:val="00B21F11"/>
    <w:rsid w:val="00B279E3"/>
    <w:rsid w:val="00B3738C"/>
    <w:rsid w:val="00B61BCE"/>
    <w:rsid w:val="00B65F88"/>
    <w:rsid w:val="00B66478"/>
    <w:rsid w:val="00B86202"/>
    <w:rsid w:val="00B93911"/>
    <w:rsid w:val="00BA79A3"/>
    <w:rsid w:val="00BC3C31"/>
    <w:rsid w:val="00BD4110"/>
    <w:rsid w:val="00BD66FE"/>
    <w:rsid w:val="00BE1679"/>
    <w:rsid w:val="00C03717"/>
    <w:rsid w:val="00C16D65"/>
    <w:rsid w:val="00C40F5C"/>
    <w:rsid w:val="00C47D73"/>
    <w:rsid w:val="00C76969"/>
    <w:rsid w:val="00C80BE7"/>
    <w:rsid w:val="00C939A6"/>
    <w:rsid w:val="00CB1DB9"/>
    <w:rsid w:val="00CB342D"/>
    <w:rsid w:val="00CB69F5"/>
    <w:rsid w:val="00CC7E4A"/>
    <w:rsid w:val="00CC7FF1"/>
    <w:rsid w:val="00CD092F"/>
    <w:rsid w:val="00CD237E"/>
    <w:rsid w:val="00CD2B0B"/>
    <w:rsid w:val="00CD2CB2"/>
    <w:rsid w:val="00CE1B5A"/>
    <w:rsid w:val="00CE7012"/>
    <w:rsid w:val="00CE7210"/>
    <w:rsid w:val="00CF4CDC"/>
    <w:rsid w:val="00CF5452"/>
    <w:rsid w:val="00D11F85"/>
    <w:rsid w:val="00D16FF5"/>
    <w:rsid w:val="00D249F5"/>
    <w:rsid w:val="00D608FD"/>
    <w:rsid w:val="00D71989"/>
    <w:rsid w:val="00D813C9"/>
    <w:rsid w:val="00D834A0"/>
    <w:rsid w:val="00D87D85"/>
    <w:rsid w:val="00DB1BA5"/>
    <w:rsid w:val="00DB5444"/>
    <w:rsid w:val="00DD6F48"/>
    <w:rsid w:val="00DF2EFA"/>
    <w:rsid w:val="00E01961"/>
    <w:rsid w:val="00E127BF"/>
    <w:rsid w:val="00E12862"/>
    <w:rsid w:val="00E13906"/>
    <w:rsid w:val="00E47111"/>
    <w:rsid w:val="00E74F5A"/>
    <w:rsid w:val="00E77B2B"/>
    <w:rsid w:val="00EA0416"/>
    <w:rsid w:val="00ED555B"/>
    <w:rsid w:val="00EE2638"/>
    <w:rsid w:val="00F02E74"/>
    <w:rsid w:val="00F20613"/>
    <w:rsid w:val="00F24716"/>
    <w:rsid w:val="00F30330"/>
    <w:rsid w:val="00F37790"/>
    <w:rsid w:val="00F47401"/>
    <w:rsid w:val="00F6239F"/>
    <w:rsid w:val="00F937E8"/>
    <w:rsid w:val="00F960E5"/>
    <w:rsid w:val="00FB3B91"/>
    <w:rsid w:val="00FC49D7"/>
    <w:rsid w:val="00FC728D"/>
    <w:rsid w:val="00FD2669"/>
    <w:rsid w:val="00FD6509"/>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iPriority w:val="99"/>
    <w:unhideWhenUsed/>
    <w:rsid w:val="000D5907"/>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rsid w:val="000D5907"/>
  </w:style>
  <w:style w:type="character" w:styleId="FootnoteReference">
    <w:name w:val="footnote reference"/>
    <w:aliases w:val="Style 12,(NECG) Footnote Reference,Style 13,Appel note de bas de p,Style 124,fr,o,Style 3,FR,Style 17,Footnote Reference/,Style 6"/>
    <w:basedOn w:val="DefaultParagraphFont"/>
    <w:uiPriority w:val="99"/>
    <w:unhideWhenUsed/>
    <w:rsid w:val="000D5907"/>
    <w:rPr>
      <w:vertAlign w:val="superscript"/>
    </w:rPr>
  </w:style>
  <w:style w:type="character" w:styleId="Emphasis">
    <w:name w:val="Emphasis"/>
    <w:uiPriority w:val="20"/>
    <w:qFormat/>
    <w:rsid w:val="00DB5444"/>
    <w:rPr>
      <w:i/>
      <w:iCs/>
    </w:rPr>
  </w:style>
  <w:style w:type="paragraph" w:styleId="BalloonText">
    <w:name w:val="Balloon Text"/>
    <w:basedOn w:val="Normal"/>
    <w:link w:val="BalloonTextChar"/>
    <w:uiPriority w:val="99"/>
    <w:semiHidden/>
    <w:unhideWhenUsed/>
    <w:rsid w:val="00CC7FF1"/>
    <w:rPr>
      <w:rFonts w:ascii="Tahoma" w:hAnsi="Tahoma" w:cs="Tahoma"/>
      <w:sz w:val="16"/>
      <w:szCs w:val="16"/>
    </w:rPr>
  </w:style>
  <w:style w:type="character" w:customStyle="1" w:styleId="BalloonTextChar">
    <w:name w:val="Balloon Text Char"/>
    <w:basedOn w:val="DefaultParagraphFont"/>
    <w:link w:val="BalloonText"/>
    <w:uiPriority w:val="99"/>
    <w:semiHidden/>
    <w:rsid w:val="00CC7FF1"/>
    <w:rPr>
      <w:rFonts w:ascii="Tahoma" w:hAnsi="Tahoma" w:cs="Tahoma"/>
      <w:sz w:val="16"/>
      <w:szCs w:val="16"/>
    </w:rPr>
  </w:style>
  <w:style w:type="character" w:styleId="CommentReference">
    <w:name w:val="annotation reference"/>
    <w:basedOn w:val="DefaultParagraphFont"/>
    <w:uiPriority w:val="99"/>
    <w:semiHidden/>
    <w:unhideWhenUsed/>
    <w:rsid w:val="002073A5"/>
    <w:rPr>
      <w:sz w:val="16"/>
      <w:szCs w:val="16"/>
    </w:rPr>
  </w:style>
  <w:style w:type="paragraph" w:styleId="CommentText">
    <w:name w:val="annotation text"/>
    <w:basedOn w:val="Normal"/>
    <w:link w:val="CommentTextChar"/>
    <w:uiPriority w:val="99"/>
    <w:semiHidden/>
    <w:unhideWhenUsed/>
    <w:rsid w:val="002073A5"/>
  </w:style>
  <w:style w:type="character" w:customStyle="1" w:styleId="CommentTextChar">
    <w:name w:val="Comment Text Char"/>
    <w:basedOn w:val="DefaultParagraphFont"/>
    <w:link w:val="CommentText"/>
    <w:uiPriority w:val="99"/>
    <w:semiHidden/>
    <w:rsid w:val="002073A5"/>
  </w:style>
  <w:style w:type="paragraph" w:styleId="CommentSubject">
    <w:name w:val="annotation subject"/>
    <w:basedOn w:val="CommentText"/>
    <w:next w:val="CommentText"/>
    <w:link w:val="CommentSubjectChar"/>
    <w:uiPriority w:val="99"/>
    <w:semiHidden/>
    <w:unhideWhenUsed/>
    <w:rsid w:val="002073A5"/>
    <w:rPr>
      <w:b/>
      <w:bCs/>
    </w:rPr>
  </w:style>
  <w:style w:type="character" w:customStyle="1" w:styleId="CommentSubjectChar">
    <w:name w:val="Comment Subject Char"/>
    <w:basedOn w:val="CommentTextChar"/>
    <w:link w:val="CommentSubject"/>
    <w:uiPriority w:val="99"/>
    <w:semiHidden/>
    <w:rsid w:val="002073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iPriority w:val="99"/>
    <w:unhideWhenUsed/>
    <w:rsid w:val="000D5907"/>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rsid w:val="000D5907"/>
  </w:style>
  <w:style w:type="character" w:styleId="FootnoteReference">
    <w:name w:val="footnote reference"/>
    <w:aliases w:val="Style 12,(NECG) Footnote Reference,Style 13,Appel note de bas de p,Style 124,fr,o,Style 3,FR,Style 17,Footnote Reference/,Style 6"/>
    <w:basedOn w:val="DefaultParagraphFont"/>
    <w:uiPriority w:val="99"/>
    <w:unhideWhenUsed/>
    <w:rsid w:val="000D5907"/>
    <w:rPr>
      <w:vertAlign w:val="superscript"/>
    </w:rPr>
  </w:style>
  <w:style w:type="character" w:styleId="Emphasis">
    <w:name w:val="Emphasis"/>
    <w:uiPriority w:val="20"/>
    <w:qFormat/>
    <w:rsid w:val="00DB5444"/>
    <w:rPr>
      <w:i/>
      <w:iCs/>
    </w:rPr>
  </w:style>
  <w:style w:type="paragraph" w:styleId="BalloonText">
    <w:name w:val="Balloon Text"/>
    <w:basedOn w:val="Normal"/>
    <w:link w:val="BalloonTextChar"/>
    <w:uiPriority w:val="99"/>
    <w:semiHidden/>
    <w:unhideWhenUsed/>
    <w:rsid w:val="00CC7FF1"/>
    <w:rPr>
      <w:rFonts w:ascii="Tahoma" w:hAnsi="Tahoma" w:cs="Tahoma"/>
      <w:sz w:val="16"/>
      <w:szCs w:val="16"/>
    </w:rPr>
  </w:style>
  <w:style w:type="character" w:customStyle="1" w:styleId="BalloonTextChar">
    <w:name w:val="Balloon Text Char"/>
    <w:basedOn w:val="DefaultParagraphFont"/>
    <w:link w:val="BalloonText"/>
    <w:uiPriority w:val="99"/>
    <w:semiHidden/>
    <w:rsid w:val="00CC7FF1"/>
    <w:rPr>
      <w:rFonts w:ascii="Tahoma" w:hAnsi="Tahoma" w:cs="Tahoma"/>
      <w:sz w:val="16"/>
      <w:szCs w:val="16"/>
    </w:rPr>
  </w:style>
  <w:style w:type="character" w:styleId="CommentReference">
    <w:name w:val="annotation reference"/>
    <w:basedOn w:val="DefaultParagraphFont"/>
    <w:uiPriority w:val="99"/>
    <w:semiHidden/>
    <w:unhideWhenUsed/>
    <w:rsid w:val="002073A5"/>
    <w:rPr>
      <w:sz w:val="16"/>
      <w:szCs w:val="16"/>
    </w:rPr>
  </w:style>
  <w:style w:type="paragraph" w:styleId="CommentText">
    <w:name w:val="annotation text"/>
    <w:basedOn w:val="Normal"/>
    <w:link w:val="CommentTextChar"/>
    <w:uiPriority w:val="99"/>
    <w:semiHidden/>
    <w:unhideWhenUsed/>
    <w:rsid w:val="002073A5"/>
  </w:style>
  <w:style w:type="character" w:customStyle="1" w:styleId="CommentTextChar">
    <w:name w:val="Comment Text Char"/>
    <w:basedOn w:val="DefaultParagraphFont"/>
    <w:link w:val="CommentText"/>
    <w:uiPriority w:val="99"/>
    <w:semiHidden/>
    <w:rsid w:val="002073A5"/>
  </w:style>
  <w:style w:type="paragraph" w:styleId="CommentSubject">
    <w:name w:val="annotation subject"/>
    <w:basedOn w:val="CommentText"/>
    <w:next w:val="CommentText"/>
    <w:link w:val="CommentSubjectChar"/>
    <w:uiPriority w:val="99"/>
    <w:semiHidden/>
    <w:unhideWhenUsed/>
    <w:rsid w:val="002073A5"/>
    <w:rPr>
      <w:b/>
      <w:bCs/>
    </w:rPr>
  </w:style>
  <w:style w:type="character" w:customStyle="1" w:styleId="CommentSubjectChar">
    <w:name w:val="Comment Subject Char"/>
    <w:basedOn w:val="CommentTextChar"/>
    <w:link w:val="CommentSubject"/>
    <w:uiPriority w:val="99"/>
    <w:semiHidden/>
    <w:rsid w:val="00207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Chang\AppData\Roaming\Microsoft\Template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2258</Words>
  <Characters>12545</Characters>
  <Application>Microsoft Office Word</Application>
  <DocSecurity>0</DocSecurity>
  <Lines>188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2014-05-14T19:42:00Z</cp:lastPrinted>
  <dcterms:created xsi:type="dcterms:W3CDTF">2014-05-14T19:56:00Z</dcterms:created>
  <dcterms:modified xsi:type="dcterms:W3CDTF">2014-05-14T19:56:00Z</dcterms:modified>
  <cp:category> </cp:category>
  <cp:contentStatus> </cp:contentStatus>
</cp:coreProperties>
</file>