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39A2"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FDBEC9E" w14:textId="6D31357B" w:rsidR="00602577" w:rsidRPr="00A2102C" w:rsidRDefault="00A2102C">
      <w:pPr>
        <w:jc w:val="right"/>
        <w:rPr>
          <w:b/>
          <w:sz w:val="24"/>
        </w:rPr>
      </w:pPr>
      <w:r w:rsidRPr="00A2102C">
        <w:rPr>
          <w:b/>
          <w:sz w:val="24"/>
        </w:rPr>
        <w:lastRenderedPageBreak/>
        <w:t>DA 14-</w:t>
      </w:r>
      <w:r w:rsidR="00316CF0">
        <w:rPr>
          <w:b/>
          <w:sz w:val="24"/>
        </w:rPr>
        <w:t>677</w:t>
      </w:r>
    </w:p>
    <w:p w14:paraId="73115179" w14:textId="715192F5" w:rsidR="00602577" w:rsidRPr="00A2102C" w:rsidRDefault="00A2102C">
      <w:pPr>
        <w:spacing w:before="60"/>
        <w:jc w:val="right"/>
        <w:rPr>
          <w:b/>
          <w:sz w:val="24"/>
        </w:rPr>
      </w:pPr>
      <w:r w:rsidRPr="00A2102C">
        <w:rPr>
          <w:b/>
          <w:sz w:val="24"/>
        </w:rPr>
        <w:t xml:space="preserve">Released: </w:t>
      </w:r>
      <w:r w:rsidR="00C34585">
        <w:rPr>
          <w:b/>
          <w:sz w:val="24"/>
        </w:rPr>
        <w:t>June</w:t>
      </w:r>
      <w:r w:rsidRPr="00A2102C">
        <w:rPr>
          <w:b/>
          <w:sz w:val="24"/>
        </w:rPr>
        <w:t xml:space="preserve"> </w:t>
      </w:r>
      <w:r w:rsidR="00C34585">
        <w:rPr>
          <w:b/>
          <w:sz w:val="24"/>
        </w:rPr>
        <w:t>2</w:t>
      </w:r>
      <w:r w:rsidRPr="00A2102C">
        <w:rPr>
          <w:b/>
          <w:sz w:val="24"/>
        </w:rPr>
        <w:t>, 2014</w:t>
      </w:r>
    </w:p>
    <w:p w14:paraId="7A6F7442" w14:textId="77777777" w:rsidR="00602577" w:rsidRDefault="00602577">
      <w:pPr>
        <w:jc w:val="right"/>
        <w:rPr>
          <w:sz w:val="24"/>
        </w:rPr>
      </w:pPr>
    </w:p>
    <w:p w14:paraId="20CBF7FF" w14:textId="77777777" w:rsidR="00B03E5F" w:rsidRDefault="00A2102C" w:rsidP="00A95E4C">
      <w:pPr>
        <w:spacing w:after="240"/>
        <w:contextualSpacing/>
        <w:jc w:val="center"/>
        <w:rPr>
          <w:b/>
          <w:sz w:val="24"/>
        </w:rPr>
      </w:pPr>
      <w:r w:rsidRPr="00A2102C">
        <w:rPr>
          <w:b/>
          <w:sz w:val="24"/>
        </w:rPr>
        <w:t xml:space="preserve">INCENTIVE AUCTION TASK FORCE </w:t>
      </w:r>
      <w:r w:rsidR="003D5C37">
        <w:rPr>
          <w:b/>
          <w:sz w:val="24"/>
        </w:rPr>
        <w:t xml:space="preserve">RELEASES UPDATED </w:t>
      </w:r>
      <w:r w:rsidR="009F2F32">
        <w:rPr>
          <w:b/>
          <w:sz w:val="24"/>
        </w:rPr>
        <w:t xml:space="preserve">CONSTRAINT </w:t>
      </w:r>
      <w:r w:rsidR="00582E4D">
        <w:rPr>
          <w:b/>
          <w:sz w:val="24"/>
        </w:rPr>
        <w:t xml:space="preserve">FILE </w:t>
      </w:r>
      <w:r w:rsidR="003D5C37">
        <w:rPr>
          <w:b/>
          <w:sz w:val="24"/>
        </w:rPr>
        <w:t xml:space="preserve">DATA </w:t>
      </w:r>
    </w:p>
    <w:p w14:paraId="4BF5BA64" w14:textId="77777777" w:rsidR="00A2102C" w:rsidRPr="00A2102C" w:rsidRDefault="009F2F32" w:rsidP="00390011">
      <w:pPr>
        <w:spacing w:after="240"/>
        <w:contextualSpacing/>
        <w:jc w:val="center"/>
        <w:rPr>
          <w:b/>
          <w:sz w:val="24"/>
        </w:rPr>
      </w:pPr>
      <w:r>
        <w:rPr>
          <w:b/>
          <w:sz w:val="24"/>
        </w:rPr>
        <w:t xml:space="preserve">USING ACTUAL CHANNELS </w:t>
      </w:r>
      <w:r w:rsidR="003D5C37">
        <w:rPr>
          <w:b/>
          <w:sz w:val="24"/>
        </w:rPr>
        <w:t xml:space="preserve">AND </w:t>
      </w:r>
      <w:r w:rsidR="00A2102C" w:rsidRPr="00A2102C">
        <w:rPr>
          <w:b/>
          <w:sz w:val="24"/>
        </w:rPr>
        <w:t xml:space="preserve">STAFF ANALYSIS </w:t>
      </w:r>
      <w:r w:rsidR="00390011">
        <w:rPr>
          <w:b/>
          <w:sz w:val="24"/>
        </w:rPr>
        <w:t>REGARDING</w:t>
      </w:r>
      <w:r w:rsidR="004106E0">
        <w:rPr>
          <w:b/>
          <w:sz w:val="24"/>
        </w:rPr>
        <w:t xml:space="preserve"> PAIRWISE APPROACH TO PRESERVING POPULATION SERVED</w:t>
      </w:r>
    </w:p>
    <w:p w14:paraId="2CFC767B" w14:textId="77777777" w:rsidR="00973010" w:rsidRDefault="00973010" w:rsidP="00A95E4C">
      <w:pPr>
        <w:spacing w:after="240"/>
        <w:contextualSpacing/>
        <w:jc w:val="center"/>
        <w:rPr>
          <w:b/>
          <w:sz w:val="24"/>
        </w:rPr>
      </w:pPr>
    </w:p>
    <w:p w14:paraId="6C5A1297" w14:textId="77777777" w:rsidR="00A2102C" w:rsidRPr="00A2102C" w:rsidRDefault="00A2102C" w:rsidP="00A95E4C">
      <w:pPr>
        <w:spacing w:after="240"/>
        <w:contextualSpacing/>
        <w:jc w:val="center"/>
        <w:rPr>
          <w:b/>
          <w:sz w:val="24"/>
        </w:rPr>
      </w:pPr>
      <w:r w:rsidRPr="00A2102C">
        <w:rPr>
          <w:b/>
          <w:sz w:val="24"/>
        </w:rPr>
        <w:t>GN Docket No. 12-268</w:t>
      </w:r>
    </w:p>
    <w:p w14:paraId="568816C0" w14:textId="77777777" w:rsidR="00602577" w:rsidRDefault="00A2102C" w:rsidP="00A95E4C">
      <w:pPr>
        <w:spacing w:after="240"/>
        <w:contextualSpacing/>
        <w:jc w:val="center"/>
        <w:rPr>
          <w:b/>
          <w:sz w:val="24"/>
        </w:rPr>
      </w:pPr>
      <w:r w:rsidRPr="00A2102C">
        <w:rPr>
          <w:b/>
          <w:sz w:val="24"/>
        </w:rPr>
        <w:t>ET Docket No. 13-26</w:t>
      </w:r>
    </w:p>
    <w:p w14:paraId="3DDDB32B" w14:textId="77777777" w:rsidR="00602577" w:rsidRDefault="00602577">
      <w:pPr>
        <w:jc w:val="center"/>
        <w:rPr>
          <w:sz w:val="24"/>
        </w:rPr>
      </w:pPr>
    </w:p>
    <w:p w14:paraId="7D2F5647" w14:textId="0379E895" w:rsidR="00A2102C" w:rsidRPr="00A2102C" w:rsidRDefault="00A2102C" w:rsidP="00A95E4C">
      <w:pPr>
        <w:spacing w:after="240"/>
        <w:contextualSpacing/>
        <w:rPr>
          <w:sz w:val="24"/>
        </w:rPr>
      </w:pPr>
      <w:r w:rsidRPr="00A95E4C">
        <w:rPr>
          <w:b/>
          <w:sz w:val="24"/>
        </w:rPr>
        <w:t>Comment Date:</w:t>
      </w:r>
      <w:r w:rsidRPr="00A2102C">
        <w:rPr>
          <w:sz w:val="24"/>
        </w:rPr>
        <w:t xml:space="preserve"> </w:t>
      </w:r>
      <w:r w:rsidR="00C34585">
        <w:rPr>
          <w:sz w:val="24"/>
        </w:rPr>
        <w:t>July</w:t>
      </w:r>
      <w:r w:rsidRPr="00A2102C">
        <w:rPr>
          <w:sz w:val="24"/>
        </w:rPr>
        <w:t xml:space="preserve"> </w:t>
      </w:r>
      <w:r w:rsidR="00C34585">
        <w:rPr>
          <w:sz w:val="24"/>
        </w:rPr>
        <w:t>2</w:t>
      </w:r>
      <w:r w:rsidRPr="00A2102C">
        <w:rPr>
          <w:sz w:val="24"/>
        </w:rPr>
        <w:t>, 2014</w:t>
      </w:r>
    </w:p>
    <w:p w14:paraId="1C0DE3F2" w14:textId="7A99797D" w:rsidR="00A2102C" w:rsidRDefault="00A2102C" w:rsidP="00A95E4C">
      <w:pPr>
        <w:spacing w:after="240"/>
        <w:contextualSpacing/>
        <w:rPr>
          <w:sz w:val="24"/>
        </w:rPr>
      </w:pPr>
      <w:r w:rsidRPr="00A95E4C">
        <w:rPr>
          <w:b/>
          <w:sz w:val="24"/>
        </w:rPr>
        <w:t>Reply Comment Date:</w:t>
      </w:r>
      <w:r>
        <w:rPr>
          <w:sz w:val="24"/>
        </w:rPr>
        <w:t xml:space="preserve"> </w:t>
      </w:r>
      <w:r w:rsidR="00F30807">
        <w:rPr>
          <w:sz w:val="24"/>
        </w:rPr>
        <w:t>Ju</w:t>
      </w:r>
      <w:r w:rsidR="00DE2DF4">
        <w:rPr>
          <w:sz w:val="24"/>
        </w:rPr>
        <w:t>ly</w:t>
      </w:r>
      <w:r>
        <w:rPr>
          <w:sz w:val="24"/>
        </w:rPr>
        <w:t xml:space="preserve"> </w:t>
      </w:r>
      <w:r w:rsidR="00C34585">
        <w:rPr>
          <w:sz w:val="24"/>
        </w:rPr>
        <w:t>22</w:t>
      </w:r>
      <w:r>
        <w:rPr>
          <w:sz w:val="24"/>
        </w:rPr>
        <w:t>, 2014</w:t>
      </w:r>
    </w:p>
    <w:p w14:paraId="251E4DA6" w14:textId="0700CFE3" w:rsidR="005D6522" w:rsidRDefault="00186AA8" w:rsidP="00582E4D">
      <w:pPr>
        <w:pStyle w:val="Para"/>
        <w:widowControl/>
        <w:rPr>
          <w:color w:val="000000"/>
          <w:szCs w:val="22"/>
        </w:rPr>
      </w:pPr>
      <w:r>
        <w:rPr>
          <w:color w:val="000000"/>
          <w:szCs w:val="22"/>
        </w:rPr>
        <w:t xml:space="preserve">This Public Notice is one of a series of </w:t>
      </w:r>
      <w:r w:rsidR="005D6522">
        <w:rPr>
          <w:color w:val="000000"/>
          <w:szCs w:val="22"/>
        </w:rPr>
        <w:t xml:space="preserve">Public Notices </w:t>
      </w:r>
      <w:r w:rsidR="00732ACA">
        <w:rPr>
          <w:color w:val="000000"/>
          <w:szCs w:val="22"/>
        </w:rPr>
        <w:t>that</w:t>
      </w:r>
      <w:r>
        <w:rPr>
          <w:color w:val="000000"/>
          <w:szCs w:val="22"/>
        </w:rPr>
        <w:t xml:space="preserve"> the Incentive Auction Task Force </w:t>
      </w:r>
      <w:r w:rsidR="004F4AC3">
        <w:rPr>
          <w:color w:val="000000"/>
          <w:szCs w:val="22"/>
        </w:rPr>
        <w:t xml:space="preserve">has </w:t>
      </w:r>
      <w:r w:rsidR="00582E4D">
        <w:rPr>
          <w:color w:val="000000"/>
          <w:szCs w:val="22"/>
        </w:rPr>
        <w:t xml:space="preserve">released relating </w:t>
      </w:r>
      <w:r>
        <w:rPr>
          <w:color w:val="000000"/>
          <w:szCs w:val="22"/>
        </w:rPr>
        <w:t>to the repacking process</w:t>
      </w:r>
      <w:r w:rsidR="00732ACA">
        <w:rPr>
          <w:color w:val="000000"/>
          <w:szCs w:val="22"/>
        </w:rPr>
        <w:t>,</w:t>
      </w:r>
      <w:r>
        <w:rPr>
          <w:color w:val="000000"/>
          <w:szCs w:val="22"/>
        </w:rPr>
        <w:t xml:space="preserve"> </w:t>
      </w:r>
      <w:r w:rsidR="00582E4D">
        <w:rPr>
          <w:color w:val="000000"/>
          <w:szCs w:val="22"/>
        </w:rPr>
        <w:t xml:space="preserve">seeking to </w:t>
      </w:r>
      <w:r w:rsidRPr="00186AA8">
        <w:rPr>
          <w:color w:val="000000"/>
          <w:szCs w:val="22"/>
        </w:rPr>
        <w:t xml:space="preserve">build a </w:t>
      </w:r>
      <w:r w:rsidR="00582E4D">
        <w:rPr>
          <w:color w:val="000000"/>
          <w:szCs w:val="22"/>
        </w:rPr>
        <w:t xml:space="preserve">robust </w:t>
      </w:r>
      <w:r w:rsidRPr="00186AA8">
        <w:rPr>
          <w:color w:val="000000"/>
          <w:szCs w:val="22"/>
        </w:rPr>
        <w:t xml:space="preserve">record on which </w:t>
      </w:r>
      <w:r w:rsidR="00582E4D">
        <w:rPr>
          <w:color w:val="000000"/>
          <w:szCs w:val="22"/>
        </w:rPr>
        <w:t xml:space="preserve">the </w:t>
      </w:r>
      <w:r w:rsidRPr="00186AA8">
        <w:rPr>
          <w:color w:val="000000"/>
          <w:szCs w:val="22"/>
        </w:rPr>
        <w:t xml:space="preserve">Commission </w:t>
      </w:r>
      <w:r w:rsidR="00582E4D">
        <w:rPr>
          <w:color w:val="000000"/>
          <w:szCs w:val="22"/>
        </w:rPr>
        <w:t xml:space="preserve">can base its </w:t>
      </w:r>
      <w:r w:rsidRPr="00186AA8">
        <w:rPr>
          <w:color w:val="000000"/>
          <w:szCs w:val="22"/>
        </w:rPr>
        <w:t xml:space="preserve">decisions and to improve the ability of interested parties to analyze </w:t>
      </w:r>
      <w:r w:rsidR="00582E4D">
        <w:rPr>
          <w:color w:val="000000"/>
          <w:szCs w:val="22"/>
        </w:rPr>
        <w:t xml:space="preserve">these complex </w:t>
      </w:r>
      <w:r w:rsidRPr="00186AA8">
        <w:rPr>
          <w:color w:val="000000"/>
          <w:szCs w:val="22"/>
        </w:rPr>
        <w:t>issues</w:t>
      </w:r>
      <w:r>
        <w:rPr>
          <w:color w:val="000000"/>
          <w:szCs w:val="22"/>
        </w:rPr>
        <w:t>.</w:t>
      </w:r>
      <w:r>
        <w:rPr>
          <w:rStyle w:val="FootnoteReference"/>
          <w:color w:val="000000"/>
          <w:szCs w:val="22"/>
        </w:rPr>
        <w:footnoteReference w:id="1"/>
      </w:r>
      <w:r>
        <w:rPr>
          <w:color w:val="000000"/>
          <w:szCs w:val="22"/>
        </w:rPr>
        <w:t xml:space="preserve">  </w:t>
      </w:r>
      <w:r w:rsidR="001A223D">
        <w:rPr>
          <w:color w:val="000000"/>
          <w:szCs w:val="22"/>
        </w:rPr>
        <w:t xml:space="preserve">In this </w:t>
      </w:r>
      <w:r w:rsidR="004106E0">
        <w:rPr>
          <w:color w:val="000000"/>
          <w:szCs w:val="22"/>
        </w:rPr>
        <w:t>Public Notice</w:t>
      </w:r>
      <w:r w:rsidR="001A223D">
        <w:rPr>
          <w:color w:val="000000"/>
          <w:szCs w:val="22"/>
        </w:rPr>
        <w:t>, we</w:t>
      </w:r>
      <w:r w:rsidR="005D6522">
        <w:rPr>
          <w:color w:val="000000"/>
          <w:szCs w:val="22"/>
        </w:rPr>
        <w:t>:</w:t>
      </w:r>
    </w:p>
    <w:p w14:paraId="2356CAF9" w14:textId="19DE4190" w:rsidR="005D6522" w:rsidRDefault="005D6522" w:rsidP="00316CF0">
      <w:pPr>
        <w:pStyle w:val="Para"/>
        <w:widowControl/>
        <w:numPr>
          <w:ilvl w:val="0"/>
          <w:numId w:val="17"/>
        </w:numPr>
        <w:rPr>
          <w:color w:val="000000"/>
          <w:szCs w:val="22"/>
        </w:rPr>
      </w:pPr>
      <w:r>
        <w:rPr>
          <w:color w:val="000000"/>
          <w:szCs w:val="22"/>
        </w:rPr>
        <w:t>U</w:t>
      </w:r>
      <w:r w:rsidR="004106E0">
        <w:rPr>
          <w:color w:val="000000"/>
          <w:szCs w:val="22"/>
        </w:rPr>
        <w:t xml:space="preserve">pdate prior staff analysis </w:t>
      </w:r>
      <w:r>
        <w:rPr>
          <w:color w:val="000000"/>
          <w:szCs w:val="22"/>
        </w:rPr>
        <w:t>to determine whether a television station can be assigned a particular channel</w:t>
      </w:r>
      <w:r w:rsidR="008B6447">
        <w:rPr>
          <w:color w:val="000000"/>
          <w:szCs w:val="22"/>
        </w:rPr>
        <w:t xml:space="preserve"> while </w:t>
      </w:r>
      <w:r w:rsidR="00582E4D">
        <w:rPr>
          <w:color w:val="000000"/>
          <w:szCs w:val="22"/>
        </w:rPr>
        <w:t>preserving the television stations’ coverage area and population served</w:t>
      </w:r>
      <w:r w:rsidR="00732ACA">
        <w:rPr>
          <w:color w:val="000000"/>
          <w:szCs w:val="22"/>
        </w:rPr>
        <w:t xml:space="preserve"> </w:t>
      </w:r>
      <w:r w:rsidR="00582E4D">
        <w:rPr>
          <w:color w:val="000000"/>
          <w:szCs w:val="22"/>
        </w:rPr>
        <w:t>us</w:t>
      </w:r>
      <w:r w:rsidR="008B6447">
        <w:rPr>
          <w:color w:val="000000"/>
          <w:szCs w:val="22"/>
        </w:rPr>
        <w:t>ing</w:t>
      </w:r>
      <w:r w:rsidR="00582E4D">
        <w:rPr>
          <w:color w:val="000000"/>
          <w:szCs w:val="22"/>
        </w:rPr>
        <w:t xml:space="preserve"> actual channels instead</w:t>
      </w:r>
      <w:r w:rsidR="008B6447" w:rsidRPr="008B6447">
        <w:rPr>
          <w:color w:val="000000"/>
          <w:szCs w:val="22"/>
        </w:rPr>
        <w:t xml:space="preserve"> </w:t>
      </w:r>
      <w:r w:rsidR="008B6447">
        <w:rPr>
          <w:color w:val="000000"/>
          <w:szCs w:val="22"/>
        </w:rPr>
        <w:t>of proxy channels</w:t>
      </w:r>
      <w:r>
        <w:rPr>
          <w:color w:val="000000"/>
          <w:szCs w:val="22"/>
        </w:rPr>
        <w:t>;</w:t>
      </w:r>
      <w:r w:rsidR="001A223D">
        <w:rPr>
          <w:color w:val="000000"/>
          <w:szCs w:val="22"/>
        </w:rPr>
        <w:t xml:space="preserve"> </w:t>
      </w:r>
      <w:r w:rsidR="00582E4D">
        <w:rPr>
          <w:color w:val="000000"/>
          <w:szCs w:val="22"/>
        </w:rPr>
        <w:t xml:space="preserve">and </w:t>
      </w:r>
    </w:p>
    <w:p w14:paraId="5BEE8205" w14:textId="52B02E8A" w:rsidR="00A25552" w:rsidRDefault="005D6522" w:rsidP="00316CF0">
      <w:pPr>
        <w:pStyle w:val="Para"/>
        <w:widowControl/>
        <w:numPr>
          <w:ilvl w:val="0"/>
          <w:numId w:val="17"/>
        </w:numPr>
        <w:rPr>
          <w:color w:val="000000"/>
          <w:szCs w:val="22"/>
        </w:rPr>
      </w:pPr>
      <w:r>
        <w:rPr>
          <w:color w:val="000000"/>
          <w:szCs w:val="22"/>
        </w:rPr>
        <w:t>R</w:t>
      </w:r>
      <w:r w:rsidR="004106E0">
        <w:rPr>
          <w:color w:val="000000"/>
          <w:szCs w:val="22"/>
        </w:rPr>
        <w:t xml:space="preserve">elease a staff analysis of potential </w:t>
      </w:r>
      <w:r w:rsidR="00C73815">
        <w:rPr>
          <w:color w:val="000000"/>
          <w:szCs w:val="22"/>
        </w:rPr>
        <w:t xml:space="preserve">new </w:t>
      </w:r>
      <w:r w:rsidR="004106E0">
        <w:rPr>
          <w:color w:val="000000"/>
          <w:szCs w:val="22"/>
        </w:rPr>
        <w:t xml:space="preserve">aggregate interference to television stations </w:t>
      </w:r>
      <w:r w:rsidR="00582E4D">
        <w:rPr>
          <w:color w:val="000000"/>
          <w:szCs w:val="22"/>
        </w:rPr>
        <w:t xml:space="preserve">under </w:t>
      </w:r>
      <w:r w:rsidR="002C3EC6">
        <w:rPr>
          <w:color w:val="000000"/>
          <w:szCs w:val="22"/>
        </w:rPr>
        <w:t xml:space="preserve">the Commission’s adopted approach </w:t>
      </w:r>
      <w:r w:rsidR="00CB01C2">
        <w:rPr>
          <w:color w:val="000000"/>
          <w:szCs w:val="22"/>
        </w:rPr>
        <w:t xml:space="preserve">for preserving population served based on </w:t>
      </w:r>
      <w:r w:rsidR="004106E0">
        <w:rPr>
          <w:color w:val="000000"/>
          <w:szCs w:val="22"/>
        </w:rPr>
        <w:t>pairwise or station-to-station</w:t>
      </w:r>
      <w:r w:rsidR="00CB01C2">
        <w:rPr>
          <w:color w:val="000000"/>
          <w:szCs w:val="22"/>
        </w:rPr>
        <w:t xml:space="preserve"> interference limits.</w:t>
      </w:r>
      <w:r w:rsidR="002C3EC6">
        <w:rPr>
          <w:rStyle w:val="FootnoteReference"/>
          <w:color w:val="000000"/>
          <w:szCs w:val="22"/>
        </w:rPr>
        <w:footnoteReference w:id="2"/>
      </w:r>
      <w:r w:rsidR="003C1EBC">
        <w:rPr>
          <w:color w:val="000000"/>
          <w:szCs w:val="22"/>
        </w:rPr>
        <w:t xml:space="preserve">  The </w:t>
      </w:r>
      <w:r w:rsidR="00670E71">
        <w:rPr>
          <w:color w:val="000000"/>
          <w:szCs w:val="22"/>
        </w:rPr>
        <w:t xml:space="preserve">results of the </w:t>
      </w:r>
      <w:r w:rsidR="003C1EBC">
        <w:rPr>
          <w:color w:val="000000"/>
          <w:szCs w:val="22"/>
        </w:rPr>
        <w:t xml:space="preserve">staff analysis </w:t>
      </w:r>
      <w:r w:rsidR="00670E71">
        <w:rPr>
          <w:color w:val="000000"/>
          <w:szCs w:val="22"/>
        </w:rPr>
        <w:t>show</w:t>
      </w:r>
      <w:r w:rsidR="003C1EBC">
        <w:rPr>
          <w:color w:val="000000"/>
          <w:szCs w:val="22"/>
        </w:rPr>
        <w:t xml:space="preserve"> that </w:t>
      </w:r>
      <w:r w:rsidR="00DE6272">
        <w:rPr>
          <w:color w:val="000000"/>
          <w:szCs w:val="22"/>
        </w:rPr>
        <w:t>approximately</w:t>
      </w:r>
      <w:r w:rsidR="003C1EBC">
        <w:rPr>
          <w:color w:val="000000"/>
          <w:szCs w:val="22"/>
        </w:rPr>
        <w:t xml:space="preserve"> </w:t>
      </w:r>
      <w:r w:rsidR="004A4495">
        <w:rPr>
          <w:color w:val="000000"/>
          <w:szCs w:val="22"/>
        </w:rPr>
        <w:t>one</w:t>
      </w:r>
      <w:r w:rsidR="003C1EBC">
        <w:rPr>
          <w:color w:val="000000"/>
          <w:szCs w:val="22"/>
        </w:rPr>
        <w:t xml:space="preserve"> percent of all stations in simulated channel reassignments received </w:t>
      </w:r>
      <w:r w:rsidR="00C73815">
        <w:rPr>
          <w:color w:val="000000"/>
          <w:szCs w:val="22"/>
        </w:rPr>
        <w:t xml:space="preserve">new </w:t>
      </w:r>
      <w:r w:rsidR="003C1EBC">
        <w:rPr>
          <w:color w:val="000000"/>
          <w:szCs w:val="22"/>
        </w:rPr>
        <w:t xml:space="preserve">interference </w:t>
      </w:r>
      <w:r w:rsidR="00670E71">
        <w:rPr>
          <w:color w:val="000000"/>
          <w:szCs w:val="22"/>
        </w:rPr>
        <w:t xml:space="preserve">above </w:t>
      </w:r>
      <w:r w:rsidR="000C7525">
        <w:rPr>
          <w:color w:val="000000"/>
          <w:szCs w:val="22"/>
        </w:rPr>
        <w:t>one percent</w:t>
      </w:r>
      <w:r w:rsidR="00670E71">
        <w:rPr>
          <w:color w:val="000000"/>
          <w:szCs w:val="22"/>
        </w:rPr>
        <w:t xml:space="preserve">, and that the majority of stations received </w:t>
      </w:r>
      <w:r w:rsidR="00C73815">
        <w:rPr>
          <w:color w:val="000000"/>
          <w:szCs w:val="22"/>
        </w:rPr>
        <w:t xml:space="preserve">new </w:t>
      </w:r>
      <w:r w:rsidR="00670E71">
        <w:rPr>
          <w:color w:val="000000"/>
          <w:szCs w:val="22"/>
        </w:rPr>
        <w:t xml:space="preserve">aggregate interference well below the </w:t>
      </w:r>
      <w:r w:rsidR="00670E71" w:rsidRPr="00390011">
        <w:rPr>
          <w:i/>
          <w:color w:val="000000"/>
          <w:szCs w:val="22"/>
        </w:rPr>
        <w:t>de minimis</w:t>
      </w:r>
      <w:r w:rsidR="00670E71">
        <w:rPr>
          <w:color w:val="000000"/>
          <w:szCs w:val="22"/>
        </w:rPr>
        <w:t xml:space="preserve"> pairwise interference limit </w:t>
      </w:r>
      <w:r w:rsidR="001A223D">
        <w:rPr>
          <w:color w:val="000000"/>
          <w:szCs w:val="22"/>
        </w:rPr>
        <w:t xml:space="preserve">adopted </w:t>
      </w:r>
      <w:r w:rsidR="00670E71">
        <w:rPr>
          <w:color w:val="000000"/>
          <w:szCs w:val="22"/>
        </w:rPr>
        <w:t>by the Commission.</w:t>
      </w:r>
      <w:r w:rsidR="002C3EC6">
        <w:rPr>
          <w:rStyle w:val="FootnoteReference"/>
          <w:color w:val="000000"/>
          <w:szCs w:val="22"/>
        </w:rPr>
        <w:footnoteReference w:id="3"/>
      </w:r>
    </w:p>
    <w:p w14:paraId="67FEE21D" w14:textId="5387ECB5" w:rsidR="00BB2678" w:rsidRDefault="00A25552" w:rsidP="00FC1117">
      <w:pPr>
        <w:pStyle w:val="Para"/>
        <w:widowControl/>
      </w:pPr>
      <w:r>
        <w:t xml:space="preserve">As </w:t>
      </w:r>
      <w:r w:rsidR="00582E4D">
        <w:t xml:space="preserve">noted </w:t>
      </w:r>
      <w:r>
        <w:t xml:space="preserve">in prior Public Notices, the data and information released today are based on preliminary assumptions </w:t>
      </w:r>
      <w:r w:rsidR="009048E3">
        <w:t>necessary for completing the analysis</w:t>
      </w:r>
      <w:r w:rsidR="008B6447">
        <w:t>, and</w:t>
      </w:r>
      <w:r w:rsidR="009048E3">
        <w:t xml:space="preserve"> are illustrative only.  </w:t>
      </w:r>
      <w:r w:rsidR="008B6447">
        <w:t xml:space="preserve">The Commission will adopt final </w:t>
      </w:r>
      <w:r>
        <w:t xml:space="preserve">decisions regarding the repacking process at a later date.  This Public Notice and the attached Appendix relate only to the repacking process, and specifically to issues </w:t>
      </w:r>
      <w:r w:rsidR="00582E4D">
        <w:t xml:space="preserve">commenters </w:t>
      </w:r>
      <w:r>
        <w:t xml:space="preserve">raised </w:t>
      </w:r>
      <w:r w:rsidR="00582E4D">
        <w:t xml:space="preserve">regarding </w:t>
      </w:r>
      <w:r>
        <w:t xml:space="preserve">the necessity of an </w:t>
      </w:r>
      <w:r>
        <w:lastRenderedPageBreak/>
        <w:t>aggregate interference cap and the use of proxy channels</w:t>
      </w:r>
      <w:r w:rsidR="00582E4D">
        <w:t xml:space="preserve"> when preserving coverage area and population served</w:t>
      </w:r>
      <w:r>
        <w:t>.</w:t>
      </w:r>
      <w:r w:rsidRPr="00F420D9">
        <w:t xml:space="preserve"> </w:t>
      </w:r>
      <w:r>
        <w:t xml:space="preserve"> </w:t>
      </w:r>
      <w:r w:rsidR="00730825">
        <w:t xml:space="preserve">Further, </w:t>
      </w:r>
      <w:r>
        <w:t>the results of studies release</w:t>
      </w:r>
      <w:r w:rsidR="00730825">
        <w:t>d</w:t>
      </w:r>
      <w:r>
        <w:t xml:space="preserve"> today do not reflect </w:t>
      </w:r>
      <w:r w:rsidR="008B6447">
        <w:t>any</w:t>
      </w:r>
      <w:r>
        <w:t xml:space="preserve"> assumptions about auction participation or station valuation</w:t>
      </w:r>
      <w:r w:rsidR="00730825">
        <w:t xml:space="preserve">. </w:t>
      </w:r>
    </w:p>
    <w:p w14:paraId="38356CBE" w14:textId="77777777" w:rsidR="00730825" w:rsidRPr="003907DA" w:rsidRDefault="00730825" w:rsidP="00991A88">
      <w:pPr>
        <w:pStyle w:val="Para"/>
        <w:keepNext/>
        <w:widowControl/>
        <w:rPr>
          <w:u w:val="single"/>
        </w:rPr>
      </w:pPr>
      <w:r w:rsidRPr="003907DA">
        <w:rPr>
          <w:u w:val="single"/>
        </w:rPr>
        <w:t>Aggregate Interference Analysis</w:t>
      </w:r>
    </w:p>
    <w:p w14:paraId="749998AD" w14:textId="0B3D596F" w:rsidR="006B1701" w:rsidRDefault="00C73815" w:rsidP="00283747">
      <w:pPr>
        <w:pStyle w:val="Para"/>
        <w:widowControl/>
      </w:pPr>
      <w:r>
        <w:t>As</w:t>
      </w:r>
      <w:r w:rsidR="00012581">
        <w:t xml:space="preserve"> </w:t>
      </w:r>
      <w:r w:rsidR="00BB4E5B">
        <w:t>the Commission</w:t>
      </w:r>
      <w:r w:rsidR="00012581">
        <w:t xml:space="preserve"> </w:t>
      </w:r>
      <w:r>
        <w:t xml:space="preserve">has </w:t>
      </w:r>
      <w:r w:rsidR="00BB4E5B">
        <w:t>explained</w:t>
      </w:r>
      <w:r>
        <w:t>,</w:t>
      </w:r>
      <w:r w:rsidR="00012581">
        <w:t xml:space="preserve"> the incentive auction </w:t>
      </w:r>
      <w:r w:rsidR="00381CDA">
        <w:t>will</w:t>
      </w:r>
      <w:r w:rsidR="00012581">
        <w:t xml:space="preserve"> have three major pieces: a reverse auction, a forward auction, and a repacking of the broadcast television bands which is likely to include the reassignment of some television stations to new channels.</w:t>
      </w:r>
      <w:r w:rsidR="009723A1">
        <w:rPr>
          <w:rStyle w:val="FootnoteReference"/>
        </w:rPr>
        <w:footnoteReference w:id="4"/>
      </w:r>
      <w:r w:rsidR="00A2102C">
        <w:t xml:space="preserve"> </w:t>
      </w:r>
      <w:r w:rsidR="00012581">
        <w:t xml:space="preserve"> The </w:t>
      </w:r>
      <w:r w:rsidR="008B6447">
        <w:t xml:space="preserve">Middle Class Tax Relief and Job Creation Act </w:t>
      </w:r>
      <w:r w:rsidR="00A2102C">
        <w:t>require</w:t>
      </w:r>
      <w:r w:rsidR="00012581">
        <w:t>s</w:t>
      </w:r>
      <w:r w:rsidR="00A2102C">
        <w:t xml:space="preserve"> that the Commission </w:t>
      </w:r>
      <w:r w:rsidR="00BB4E5B">
        <w:t>m</w:t>
      </w:r>
      <w:r w:rsidR="00A2102C">
        <w:t>ake “all reasonable efforts to preserve, as of [February 22, 2012], the coverage area and population served of each broadcast television licensee, as determined using the methodology described in OET Bulletin 69 of the Office of Engineering and Technology.”</w:t>
      </w:r>
      <w:r w:rsidR="00A2102C">
        <w:rPr>
          <w:rStyle w:val="FootnoteReference"/>
          <w:color w:val="000000"/>
          <w:szCs w:val="22"/>
        </w:rPr>
        <w:footnoteReference w:id="5"/>
      </w:r>
      <w:r w:rsidR="00A2102C">
        <w:t xml:space="preserve"> </w:t>
      </w:r>
      <w:r w:rsidR="006B1701">
        <w:t xml:space="preserve"> </w:t>
      </w:r>
      <w:r w:rsidR="008B6447">
        <w:t>I</w:t>
      </w:r>
      <w:r w:rsidR="0042681C">
        <w:t xml:space="preserve">n the </w:t>
      </w:r>
      <w:r w:rsidR="0042681C" w:rsidRPr="00151928">
        <w:rPr>
          <w:i/>
        </w:rPr>
        <w:t>Report and Order</w:t>
      </w:r>
      <w:r w:rsidR="0042681C">
        <w:t xml:space="preserve"> </w:t>
      </w:r>
      <w:r w:rsidR="00BB4E5B">
        <w:t>t</w:t>
      </w:r>
      <w:r w:rsidR="00014B13">
        <w:t>he Commission</w:t>
      </w:r>
      <w:r w:rsidR="00A2102C">
        <w:t xml:space="preserve"> </w:t>
      </w:r>
      <w:r w:rsidR="0042681C">
        <w:t xml:space="preserve">adopted the </w:t>
      </w:r>
      <w:r w:rsidR="0042681C" w:rsidRPr="00151928">
        <w:rPr>
          <w:i/>
        </w:rPr>
        <w:t>NPRM</w:t>
      </w:r>
      <w:r w:rsidR="0042681C">
        <w:t xml:space="preserve">’s </w:t>
      </w:r>
      <w:r w:rsidR="00A2102C">
        <w:t xml:space="preserve">proposed </w:t>
      </w:r>
      <w:r w:rsidR="008B6447">
        <w:t>“</w:t>
      </w:r>
      <w:r w:rsidR="0042681C">
        <w:t>Option 2</w:t>
      </w:r>
      <w:r w:rsidR="008B6447">
        <w:t>”</w:t>
      </w:r>
      <w:r w:rsidR="00A2102C">
        <w:t xml:space="preserve"> for </w:t>
      </w:r>
      <w:r w:rsidR="00BB4E5B">
        <w:t>fulfilling</w:t>
      </w:r>
      <w:r w:rsidR="00A2102C">
        <w:t xml:space="preserve"> the statut</w:t>
      </w:r>
      <w:r w:rsidR="00BB4E5B">
        <w:t>ory mandate</w:t>
      </w:r>
      <w:r w:rsidR="000C7525">
        <w:t>,</w:t>
      </w:r>
      <w:r w:rsidR="00A2102C">
        <w:t xml:space="preserve"> </w:t>
      </w:r>
      <w:r w:rsidR="000C7525">
        <w:t xml:space="preserve">requiring </w:t>
      </w:r>
      <w:r w:rsidR="00A2102C">
        <w:t xml:space="preserve">that </w:t>
      </w:r>
      <w:r w:rsidR="00AB6F12">
        <w:t>an</w:t>
      </w:r>
      <w:r w:rsidR="00A2102C" w:rsidRPr="00C81155">
        <w:t xml:space="preserve"> individual channel reassignment, considered alone, </w:t>
      </w:r>
      <w:r w:rsidR="00AB6F12">
        <w:t>“would</w:t>
      </w:r>
      <w:r w:rsidR="00AB6F12" w:rsidRPr="00C81155">
        <w:t xml:space="preserve"> </w:t>
      </w:r>
      <w:r w:rsidR="00A2102C" w:rsidRPr="00C81155">
        <w:t>reduce a</w:t>
      </w:r>
      <w:r w:rsidR="00A2102C">
        <w:t xml:space="preserve"> </w:t>
      </w:r>
      <w:r w:rsidR="00A2102C" w:rsidRPr="00C81155">
        <w:t xml:space="preserve">station’s specific population served by </w:t>
      </w:r>
      <w:r w:rsidR="00AB6F12">
        <w:t xml:space="preserve">no </w:t>
      </w:r>
      <w:r w:rsidR="00A2102C" w:rsidRPr="00C81155">
        <w:t>more than 0.5 percent</w:t>
      </w:r>
      <w:r w:rsidR="00A2102C">
        <w:t>.”</w:t>
      </w:r>
      <w:r w:rsidR="00A2102C">
        <w:rPr>
          <w:rStyle w:val="FootnoteReference"/>
          <w:color w:val="000000"/>
          <w:szCs w:val="22"/>
        </w:rPr>
        <w:footnoteReference w:id="6"/>
      </w:r>
      <w:r w:rsidR="006B1701">
        <w:t xml:space="preserve"> </w:t>
      </w:r>
    </w:p>
    <w:p w14:paraId="43831504" w14:textId="3698E92B" w:rsidR="00CB01C2" w:rsidRDefault="0042681C" w:rsidP="00283747">
      <w:pPr>
        <w:pStyle w:val="Para"/>
        <w:widowControl/>
      </w:pPr>
      <w:r>
        <w:t xml:space="preserve">As explained in the </w:t>
      </w:r>
      <w:r w:rsidRPr="003907DA">
        <w:rPr>
          <w:i/>
        </w:rPr>
        <w:t>Report and Order</w:t>
      </w:r>
      <w:r>
        <w:t xml:space="preserve">, a </w:t>
      </w:r>
      <w:r w:rsidR="00CB01C2">
        <w:t>number of commenters support</w:t>
      </w:r>
      <w:r>
        <w:t>ed</w:t>
      </w:r>
      <w:r w:rsidR="00CB01C2">
        <w:t xml:space="preserve"> using </w:t>
      </w:r>
      <w:r w:rsidR="00511343">
        <w:t>this approach</w:t>
      </w:r>
      <w:r w:rsidR="002C3EC6">
        <w:t xml:space="preserve"> for limiting </w:t>
      </w:r>
      <w:r w:rsidR="00CB01C2">
        <w:t>interference in the repacking process, but argue</w:t>
      </w:r>
      <w:r>
        <w:t>d</w:t>
      </w:r>
      <w:r w:rsidR="00CB01C2">
        <w:t xml:space="preserve"> that the Commission should impose a cap </w:t>
      </w:r>
      <w:r w:rsidR="00511343">
        <w:t xml:space="preserve">of one percent </w:t>
      </w:r>
      <w:r w:rsidR="00CB01C2">
        <w:t>on allowable aggregate interference for each station.</w:t>
      </w:r>
      <w:r w:rsidR="00CB01C2">
        <w:rPr>
          <w:rStyle w:val="FootnoteReference"/>
          <w:color w:val="000000"/>
          <w:szCs w:val="22"/>
        </w:rPr>
        <w:footnoteReference w:id="7"/>
      </w:r>
      <w:r w:rsidR="00CB01C2">
        <w:t xml:space="preserve">  These commenters argue</w:t>
      </w:r>
      <w:r w:rsidR="00AB6F12">
        <w:t>d</w:t>
      </w:r>
      <w:r w:rsidR="00CB01C2">
        <w:t xml:space="preserve"> that under </w:t>
      </w:r>
      <w:r w:rsidR="002C3EC6">
        <w:t>the approach the Commission adopted</w:t>
      </w:r>
      <w:r w:rsidR="00CB01C2">
        <w:t xml:space="preserve">, </w:t>
      </w:r>
      <w:r w:rsidR="00CB01C2" w:rsidRPr="003C33A9">
        <w:t xml:space="preserve">while no single station could cause greater than 0.5 percent </w:t>
      </w:r>
      <w:r w:rsidR="00CB01C2">
        <w:t xml:space="preserve">new </w:t>
      </w:r>
      <w:r w:rsidR="00CB01C2" w:rsidRPr="003C33A9">
        <w:t xml:space="preserve">interference, </w:t>
      </w:r>
      <w:r w:rsidR="00670E71">
        <w:t xml:space="preserve">an individual station in a crowded market could receive significant new </w:t>
      </w:r>
      <w:r w:rsidR="00670E71" w:rsidRPr="003C33A9">
        <w:t xml:space="preserve">interference </w:t>
      </w:r>
      <w:r w:rsidR="00733572">
        <w:t xml:space="preserve">when </w:t>
      </w:r>
      <w:r w:rsidR="00730825">
        <w:t xml:space="preserve">the </w:t>
      </w:r>
      <w:r w:rsidR="00733572">
        <w:t xml:space="preserve">permitted pairwise interference </w:t>
      </w:r>
      <w:r w:rsidR="00670E71">
        <w:t xml:space="preserve">from </w:t>
      </w:r>
      <w:r w:rsidR="00670E71" w:rsidRPr="003C33A9">
        <w:t xml:space="preserve">multiple stations </w:t>
      </w:r>
      <w:r w:rsidR="00733572">
        <w:t>is added up</w:t>
      </w:r>
      <w:r w:rsidR="00CB01C2">
        <w:t>.</w:t>
      </w:r>
      <w:r w:rsidR="00F20C35">
        <w:rPr>
          <w:rStyle w:val="FootnoteReference"/>
        </w:rPr>
        <w:footnoteReference w:id="8"/>
      </w:r>
    </w:p>
    <w:p w14:paraId="16CA1126" w14:textId="1DCD336F" w:rsidR="00730825" w:rsidRDefault="008B6447" w:rsidP="00730825">
      <w:pPr>
        <w:pStyle w:val="Para"/>
        <w:widowControl/>
      </w:pPr>
      <w:r>
        <w:t>In response to that argument</w:t>
      </w:r>
      <w:r w:rsidR="00730825">
        <w:t xml:space="preserve">, </w:t>
      </w:r>
      <w:r w:rsidR="00C47588">
        <w:t xml:space="preserve">staff </w:t>
      </w:r>
      <w:r w:rsidR="00730825">
        <w:t>conducted studies to calculate potential aggregate interference using the constraint</w:t>
      </w:r>
      <w:r w:rsidR="00C47588">
        <w:t xml:space="preserve"> files </w:t>
      </w:r>
      <w:r w:rsidR="00511343">
        <w:t xml:space="preserve">we </w:t>
      </w:r>
      <w:r w:rsidR="00C47588">
        <w:t>release today</w:t>
      </w:r>
      <w:r w:rsidR="00381CDA">
        <w:t>,</w:t>
      </w:r>
      <w:r w:rsidR="00A90242">
        <w:t xml:space="preserve"> which are </w:t>
      </w:r>
      <w:r w:rsidR="00730825">
        <w:t>based on actual channels</w:t>
      </w:r>
      <w:r w:rsidR="00381CDA">
        <w:t>,</w:t>
      </w:r>
      <w:r>
        <w:t xml:space="preserve"> versus proxy channels</w:t>
      </w:r>
      <w:r w:rsidR="00730825">
        <w:t xml:space="preserve">.  </w:t>
      </w:r>
      <w:r w:rsidR="00BB2678">
        <w:rPr>
          <w:color w:val="000000"/>
          <w:szCs w:val="22"/>
        </w:rPr>
        <w:t xml:space="preserve">The staff analysis shows that </w:t>
      </w:r>
      <w:r w:rsidR="00DE6272">
        <w:rPr>
          <w:color w:val="000000"/>
          <w:szCs w:val="22"/>
        </w:rPr>
        <w:t>approximately</w:t>
      </w:r>
      <w:r w:rsidR="00BB2678">
        <w:rPr>
          <w:color w:val="000000"/>
          <w:szCs w:val="22"/>
        </w:rPr>
        <w:t xml:space="preserve"> one percent of all stations in simulated channel reassignments received </w:t>
      </w:r>
      <w:r w:rsidR="00C73815">
        <w:rPr>
          <w:color w:val="000000"/>
          <w:szCs w:val="22"/>
        </w:rPr>
        <w:t xml:space="preserve">new </w:t>
      </w:r>
      <w:r w:rsidR="00BB2678">
        <w:rPr>
          <w:color w:val="000000"/>
          <w:szCs w:val="22"/>
        </w:rPr>
        <w:t xml:space="preserve">interference above a </w:t>
      </w:r>
      <w:r w:rsidR="000C7525">
        <w:rPr>
          <w:color w:val="000000"/>
          <w:szCs w:val="22"/>
        </w:rPr>
        <w:t>one</w:t>
      </w:r>
      <w:r w:rsidR="00573A61">
        <w:rPr>
          <w:color w:val="000000"/>
          <w:szCs w:val="22"/>
        </w:rPr>
        <w:t xml:space="preserve"> percent </w:t>
      </w:r>
      <w:r w:rsidR="00BB2678">
        <w:rPr>
          <w:color w:val="000000"/>
          <w:szCs w:val="22"/>
        </w:rPr>
        <w:t xml:space="preserve">cap, and that the majority of stations received </w:t>
      </w:r>
      <w:r w:rsidR="00C73815">
        <w:rPr>
          <w:color w:val="000000"/>
          <w:szCs w:val="22"/>
        </w:rPr>
        <w:t xml:space="preserve">new </w:t>
      </w:r>
      <w:r w:rsidR="00BB2678">
        <w:rPr>
          <w:color w:val="000000"/>
          <w:szCs w:val="22"/>
        </w:rPr>
        <w:t xml:space="preserve">aggregate interference well below the pairwise interference limit </w:t>
      </w:r>
      <w:r w:rsidR="00AB6F12">
        <w:rPr>
          <w:color w:val="000000"/>
          <w:szCs w:val="22"/>
        </w:rPr>
        <w:t xml:space="preserve">adopted </w:t>
      </w:r>
      <w:r w:rsidR="00BB2678">
        <w:rPr>
          <w:color w:val="000000"/>
          <w:szCs w:val="22"/>
        </w:rPr>
        <w:t>by the Commission.</w:t>
      </w:r>
      <w:r w:rsidR="00A834AC">
        <w:rPr>
          <w:color w:val="000000"/>
          <w:szCs w:val="22"/>
        </w:rPr>
        <w:t xml:space="preserve">  </w:t>
      </w:r>
      <w:r w:rsidR="00C47588">
        <w:t xml:space="preserve">This </w:t>
      </w:r>
      <w:r w:rsidR="00730825">
        <w:t xml:space="preserve">analysis </w:t>
      </w:r>
      <w:r w:rsidR="00C47588">
        <w:t xml:space="preserve">is presented </w:t>
      </w:r>
      <w:r w:rsidR="00730825">
        <w:t>in detail in the attached Appendix.</w:t>
      </w:r>
    </w:p>
    <w:p w14:paraId="61009859" w14:textId="77777777" w:rsidR="00730825" w:rsidRPr="003907DA" w:rsidRDefault="00C47588" w:rsidP="00991A88">
      <w:pPr>
        <w:pStyle w:val="Para"/>
        <w:keepNext/>
        <w:widowControl/>
        <w:rPr>
          <w:u w:val="single"/>
        </w:rPr>
      </w:pPr>
      <w:r w:rsidRPr="003907DA">
        <w:rPr>
          <w:u w:val="single"/>
        </w:rPr>
        <w:t>Repacking Calculations on Actual Channels v</w:t>
      </w:r>
      <w:r w:rsidR="00732ACA">
        <w:rPr>
          <w:u w:val="single"/>
        </w:rPr>
        <w:t>er</w:t>
      </w:r>
      <w:r w:rsidRPr="003907DA">
        <w:rPr>
          <w:u w:val="single"/>
        </w:rPr>
        <w:t>s</w:t>
      </w:r>
      <w:r w:rsidR="00732ACA">
        <w:rPr>
          <w:u w:val="single"/>
        </w:rPr>
        <w:t>us</w:t>
      </w:r>
      <w:r w:rsidRPr="003907DA">
        <w:rPr>
          <w:u w:val="single"/>
        </w:rPr>
        <w:t xml:space="preserve"> Proxy Channels</w:t>
      </w:r>
    </w:p>
    <w:p w14:paraId="6EE17B5A" w14:textId="77777777" w:rsidR="009F2F32" w:rsidRDefault="00C47588" w:rsidP="00283747">
      <w:pPr>
        <w:pStyle w:val="Para"/>
        <w:widowControl/>
      </w:pPr>
      <w:r>
        <w:t>In July 2013, t</w:t>
      </w:r>
      <w:r w:rsidR="00014B13">
        <w:t>he Incentive Auction Task Force</w:t>
      </w:r>
      <w:r w:rsidR="00BB4E5B">
        <w:t xml:space="preserve"> released </w:t>
      </w:r>
      <w:r w:rsidR="00185DB4" w:rsidRPr="00185DB4">
        <w:rPr>
          <w:color w:val="000000"/>
          <w:szCs w:val="22"/>
        </w:rPr>
        <w:t xml:space="preserve">the results of a staff analysis </w:t>
      </w:r>
      <w:r w:rsidR="00E65ECB">
        <w:rPr>
          <w:color w:val="000000"/>
          <w:szCs w:val="22"/>
        </w:rPr>
        <w:t xml:space="preserve">on the feasibility of channel assignments </w:t>
      </w:r>
      <w:r w:rsidR="00185DB4">
        <w:rPr>
          <w:color w:val="000000"/>
          <w:szCs w:val="22"/>
        </w:rPr>
        <w:t xml:space="preserve">in the </w:t>
      </w:r>
      <w:r w:rsidR="00185DB4" w:rsidRPr="00185DB4">
        <w:rPr>
          <w:color w:val="000000"/>
          <w:szCs w:val="22"/>
        </w:rPr>
        <w:t>repacking process, consistent with statutory and other requirements, based on certain preliminary assumptions.</w:t>
      </w:r>
      <w:r w:rsidR="00185DB4">
        <w:rPr>
          <w:rStyle w:val="FootnoteReference"/>
          <w:color w:val="000000"/>
          <w:szCs w:val="22"/>
        </w:rPr>
        <w:footnoteReference w:id="9"/>
      </w:r>
      <w:r w:rsidR="00185DB4">
        <w:rPr>
          <w:color w:val="000000"/>
          <w:szCs w:val="22"/>
        </w:rPr>
        <w:t xml:space="preserve">  One such assumption was the use of a</w:t>
      </w:r>
      <w:r w:rsidR="00E65ECB">
        <w:t xml:space="preserve"> single “proxy channel” in each band to conduct the pairwise study</w:t>
      </w:r>
      <w:r w:rsidR="00E65ECB">
        <w:rPr>
          <w:color w:val="000000"/>
          <w:szCs w:val="22"/>
        </w:rPr>
        <w:t xml:space="preserve"> </w:t>
      </w:r>
      <w:r w:rsidR="00185DB4">
        <w:rPr>
          <w:color w:val="000000"/>
          <w:szCs w:val="22"/>
        </w:rPr>
        <w:t>to determin</w:t>
      </w:r>
      <w:r>
        <w:rPr>
          <w:color w:val="000000"/>
          <w:szCs w:val="22"/>
        </w:rPr>
        <w:t>e</w:t>
      </w:r>
      <w:r w:rsidR="00185DB4">
        <w:rPr>
          <w:color w:val="000000"/>
          <w:szCs w:val="22"/>
        </w:rPr>
        <w:t xml:space="preserve"> </w:t>
      </w:r>
      <w:r w:rsidR="00E65ECB">
        <w:rPr>
          <w:color w:val="000000"/>
          <w:szCs w:val="22"/>
        </w:rPr>
        <w:t>whether a television station can be assigned a particular channel.</w:t>
      </w:r>
      <w:r w:rsidR="009F2F32">
        <w:rPr>
          <w:rStyle w:val="FootnoteReference"/>
        </w:rPr>
        <w:footnoteReference w:id="10"/>
      </w:r>
      <w:r w:rsidR="009F2F32">
        <w:t xml:space="preserve">  </w:t>
      </w:r>
      <w:r w:rsidR="00E65ECB">
        <w:t xml:space="preserve">The </w:t>
      </w:r>
      <w:r w:rsidR="00CB01C2">
        <w:t>National Association of Broadcasters (</w:t>
      </w:r>
      <w:r w:rsidR="00BB2678">
        <w:t>“</w:t>
      </w:r>
      <w:r w:rsidR="00CB01C2">
        <w:t>NAB</w:t>
      </w:r>
      <w:r w:rsidR="00BB2678">
        <w:t>”</w:t>
      </w:r>
      <w:r w:rsidR="00CB01C2">
        <w:t xml:space="preserve">) expressed concern </w:t>
      </w:r>
      <w:r w:rsidR="00545BF3">
        <w:t xml:space="preserve">that </w:t>
      </w:r>
      <w:r w:rsidR="00276382">
        <w:t xml:space="preserve">using </w:t>
      </w:r>
      <w:r w:rsidR="00E65ECB">
        <w:t xml:space="preserve">a “proxy” channel approach </w:t>
      </w:r>
      <w:r w:rsidR="00CB01C2">
        <w:t xml:space="preserve">could </w:t>
      </w:r>
      <w:r w:rsidR="00E65ECB">
        <w:t xml:space="preserve">result in </w:t>
      </w:r>
      <w:r w:rsidR="00CB01C2">
        <w:t>difference</w:t>
      </w:r>
      <w:r w:rsidR="00545BF3">
        <w:t>s</w:t>
      </w:r>
      <w:r w:rsidR="00CB01C2">
        <w:t xml:space="preserve"> </w:t>
      </w:r>
      <w:r w:rsidR="00545BF3">
        <w:t>between predicted</w:t>
      </w:r>
      <w:r w:rsidR="00CB01C2">
        <w:t xml:space="preserve"> service loss</w:t>
      </w:r>
      <w:r w:rsidR="00545BF3">
        <w:t>es</w:t>
      </w:r>
      <w:r w:rsidR="00CB01C2">
        <w:t xml:space="preserve"> </w:t>
      </w:r>
      <w:r w:rsidR="00545BF3">
        <w:t>calculated on proxy versus actual channels</w:t>
      </w:r>
      <w:r w:rsidR="00CB01C2">
        <w:t>.</w:t>
      </w:r>
      <w:r w:rsidR="00CB01C2">
        <w:rPr>
          <w:rStyle w:val="FootnoteReference"/>
        </w:rPr>
        <w:footnoteReference w:id="11"/>
      </w:r>
    </w:p>
    <w:p w14:paraId="5B46108C" w14:textId="28632C97" w:rsidR="00994BF9" w:rsidRDefault="00E65ECB" w:rsidP="00283747">
      <w:pPr>
        <w:pStyle w:val="Para"/>
        <w:widowControl/>
      </w:pPr>
      <w:r>
        <w:t>In January 2014, t</w:t>
      </w:r>
      <w:r w:rsidR="00994BF9">
        <w:t xml:space="preserve">he Incentive Auction Task Force released information about </w:t>
      </w:r>
      <w:r>
        <w:t xml:space="preserve">the manner in which </w:t>
      </w:r>
      <w:r w:rsidR="000C0144">
        <w:t xml:space="preserve">the data released in the </w:t>
      </w:r>
      <w:r w:rsidR="000C0144" w:rsidRPr="00390011">
        <w:rPr>
          <w:i/>
        </w:rPr>
        <w:t xml:space="preserve">First Repacking </w:t>
      </w:r>
      <w:r>
        <w:rPr>
          <w:i/>
        </w:rPr>
        <w:t xml:space="preserve">Data </w:t>
      </w:r>
      <w:r w:rsidR="000C0144" w:rsidRPr="00390011">
        <w:rPr>
          <w:i/>
        </w:rPr>
        <w:t>PN</w:t>
      </w:r>
      <w:r w:rsidR="000C0144">
        <w:t xml:space="preserve"> </w:t>
      </w:r>
      <w:r w:rsidR="00BB2678">
        <w:t>can be used to</w:t>
      </w:r>
      <w:r w:rsidR="000C0144">
        <w:t xml:space="preserve"> </w:t>
      </w:r>
      <w:r w:rsidR="00994BF9">
        <w:t>conduct “feasibility checks” in the context of a reverse auction</w:t>
      </w:r>
      <w:r w:rsidR="000C0144">
        <w:t>.</w:t>
      </w:r>
      <w:r w:rsidR="000C0144">
        <w:rPr>
          <w:rStyle w:val="FootnoteReference"/>
        </w:rPr>
        <w:footnoteReference w:id="12"/>
      </w:r>
      <w:r w:rsidR="000C0144">
        <w:t xml:space="preserve"> </w:t>
      </w:r>
      <w:r w:rsidR="00994BF9">
        <w:t xml:space="preserve"> </w:t>
      </w:r>
      <w:r w:rsidR="000C0144">
        <w:t>Feasibility checking, in this context, means determin</w:t>
      </w:r>
      <w:r>
        <w:t>ing</w:t>
      </w:r>
      <w:r w:rsidR="000C0144">
        <w:t xml:space="preserve"> whether a channel assignment satisfies all pairwise interference </w:t>
      </w:r>
      <w:r w:rsidR="00DD7767">
        <w:t xml:space="preserve">limits. </w:t>
      </w:r>
      <w:r w:rsidR="000C0144">
        <w:t xml:space="preserve"> Using pre-calculated interference constraint data</w:t>
      </w:r>
      <w:r w:rsidR="008D4389">
        <w:t>,</w:t>
      </w:r>
      <w:r w:rsidR="008D4389">
        <w:rPr>
          <w:rStyle w:val="FootnoteReference"/>
        </w:rPr>
        <w:footnoteReference w:id="13"/>
      </w:r>
      <w:r w:rsidR="000C0144">
        <w:t xml:space="preserve"> the staff developed a computer program that determines, in real time, whether a feasible channel assignment exists for a given set of stations in a given band.  In</w:t>
      </w:r>
      <w:r w:rsidR="00994BF9">
        <w:t xml:space="preserve"> February</w:t>
      </w:r>
      <w:r w:rsidR="002404B5">
        <w:t xml:space="preserve"> 2014</w:t>
      </w:r>
      <w:r w:rsidR="00994BF9">
        <w:t xml:space="preserve">, the staff hosted a workshop to share </w:t>
      </w:r>
      <w:r w:rsidR="00573A61">
        <w:t>the</w:t>
      </w:r>
      <w:r w:rsidR="00994BF9">
        <w:t xml:space="preserve"> </w:t>
      </w:r>
      <w:r w:rsidR="00381CDA">
        <w:t xml:space="preserve">performance </w:t>
      </w:r>
      <w:r w:rsidR="00994BF9">
        <w:t xml:space="preserve">results of </w:t>
      </w:r>
      <w:r w:rsidR="000C0144">
        <w:t xml:space="preserve">this </w:t>
      </w:r>
      <w:r w:rsidR="00994BF9">
        <w:t>simulation feasibility checking software</w:t>
      </w:r>
      <w:r w:rsidR="000C0144">
        <w:t xml:space="preserve">, and </w:t>
      </w:r>
      <w:r w:rsidR="00573A61">
        <w:t>to explain</w:t>
      </w:r>
      <w:r w:rsidR="000C0144">
        <w:t xml:space="preserve"> how interested parties could develop their own software</w:t>
      </w:r>
      <w:r w:rsidR="00994BF9">
        <w:t>.</w:t>
      </w:r>
      <w:r w:rsidR="00DD7767">
        <w:rPr>
          <w:rStyle w:val="FootnoteReference"/>
        </w:rPr>
        <w:footnoteReference w:id="14"/>
      </w:r>
    </w:p>
    <w:p w14:paraId="29F5B795" w14:textId="779834D9" w:rsidR="00BB2678" w:rsidRDefault="00FC1117" w:rsidP="00283747">
      <w:pPr>
        <w:pStyle w:val="Para"/>
        <w:widowControl/>
      </w:pPr>
      <w:r w:rsidRPr="00A90242">
        <w:t>Continued</w:t>
      </w:r>
      <w:r>
        <w:t xml:space="preserve"> software</w:t>
      </w:r>
      <w:r w:rsidR="00B10FEC">
        <w:t xml:space="preserve"> </w:t>
      </w:r>
      <w:r w:rsidR="00014B13">
        <w:t xml:space="preserve">improvements </w:t>
      </w:r>
      <w:r w:rsidR="00303E7E">
        <w:t>allow</w:t>
      </w:r>
      <w:r w:rsidR="00B10FEC">
        <w:t>ed</w:t>
      </w:r>
      <w:r w:rsidR="00303E7E">
        <w:t xml:space="preserve"> </w:t>
      </w:r>
      <w:r w:rsidR="00B10FEC">
        <w:t xml:space="preserve">for </w:t>
      </w:r>
      <w:r w:rsidR="00005AD3">
        <w:t xml:space="preserve">feasibility checks </w:t>
      </w:r>
      <w:r w:rsidR="00B10FEC">
        <w:t xml:space="preserve">to be performed </w:t>
      </w:r>
      <w:r w:rsidR="00014B13">
        <w:t>using actual channels, instead of prox</w:t>
      </w:r>
      <w:r w:rsidR="00DB753F">
        <w:t>y</w:t>
      </w:r>
      <w:r w:rsidR="00014B13">
        <w:t xml:space="preserve"> channels</w:t>
      </w:r>
      <w:r w:rsidR="002C3EC6">
        <w:t xml:space="preserve">, as adopted by the Commission in the </w:t>
      </w:r>
      <w:r w:rsidR="002810D5">
        <w:rPr>
          <w:i/>
        </w:rPr>
        <w:t xml:space="preserve">Report and </w:t>
      </w:r>
      <w:r w:rsidR="002C3EC6">
        <w:rPr>
          <w:i/>
        </w:rPr>
        <w:t>Order</w:t>
      </w:r>
      <w:r w:rsidR="00014B13">
        <w:t>.</w:t>
      </w:r>
      <w:r w:rsidR="009C5CDA">
        <w:rPr>
          <w:rStyle w:val="FootnoteReference"/>
        </w:rPr>
        <w:footnoteReference w:id="15"/>
      </w:r>
      <w:r w:rsidR="00014B13">
        <w:t xml:space="preserve">  </w:t>
      </w:r>
      <w:r w:rsidR="00A03F96">
        <w:t xml:space="preserve">Specifically, </w:t>
      </w:r>
      <w:r w:rsidR="00A03F96" w:rsidRPr="00A90242">
        <w:rPr>
          <w:i/>
        </w:rPr>
        <w:t>TVStudy</w:t>
      </w:r>
      <w:r w:rsidR="00A03F96">
        <w:t xml:space="preserve"> generate</w:t>
      </w:r>
      <w:r w:rsidR="00BB2678">
        <w:t>s</w:t>
      </w:r>
      <w:r w:rsidR="00A03F96">
        <w:t xml:space="preserve"> pairwise constraints on actual channels.</w:t>
      </w:r>
      <w:r w:rsidR="00A03F96">
        <w:rPr>
          <w:rStyle w:val="FootnoteReference"/>
          <w:color w:val="000000"/>
          <w:szCs w:val="22"/>
        </w:rPr>
        <w:footnoteReference w:id="16"/>
      </w:r>
      <w:r w:rsidR="00A03F96">
        <w:t xml:space="preserve">  The repacking scenarios </w:t>
      </w:r>
      <w:r w:rsidR="00BB2678">
        <w:t xml:space="preserve">relate only to </w:t>
      </w:r>
      <w:r w:rsidR="00A03F96">
        <w:t xml:space="preserve">the UHF band </w:t>
      </w:r>
      <w:r w:rsidR="00BB2678">
        <w:t xml:space="preserve">because </w:t>
      </w:r>
      <w:r w:rsidR="00A03F96">
        <w:t>the largest number of stations that could potentially be assigned a new channel will be in this band.</w:t>
      </w:r>
      <w:r w:rsidR="00BB2678">
        <w:t xml:space="preserve"> </w:t>
      </w:r>
      <w:r w:rsidR="00A03F96">
        <w:t xml:space="preserve"> </w:t>
      </w:r>
      <w:r w:rsidR="00B10FEC">
        <w:t>Today, w</w:t>
      </w:r>
      <w:r w:rsidR="00014B13">
        <w:t xml:space="preserve">e are releasing updated constraint files based upon actual channels to assist interested parties in conducting their own </w:t>
      </w:r>
      <w:r w:rsidR="00B10FEC">
        <w:t xml:space="preserve">repacking </w:t>
      </w:r>
      <w:r w:rsidR="009C5CDA">
        <w:t>studies</w:t>
      </w:r>
      <w:r w:rsidR="00014B13">
        <w:t>.</w:t>
      </w:r>
      <w:r w:rsidR="004C4540">
        <w:rPr>
          <w:rStyle w:val="FootnoteReference"/>
        </w:rPr>
        <w:footnoteReference w:id="17"/>
      </w:r>
      <w:r w:rsidR="00BB2678">
        <w:t xml:space="preserve"> </w:t>
      </w:r>
    </w:p>
    <w:p w14:paraId="5290981C" w14:textId="643AEFC1" w:rsidR="00065378" w:rsidRDefault="00BB2678" w:rsidP="00283747">
      <w:pPr>
        <w:pStyle w:val="Para"/>
        <w:widowControl/>
        <w:rPr>
          <w:color w:val="000000"/>
        </w:rPr>
      </w:pPr>
      <w:r>
        <w:t>T</w:t>
      </w:r>
      <w:r w:rsidR="00506519">
        <w:t xml:space="preserve">o generate sufficient </w:t>
      </w:r>
      <w:r w:rsidR="00A03F96">
        <w:t xml:space="preserve">data </w:t>
      </w:r>
      <w:r w:rsidR="00506519">
        <w:t>from which to draw meaningful results</w:t>
      </w:r>
      <w:r w:rsidR="00494574">
        <w:t>,</w:t>
      </w:r>
      <w:r w:rsidR="00494574" w:rsidRPr="00494574">
        <w:rPr>
          <w:rFonts w:cstheme="minorHAnsi"/>
          <w:sz w:val="24"/>
          <w:szCs w:val="24"/>
        </w:rPr>
        <w:t xml:space="preserve"> </w:t>
      </w:r>
      <w:r w:rsidR="004F4AC3">
        <w:t>Commission staff</w:t>
      </w:r>
      <w:r w:rsidR="00506519">
        <w:t xml:space="preserve"> performed </w:t>
      </w:r>
      <w:r w:rsidR="003A4C9F">
        <w:t>100</w:t>
      </w:r>
      <w:r w:rsidR="00950668">
        <w:t xml:space="preserve"> simulations using </w:t>
      </w:r>
      <w:r w:rsidR="00964189">
        <w:t xml:space="preserve">several variations of </w:t>
      </w:r>
      <w:r>
        <w:t xml:space="preserve">the approach </w:t>
      </w:r>
      <w:r w:rsidR="00B143F6">
        <w:t>we</w:t>
      </w:r>
      <w:r w:rsidR="00B143F6" w:rsidRPr="00B03E5F">
        <w:rPr>
          <w:rFonts w:cstheme="minorHAnsi"/>
          <w:szCs w:val="22"/>
        </w:rPr>
        <w:t xml:space="preserve"> developed </w:t>
      </w:r>
      <w:r w:rsidR="00B143F6">
        <w:rPr>
          <w:rFonts w:cstheme="minorHAnsi"/>
          <w:szCs w:val="22"/>
        </w:rPr>
        <w:t>f</w:t>
      </w:r>
      <w:r w:rsidR="00B143F6" w:rsidRPr="00B03E5F">
        <w:rPr>
          <w:rFonts w:cstheme="minorHAnsi"/>
          <w:szCs w:val="22"/>
        </w:rPr>
        <w:t>or creating simulated sets of stations to be repacked</w:t>
      </w:r>
      <w:r w:rsidR="00B143F6">
        <w:rPr>
          <w:szCs w:val="22"/>
        </w:rPr>
        <w:t>.</w:t>
      </w:r>
      <w:r w:rsidR="00B143F6" w:rsidRPr="00494574">
        <w:rPr>
          <w:szCs w:val="22"/>
        </w:rPr>
        <w:t xml:space="preserve"> </w:t>
      </w:r>
      <w:r w:rsidR="00B143F6">
        <w:rPr>
          <w:szCs w:val="22"/>
        </w:rPr>
        <w:t xml:space="preserve"> </w:t>
      </w:r>
      <w:r w:rsidR="00C944D5">
        <w:t xml:space="preserve">The output of each of these simulations was a set of stations that remain on the air in the UHF band, together with the respective channel assignments, called a channel plan.  </w:t>
      </w:r>
      <w:r w:rsidR="00B143F6">
        <w:t xml:space="preserve">Consistent with </w:t>
      </w:r>
      <w:r w:rsidR="00AB4E36">
        <w:t xml:space="preserve">the </w:t>
      </w:r>
      <w:r w:rsidR="00573A61">
        <w:rPr>
          <w:i/>
        </w:rPr>
        <w:t xml:space="preserve">Report and </w:t>
      </w:r>
      <w:r w:rsidR="00AB4E36">
        <w:rPr>
          <w:i/>
        </w:rPr>
        <w:t>Order</w:t>
      </w:r>
      <w:r w:rsidR="00B143F6">
        <w:t xml:space="preserve">, none of the 100 channel plans involves new pairwise interference of greater than 0.5 percent.  </w:t>
      </w:r>
      <w:r w:rsidR="00C944D5">
        <w:t>For each of these 100 channel plans</w:t>
      </w:r>
      <w:r w:rsidR="00613C12">
        <w:t xml:space="preserve">, we </w:t>
      </w:r>
      <w:r w:rsidR="00A06B52">
        <w:t>examined</w:t>
      </w:r>
      <w:r w:rsidR="00613C12">
        <w:t xml:space="preserve"> cell-level data generated by </w:t>
      </w:r>
      <w:r w:rsidR="00613C12" w:rsidRPr="00BC10C9">
        <w:rPr>
          <w:i/>
        </w:rPr>
        <w:t>TVStudy</w:t>
      </w:r>
      <w:r w:rsidR="00613C12">
        <w:t xml:space="preserve"> </w:t>
      </w:r>
      <w:r w:rsidR="00C944D5">
        <w:t>to determine the aggregate interference experienced by each station.</w:t>
      </w:r>
      <w:r w:rsidR="00950668">
        <w:t xml:space="preserve">  </w:t>
      </w:r>
      <w:r w:rsidR="00475253">
        <w:rPr>
          <w:color w:val="000000"/>
        </w:rPr>
        <w:t xml:space="preserve">The results in the attached Appendix show that across all simulations, on average </w:t>
      </w:r>
      <w:r w:rsidR="00DE6272">
        <w:rPr>
          <w:color w:val="000000"/>
        </w:rPr>
        <w:t>approximately</w:t>
      </w:r>
      <w:r w:rsidR="00475253">
        <w:rPr>
          <w:color w:val="000000"/>
        </w:rPr>
        <w:t xml:space="preserve"> </w:t>
      </w:r>
      <w:r w:rsidR="004A4495">
        <w:rPr>
          <w:color w:val="000000"/>
        </w:rPr>
        <w:t>one</w:t>
      </w:r>
      <w:r w:rsidR="00475253">
        <w:rPr>
          <w:color w:val="000000"/>
        </w:rPr>
        <w:t xml:space="preserve"> percent of stations are predicted to receive </w:t>
      </w:r>
      <w:r w:rsidR="00C73815">
        <w:rPr>
          <w:color w:val="000000"/>
        </w:rPr>
        <w:t xml:space="preserve">new </w:t>
      </w:r>
      <w:r w:rsidR="00475253">
        <w:rPr>
          <w:color w:val="000000"/>
        </w:rPr>
        <w:t xml:space="preserve">aggregate interference after channel reassignment above NAB’s proposed </w:t>
      </w:r>
      <w:r w:rsidR="004A4495">
        <w:rPr>
          <w:color w:val="000000"/>
        </w:rPr>
        <w:t>one</w:t>
      </w:r>
      <w:r w:rsidR="00475253">
        <w:rPr>
          <w:color w:val="000000"/>
        </w:rPr>
        <w:t xml:space="preserve"> percent cap, while the average </w:t>
      </w:r>
      <w:r w:rsidR="00C73815">
        <w:rPr>
          <w:color w:val="000000"/>
        </w:rPr>
        <w:t xml:space="preserve">new </w:t>
      </w:r>
      <w:r w:rsidR="00475253">
        <w:rPr>
          <w:color w:val="000000"/>
        </w:rPr>
        <w:t xml:space="preserve">aggregate interference level was </w:t>
      </w:r>
      <w:r w:rsidR="00573A61">
        <w:rPr>
          <w:color w:val="000000"/>
        </w:rPr>
        <w:t xml:space="preserve">less than </w:t>
      </w:r>
      <w:r w:rsidR="00B6509A">
        <w:rPr>
          <w:color w:val="000000"/>
        </w:rPr>
        <w:t xml:space="preserve">0.2 percent, </w:t>
      </w:r>
      <w:r w:rsidR="00475253">
        <w:rPr>
          <w:color w:val="000000"/>
        </w:rPr>
        <w:t xml:space="preserve">well below the </w:t>
      </w:r>
      <w:r w:rsidR="00475253" w:rsidRPr="00475253">
        <w:rPr>
          <w:i/>
          <w:color w:val="000000"/>
        </w:rPr>
        <w:t>de minimis</w:t>
      </w:r>
      <w:r w:rsidR="00475253">
        <w:rPr>
          <w:color w:val="000000"/>
        </w:rPr>
        <w:t xml:space="preserve"> constraint threshold.  </w:t>
      </w:r>
      <w:r w:rsidR="00065378">
        <w:rPr>
          <w:color w:val="000000"/>
        </w:rPr>
        <w:t>I</w:t>
      </w:r>
      <w:r w:rsidR="00475253">
        <w:rPr>
          <w:color w:val="000000"/>
        </w:rPr>
        <w:t xml:space="preserve">n none of the results did </w:t>
      </w:r>
      <w:r w:rsidR="00065378">
        <w:rPr>
          <w:color w:val="000000"/>
        </w:rPr>
        <w:t>any</w:t>
      </w:r>
      <w:r w:rsidR="00475253">
        <w:rPr>
          <w:color w:val="000000"/>
        </w:rPr>
        <w:t xml:space="preserve"> station receive </w:t>
      </w:r>
      <w:r w:rsidR="00C73815">
        <w:rPr>
          <w:color w:val="000000"/>
        </w:rPr>
        <w:t xml:space="preserve">new </w:t>
      </w:r>
      <w:r w:rsidR="00475253">
        <w:rPr>
          <w:color w:val="000000"/>
        </w:rPr>
        <w:t xml:space="preserve">aggregate interference above </w:t>
      </w:r>
      <w:r w:rsidR="00475253" w:rsidRPr="00365A7A">
        <w:rPr>
          <w:color w:val="000000"/>
        </w:rPr>
        <w:t>2</w:t>
      </w:r>
      <w:r w:rsidR="00475253">
        <w:rPr>
          <w:color w:val="000000"/>
        </w:rPr>
        <w:t xml:space="preserve"> percent.</w:t>
      </w:r>
      <w:r w:rsidR="00065378" w:rsidRPr="00065378">
        <w:t xml:space="preserve"> </w:t>
      </w:r>
      <w:r w:rsidR="00065378">
        <w:t xml:space="preserve"> Details about the methodology as well as study results can be found in the Appendix.</w:t>
      </w:r>
    </w:p>
    <w:p w14:paraId="102840DE" w14:textId="77777777" w:rsidR="001917AF" w:rsidRDefault="00FE0F4A" w:rsidP="00283747">
      <w:pPr>
        <w:pStyle w:val="Para"/>
        <w:widowControl/>
        <w:rPr>
          <w:color w:val="000000"/>
        </w:rPr>
      </w:pPr>
      <w:r>
        <w:rPr>
          <w:color w:val="000000"/>
        </w:rPr>
        <w:t xml:space="preserve">The analysis </w:t>
      </w:r>
      <w:r w:rsidR="00EA5825">
        <w:rPr>
          <w:color w:val="000000"/>
        </w:rPr>
        <w:t xml:space="preserve">pertains only to constraints applied to prevent new interference under </w:t>
      </w:r>
      <w:r w:rsidR="002C3EC6">
        <w:rPr>
          <w:color w:val="000000"/>
        </w:rPr>
        <w:t>the approach adopted by the Commission</w:t>
      </w:r>
      <w:r w:rsidR="00EA5825">
        <w:rPr>
          <w:color w:val="000000"/>
        </w:rPr>
        <w:t xml:space="preserve">, and </w:t>
      </w:r>
      <w:r>
        <w:rPr>
          <w:color w:val="000000"/>
        </w:rPr>
        <w:t>does not consider any alternatives that stations may have, including</w:t>
      </w:r>
      <w:r w:rsidR="000B0FA0">
        <w:rPr>
          <w:color w:val="000000"/>
        </w:rPr>
        <w:t xml:space="preserve"> </w:t>
      </w:r>
      <w:r w:rsidR="00AB6F12">
        <w:rPr>
          <w:color w:val="000000"/>
        </w:rPr>
        <w:t>the opportunity reassigned stations will have to request alternate channels or expanded facilities on their newly assigned channels</w:t>
      </w:r>
      <w:r w:rsidR="00475253">
        <w:rPr>
          <w:color w:val="000000"/>
        </w:rPr>
        <w:t>.</w:t>
      </w:r>
      <w:r w:rsidR="00475253">
        <w:rPr>
          <w:rStyle w:val="FootnoteReference"/>
          <w:color w:val="000000"/>
        </w:rPr>
        <w:footnoteReference w:id="18"/>
      </w:r>
      <w:r w:rsidR="00065378">
        <w:rPr>
          <w:color w:val="000000"/>
        </w:rPr>
        <w:t xml:space="preserve">  </w:t>
      </w:r>
      <w:r>
        <w:rPr>
          <w:color w:val="000000"/>
        </w:rPr>
        <w:t>Similarly, t</w:t>
      </w:r>
      <w:r w:rsidR="001917AF">
        <w:rPr>
          <w:color w:val="000000"/>
        </w:rPr>
        <w:t>h</w:t>
      </w:r>
      <w:r w:rsidR="00475253">
        <w:rPr>
          <w:color w:val="000000"/>
        </w:rPr>
        <w:t>e</w:t>
      </w:r>
      <w:r w:rsidR="001917AF">
        <w:rPr>
          <w:color w:val="000000"/>
        </w:rPr>
        <w:t xml:space="preserve"> </w:t>
      </w:r>
      <w:r w:rsidR="004C4095">
        <w:rPr>
          <w:color w:val="000000"/>
        </w:rPr>
        <w:t xml:space="preserve">approach </w:t>
      </w:r>
      <w:r w:rsidR="00475253">
        <w:rPr>
          <w:color w:val="000000"/>
        </w:rPr>
        <w:t>used in the</w:t>
      </w:r>
      <w:r w:rsidR="00531E3C">
        <w:rPr>
          <w:color w:val="000000"/>
        </w:rPr>
        <w:t>se</w:t>
      </w:r>
      <w:r w:rsidR="00475253">
        <w:rPr>
          <w:color w:val="000000"/>
        </w:rPr>
        <w:t xml:space="preserve"> studies </w:t>
      </w:r>
      <w:r w:rsidR="001917AF">
        <w:rPr>
          <w:color w:val="000000"/>
        </w:rPr>
        <w:t>do</w:t>
      </w:r>
      <w:r w:rsidR="00964189">
        <w:rPr>
          <w:color w:val="000000"/>
        </w:rPr>
        <w:t>es</w:t>
      </w:r>
      <w:r w:rsidR="001917AF">
        <w:rPr>
          <w:color w:val="000000"/>
        </w:rPr>
        <w:t xml:space="preserve"> not factor in any post-</w:t>
      </w:r>
      <w:r w:rsidR="00A06B52">
        <w:rPr>
          <w:color w:val="000000"/>
        </w:rPr>
        <w:t xml:space="preserve">auction </w:t>
      </w:r>
      <w:r w:rsidR="001917AF">
        <w:rPr>
          <w:color w:val="000000"/>
        </w:rPr>
        <w:t xml:space="preserve">optimization, which </w:t>
      </w:r>
      <w:r w:rsidR="002E7AB0">
        <w:rPr>
          <w:color w:val="000000"/>
        </w:rPr>
        <w:t xml:space="preserve">will </w:t>
      </w:r>
      <w:r w:rsidR="001917AF">
        <w:rPr>
          <w:color w:val="000000"/>
        </w:rPr>
        <w:t xml:space="preserve">be run after the </w:t>
      </w:r>
      <w:r w:rsidR="00D61680">
        <w:rPr>
          <w:color w:val="000000"/>
        </w:rPr>
        <w:t xml:space="preserve">completion </w:t>
      </w:r>
      <w:r w:rsidR="001917AF">
        <w:rPr>
          <w:color w:val="000000"/>
        </w:rPr>
        <w:t xml:space="preserve">of </w:t>
      </w:r>
      <w:r w:rsidR="00D61680">
        <w:rPr>
          <w:color w:val="000000"/>
        </w:rPr>
        <w:t xml:space="preserve">bidding in </w:t>
      </w:r>
      <w:r w:rsidR="001917AF">
        <w:rPr>
          <w:color w:val="000000"/>
        </w:rPr>
        <w:t>the auction.</w:t>
      </w:r>
      <w:r w:rsidR="002E7AB0">
        <w:rPr>
          <w:rStyle w:val="FootnoteReference"/>
          <w:color w:val="000000"/>
        </w:rPr>
        <w:footnoteReference w:id="19"/>
      </w:r>
      <w:r w:rsidR="001917AF">
        <w:rPr>
          <w:color w:val="000000"/>
        </w:rPr>
        <w:t xml:space="preserve"> </w:t>
      </w:r>
      <w:r w:rsidR="00EA5825">
        <w:rPr>
          <w:color w:val="000000"/>
        </w:rPr>
        <w:t xml:space="preserve"> </w:t>
      </w:r>
      <w:r w:rsidR="00A834AC">
        <w:rPr>
          <w:color w:val="000000"/>
        </w:rPr>
        <w:t xml:space="preserve">Such </w:t>
      </w:r>
      <w:r w:rsidR="001917AF">
        <w:rPr>
          <w:color w:val="000000"/>
        </w:rPr>
        <w:t xml:space="preserve">optimization </w:t>
      </w:r>
      <w:r w:rsidR="002E7AB0">
        <w:rPr>
          <w:color w:val="000000"/>
        </w:rPr>
        <w:t xml:space="preserve">could </w:t>
      </w:r>
      <w:r w:rsidR="001917AF">
        <w:rPr>
          <w:color w:val="000000"/>
        </w:rPr>
        <w:t>consider additional factors, such as minimizing the number of channel reassignments or the estimated costs of repacking.</w:t>
      </w:r>
      <w:r w:rsidR="00A06B52">
        <w:rPr>
          <w:rStyle w:val="FootnoteReference"/>
          <w:color w:val="000000"/>
        </w:rPr>
        <w:footnoteReference w:id="20"/>
      </w:r>
      <w:r w:rsidR="00623848">
        <w:rPr>
          <w:color w:val="000000"/>
        </w:rPr>
        <w:t xml:space="preserve"> </w:t>
      </w:r>
    </w:p>
    <w:p w14:paraId="734D3E31" w14:textId="77777777" w:rsidR="00A834AC" w:rsidRDefault="00A834AC" w:rsidP="00283747">
      <w:pPr>
        <w:pStyle w:val="Para"/>
        <w:widowControl/>
        <w:rPr>
          <w:color w:val="000000"/>
        </w:rPr>
      </w:pPr>
      <w:r>
        <w:t xml:space="preserve">To assist commenters in designing and running their own simulations, we are releasing information about how we conducted the analysis and performed interference calculations.  The results in the attached Appendix are not exhaustive.  We invite parties to conduct their own simulations and interference analyses using these updated constraint files in conjunction with the publicly available </w:t>
      </w:r>
      <w:r w:rsidRPr="000D61F2">
        <w:rPr>
          <w:i/>
        </w:rPr>
        <w:t>TVStudy</w:t>
      </w:r>
      <w:r>
        <w:t xml:space="preserve"> software.  </w:t>
      </w:r>
    </w:p>
    <w:p w14:paraId="7557CAD2" w14:textId="25A95D7A" w:rsidR="00A2102C" w:rsidRPr="005A3E13" w:rsidRDefault="00A2102C" w:rsidP="00283747">
      <w:pPr>
        <w:pStyle w:val="Para"/>
        <w:widowControl/>
        <w:rPr>
          <w:color w:val="000000"/>
        </w:rPr>
      </w:pPr>
      <w:r w:rsidRPr="005A3E13">
        <w:rPr>
          <w:color w:val="000000"/>
        </w:rPr>
        <w:t xml:space="preserve">The Incentive Auction Task Force </w:t>
      </w:r>
      <w:r w:rsidR="00D11FAA" w:rsidRPr="005A3E13">
        <w:rPr>
          <w:color w:val="000000"/>
        </w:rPr>
        <w:t xml:space="preserve">invites interested parties to comment on the </w:t>
      </w:r>
      <w:r w:rsidR="00A834AC">
        <w:rPr>
          <w:color w:val="000000"/>
        </w:rPr>
        <w:t xml:space="preserve">data and </w:t>
      </w:r>
      <w:r w:rsidR="00D11FAA" w:rsidRPr="005A3E13">
        <w:rPr>
          <w:color w:val="000000"/>
        </w:rPr>
        <w:t>analys</w:t>
      </w:r>
      <w:r w:rsidR="00A834AC">
        <w:rPr>
          <w:color w:val="000000"/>
        </w:rPr>
        <w:t>e</w:t>
      </w:r>
      <w:r w:rsidR="00D11FAA" w:rsidRPr="005A3E13">
        <w:rPr>
          <w:color w:val="000000"/>
        </w:rPr>
        <w:t>s we release in this</w:t>
      </w:r>
      <w:r w:rsidRPr="00374469">
        <w:t xml:space="preserve"> </w:t>
      </w:r>
      <w:r>
        <w:t>P</w:t>
      </w:r>
      <w:r w:rsidRPr="00374469">
        <w:t xml:space="preserve">ublic </w:t>
      </w:r>
      <w:r>
        <w:t>N</w:t>
      </w:r>
      <w:r w:rsidRPr="00374469">
        <w:t>otice</w:t>
      </w:r>
      <w:r w:rsidR="00D11FAA">
        <w:t xml:space="preserve"> and the attached </w:t>
      </w:r>
      <w:r w:rsidR="00031A7E">
        <w:t>A</w:t>
      </w:r>
      <w:r w:rsidR="00D11FAA">
        <w:t>ppendix</w:t>
      </w:r>
      <w:r w:rsidR="00274750">
        <w:t xml:space="preserve">.  </w:t>
      </w:r>
      <w:r w:rsidR="005A3E13">
        <w:t xml:space="preserve">New constraint files and </w:t>
      </w:r>
      <w:r w:rsidR="00274750">
        <w:t>all current and subsequent releases relating to the Incentive Auction will be posted to and available on</w:t>
      </w:r>
      <w:r w:rsidRPr="00374469">
        <w:t xml:space="preserve"> the LEARN website at: </w:t>
      </w:r>
      <w:hyperlink r:id="rId14" w:history="1">
        <w:r w:rsidRPr="005A3E13">
          <w:rPr>
            <w:rStyle w:val="Hyperlink"/>
            <w:szCs w:val="22"/>
          </w:rPr>
          <w:t>http://www.fcc.gov/learn</w:t>
        </w:r>
      </w:hyperlink>
      <w:r w:rsidRPr="00374469">
        <w:t>.</w:t>
      </w:r>
    </w:p>
    <w:p w14:paraId="440CBF38" w14:textId="77777777" w:rsidR="00A2102C" w:rsidRPr="007B621E" w:rsidRDefault="00A2102C" w:rsidP="00283747">
      <w:pPr>
        <w:spacing w:after="240"/>
        <w:jc w:val="center"/>
        <w:rPr>
          <w:szCs w:val="22"/>
        </w:rPr>
      </w:pPr>
      <w:r w:rsidRPr="007B621E">
        <w:rPr>
          <w:szCs w:val="22"/>
        </w:rPr>
        <w:t>***</w:t>
      </w:r>
    </w:p>
    <w:p w14:paraId="38109498" w14:textId="77777777" w:rsidR="00A2102C" w:rsidRPr="0085335F" w:rsidRDefault="00A2102C" w:rsidP="00283747">
      <w:pPr>
        <w:pStyle w:val="Para"/>
        <w:widowControl/>
      </w:pPr>
      <w:r w:rsidRPr="0085335F">
        <w:t>This Public Notice is being issued pursuant to sections 0.31, 0.51, 0.61, and 0.131 of the Commission’s rules by the Office of Engineering and Technology and the International, Media, and Wireless Telecommunications Bureaus, members of the Incentive Auction Task Force.</w:t>
      </w:r>
      <w:r w:rsidRPr="0085335F">
        <w:rPr>
          <w:rStyle w:val="FootnoteReference"/>
          <w:szCs w:val="22"/>
        </w:rPr>
        <w:footnoteReference w:id="21"/>
      </w:r>
      <w:r w:rsidRPr="0085335F">
        <w:t xml:space="preserve"> </w:t>
      </w:r>
      <w:r>
        <w:t xml:space="preserve"> </w:t>
      </w:r>
      <w:r w:rsidRPr="0085335F">
        <w:t xml:space="preserve">Comments may be filed using the procedures for </w:t>
      </w:r>
      <w:r w:rsidRPr="0085335F">
        <w:rPr>
          <w:i/>
          <w:iCs/>
        </w:rPr>
        <w:t xml:space="preserve">ex parte </w:t>
      </w:r>
      <w:r w:rsidRPr="0085335F">
        <w:t>submissions in permit-but-disclose proceedings set forth in section 1.1206 of the Commission’s rules.</w:t>
      </w:r>
      <w:r w:rsidRPr="0085335F">
        <w:rPr>
          <w:rStyle w:val="FootnoteReference"/>
          <w:szCs w:val="22"/>
        </w:rPr>
        <w:footnoteReference w:id="22"/>
      </w:r>
      <w:r w:rsidRPr="0085335F">
        <w:t xml:space="preserve"> </w:t>
      </w:r>
      <w:r>
        <w:t xml:space="preserve"> </w:t>
      </w:r>
      <w:r w:rsidRPr="0085335F">
        <w:t>When filing comments, please reference GN Docket No. 12-268</w:t>
      </w:r>
      <w:r w:rsidR="00730825">
        <w:t xml:space="preserve"> and ET Docket No. 13-26</w:t>
      </w:r>
      <w:r w:rsidRPr="0085335F">
        <w:t>.</w:t>
      </w:r>
    </w:p>
    <w:p w14:paraId="6F216F78" w14:textId="2B9771A0" w:rsidR="00A2102C" w:rsidRPr="00433F81" w:rsidRDefault="00A2102C" w:rsidP="00283747">
      <w:pPr>
        <w:pStyle w:val="Para"/>
        <w:widowControl/>
      </w:pPr>
      <w:r w:rsidRPr="0085335F">
        <w:t xml:space="preserve">For further information, contact </w:t>
      </w:r>
      <w:r w:rsidRPr="007B621E">
        <w:t>Jonathan</w:t>
      </w:r>
      <w:r w:rsidRPr="0085335F">
        <w:t xml:space="preserve"> McCormack at 202-418-1065, or via e-mail at </w:t>
      </w:r>
      <w:hyperlink r:id="rId15" w:history="1">
        <w:r w:rsidRPr="0085335F">
          <w:rPr>
            <w:rStyle w:val="Hyperlink"/>
          </w:rPr>
          <w:t>Jonathan.McCormack@fcc.gov</w:t>
        </w:r>
      </w:hyperlink>
      <w:r w:rsidRPr="0085335F">
        <w:t>.</w:t>
      </w:r>
    </w:p>
    <w:sectPr w:rsidR="00A2102C" w:rsidRPr="00433F81" w:rsidSect="00283747">
      <w:headerReference w:type="first" r:id="rId16"/>
      <w:type w:val="continuous"/>
      <w:pgSz w:w="12240" w:h="15840" w:code="1"/>
      <w:pgMar w:top="1440" w:right="1080" w:bottom="1440" w:left="108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E7BFD" w14:textId="77777777" w:rsidR="00823262" w:rsidRDefault="00823262">
      <w:r>
        <w:separator/>
      </w:r>
    </w:p>
  </w:endnote>
  <w:endnote w:type="continuationSeparator" w:id="0">
    <w:p w14:paraId="4FA69F05" w14:textId="77777777" w:rsidR="00823262" w:rsidRDefault="0082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46FF" w14:textId="77777777" w:rsidR="0000304E" w:rsidRDefault="0000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CE211" w14:textId="77777777" w:rsidR="0000304E" w:rsidRDefault="00003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00BD" w14:textId="77777777" w:rsidR="0000304E" w:rsidRDefault="0000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9812F" w14:textId="77777777" w:rsidR="00823262" w:rsidRDefault="00823262">
      <w:r>
        <w:separator/>
      </w:r>
    </w:p>
  </w:footnote>
  <w:footnote w:type="continuationSeparator" w:id="0">
    <w:p w14:paraId="206A6427" w14:textId="77777777" w:rsidR="00823262" w:rsidRDefault="00823262">
      <w:r>
        <w:continuationSeparator/>
      </w:r>
    </w:p>
  </w:footnote>
  <w:footnote w:id="1">
    <w:p w14:paraId="405792A2" w14:textId="77777777" w:rsidR="00381CDA" w:rsidRDefault="00381CDA" w:rsidP="00991A88">
      <w:pPr>
        <w:pStyle w:val="FootnoteText"/>
        <w:spacing w:after="120"/>
      </w:pPr>
      <w:r>
        <w:rPr>
          <w:rStyle w:val="FootnoteReference"/>
        </w:rPr>
        <w:footnoteRef/>
      </w:r>
      <w:r>
        <w:t xml:space="preserve"> </w:t>
      </w:r>
      <w:r w:rsidRPr="005C264F">
        <w:rPr>
          <w:i/>
        </w:rPr>
        <w:t>See</w:t>
      </w:r>
      <w:r>
        <w:rPr>
          <w:i/>
        </w:rPr>
        <w:t xml:space="preserve"> </w:t>
      </w:r>
      <w:r w:rsidRPr="00B12A01">
        <w:rPr>
          <w:i/>
        </w:rPr>
        <w:t xml:space="preserve">Incentive Auction Task Force Releases Information Related </w:t>
      </w:r>
      <w:r>
        <w:rPr>
          <w:i/>
        </w:rPr>
        <w:t>t</w:t>
      </w:r>
      <w:r w:rsidRPr="00B12A01">
        <w:rPr>
          <w:i/>
        </w:rPr>
        <w:t>o Repacki</w:t>
      </w:r>
      <w:r>
        <w:rPr>
          <w:i/>
        </w:rPr>
        <w:t>ng; Announces Workshop/Webinar t</w:t>
      </w:r>
      <w:r w:rsidRPr="00B12A01">
        <w:rPr>
          <w:i/>
        </w:rPr>
        <w:t>o Provide Additional Detail</w:t>
      </w:r>
      <w:r>
        <w:t>, GN Docket No. 12-268, ET Docket No. 13-26, Public Notice, 29 FCC Rcd 47 (2014) (</w:t>
      </w:r>
      <w:r>
        <w:rPr>
          <w:i/>
        </w:rPr>
        <w:t xml:space="preserve">Repacking Update </w:t>
      </w:r>
      <w:r w:rsidRPr="00390011">
        <w:rPr>
          <w:i/>
        </w:rPr>
        <w:t>PN</w:t>
      </w:r>
      <w:r>
        <w:t xml:space="preserve">); </w:t>
      </w:r>
      <w:r w:rsidRPr="005C264F">
        <w:rPr>
          <w:i/>
        </w:rPr>
        <w:t>Incentive Auction Task Force Releases Information Related to Incentive Auction Repacking</w:t>
      </w:r>
      <w:r>
        <w:t>, GN Docket No. 12-268, ET Docket No. 13-26, Public Notice, 28 FCC Rcd 10370 (2013) (</w:t>
      </w:r>
      <w:r w:rsidRPr="00390011">
        <w:rPr>
          <w:i/>
        </w:rPr>
        <w:t xml:space="preserve">First Repacking </w:t>
      </w:r>
      <w:r>
        <w:rPr>
          <w:i/>
        </w:rPr>
        <w:t xml:space="preserve">Data </w:t>
      </w:r>
      <w:r w:rsidRPr="00390011">
        <w:rPr>
          <w:i/>
        </w:rPr>
        <w:t>PN</w:t>
      </w:r>
      <w:r>
        <w:t>).</w:t>
      </w:r>
    </w:p>
  </w:footnote>
  <w:footnote w:id="2">
    <w:p w14:paraId="7AA131E1" w14:textId="6CD6B10F" w:rsidR="00381CDA" w:rsidRDefault="00381CDA" w:rsidP="00991A88">
      <w:pPr>
        <w:pStyle w:val="FootnoteText"/>
        <w:spacing w:after="120"/>
      </w:pPr>
      <w:r>
        <w:rPr>
          <w:rStyle w:val="FootnoteReference"/>
        </w:rPr>
        <w:footnoteRef/>
      </w:r>
      <w:r>
        <w:t xml:space="preserve"> </w:t>
      </w:r>
      <w:r w:rsidRPr="00820467">
        <w:rPr>
          <w:i/>
        </w:rPr>
        <w:t>Expanding the Economic and Innovation Opportunities of Spectrum Through Incentive Auctions</w:t>
      </w:r>
      <w:r w:rsidRPr="00820467">
        <w:t xml:space="preserve">, GN Docket No. 12-268, </w:t>
      </w:r>
      <w:r>
        <w:t>Report and Order</w:t>
      </w:r>
      <w:r w:rsidRPr="00820467">
        <w:t xml:space="preserve">, </w:t>
      </w:r>
      <w:r w:rsidR="00C34585">
        <w:t xml:space="preserve">FCC 14-50, </w:t>
      </w:r>
      <w:r w:rsidRPr="00820467">
        <w:t xml:space="preserve">para. </w:t>
      </w:r>
      <w:r>
        <w:t>179</w:t>
      </w:r>
      <w:r w:rsidRPr="00820467">
        <w:t xml:space="preserve"> (201</w:t>
      </w:r>
      <w:r>
        <w:t>4</w:t>
      </w:r>
      <w:r w:rsidRPr="00820467">
        <w:t>) (</w:t>
      </w:r>
      <w:r>
        <w:rPr>
          <w:i/>
        </w:rPr>
        <w:t>Report and Order</w:t>
      </w:r>
      <w:r w:rsidRPr="00820467">
        <w:t>).</w:t>
      </w:r>
    </w:p>
  </w:footnote>
  <w:footnote w:id="3">
    <w:p w14:paraId="15038D8F" w14:textId="77777777" w:rsidR="00381CDA" w:rsidRDefault="00381CDA" w:rsidP="00991A88">
      <w:pPr>
        <w:pStyle w:val="FootnoteText"/>
        <w:spacing w:after="120"/>
      </w:pPr>
      <w:r>
        <w:rPr>
          <w:rStyle w:val="FootnoteReference"/>
        </w:rPr>
        <w:footnoteRef/>
      </w:r>
      <w:r>
        <w:t xml:space="preserve"> </w:t>
      </w:r>
      <w:r w:rsidRPr="002C3EC6">
        <w:rPr>
          <w:i/>
        </w:rPr>
        <w:t>Id</w:t>
      </w:r>
      <w:r>
        <w:t>.</w:t>
      </w:r>
    </w:p>
  </w:footnote>
  <w:footnote w:id="4">
    <w:p w14:paraId="445A7480" w14:textId="170C9C8D" w:rsidR="00381CDA" w:rsidRPr="00316CF0" w:rsidRDefault="00381CDA" w:rsidP="00991A88">
      <w:pPr>
        <w:pStyle w:val="FootnoteText"/>
        <w:spacing w:after="120"/>
      </w:pPr>
      <w:r w:rsidRPr="00820467">
        <w:rPr>
          <w:rStyle w:val="FootnoteReference"/>
        </w:rPr>
        <w:footnoteRef/>
      </w:r>
      <w:r w:rsidRPr="00820467">
        <w:t xml:space="preserve"> </w:t>
      </w:r>
      <w:r>
        <w:rPr>
          <w:i/>
        </w:rPr>
        <w:t>Report and Order</w:t>
      </w:r>
      <w:r w:rsidR="00BD7AAD">
        <w:t xml:space="preserve"> at</w:t>
      </w:r>
      <w:r>
        <w:t xml:space="preserve"> paras. 1-6.  </w:t>
      </w:r>
      <w:r w:rsidRPr="00381CDA">
        <w:rPr>
          <w:i/>
        </w:rPr>
        <w:t>See also</w:t>
      </w:r>
      <w:r>
        <w:t xml:space="preserve"> </w:t>
      </w:r>
      <w:r w:rsidRPr="00820467">
        <w:rPr>
          <w:i/>
        </w:rPr>
        <w:t>Expanding the Economic and Innovation Opportunities of Spectrum Through Incentive Auctions</w:t>
      </w:r>
      <w:r w:rsidRPr="00820467">
        <w:t>, GN Docket No. 12-268, Notice of Proposed Rulemaking, 27 FCC Rcd 12357, 12359, para. 5 (2012) (</w:t>
      </w:r>
      <w:r w:rsidRPr="00390011">
        <w:rPr>
          <w:i/>
        </w:rPr>
        <w:t>NPRM</w:t>
      </w:r>
      <w:r w:rsidRPr="00820467">
        <w:t>).</w:t>
      </w:r>
    </w:p>
  </w:footnote>
  <w:footnote w:id="5">
    <w:p w14:paraId="5D342C43" w14:textId="77777777" w:rsidR="00381CDA" w:rsidRPr="00820467" w:rsidRDefault="00381CDA" w:rsidP="00991A88">
      <w:pPr>
        <w:pStyle w:val="FootnoteText"/>
        <w:spacing w:after="120"/>
      </w:pPr>
      <w:r w:rsidRPr="00820467">
        <w:rPr>
          <w:rStyle w:val="FootnoteReference"/>
        </w:rPr>
        <w:footnoteRef/>
      </w:r>
      <w:r w:rsidRPr="00820467">
        <w:t xml:space="preserve"> Middle Class Tax Relief and Job Creation Act of 2012, Pub. L. No. 112-96, §§ 6402, 6403(b)(2), 125 Stat. 156 (2012) (Spectrum Act); </w:t>
      </w:r>
      <w:r w:rsidRPr="00820467">
        <w:rPr>
          <w:i/>
        </w:rPr>
        <w:t>see</w:t>
      </w:r>
      <w:r w:rsidRPr="00820467">
        <w:t xml:space="preserve"> OET Bulletin No. 69 (Feb. 6, 2004), available at http://transition.fcc.gov/Bureaus/Engineering_Technology/Documents/bulletins/oet69/oet69.pdf.</w:t>
      </w:r>
    </w:p>
  </w:footnote>
  <w:footnote w:id="6">
    <w:p w14:paraId="622A2E4A" w14:textId="1E224DAB" w:rsidR="00381CDA" w:rsidRPr="00820467" w:rsidRDefault="00381CDA" w:rsidP="00991A88">
      <w:pPr>
        <w:pStyle w:val="FootnoteText"/>
        <w:spacing w:after="120"/>
      </w:pPr>
      <w:r w:rsidRPr="00820467">
        <w:rPr>
          <w:rStyle w:val="FootnoteReference"/>
        </w:rPr>
        <w:footnoteRef/>
      </w:r>
      <w:r w:rsidRPr="00820467">
        <w:t xml:space="preserve"> </w:t>
      </w:r>
      <w:r>
        <w:rPr>
          <w:i/>
        </w:rPr>
        <w:t>Report and Order</w:t>
      </w:r>
      <w:r w:rsidR="00BD7AAD">
        <w:t xml:space="preserve"> at</w:t>
      </w:r>
      <w:r w:rsidRPr="00820467">
        <w:t xml:space="preserve"> para. 1</w:t>
      </w:r>
      <w:r>
        <w:t>78</w:t>
      </w:r>
      <w:r w:rsidRPr="00820467">
        <w:t>.</w:t>
      </w:r>
    </w:p>
  </w:footnote>
  <w:footnote w:id="7">
    <w:p w14:paraId="073EC11A" w14:textId="48582090" w:rsidR="00381CDA" w:rsidRPr="00820467" w:rsidRDefault="00381CDA" w:rsidP="00991A88">
      <w:pPr>
        <w:pStyle w:val="FootnoteText"/>
        <w:spacing w:after="120"/>
      </w:pPr>
      <w:r w:rsidRPr="00820467">
        <w:rPr>
          <w:rStyle w:val="FootnoteReference"/>
        </w:rPr>
        <w:footnoteRef/>
      </w:r>
      <w:r w:rsidRPr="00820467">
        <w:t xml:space="preserve"> </w:t>
      </w:r>
      <w:r>
        <w:rPr>
          <w:i/>
        </w:rPr>
        <w:t>Id.</w:t>
      </w:r>
      <w:r w:rsidR="00BD7AAD">
        <w:t xml:space="preserve"> at</w:t>
      </w:r>
      <w:r>
        <w:t xml:space="preserve"> para. 182.  </w:t>
      </w:r>
      <w:r w:rsidRPr="00151928">
        <w:rPr>
          <w:i/>
        </w:rPr>
        <w:t>See also</w:t>
      </w:r>
      <w:r>
        <w:t xml:space="preserve"> </w:t>
      </w:r>
      <w:r w:rsidRPr="00820467">
        <w:t>Comments of the National Association of Broadcasters</w:t>
      </w:r>
      <w:r>
        <w:t>, GN Docket No. 12-268</w:t>
      </w:r>
      <w:r w:rsidRPr="00820467">
        <w:t xml:space="preserve"> at 20-21</w:t>
      </w:r>
      <w:r>
        <w:t xml:space="preserve"> (filed Jan. 25, 2013)</w:t>
      </w:r>
      <w:r w:rsidRPr="00820467">
        <w:t xml:space="preserve"> (NAB Comments); Comments of ABC Television Affiliates Association et al.</w:t>
      </w:r>
      <w:r>
        <w:t>, GN Docket No. 12-268</w:t>
      </w:r>
      <w:r w:rsidRPr="00820467">
        <w:t xml:space="preserve"> at 3</w:t>
      </w:r>
      <w:r>
        <w:t xml:space="preserve"> (filed Jan. 25, 2013)</w:t>
      </w:r>
      <w:r w:rsidRPr="00820467">
        <w:t>; Comments of Univision Communications</w:t>
      </w:r>
      <w:r>
        <w:t>, GN Docket No. 12-268</w:t>
      </w:r>
      <w:r w:rsidRPr="00820467">
        <w:t xml:space="preserve"> at 7</w:t>
      </w:r>
      <w:r>
        <w:t xml:space="preserve"> (filed Jan. 25, 2013)</w:t>
      </w:r>
      <w:r w:rsidRPr="00820467">
        <w:t>; Comments of Belo Corp.</w:t>
      </w:r>
      <w:r>
        <w:t>, GN Docket No. 12-268</w:t>
      </w:r>
      <w:r w:rsidRPr="00820467">
        <w:t xml:space="preserve"> at 14-15</w:t>
      </w:r>
      <w:r>
        <w:t xml:space="preserve"> (filed Jan. 25, 2013)</w:t>
      </w:r>
      <w:r w:rsidRPr="00820467">
        <w:t>;</w:t>
      </w:r>
      <w:r>
        <w:t xml:space="preserve"> </w:t>
      </w:r>
      <w:r w:rsidRPr="00820467">
        <w:t>Reply</w:t>
      </w:r>
      <w:r>
        <w:t xml:space="preserve"> Comments of the National Association of Broadcasters, GN Docket No. 12-268</w:t>
      </w:r>
      <w:r w:rsidRPr="00820467">
        <w:t xml:space="preserve"> at 43-44</w:t>
      </w:r>
      <w:r>
        <w:t xml:space="preserve"> (filed Mar. 12, 2013)</w:t>
      </w:r>
      <w:r w:rsidRPr="00820467">
        <w:t>.</w:t>
      </w:r>
    </w:p>
  </w:footnote>
  <w:footnote w:id="8">
    <w:p w14:paraId="0D82AB5C" w14:textId="77777777" w:rsidR="00381CDA" w:rsidRDefault="00381CDA" w:rsidP="00991A88">
      <w:pPr>
        <w:pStyle w:val="FootnoteText"/>
        <w:spacing w:after="120"/>
      </w:pPr>
      <w:r>
        <w:rPr>
          <w:rStyle w:val="FootnoteReference"/>
        </w:rPr>
        <w:footnoteRef/>
      </w:r>
      <w:r>
        <w:t xml:space="preserve"> NAB Comments at 30 (“</w:t>
      </w:r>
      <w:r w:rsidRPr="00F20C35">
        <w:t>Applying Option 2,</w:t>
      </w:r>
      <w:r>
        <w:t xml:space="preserve"> </w:t>
      </w:r>
      <w:r w:rsidRPr="00F20C35">
        <w:t>a station may therefore receive 2% to 3% additional aggregate interference</w:t>
      </w:r>
      <w:r>
        <w:t xml:space="preserve"> </w:t>
      </w:r>
      <w:r w:rsidRPr="00682A01">
        <w:t>on top of the replacement interference described above</w:t>
      </w:r>
      <w:r>
        <w:t xml:space="preserve">.  </w:t>
      </w:r>
      <w:r w:rsidRPr="00682A01">
        <w:t>Under Option 3, stations could receive additional new interference from a number of other stations that could result in coverage and population losses of 10% and more.</w:t>
      </w:r>
      <w:r>
        <w:t>”).</w:t>
      </w:r>
    </w:p>
  </w:footnote>
  <w:footnote w:id="9">
    <w:p w14:paraId="68F4A2A4" w14:textId="77777777" w:rsidR="00381CDA" w:rsidRPr="00670E71" w:rsidRDefault="00381CDA" w:rsidP="00991A88">
      <w:pPr>
        <w:pStyle w:val="FootnoteText"/>
        <w:spacing w:after="120"/>
        <w:rPr>
          <w:i/>
        </w:rPr>
      </w:pPr>
      <w:r>
        <w:rPr>
          <w:rStyle w:val="FootnoteReference"/>
        </w:rPr>
        <w:footnoteRef/>
      </w:r>
      <w:r>
        <w:t xml:space="preserve"> </w:t>
      </w:r>
      <w:r w:rsidRPr="005C264F">
        <w:rPr>
          <w:i/>
        </w:rPr>
        <w:t>See</w:t>
      </w:r>
      <w:r>
        <w:t xml:space="preserve"> </w:t>
      </w:r>
      <w:r w:rsidRPr="00187DDF">
        <w:rPr>
          <w:i/>
        </w:rPr>
        <w:t xml:space="preserve">First Repacking </w:t>
      </w:r>
      <w:r>
        <w:rPr>
          <w:i/>
        </w:rPr>
        <w:t xml:space="preserve">Data </w:t>
      </w:r>
      <w:r w:rsidRPr="00187DDF">
        <w:rPr>
          <w:i/>
        </w:rPr>
        <w:t>PN</w:t>
      </w:r>
      <w:r>
        <w:t>, 28 FCC Rcd at 10370</w:t>
      </w:r>
      <w:r>
        <w:rPr>
          <w:i/>
        </w:rPr>
        <w:t xml:space="preserve">.  </w:t>
      </w:r>
      <w:r w:rsidRPr="00185DB4">
        <w:rPr>
          <w:color w:val="000000"/>
        </w:rPr>
        <w:t>T</w:t>
      </w:r>
      <w:r>
        <w:rPr>
          <w:color w:val="000000"/>
        </w:rPr>
        <w:t>he PN emphasized that t</w:t>
      </w:r>
      <w:r w:rsidRPr="00185DB4">
        <w:rPr>
          <w:color w:val="000000"/>
        </w:rPr>
        <w:t xml:space="preserve">he assumptions </w:t>
      </w:r>
      <w:r>
        <w:rPr>
          <w:color w:val="000000"/>
        </w:rPr>
        <w:t>we</w:t>
      </w:r>
      <w:r w:rsidRPr="00185DB4">
        <w:rPr>
          <w:color w:val="000000"/>
        </w:rPr>
        <w:t xml:space="preserve">re necessary for completing the analysis but </w:t>
      </w:r>
      <w:r>
        <w:rPr>
          <w:color w:val="000000"/>
        </w:rPr>
        <w:t>we</w:t>
      </w:r>
      <w:r w:rsidRPr="00185DB4">
        <w:rPr>
          <w:color w:val="000000"/>
        </w:rPr>
        <w:t>re for illustrative purposes only</w:t>
      </w:r>
      <w:r>
        <w:rPr>
          <w:color w:val="000000"/>
        </w:rPr>
        <w:t xml:space="preserve"> because</w:t>
      </w:r>
      <w:r w:rsidRPr="00185DB4">
        <w:rPr>
          <w:color w:val="000000"/>
        </w:rPr>
        <w:t xml:space="preserve"> the Commission ha</w:t>
      </w:r>
      <w:r>
        <w:rPr>
          <w:color w:val="000000"/>
        </w:rPr>
        <w:t>d</w:t>
      </w:r>
      <w:r w:rsidRPr="00185DB4">
        <w:rPr>
          <w:color w:val="000000"/>
        </w:rPr>
        <w:t xml:space="preserve"> made no decision on them yet.</w:t>
      </w:r>
    </w:p>
  </w:footnote>
  <w:footnote w:id="10">
    <w:p w14:paraId="0C104C97" w14:textId="77777777" w:rsidR="00381CDA" w:rsidRDefault="00381CDA" w:rsidP="00991A88">
      <w:pPr>
        <w:pStyle w:val="FootnoteText"/>
        <w:spacing w:after="120"/>
      </w:pPr>
      <w:r>
        <w:rPr>
          <w:rStyle w:val="FootnoteReference"/>
        </w:rPr>
        <w:footnoteRef/>
      </w:r>
      <w:r>
        <w:t xml:space="preserve"> </w:t>
      </w:r>
      <w:r w:rsidRPr="005C264F">
        <w:rPr>
          <w:i/>
        </w:rPr>
        <w:t>See</w:t>
      </w:r>
      <w:r>
        <w:t xml:space="preserve"> </w:t>
      </w:r>
      <w:r>
        <w:rPr>
          <w:i/>
        </w:rPr>
        <w:t>id.</w:t>
      </w:r>
      <w:r>
        <w:t xml:space="preserve"> at 10385 (Technical Appendix).</w:t>
      </w:r>
    </w:p>
  </w:footnote>
  <w:footnote w:id="11">
    <w:p w14:paraId="6856FC9E" w14:textId="77777777" w:rsidR="00381CDA" w:rsidRDefault="00381CDA" w:rsidP="00991A88">
      <w:pPr>
        <w:pStyle w:val="FootnoteText"/>
        <w:spacing w:after="120"/>
      </w:pPr>
      <w:r>
        <w:rPr>
          <w:rStyle w:val="FootnoteReference"/>
        </w:rPr>
        <w:footnoteRef/>
      </w:r>
      <w:r>
        <w:t xml:space="preserve"> </w:t>
      </w:r>
      <w:r w:rsidRPr="00BF4A69">
        <w:rPr>
          <w:i/>
        </w:rPr>
        <w:t>See</w:t>
      </w:r>
      <w:r>
        <w:t xml:space="preserve"> Letter from Rick Kaplan, NAB to Marlene H. Dortch, Secretary, FCC, GN Docket No. 12-268 at 19 (filed Sep. 5, 2013); </w:t>
      </w:r>
      <w:r w:rsidRPr="008A4E09">
        <w:rPr>
          <w:i/>
        </w:rPr>
        <w:t>see also</w:t>
      </w:r>
      <w:r>
        <w:t xml:space="preserve"> Letter from Rick Kaplan, NAB to Marlene H. Dortch, Secretary, FCC, GN Docket No. 12-268 at 2 (filed Nov. 27, 2013) (“The use of proxy channels has a dramatic impact on almost every TV station, and thus cannot represent a reasonable effort – let alone ‘all reasonable efforts’ – to preserve stations’ coverage areas and populations served.”).</w:t>
      </w:r>
    </w:p>
  </w:footnote>
  <w:footnote w:id="12">
    <w:p w14:paraId="6C262957" w14:textId="77777777" w:rsidR="00381CDA" w:rsidRDefault="00381CDA" w:rsidP="00991A88">
      <w:pPr>
        <w:pStyle w:val="FootnoteText"/>
        <w:spacing w:after="120"/>
      </w:pPr>
      <w:r>
        <w:rPr>
          <w:rStyle w:val="FootnoteReference"/>
        </w:rPr>
        <w:footnoteRef/>
      </w:r>
      <w:r>
        <w:t xml:space="preserve"> </w:t>
      </w:r>
      <w:r w:rsidRPr="00390011">
        <w:rPr>
          <w:i/>
        </w:rPr>
        <w:t>See</w:t>
      </w:r>
      <w:r>
        <w:t xml:space="preserve"> </w:t>
      </w:r>
      <w:r>
        <w:rPr>
          <w:i/>
        </w:rPr>
        <w:t>Repacking Update</w:t>
      </w:r>
      <w:r w:rsidRPr="00390011">
        <w:rPr>
          <w:i/>
        </w:rPr>
        <w:t xml:space="preserve"> PN</w:t>
      </w:r>
      <w:r>
        <w:t>, 29 FCC Rcd at 47, para. 2.</w:t>
      </w:r>
    </w:p>
  </w:footnote>
  <w:footnote w:id="13">
    <w:p w14:paraId="0F0CD6AF" w14:textId="77777777" w:rsidR="00381CDA" w:rsidRDefault="00381CDA" w:rsidP="00991A88">
      <w:pPr>
        <w:pStyle w:val="FootnoteText"/>
        <w:spacing w:after="120"/>
      </w:pPr>
      <w:r>
        <w:rPr>
          <w:rStyle w:val="FootnoteReference"/>
        </w:rPr>
        <w:footnoteRef/>
      </w:r>
      <w:r>
        <w:t xml:space="preserve"> </w:t>
      </w:r>
      <w:r w:rsidRPr="003907DA">
        <w:rPr>
          <w:i/>
        </w:rPr>
        <w:t>See</w:t>
      </w:r>
      <w:r>
        <w:t xml:space="preserve"> </w:t>
      </w:r>
      <w:r w:rsidRPr="00390F71">
        <w:rPr>
          <w:i/>
        </w:rPr>
        <w:t xml:space="preserve">First Repacking </w:t>
      </w:r>
      <w:r>
        <w:rPr>
          <w:i/>
        </w:rPr>
        <w:t xml:space="preserve">Data </w:t>
      </w:r>
      <w:r w:rsidRPr="00390F71">
        <w:rPr>
          <w:i/>
        </w:rPr>
        <w:t>PN</w:t>
      </w:r>
      <w:r>
        <w:t>, 28 FCC Rcd at 10385 (Technical Appendix).</w:t>
      </w:r>
    </w:p>
  </w:footnote>
  <w:footnote w:id="14">
    <w:p w14:paraId="7A94B696" w14:textId="4B6DD87E" w:rsidR="00381CDA" w:rsidRDefault="00381CDA" w:rsidP="00991A88">
      <w:pPr>
        <w:pStyle w:val="FootnoteText"/>
        <w:spacing w:after="120"/>
      </w:pPr>
      <w:r>
        <w:rPr>
          <w:rStyle w:val="FootnoteReference"/>
        </w:rPr>
        <w:footnoteRef/>
      </w:r>
      <w:r>
        <w:t xml:space="preserve"> </w:t>
      </w:r>
      <w:r w:rsidRPr="00390011">
        <w:rPr>
          <w:i/>
        </w:rPr>
        <w:t>See</w:t>
      </w:r>
      <w:r>
        <w:t xml:space="preserve"> LEARN Workshop on Feasibility Checking During Repacking Process, FCC (Feb. 21, 2014), available at </w:t>
      </w:r>
      <w:hyperlink r:id="rId1" w:history="1">
        <w:r w:rsidRPr="003A0841">
          <w:rPr>
            <w:rStyle w:val="Hyperlink"/>
          </w:rPr>
          <w:t>http://www.fcc.gov/events/learn-workshop-feasibility-checking-during-repacking-process</w:t>
        </w:r>
      </w:hyperlink>
      <w:r>
        <w:t>.</w:t>
      </w:r>
    </w:p>
  </w:footnote>
  <w:footnote w:id="15">
    <w:p w14:paraId="362D8F7B" w14:textId="4D249D96" w:rsidR="00381CDA" w:rsidRDefault="00381CDA" w:rsidP="00991A88">
      <w:pPr>
        <w:pStyle w:val="FootnoteText"/>
        <w:spacing w:after="120"/>
      </w:pPr>
      <w:r>
        <w:rPr>
          <w:rStyle w:val="FootnoteReference"/>
        </w:rPr>
        <w:footnoteRef/>
      </w:r>
      <w:r>
        <w:t xml:space="preserve"> </w:t>
      </w:r>
      <w:r w:rsidRPr="00151928">
        <w:rPr>
          <w:i/>
        </w:rPr>
        <w:t>Report and Order</w:t>
      </w:r>
      <w:r w:rsidR="00BD7AAD">
        <w:t xml:space="preserve"> at</w:t>
      </w:r>
      <w:r>
        <w:t xml:space="preserve"> para. 115.</w:t>
      </w:r>
    </w:p>
  </w:footnote>
  <w:footnote w:id="16">
    <w:p w14:paraId="0CE6263F" w14:textId="16AC63B5" w:rsidR="00381CDA" w:rsidRPr="00820467" w:rsidRDefault="00381CDA" w:rsidP="00991A88">
      <w:pPr>
        <w:pStyle w:val="FootnoteText"/>
        <w:spacing w:after="120"/>
      </w:pPr>
      <w:r w:rsidRPr="00820467">
        <w:rPr>
          <w:rStyle w:val="FootnoteReference"/>
        </w:rPr>
        <w:footnoteRef/>
      </w:r>
      <w:r w:rsidRPr="00820467">
        <w:t xml:space="preserve"> </w:t>
      </w:r>
      <w:r>
        <w:t xml:space="preserve">Consistent with the </w:t>
      </w:r>
      <w:r>
        <w:rPr>
          <w:i/>
        </w:rPr>
        <w:t>Report and Order</w:t>
      </w:r>
      <w:r w:rsidRPr="00820467">
        <w:t xml:space="preserve">, </w:t>
      </w:r>
      <w:r>
        <w:t xml:space="preserve">the </w:t>
      </w:r>
      <w:r w:rsidRPr="00820467">
        <w:t>pairwise constraints</w:t>
      </w:r>
      <w:r>
        <w:t xml:space="preserve"> that we used</w:t>
      </w:r>
      <w:r w:rsidRPr="00820467">
        <w:t xml:space="preserve"> limit</w:t>
      </w:r>
      <w:r>
        <w:t xml:space="preserve"> allowable station assignments</w:t>
      </w:r>
      <w:r w:rsidRPr="00820467">
        <w:t xml:space="preserve"> to those causing 0.5 percent interference or </w:t>
      </w:r>
      <w:r>
        <w:t>less, replicated on actual channels</w:t>
      </w:r>
      <w:r w:rsidRPr="00820467">
        <w:t>.</w:t>
      </w:r>
    </w:p>
  </w:footnote>
  <w:footnote w:id="17">
    <w:p w14:paraId="7455FA14" w14:textId="407C20A3" w:rsidR="00381CDA" w:rsidRDefault="00381CDA" w:rsidP="00991A88">
      <w:pPr>
        <w:pStyle w:val="FootnoteText"/>
        <w:spacing w:after="120"/>
      </w:pPr>
      <w:r>
        <w:rPr>
          <w:rStyle w:val="FootnoteReference"/>
        </w:rPr>
        <w:footnoteRef/>
      </w:r>
      <w:r>
        <w:t xml:space="preserve"> The new constraint files are in the same format as those released in July 2013, and can be found on the FCC’s LEARN website under the Repacking Section at: </w:t>
      </w:r>
      <w:hyperlink r:id="rId2" w:history="1">
        <w:r w:rsidRPr="007B1EE0">
          <w:rPr>
            <w:rStyle w:val="Hyperlink"/>
          </w:rPr>
          <w:t>http://fcc.gov/learn</w:t>
        </w:r>
      </w:hyperlink>
      <w:r>
        <w:t xml:space="preserve">.  These files will also be posted at: </w:t>
      </w:r>
      <w:hyperlink r:id="rId3" w:history="1">
        <w:r w:rsidRPr="00ED18B7">
          <w:rPr>
            <w:rStyle w:val="Hyperlink"/>
          </w:rPr>
          <w:t>http://data.fcc.gov/download/incentive-auctions/Constraint_Files/</w:t>
        </w:r>
      </w:hyperlink>
      <w:r>
        <w:t>.</w:t>
      </w:r>
      <w:r w:rsidRPr="00BB2678">
        <w:t xml:space="preserve"> </w:t>
      </w:r>
    </w:p>
  </w:footnote>
  <w:footnote w:id="18">
    <w:p w14:paraId="2167BE23" w14:textId="704EEBB9" w:rsidR="00381CDA" w:rsidRDefault="00381CDA" w:rsidP="00991A88">
      <w:pPr>
        <w:pStyle w:val="FootnoteText"/>
        <w:spacing w:after="120"/>
      </w:pPr>
      <w:r>
        <w:rPr>
          <w:rStyle w:val="FootnoteReference"/>
        </w:rPr>
        <w:footnoteRef/>
      </w:r>
      <w:r>
        <w:t xml:space="preserve"> </w:t>
      </w:r>
      <w:r>
        <w:rPr>
          <w:i/>
        </w:rPr>
        <w:t>Report and Order</w:t>
      </w:r>
      <w:r w:rsidR="00BD7AAD">
        <w:t xml:space="preserve"> at</w:t>
      </w:r>
      <w:r>
        <w:t xml:space="preserve"> para. 539.</w:t>
      </w:r>
    </w:p>
  </w:footnote>
  <w:footnote w:id="19">
    <w:p w14:paraId="23F61BB5" w14:textId="495D96B4" w:rsidR="00381CDA" w:rsidRDefault="00381CDA" w:rsidP="00991A88">
      <w:pPr>
        <w:pStyle w:val="FootnoteText"/>
        <w:spacing w:after="120"/>
      </w:pPr>
      <w:r>
        <w:rPr>
          <w:rStyle w:val="FootnoteReference"/>
        </w:rPr>
        <w:footnoteRef/>
      </w:r>
      <w:r>
        <w:t xml:space="preserve"> </w:t>
      </w:r>
      <w:r w:rsidRPr="00151928">
        <w:rPr>
          <w:i/>
        </w:rPr>
        <w:t>Id.</w:t>
      </w:r>
      <w:r w:rsidR="00BD7AAD">
        <w:t xml:space="preserve"> at</w:t>
      </w:r>
      <w:r>
        <w:t xml:space="preserve"> para. 118.</w:t>
      </w:r>
    </w:p>
  </w:footnote>
  <w:footnote w:id="20">
    <w:p w14:paraId="3391C42C" w14:textId="77777777" w:rsidR="00381CDA" w:rsidRDefault="00381CDA" w:rsidP="00991A88">
      <w:pPr>
        <w:pStyle w:val="FootnoteText"/>
        <w:spacing w:after="120"/>
      </w:pPr>
      <w:r>
        <w:rPr>
          <w:rStyle w:val="FootnoteReference"/>
        </w:rPr>
        <w:footnoteRef/>
      </w:r>
      <w:r>
        <w:t xml:space="preserve"> </w:t>
      </w:r>
      <w:r>
        <w:rPr>
          <w:i/>
        </w:rPr>
        <w:t>Repacking Update</w:t>
      </w:r>
      <w:r w:rsidRPr="00390011">
        <w:rPr>
          <w:i/>
        </w:rPr>
        <w:t xml:space="preserve"> PN</w:t>
      </w:r>
      <w:r>
        <w:t>, 29 FCC Rcd. at 48, para. 3.</w:t>
      </w:r>
    </w:p>
  </w:footnote>
  <w:footnote w:id="21">
    <w:p w14:paraId="7A1FA885" w14:textId="77777777" w:rsidR="00381CDA" w:rsidRPr="00820467" w:rsidRDefault="00381CDA" w:rsidP="00991A88">
      <w:pPr>
        <w:pStyle w:val="FootnoteText"/>
        <w:spacing w:after="120"/>
      </w:pPr>
      <w:r w:rsidRPr="00820467">
        <w:rPr>
          <w:rStyle w:val="FootnoteReference"/>
        </w:rPr>
        <w:footnoteRef/>
      </w:r>
      <w:r w:rsidRPr="00820467">
        <w:t xml:space="preserve"> 47 C</w:t>
      </w:r>
      <w:r>
        <w:t>.</w:t>
      </w:r>
      <w:r w:rsidRPr="00820467">
        <w:t>F</w:t>
      </w:r>
      <w:r>
        <w:t>.</w:t>
      </w:r>
      <w:r w:rsidRPr="00820467">
        <w:t>R</w:t>
      </w:r>
      <w:r>
        <w:t>.</w:t>
      </w:r>
      <w:r w:rsidRPr="00820467">
        <w:t xml:space="preserve"> §§ 0.31, 0.51, 0.61, 0.131.</w:t>
      </w:r>
    </w:p>
  </w:footnote>
  <w:footnote w:id="22">
    <w:p w14:paraId="2B90DCAC" w14:textId="77777777" w:rsidR="00381CDA" w:rsidRPr="00820467" w:rsidRDefault="00381CDA" w:rsidP="00991A88">
      <w:pPr>
        <w:pStyle w:val="FootnoteText"/>
        <w:spacing w:after="120"/>
      </w:pPr>
      <w:r w:rsidRPr="00820467">
        <w:rPr>
          <w:rStyle w:val="FootnoteReference"/>
        </w:rPr>
        <w:footnoteRef/>
      </w:r>
      <w:r w:rsidRPr="00820467">
        <w:t xml:space="preserve"> </w:t>
      </w:r>
      <w:r w:rsidRPr="00820467">
        <w:rPr>
          <w:i/>
        </w:rPr>
        <w:t xml:space="preserve">See </w:t>
      </w:r>
      <w:r w:rsidRPr="00820467">
        <w:t>47 C</w:t>
      </w:r>
      <w:r>
        <w:t>.</w:t>
      </w:r>
      <w:r w:rsidRPr="00820467">
        <w:t>F</w:t>
      </w:r>
      <w:r>
        <w:t>.</w:t>
      </w:r>
      <w:r w:rsidRPr="00820467">
        <w:t>R</w:t>
      </w:r>
      <w:r>
        <w:t>.</w:t>
      </w:r>
      <w:r w:rsidRPr="00820467">
        <w:t xml:space="preserve"> § 1.1206(b)(2).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2AD9" w14:textId="77777777" w:rsidR="0000304E" w:rsidRDefault="00003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5BDB" w14:textId="77777777" w:rsidR="0000304E" w:rsidRDefault="00003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E807" w14:textId="77777777" w:rsidR="00381CDA" w:rsidRDefault="00381CD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41F59CE" wp14:editId="31C4F314">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9C5CDA">
      <w:rPr>
        <w:rFonts w:ascii="Arial" w:hAnsi="Arial" w:cs="Arial"/>
        <w:b/>
        <w:kern w:val="28"/>
        <w:sz w:val="96"/>
      </w:rPr>
      <w:t>PUBLIC NOTICE</w:t>
    </w:r>
  </w:p>
  <w:p w14:paraId="78BF4B73" w14:textId="77777777" w:rsidR="00381CDA" w:rsidRDefault="00381CD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BAE056E" wp14:editId="0E132B86">
              <wp:simplePos x="0" y="0"/>
              <wp:positionH relativeFrom="column">
                <wp:posOffset>477520</wp:posOffset>
              </wp:positionH>
              <wp:positionV relativeFrom="paragraph">
                <wp:posOffset>697865</wp:posOffset>
              </wp:positionV>
              <wp:extent cx="5886450" cy="25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K/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5Ror0&#10;INFGKI7y0JnBuBICarW1oTZ6Ui9mo+l3h5SuO6L2PDJ8PRtIy0JG8iYlbJwB/N3wRTOIIQevY5tO&#10;re0DJDQAnaIa57sa/OQRhcNiNpvmB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yvx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0797026" wp14:editId="1DD02BB0">
              <wp:simplePos x="0" y="0"/>
              <wp:positionH relativeFrom="column">
                <wp:posOffset>381000</wp:posOffset>
              </wp:positionH>
              <wp:positionV relativeFrom="paragraph">
                <wp:posOffset>5080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257C2" w14:textId="77777777" w:rsidR="00381CDA" w:rsidRDefault="00381CDA">
                          <w:pPr>
                            <w:rPr>
                              <w:rFonts w:ascii="Arial" w:hAnsi="Arial"/>
                              <w:b/>
                            </w:rPr>
                          </w:pPr>
                          <w:r>
                            <w:rPr>
                              <w:rFonts w:ascii="Arial" w:hAnsi="Arial"/>
                              <w:b/>
                            </w:rPr>
                            <w:t>Federal Communications Commission</w:t>
                          </w:r>
                        </w:p>
                        <w:p w14:paraId="46EDB22D" w14:textId="77777777" w:rsidR="00381CDA" w:rsidRDefault="00381CD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7D93633" w14:textId="77777777" w:rsidR="00381CDA" w:rsidRDefault="00381CD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" o:allowincell="f" stroked="f">
              <v:textbox>
                <w:txbxContent>
                  <w:p w14:paraId="7A0257C2" w14:textId="77777777" w:rsidR="00B52FE1" w:rsidRDefault="00B52FE1">
                    <w:pPr>
                      <w:rPr>
                        <w:rFonts w:ascii="Arial" w:hAnsi="Arial"/>
                        <w:b/>
                      </w:rPr>
                    </w:pPr>
                    <w:r>
                      <w:rPr>
                        <w:rFonts w:ascii="Arial" w:hAnsi="Arial"/>
                        <w:b/>
                      </w:rPr>
                      <w:t>Federal Communications Commission</w:t>
                    </w:r>
                  </w:p>
                  <w:p w14:paraId="46EDB22D" w14:textId="77777777" w:rsidR="00B52FE1" w:rsidRDefault="00B52FE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7D93633" w14:textId="77777777" w:rsidR="00B52FE1" w:rsidRDefault="00B52FE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628B629" wp14:editId="72E117B6">
              <wp:simplePos x="0" y="0"/>
              <wp:positionH relativeFrom="column">
                <wp:posOffset>3829050</wp:posOffset>
              </wp:positionH>
              <wp:positionV relativeFrom="paragraph">
                <wp:posOffset>130175</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4C60E" w14:textId="77777777" w:rsidR="00381CDA" w:rsidRDefault="00381CDA">
                          <w:pPr>
                            <w:spacing w:before="40"/>
                            <w:jc w:val="right"/>
                            <w:rPr>
                              <w:rFonts w:ascii="Arial" w:hAnsi="Arial"/>
                              <w:b/>
                              <w:sz w:val="16"/>
                            </w:rPr>
                          </w:pPr>
                          <w:r>
                            <w:rPr>
                              <w:rFonts w:ascii="Arial" w:hAnsi="Arial"/>
                              <w:b/>
                              <w:sz w:val="16"/>
                            </w:rPr>
                            <w:t>News Media Information 202 / 418-0500</w:t>
                          </w:r>
                        </w:p>
                        <w:p w14:paraId="16FEE619" w14:textId="77777777" w:rsidR="00381CDA" w:rsidRDefault="00381CD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BCE0CD8" w14:textId="77777777" w:rsidR="00381CDA" w:rsidRDefault="00381CDA">
                          <w:pPr>
                            <w:jc w:val="right"/>
                            <w:rPr>
                              <w:rFonts w:ascii="Arial" w:hAnsi="Arial"/>
                              <w:b/>
                              <w:sz w:val="16"/>
                            </w:rPr>
                          </w:pPr>
                          <w:r>
                            <w:rPr>
                              <w:rFonts w:ascii="Arial" w:hAnsi="Arial"/>
                              <w:b/>
                              <w:sz w:val="16"/>
                            </w:rPr>
                            <w:t>TTY: 1-888-835-5322</w:t>
                          </w:r>
                        </w:p>
                        <w:p w14:paraId="3ACFAA6A" w14:textId="77777777" w:rsidR="00381CDA" w:rsidRDefault="00381CD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ABrAUc&#10;gAIAAA4FAAAOAAAAAAAAAAAAAAAAAC4CAABkcnMvZTJvRG9jLnhtbFBLAQItABQABgAIAAAAIQA1&#10;FHZJ4AAAAAsBAAAPAAAAAAAAAAAAAAAAANoEAABkcnMvZG93bnJldi54bWxQSwUGAAAAAAQABADz&#10;AAAA5wUAAAAA&#10;" o:allowincell="f" stroked="f">
              <v:textbox inset=",0,,0">
                <w:txbxContent>
                  <w:p w14:paraId="6B14C60E" w14:textId="77777777" w:rsidR="00B52FE1" w:rsidRDefault="00B52FE1">
                    <w:pPr>
                      <w:spacing w:before="40"/>
                      <w:jc w:val="right"/>
                      <w:rPr>
                        <w:rFonts w:ascii="Arial" w:hAnsi="Arial"/>
                        <w:b/>
                        <w:sz w:val="16"/>
                      </w:rPr>
                    </w:pPr>
                    <w:r>
                      <w:rPr>
                        <w:rFonts w:ascii="Arial" w:hAnsi="Arial"/>
                        <w:b/>
                        <w:sz w:val="16"/>
                      </w:rPr>
                      <w:t>News Media Information 202 / 418-0500</w:t>
                    </w:r>
                  </w:p>
                  <w:p w14:paraId="16FEE619" w14:textId="77777777" w:rsidR="00B52FE1" w:rsidRDefault="00B52FE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BCE0CD8" w14:textId="77777777" w:rsidR="00B52FE1" w:rsidRDefault="00B52FE1">
                    <w:pPr>
                      <w:jc w:val="right"/>
                      <w:rPr>
                        <w:rFonts w:ascii="Arial" w:hAnsi="Arial"/>
                        <w:b/>
                        <w:sz w:val="16"/>
                      </w:rPr>
                    </w:pPr>
                    <w:r>
                      <w:rPr>
                        <w:rFonts w:ascii="Arial" w:hAnsi="Arial"/>
                        <w:b/>
                        <w:sz w:val="16"/>
                      </w:rPr>
                      <w:t>TTY: 1-888-835-5322</w:t>
                    </w:r>
                  </w:p>
                  <w:p w14:paraId="3ACFAA6A" w14:textId="77777777" w:rsidR="00B52FE1" w:rsidRDefault="00B52FE1">
                    <w:pPr>
                      <w:jc w:val="right"/>
                    </w:pPr>
                  </w:p>
                </w:txbxContent>
              </v:textbox>
            </v:shape>
          </w:pict>
        </mc:Fallback>
      </mc:AlternateContent>
    </w:r>
  </w:p>
  <w:p w14:paraId="5DBE852B" w14:textId="77777777" w:rsidR="00381CDA" w:rsidRDefault="00381CD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8BF3" w14:textId="77777777" w:rsidR="00381CDA" w:rsidRPr="00BF0730" w:rsidRDefault="00381CDA" w:rsidP="00E07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6872"/>
    <w:multiLevelType w:val="hybridMultilevel"/>
    <w:tmpl w:val="494424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4DF021E"/>
    <w:multiLevelType w:val="hybridMultilevel"/>
    <w:tmpl w:val="86500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7E65CA"/>
    <w:multiLevelType w:val="hybridMultilevel"/>
    <w:tmpl w:val="7F4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F1B3D"/>
    <w:multiLevelType w:val="singleLevel"/>
    <w:tmpl w:val="20A6F96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533726C"/>
    <w:multiLevelType w:val="hybridMultilevel"/>
    <w:tmpl w:val="FB64C9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2"/>
  </w:num>
  <w:num w:numId="14">
    <w:abstractNumId w:val="0"/>
  </w:num>
  <w:num w:numId="15">
    <w:abstractNumId w:val="3"/>
  </w:num>
  <w:num w:numId="16">
    <w:abstractNumId w:val="4"/>
    <w:lvlOverride w:ilvl="0">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2C"/>
    <w:rsid w:val="0000304E"/>
    <w:rsid w:val="00005AD3"/>
    <w:rsid w:val="00012581"/>
    <w:rsid w:val="00014B13"/>
    <w:rsid w:val="000265AE"/>
    <w:rsid w:val="00031A7E"/>
    <w:rsid w:val="00065378"/>
    <w:rsid w:val="000758D3"/>
    <w:rsid w:val="000B0FA0"/>
    <w:rsid w:val="000C0144"/>
    <w:rsid w:val="000C7525"/>
    <w:rsid w:val="000D61F2"/>
    <w:rsid w:val="000E4775"/>
    <w:rsid w:val="000E49F1"/>
    <w:rsid w:val="000E4A1E"/>
    <w:rsid w:val="000F040C"/>
    <w:rsid w:val="00102709"/>
    <w:rsid w:val="00122DCB"/>
    <w:rsid w:val="00133134"/>
    <w:rsid w:val="00145EF5"/>
    <w:rsid w:val="00151928"/>
    <w:rsid w:val="00166DD7"/>
    <w:rsid w:val="00185721"/>
    <w:rsid w:val="00185DB4"/>
    <w:rsid w:val="00186AA8"/>
    <w:rsid w:val="00187DDF"/>
    <w:rsid w:val="001917AF"/>
    <w:rsid w:val="00195239"/>
    <w:rsid w:val="001A223D"/>
    <w:rsid w:val="001B40A0"/>
    <w:rsid w:val="001B6771"/>
    <w:rsid w:val="001C1664"/>
    <w:rsid w:val="001D334B"/>
    <w:rsid w:val="001D79D5"/>
    <w:rsid w:val="001F1DCB"/>
    <w:rsid w:val="00207694"/>
    <w:rsid w:val="002306F6"/>
    <w:rsid w:val="002404B5"/>
    <w:rsid w:val="00243540"/>
    <w:rsid w:val="00274750"/>
    <w:rsid w:val="00276382"/>
    <w:rsid w:val="002810D5"/>
    <w:rsid w:val="00283747"/>
    <w:rsid w:val="00287E5E"/>
    <w:rsid w:val="002C3EC6"/>
    <w:rsid w:val="002E7AB0"/>
    <w:rsid w:val="00303E7E"/>
    <w:rsid w:val="00316CF0"/>
    <w:rsid w:val="00365A7A"/>
    <w:rsid w:val="00376B08"/>
    <w:rsid w:val="00381CDA"/>
    <w:rsid w:val="00390011"/>
    <w:rsid w:val="003907DA"/>
    <w:rsid w:val="003A4C9F"/>
    <w:rsid w:val="003C1EBC"/>
    <w:rsid w:val="003D5C37"/>
    <w:rsid w:val="003E2B37"/>
    <w:rsid w:val="003F416E"/>
    <w:rsid w:val="00403290"/>
    <w:rsid w:val="004106E0"/>
    <w:rsid w:val="0042681C"/>
    <w:rsid w:val="0043255D"/>
    <w:rsid w:val="00435810"/>
    <w:rsid w:val="00472EF7"/>
    <w:rsid w:val="00474E93"/>
    <w:rsid w:val="00475253"/>
    <w:rsid w:val="00494574"/>
    <w:rsid w:val="004A4495"/>
    <w:rsid w:val="004C4095"/>
    <w:rsid w:val="004C4540"/>
    <w:rsid w:val="004F4AC3"/>
    <w:rsid w:val="00503E31"/>
    <w:rsid w:val="00506519"/>
    <w:rsid w:val="00511343"/>
    <w:rsid w:val="005203D5"/>
    <w:rsid w:val="005207D0"/>
    <w:rsid w:val="005313D0"/>
    <w:rsid w:val="00531E3C"/>
    <w:rsid w:val="00545BF3"/>
    <w:rsid w:val="00566D43"/>
    <w:rsid w:val="00571D07"/>
    <w:rsid w:val="00573A61"/>
    <w:rsid w:val="00582E4D"/>
    <w:rsid w:val="00583D5F"/>
    <w:rsid w:val="00590952"/>
    <w:rsid w:val="005A0DE1"/>
    <w:rsid w:val="005A3E13"/>
    <w:rsid w:val="005C264F"/>
    <w:rsid w:val="005D6522"/>
    <w:rsid w:val="005E7D09"/>
    <w:rsid w:val="00602577"/>
    <w:rsid w:val="00613C12"/>
    <w:rsid w:val="00614E7E"/>
    <w:rsid w:val="00623848"/>
    <w:rsid w:val="00656AD1"/>
    <w:rsid w:val="00663CA3"/>
    <w:rsid w:val="0067036D"/>
    <w:rsid w:val="00670E71"/>
    <w:rsid w:val="00682A01"/>
    <w:rsid w:val="0069348A"/>
    <w:rsid w:val="006A1744"/>
    <w:rsid w:val="006B1701"/>
    <w:rsid w:val="006C1344"/>
    <w:rsid w:val="006D27E1"/>
    <w:rsid w:val="00730825"/>
    <w:rsid w:val="00732ACA"/>
    <w:rsid w:val="00733572"/>
    <w:rsid w:val="00781C49"/>
    <w:rsid w:val="007C0F0A"/>
    <w:rsid w:val="007E4870"/>
    <w:rsid w:val="007F3E1A"/>
    <w:rsid w:val="0080464A"/>
    <w:rsid w:val="00820467"/>
    <w:rsid w:val="00823262"/>
    <w:rsid w:val="008271D8"/>
    <w:rsid w:val="008A4E09"/>
    <w:rsid w:val="008B6447"/>
    <w:rsid w:val="008D4389"/>
    <w:rsid w:val="008D44DE"/>
    <w:rsid w:val="008F144B"/>
    <w:rsid w:val="009048E3"/>
    <w:rsid w:val="00904FEC"/>
    <w:rsid w:val="009160E1"/>
    <w:rsid w:val="00917EFA"/>
    <w:rsid w:val="0092766E"/>
    <w:rsid w:val="00927981"/>
    <w:rsid w:val="00934B2F"/>
    <w:rsid w:val="00934B5F"/>
    <w:rsid w:val="00950668"/>
    <w:rsid w:val="00956F3C"/>
    <w:rsid w:val="00964189"/>
    <w:rsid w:val="009723A1"/>
    <w:rsid w:val="00973010"/>
    <w:rsid w:val="00991A88"/>
    <w:rsid w:val="00994BF9"/>
    <w:rsid w:val="00996E89"/>
    <w:rsid w:val="009B0F82"/>
    <w:rsid w:val="009C0973"/>
    <w:rsid w:val="009C5CDA"/>
    <w:rsid w:val="009D089A"/>
    <w:rsid w:val="009F2F32"/>
    <w:rsid w:val="009F6A96"/>
    <w:rsid w:val="00A03F96"/>
    <w:rsid w:val="00A06B52"/>
    <w:rsid w:val="00A10371"/>
    <w:rsid w:val="00A2102C"/>
    <w:rsid w:val="00A25552"/>
    <w:rsid w:val="00A274C3"/>
    <w:rsid w:val="00A41015"/>
    <w:rsid w:val="00A834AC"/>
    <w:rsid w:val="00A84ADE"/>
    <w:rsid w:val="00A90242"/>
    <w:rsid w:val="00A95E4C"/>
    <w:rsid w:val="00AB11F3"/>
    <w:rsid w:val="00AB4E36"/>
    <w:rsid w:val="00AB6F12"/>
    <w:rsid w:val="00AC3ABD"/>
    <w:rsid w:val="00AD2D8C"/>
    <w:rsid w:val="00AD555A"/>
    <w:rsid w:val="00AE4463"/>
    <w:rsid w:val="00B03E5F"/>
    <w:rsid w:val="00B10FEC"/>
    <w:rsid w:val="00B12A01"/>
    <w:rsid w:val="00B143F6"/>
    <w:rsid w:val="00B2706E"/>
    <w:rsid w:val="00B519DA"/>
    <w:rsid w:val="00B52FE1"/>
    <w:rsid w:val="00B6509A"/>
    <w:rsid w:val="00B86D76"/>
    <w:rsid w:val="00B96243"/>
    <w:rsid w:val="00BB2678"/>
    <w:rsid w:val="00BB4E5B"/>
    <w:rsid w:val="00BB67EC"/>
    <w:rsid w:val="00BC10C9"/>
    <w:rsid w:val="00BD7AAD"/>
    <w:rsid w:val="00BE5FBC"/>
    <w:rsid w:val="00BF4A69"/>
    <w:rsid w:val="00C06408"/>
    <w:rsid w:val="00C34585"/>
    <w:rsid w:val="00C47588"/>
    <w:rsid w:val="00C51B5D"/>
    <w:rsid w:val="00C73815"/>
    <w:rsid w:val="00C82FEE"/>
    <w:rsid w:val="00C8332D"/>
    <w:rsid w:val="00C944D5"/>
    <w:rsid w:val="00CA52F5"/>
    <w:rsid w:val="00CB01C2"/>
    <w:rsid w:val="00CC59FD"/>
    <w:rsid w:val="00CD4599"/>
    <w:rsid w:val="00D11FAA"/>
    <w:rsid w:val="00D17DC0"/>
    <w:rsid w:val="00D26967"/>
    <w:rsid w:val="00D517C4"/>
    <w:rsid w:val="00D60EFF"/>
    <w:rsid w:val="00D61680"/>
    <w:rsid w:val="00D81157"/>
    <w:rsid w:val="00D8702D"/>
    <w:rsid w:val="00D94C58"/>
    <w:rsid w:val="00DB66A4"/>
    <w:rsid w:val="00DB753F"/>
    <w:rsid w:val="00DC643E"/>
    <w:rsid w:val="00DD6D45"/>
    <w:rsid w:val="00DD7767"/>
    <w:rsid w:val="00DE2DF4"/>
    <w:rsid w:val="00DE6272"/>
    <w:rsid w:val="00DF05F8"/>
    <w:rsid w:val="00E01F87"/>
    <w:rsid w:val="00E079EE"/>
    <w:rsid w:val="00E13C60"/>
    <w:rsid w:val="00E32A7B"/>
    <w:rsid w:val="00E65ECB"/>
    <w:rsid w:val="00E662E4"/>
    <w:rsid w:val="00E70F53"/>
    <w:rsid w:val="00E91243"/>
    <w:rsid w:val="00EA5825"/>
    <w:rsid w:val="00EB05E6"/>
    <w:rsid w:val="00EC67DC"/>
    <w:rsid w:val="00ED7A7F"/>
    <w:rsid w:val="00F20C35"/>
    <w:rsid w:val="00F21245"/>
    <w:rsid w:val="00F24F3C"/>
    <w:rsid w:val="00F253DE"/>
    <w:rsid w:val="00F30807"/>
    <w:rsid w:val="00F3626C"/>
    <w:rsid w:val="00F420D9"/>
    <w:rsid w:val="00F51912"/>
    <w:rsid w:val="00F614E5"/>
    <w:rsid w:val="00F643C1"/>
    <w:rsid w:val="00FB6D11"/>
    <w:rsid w:val="00FC1117"/>
    <w:rsid w:val="00FC3C2C"/>
    <w:rsid w:val="00FD1255"/>
    <w:rsid w:val="00FD72EC"/>
    <w:rsid w:val="00FE0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30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8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uiPriority w:val="9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iPriority w:val="99"/>
    <w:rsid w:val="005E7D0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5E7D09"/>
  </w:style>
  <w:style w:type="character" w:customStyle="1" w:styleId="HeaderChar">
    <w:name w:val="Header Char"/>
    <w:link w:val="Header"/>
    <w:locked/>
    <w:rsid w:val="00A95E4C"/>
    <w:rPr>
      <w:sz w:val="22"/>
    </w:rPr>
  </w:style>
  <w:style w:type="paragraph" w:styleId="ListParagraph">
    <w:name w:val="List Paragraph"/>
    <w:basedOn w:val="Normal"/>
    <w:uiPriority w:val="34"/>
    <w:qFormat/>
    <w:rsid w:val="00A95E4C"/>
    <w:pPr>
      <w:widowControl w:val="0"/>
      <w:ind w:left="720"/>
    </w:pPr>
    <w:rPr>
      <w:snapToGrid w:val="0"/>
      <w:kern w:val="28"/>
      <w:szCs w:val="24"/>
    </w:rPr>
  </w:style>
  <w:style w:type="paragraph" w:styleId="BalloonText">
    <w:name w:val="Balloon Text"/>
    <w:basedOn w:val="Normal"/>
    <w:link w:val="BalloonTextChar"/>
    <w:uiPriority w:val="99"/>
    <w:semiHidden/>
    <w:unhideWhenUsed/>
    <w:rsid w:val="00A95E4C"/>
    <w:rPr>
      <w:rFonts w:ascii="Tahoma" w:hAnsi="Tahoma" w:cs="Tahoma"/>
      <w:sz w:val="16"/>
      <w:szCs w:val="16"/>
    </w:rPr>
  </w:style>
  <w:style w:type="character" w:customStyle="1" w:styleId="BalloonTextChar">
    <w:name w:val="Balloon Text Char"/>
    <w:basedOn w:val="DefaultParagraphFont"/>
    <w:link w:val="BalloonText"/>
    <w:uiPriority w:val="99"/>
    <w:semiHidden/>
    <w:rsid w:val="00A95E4C"/>
    <w:rPr>
      <w:rFonts w:ascii="Tahoma" w:hAnsi="Tahoma" w:cs="Tahoma"/>
      <w:sz w:val="16"/>
      <w:szCs w:val="16"/>
    </w:rPr>
  </w:style>
  <w:style w:type="paragraph" w:customStyle="1" w:styleId="Para">
    <w:name w:val="Para"/>
    <w:basedOn w:val="Normal"/>
    <w:qFormat/>
    <w:rsid w:val="00E01F87"/>
    <w:pPr>
      <w:widowControl w:val="0"/>
      <w:spacing w:after="220"/>
      <w:ind w:firstLine="720"/>
      <w:jc w:val="both"/>
    </w:pPr>
  </w:style>
  <w:style w:type="character" w:styleId="CommentReference">
    <w:name w:val="annotation reference"/>
    <w:basedOn w:val="DefaultParagraphFont"/>
    <w:uiPriority w:val="99"/>
    <w:semiHidden/>
    <w:unhideWhenUsed/>
    <w:rsid w:val="008271D8"/>
    <w:rPr>
      <w:sz w:val="16"/>
      <w:szCs w:val="16"/>
    </w:rPr>
  </w:style>
  <w:style w:type="paragraph" w:styleId="CommentText">
    <w:name w:val="annotation text"/>
    <w:basedOn w:val="Normal"/>
    <w:link w:val="CommentTextChar"/>
    <w:uiPriority w:val="99"/>
    <w:semiHidden/>
    <w:unhideWhenUsed/>
    <w:rsid w:val="008271D8"/>
    <w:rPr>
      <w:sz w:val="20"/>
    </w:rPr>
  </w:style>
  <w:style w:type="character" w:customStyle="1" w:styleId="CommentTextChar">
    <w:name w:val="Comment Text Char"/>
    <w:basedOn w:val="DefaultParagraphFont"/>
    <w:link w:val="CommentText"/>
    <w:uiPriority w:val="99"/>
    <w:semiHidden/>
    <w:rsid w:val="008271D8"/>
  </w:style>
  <w:style w:type="paragraph" w:styleId="CommentSubject">
    <w:name w:val="annotation subject"/>
    <w:basedOn w:val="CommentText"/>
    <w:next w:val="CommentText"/>
    <w:link w:val="CommentSubjectChar"/>
    <w:uiPriority w:val="99"/>
    <w:semiHidden/>
    <w:unhideWhenUsed/>
    <w:rsid w:val="008271D8"/>
    <w:rPr>
      <w:b/>
      <w:bCs/>
    </w:rPr>
  </w:style>
  <w:style w:type="character" w:customStyle="1" w:styleId="CommentSubjectChar">
    <w:name w:val="Comment Subject Char"/>
    <w:basedOn w:val="CommentTextChar"/>
    <w:link w:val="CommentSubject"/>
    <w:uiPriority w:val="99"/>
    <w:semiHidden/>
    <w:rsid w:val="008271D8"/>
    <w:rPr>
      <w:b/>
      <w:bCs/>
    </w:rPr>
  </w:style>
  <w:style w:type="paragraph" w:styleId="Revision">
    <w:name w:val="Revision"/>
    <w:hidden/>
    <w:uiPriority w:val="99"/>
    <w:semiHidden/>
    <w:rsid w:val="008F144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8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uiPriority w:val="9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iPriority w:val="99"/>
    <w:rsid w:val="005E7D0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5E7D09"/>
  </w:style>
  <w:style w:type="character" w:customStyle="1" w:styleId="HeaderChar">
    <w:name w:val="Header Char"/>
    <w:link w:val="Header"/>
    <w:locked/>
    <w:rsid w:val="00A95E4C"/>
    <w:rPr>
      <w:sz w:val="22"/>
    </w:rPr>
  </w:style>
  <w:style w:type="paragraph" w:styleId="ListParagraph">
    <w:name w:val="List Paragraph"/>
    <w:basedOn w:val="Normal"/>
    <w:uiPriority w:val="34"/>
    <w:qFormat/>
    <w:rsid w:val="00A95E4C"/>
    <w:pPr>
      <w:widowControl w:val="0"/>
      <w:ind w:left="720"/>
    </w:pPr>
    <w:rPr>
      <w:snapToGrid w:val="0"/>
      <w:kern w:val="28"/>
      <w:szCs w:val="24"/>
    </w:rPr>
  </w:style>
  <w:style w:type="paragraph" w:styleId="BalloonText">
    <w:name w:val="Balloon Text"/>
    <w:basedOn w:val="Normal"/>
    <w:link w:val="BalloonTextChar"/>
    <w:uiPriority w:val="99"/>
    <w:semiHidden/>
    <w:unhideWhenUsed/>
    <w:rsid w:val="00A95E4C"/>
    <w:rPr>
      <w:rFonts w:ascii="Tahoma" w:hAnsi="Tahoma" w:cs="Tahoma"/>
      <w:sz w:val="16"/>
      <w:szCs w:val="16"/>
    </w:rPr>
  </w:style>
  <w:style w:type="character" w:customStyle="1" w:styleId="BalloonTextChar">
    <w:name w:val="Balloon Text Char"/>
    <w:basedOn w:val="DefaultParagraphFont"/>
    <w:link w:val="BalloonText"/>
    <w:uiPriority w:val="99"/>
    <w:semiHidden/>
    <w:rsid w:val="00A95E4C"/>
    <w:rPr>
      <w:rFonts w:ascii="Tahoma" w:hAnsi="Tahoma" w:cs="Tahoma"/>
      <w:sz w:val="16"/>
      <w:szCs w:val="16"/>
    </w:rPr>
  </w:style>
  <w:style w:type="paragraph" w:customStyle="1" w:styleId="Para">
    <w:name w:val="Para"/>
    <w:basedOn w:val="Normal"/>
    <w:qFormat/>
    <w:rsid w:val="00E01F87"/>
    <w:pPr>
      <w:widowControl w:val="0"/>
      <w:spacing w:after="220"/>
      <w:ind w:firstLine="720"/>
      <w:jc w:val="both"/>
    </w:pPr>
  </w:style>
  <w:style w:type="character" w:styleId="CommentReference">
    <w:name w:val="annotation reference"/>
    <w:basedOn w:val="DefaultParagraphFont"/>
    <w:uiPriority w:val="99"/>
    <w:semiHidden/>
    <w:unhideWhenUsed/>
    <w:rsid w:val="008271D8"/>
    <w:rPr>
      <w:sz w:val="16"/>
      <w:szCs w:val="16"/>
    </w:rPr>
  </w:style>
  <w:style w:type="paragraph" w:styleId="CommentText">
    <w:name w:val="annotation text"/>
    <w:basedOn w:val="Normal"/>
    <w:link w:val="CommentTextChar"/>
    <w:uiPriority w:val="99"/>
    <w:semiHidden/>
    <w:unhideWhenUsed/>
    <w:rsid w:val="008271D8"/>
    <w:rPr>
      <w:sz w:val="20"/>
    </w:rPr>
  </w:style>
  <w:style w:type="character" w:customStyle="1" w:styleId="CommentTextChar">
    <w:name w:val="Comment Text Char"/>
    <w:basedOn w:val="DefaultParagraphFont"/>
    <w:link w:val="CommentText"/>
    <w:uiPriority w:val="99"/>
    <w:semiHidden/>
    <w:rsid w:val="008271D8"/>
  </w:style>
  <w:style w:type="paragraph" w:styleId="CommentSubject">
    <w:name w:val="annotation subject"/>
    <w:basedOn w:val="CommentText"/>
    <w:next w:val="CommentText"/>
    <w:link w:val="CommentSubjectChar"/>
    <w:uiPriority w:val="99"/>
    <w:semiHidden/>
    <w:unhideWhenUsed/>
    <w:rsid w:val="008271D8"/>
    <w:rPr>
      <w:b/>
      <w:bCs/>
    </w:rPr>
  </w:style>
  <w:style w:type="character" w:customStyle="1" w:styleId="CommentSubjectChar">
    <w:name w:val="Comment Subject Char"/>
    <w:basedOn w:val="CommentTextChar"/>
    <w:link w:val="CommentSubject"/>
    <w:uiPriority w:val="99"/>
    <w:semiHidden/>
    <w:rsid w:val="008271D8"/>
    <w:rPr>
      <w:b/>
      <w:bCs/>
    </w:rPr>
  </w:style>
  <w:style w:type="paragraph" w:styleId="Revision">
    <w:name w:val="Revision"/>
    <w:hidden/>
    <w:uiPriority w:val="99"/>
    <w:semiHidden/>
    <w:rsid w:val="008F14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nathan.McCormack@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ear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fcc.gov/download/incentive-auctions/Constraint_Files/" TargetMode="External"/><Relationship Id="rId2" Type="http://schemas.openxmlformats.org/officeDocument/2006/relationships/hyperlink" Target="http://fcc.gov/learn" TargetMode="External"/><Relationship Id="rId1" Type="http://schemas.openxmlformats.org/officeDocument/2006/relationships/hyperlink" Target="http://www.fcc.gov/events/learn-workshop-feasibility-checking-during-repacking-proc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1399</Words>
  <Characters>8014</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DA 14-677</vt:lpstr>
    </vt:vector>
  </TitlesOfParts>
  <Manager/>
  <Company/>
  <LinksUpToDate>false</LinksUpToDate>
  <CharactersWithSpaces>9424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2014-04-29T18:19:00Z</cp:lastPrinted>
  <dcterms:created xsi:type="dcterms:W3CDTF">2014-06-02T15:11:00Z</dcterms:created>
  <dcterms:modified xsi:type="dcterms:W3CDTF">2014-06-02T15:11:00Z</dcterms:modified>
  <cp:category> </cp:category>
  <cp:contentStatus> </cp:contentStatus>
</cp:coreProperties>
</file>