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26" w:rsidRDefault="00F54A26" w:rsidP="00F54A26">
      <w:pPr>
        <w:widowControl/>
        <w:jc w:val="center"/>
        <w:rPr>
          <w:b/>
        </w:rPr>
      </w:pPr>
      <w:bookmarkStart w:id="0" w:name="_GoBack"/>
      <w:bookmarkEnd w:id="0"/>
      <w:r>
        <w:rPr>
          <w:b/>
        </w:rPr>
        <w:t>Before the</w:t>
      </w:r>
    </w:p>
    <w:p w:rsidR="00F54A26" w:rsidRDefault="00F54A26" w:rsidP="00F54A26">
      <w:pPr>
        <w:widowControl/>
        <w:jc w:val="center"/>
        <w:rPr>
          <w:b/>
        </w:rPr>
      </w:pPr>
      <w:r>
        <w:rPr>
          <w:b/>
        </w:rPr>
        <w:t>Federal Communications Commission</w:t>
      </w:r>
    </w:p>
    <w:p w:rsidR="00F54A26" w:rsidRDefault="00F54A26" w:rsidP="00F54A26">
      <w:pPr>
        <w:widowControl/>
        <w:jc w:val="center"/>
        <w:rPr>
          <w:b/>
        </w:rPr>
      </w:pPr>
      <w:r>
        <w:rPr>
          <w:b/>
        </w:rPr>
        <w:t>Washington, DC 20554</w:t>
      </w:r>
    </w:p>
    <w:p w:rsidR="00F54A26" w:rsidRDefault="00F54A26" w:rsidP="00F54A26">
      <w:pPr>
        <w:widowControl/>
        <w:rPr>
          <w:szCs w:val="22"/>
        </w:rPr>
      </w:pPr>
    </w:p>
    <w:p w:rsidR="00F54A26" w:rsidRDefault="00F54A26" w:rsidP="00F54A26">
      <w:pPr>
        <w:widowControl/>
        <w:rPr>
          <w:szCs w:val="22"/>
        </w:rPr>
      </w:pPr>
    </w:p>
    <w:tbl>
      <w:tblPr>
        <w:tblW w:w="11952" w:type="dxa"/>
        <w:tblLook w:val="0000" w:firstRow="0" w:lastRow="0" w:firstColumn="0" w:lastColumn="0" w:noHBand="0" w:noVBand="0"/>
      </w:tblPr>
      <w:tblGrid>
        <w:gridCol w:w="4788"/>
        <w:gridCol w:w="611"/>
        <w:gridCol w:w="3195"/>
        <w:gridCol w:w="163"/>
        <w:gridCol w:w="3032"/>
        <w:gridCol w:w="163"/>
      </w:tblGrid>
      <w:tr w:rsidR="00F54A26" w:rsidTr="00916425">
        <w:trPr>
          <w:trHeight w:val="1453"/>
        </w:trPr>
        <w:tc>
          <w:tcPr>
            <w:tcW w:w="4788" w:type="dxa"/>
          </w:tcPr>
          <w:p w:rsidR="00F54A26" w:rsidRDefault="00F54A26" w:rsidP="00916425">
            <w:pPr>
              <w:keepNext/>
              <w:widowControl/>
              <w:rPr>
                <w:szCs w:val="22"/>
              </w:rPr>
            </w:pPr>
            <w:r>
              <w:rPr>
                <w:szCs w:val="22"/>
              </w:rPr>
              <w:t>In the Matter of</w:t>
            </w:r>
          </w:p>
          <w:p w:rsidR="00F54A26" w:rsidRDefault="00F54A26" w:rsidP="00916425">
            <w:pPr>
              <w:keepNext/>
              <w:widowControl/>
              <w:rPr>
                <w:b/>
                <w:szCs w:val="22"/>
              </w:rPr>
            </w:pPr>
          </w:p>
          <w:p w:rsidR="00F54A26" w:rsidRDefault="00F54A26" w:rsidP="00916425">
            <w:pPr>
              <w:keepNext/>
              <w:widowControl/>
              <w:rPr>
                <w:b/>
                <w:szCs w:val="22"/>
              </w:rPr>
            </w:pPr>
            <w:r>
              <w:rPr>
                <w:b/>
                <w:szCs w:val="22"/>
              </w:rPr>
              <w:t>MATRIX TELECOM, INC.</w:t>
            </w:r>
          </w:p>
          <w:p w:rsidR="00F54A26" w:rsidRDefault="00F54A26" w:rsidP="00916425">
            <w:pPr>
              <w:keepNext/>
              <w:widowControl/>
              <w:rPr>
                <w:b/>
                <w:szCs w:val="22"/>
              </w:rPr>
            </w:pPr>
          </w:p>
          <w:p w:rsidR="00F54A26" w:rsidRDefault="00F54A26" w:rsidP="00916425">
            <w:pPr>
              <w:keepNext/>
              <w:widowControl/>
              <w:rPr>
                <w:b/>
                <w:szCs w:val="22"/>
              </w:rPr>
            </w:pPr>
          </w:p>
          <w:p w:rsidR="00F54A26" w:rsidRDefault="00F54A26" w:rsidP="00916425">
            <w:pPr>
              <w:keepNext/>
              <w:widowControl/>
              <w:rPr>
                <w:szCs w:val="22"/>
              </w:rPr>
            </w:pPr>
          </w:p>
        </w:tc>
        <w:tc>
          <w:tcPr>
            <w:tcW w:w="611" w:type="dxa"/>
          </w:tcPr>
          <w:p w:rsidR="00F54A26" w:rsidRDefault="00F54A26" w:rsidP="00916425">
            <w:pPr>
              <w:keepNext/>
              <w:widowControl/>
              <w:tabs>
                <w:tab w:val="left" w:pos="132"/>
              </w:tabs>
              <w:rPr>
                <w:szCs w:val="22"/>
              </w:rPr>
            </w:pPr>
            <w:r>
              <w:rPr>
                <w:szCs w:val="22"/>
              </w:rPr>
              <w:t>)</w:t>
            </w:r>
          </w:p>
          <w:p w:rsidR="00F54A26" w:rsidRDefault="00F54A26" w:rsidP="00916425">
            <w:pPr>
              <w:keepNext/>
              <w:widowControl/>
              <w:tabs>
                <w:tab w:val="left" w:pos="132"/>
              </w:tabs>
              <w:rPr>
                <w:szCs w:val="22"/>
              </w:rPr>
            </w:pPr>
            <w:r>
              <w:rPr>
                <w:szCs w:val="22"/>
              </w:rPr>
              <w:t>)</w:t>
            </w:r>
          </w:p>
          <w:p w:rsidR="00F54A26" w:rsidRDefault="00F54A26" w:rsidP="00916425">
            <w:pPr>
              <w:keepNext/>
              <w:widowControl/>
              <w:tabs>
                <w:tab w:val="left" w:pos="132"/>
              </w:tabs>
              <w:rPr>
                <w:szCs w:val="22"/>
              </w:rPr>
            </w:pPr>
            <w:r>
              <w:rPr>
                <w:szCs w:val="22"/>
              </w:rPr>
              <w:t>)</w:t>
            </w:r>
          </w:p>
          <w:p w:rsidR="00F54A26" w:rsidRDefault="00F54A26" w:rsidP="00916425">
            <w:pPr>
              <w:keepNext/>
              <w:widowControl/>
              <w:tabs>
                <w:tab w:val="left" w:pos="132"/>
              </w:tabs>
              <w:rPr>
                <w:szCs w:val="22"/>
              </w:rPr>
            </w:pPr>
            <w:r>
              <w:rPr>
                <w:szCs w:val="22"/>
              </w:rPr>
              <w:t>)</w:t>
            </w:r>
          </w:p>
          <w:p w:rsidR="00F54A26" w:rsidRDefault="00F54A26" w:rsidP="00916425">
            <w:pPr>
              <w:keepNext/>
              <w:widowControl/>
              <w:tabs>
                <w:tab w:val="left" w:pos="132"/>
              </w:tabs>
              <w:rPr>
                <w:szCs w:val="22"/>
              </w:rPr>
            </w:pPr>
            <w:r>
              <w:rPr>
                <w:szCs w:val="22"/>
              </w:rPr>
              <w:t>)</w:t>
            </w:r>
          </w:p>
          <w:p w:rsidR="00F54A26" w:rsidRDefault="00F54A26" w:rsidP="00916425">
            <w:pPr>
              <w:keepNext/>
              <w:widowControl/>
              <w:tabs>
                <w:tab w:val="left" w:pos="132"/>
              </w:tabs>
              <w:rPr>
                <w:szCs w:val="22"/>
              </w:rPr>
            </w:pPr>
          </w:p>
        </w:tc>
        <w:tc>
          <w:tcPr>
            <w:tcW w:w="3358" w:type="dxa"/>
            <w:gridSpan w:val="2"/>
          </w:tcPr>
          <w:p w:rsidR="00F54A26" w:rsidRPr="00ED0D7B" w:rsidRDefault="00F54A26" w:rsidP="00916425">
            <w:pPr>
              <w:widowControl/>
              <w:rPr>
                <w:spacing w:val="-2"/>
                <w:szCs w:val="22"/>
                <w:lang w:val="es-ES"/>
              </w:rPr>
            </w:pPr>
            <w:r w:rsidRPr="00ED0D7B">
              <w:rPr>
                <w:spacing w:val="-2"/>
                <w:szCs w:val="22"/>
                <w:lang w:val="es-ES"/>
              </w:rPr>
              <w:t xml:space="preserve">File No.:  </w:t>
            </w:r>
            <w:r w:rsidRPr="003230E7">
              <w:rPr>
                <w:szCs w:val="22"/>
              </w:rPr>
              <w:t>EB-</w:t>
            </w:r>
            <w:r>
              <w:rPr>
                <w:szCs w:val="22"/>
              </w:rPr>
              <w:t>IHD-13-00011204</w:t>
            </w:r>
            <w:r>
              <w:rPr>
                <w:rStyle w:val="FootnoteReference"/>
                <w:szCs w:val="22"/>
              </w:rPr>
              <w:footnoteReference w:id="2"/>
            </w:r>
          </w:p>
          <w:p w:rsidR="00F54A26" w:rsidRPr="0040282E" w:rsidRDefault="00F54A26" w:rsidP="00916425">
            <w:pPr>
              <w:widowControl/>
              <w:ind w:left="-108" w:firstLine="108"/>
              <w:rPr>
                <w:spacing w:val="-2"/>
                <w:szCs w:val="22"/>
                <w:lang w:val="es-ES"/>
              </w:rPr>
            </w:pPr>
          </w:p>
          <w:p w:rsidR="00F54A26" w:rsidRDefault="00F54A26" w:rsidP="00916425">
            <w:pPr>
              <w:widowControl/>
              <w:rPr>
                <w:spacing w:val="-2"/>
                <w:szCs w:val="22"/>
                <w:lang w:val="es-ES"/>
              </w:rPr>
            </w:pPr>
            <w:r>
              <w:rPr>
                <w:spacing w:val="-2"/>
                <w:szCs w:val="22"/>
                <w:lang w:val="es-ES"/>
              </w:rPr>
              <w:t xml:space="preserve">Acct. No.:  </w:t>
            </w:r>
            <w:r w:rsidRPr="00D46AB5">
              <w:rPr>
                <w:spacing w:val="-2"/>
                <w:szCs w:val="22"/>
              </w:rPr>
              <w:t>201432080032</w:t>
            </w:r>
          </w:p>
          <w:p w:rsidR="00F54A26" w:rsidRDefault="00F54A26" w:rsidP="00916425">
            <w:pPr>
              <w:widowControl/>
              <w:rPr>
                <w:spacing w:val="-2"/>
                <w:szCs w:val="22"/>
                <w:lang w:val="es-ES"/>
              </w:rPr>
            </w:pPr>
          </w:p>
          <w:p w:rsidR="00F54A26" w:rsidRPr="00FF767B" w:rsidRDefault="00F54A26" w:rsidP="00916425">
            <w:pPr>
              <w:keepNext/>
              <w:widowControl/>
              <w:rPr>
                <w:szCs w:val="22"/>
              </w:rPr>
            </w:pPr>
            <w:r>
              <w:rPr>
                <w:szCs w:val="22"/>
              </w:rPr>
              <w:t xml:space="preserve">FRN:  </w:t>
            </w:r>
            <w:r w:rsidRPr="00752F4B">
              <w:t>0004333068</w:t>
            </w:r>
          </w:p>
        </w:tc>
        <w:tc>
          <w:tcPr>
            <w:tcW w:w="3195" w:type="dxa"/>
            <w:gridSpan w:val="2"/>
          </w:tcPr>
          <w:p w:rsidR="00F54A26" w:rsidRDefault="00F54A26" w:rsidP="00916425">
            <w:pPr>
              <w:keepNext/>
              <w:widowControl/>
              <w:rPr>
                <w:szCs w:val="22"/>
              </w:rPr>
            </w:pPr>
          </w:p>
        </w:tc>
      </w:tr>
      <w:tr w:rsidR="00F54A26" w:rsidTr="00916425">
        <w:trPr>
          <w:gridAfter w:val="1"/>
          <w:wAfter w:w="163" w:type="dxa"/>
          <w:trHeight w:val="134"/>
        </w:trPr>
        <w:tc>
          <w:tcPr>
            <w:tcW w:w="4788" w:type="dxa"/>
          </w:tcPr>
          <w:p w:rsidR="00F54A26" w:rsidRDefault="00F54A26" w:rsidP="00916425">
            <w:pPr>
              <w:keepNext/>
              <w:widowControl/>
              <w:rPr>
                <w:szCs w:val="22"/>
              </w:rPr>
            </w:pPr>
          </w:p>
        </w:tc>
        <w:tc>
          <w:tcPr>
            <w:tcW w:w="611" w:type="dxa"/>
          </w:tcPr>
          <w:p w:rsidR="00F54A26" w:rsidRDefault="00F54A26" w:rsidP="00916425">
            <w:pPr>
              <w:keepNext/>
              <w:widowControl/>
              <w:rPr>
                <w:szCs w:val="22"/>
              </w:rPr>
            </w:pPr>
          </w:p>
        </w:tc>
        <w:tc>
          <w:tcPr>
            <w:tcW w:w="3195" w:type="dxa"/>
          </w:tcPr>
          <w:p w:rsidR="00F54A26" w:rsidRDefault="00F54A26" w:rsidP="00916425">
            <w:pPr>
              <w:widowControl/>
              <w:ind w:left="-108" w:firstLine="108"/>
              <w:rPr>
                <w:spacing w:val="-2"/>
                <w:szCs w:val="22"/>
                <w:lang w:val="es-ES"/>
              </w:rPr>
            </w:pPr>
          </w:p>
        </w:tc>
        <w:tc>
          <w:tcPr>
            <w:tcW w:w="3195" w:type="dxa"/>
            <w:gridSpan w:val="2"/>
          </w:tcPr>
          <w:p w:rsidR="00F54A26" w:rsidRDefault="00F54A26" w:rsidP="00916425">
            <w:pPr>
              <w:widowControl/>
              <w:ind w:left="-108" w:firstLine="108"/>
              <w:rPr>
                <w:spacing w:val="-2"/>
                <w:szCs w:val="22"/>
                <w:lang w:val="es-ES"/>
              </w:rPr>
            </w:pPr>
          </w:p>
        </w:tc>
      </w:tr>
    </w:tbl>
    <w:p w:rsidR="00F54A26" w:rsidRDefault="00F54A26" w:rsidP="00F54A26">
      <w:pPr>
        <w:keepNext/>
        <w:widowControl/>
        <w:jc w:val="center"/>
        <w:rPr>
          <w:b/>
          <w:szCs w:val="22"/>
        </w:rPr>
      </w:pPr>
      <w:r>
        <w:rPr>
          <w:b/>
          <w:szCs w:val="22"/>
        </w:rPr>
        <w:t>ORDER</w:t>
      </w:r>
    </w:p>
    <w:p w:rsidR="00F54A26" w:rsidRDefault="00F54A26" w:rsidP="00F54A26">
      <w:pPr>
        <w:keepNext/>
        <w:widowControl/>
        <w:jc w:val="center"/>
        <w:rPr>
          <w:b/>
          <w:szCs w:val="22"/>
        </w:rPr>
      </w:pPr>
    </w:p>
    <w:p w:rsidR="00F54A26" w:rsidRDefault="00F54A26" w:rsidP="00F54A26">
      <w:pPr>
        <w:keepNext/>
        <w:widowControl/>
        <w:rPr>
          <w:b/>
          <w:szCs w:val="22"/>
        </w:rPr>
      </w:pPr>
      <w:r>
        <w:rPr>
          <w:b/>
          <w:szCs w:val="22"/>
        </w:rPr>
        <w:t xml:space="preserve">Adopted:  June </w:t>
      </w:r>
      <w:r w:rsidR="00F3530E">
        <w:rPr>
          <w:b/>
          <w:szCs w:val="22"/>
        </w:rPr>
        <w:t>4</w:t>
      </w:r>
      <w:r>
        <w:rPr>
          <w:b/>
          <w:szCs w:val="22"/>
        </w:rPr>
        <w:t>, 2014</w:t>
      </w:r>
      <w:r>
        <w:rPr>
          <w:b/>
          <w:szCs w:val="22"/>
        </w:rPr>
        <w:tab/>
      </w:r>
      <w:r>
        <w:rPr>
          <w:b/>
          <w:szCs w:val="22"/>
        </w:rPr>
        <w:tab/>
      </w:r>
      <w:r>
        <w:rPr>
          <w:b/>
          <w:szCs w:val="22"/>
        </w:rPr>
        <w:tab/>
      </w:r>
      <w:r>
        <w:rPr>
          <w:b/>
          <w:szCs w:val="22"/>
        </w:rPr>
        <w:tab/>
      </w:r>
      <w:r>
        <w:rPr>
          <w:b/>
          <w:szCs w:val="22"/>
        </w:rPr>
        <w:tab/>
      </w:r>
      <w:r>
        <w:rPr>
          <w:b/>
          <w:szCs w:val="22"/>
        </w:rPr>
        <w:tab/>
        <w:t xml:space="preserve">Released:  June </w:t>
      </w:r>
      <w:r w:rsidR="00F3530E">
        <w:rPr>
          <w:b/>
          <w:szCs w:val="22"/>
        </w:rPr>
        <w:t>4</w:t>
      </w:r>
      <w:r>
        <w:rPr>
          <w:b/>
          <w:szCs w:val="22"/>
        </w:rPr>
        <w:t>, 2014</w:t>
      </w:r>
    </w:p>
    <w:p w:rsidR="00F54A26" w:rsidRDefault="00F54A26" w:rsidP="00F54A26">
      <w:pPr>
        <w:keepNext/>
        <w:widowControl/>
        <w:rPr>
          <w:b/>
          <w:szCs w:val="22"/>
        </w:rPr>
      </w:pPr>
    </w:p>
    <w:p w:rsidR="00F54A26" w:rsidRDefault="00F54A26" w:rsidP="00F54A26">
      <w:pPr>
        <w:keepNext/>
        <w:widowControl/>
        <w:rPr>
          <w:szCs w:val="22"/>
        </w:rPr>
      </w:pPr>
      <w:r>
        <w:rPr>
          <w:szCs w:val="22"/>
        </w:rPr>
        <w:t>By the Acting Chief, Enforcement Bureau:</w:t>
      </w:r>
    </w:p>
    <w:p w:rsidR="00F54A26" w:rsidRPr="00F900C7" w:rsidRDefault="00F54A26" w:rsidP="00F54A26">
      <w:pPr>
        <w:keepNext/>
        <w:widowControl/>
        <w:rPr>
          <w:szCs w:val="22"/>
        </w:rPr>
      </w:pPr>
    </w:p>
    <w:p w:rsidR="00F54A26" w:rsidRDefault="00F54A26" w:rsidP="00F54A26">
      <w:pPr>
        <w:pStyle w:val="ParaNum"/>
      </w:pPr>
      <w:r>
        <w:t xml:space="preserve">In this Order and Consent Decree, we settle allegations that </w:t>
      </w:r>
      <w:r w:rsidRPr="005A7591">
        <w:t>Matrix Telecom, Inc. (Matrix o</w:t>
      </w:r>
      <w:r>
        <w:t xml:space="preserve">r Company) violated federal laws by failing to complete long-distance calls to rural areas on a just, reasonable, and non-discriminatory basis.  These laws operate to ensure  </w:t>
      </w:r>
      <w:r w:rsidRPr="00E90A1A">
        <w:rPr>
          <w:snapToGrid/>
          <w:kern w:val="0"/>
          <w:szCs w:val="22"/>
        </w:rPr>
        <w:t>that long-distance calls to rural destinations, whether business or residential in nature, are completed as dialed, without undue delay, and with all attendant information (e.g., Caller ID) intact, just as such calls are completed to non-rural areas of the nation.  In this case, the Commission’s Rural Call Completion Task Force received and investigated information that the Company failed to ensure adequate long-distance call completion to rural areas for its retail and wholesale customers.  For purposes of the settlement, Matrix will pay $875,000 to resolve the allegations and implement a three-year compliance plan.</w:t>
      </w:r>
    </w:p>
    <w:p w:rsidR="00F54A26" w:rsidRPr="00BA04D1" w:rsidRDefault="00F54A26" w:rsidP="00F54A26">
      <w:pPr>
        <w:pStyle w:val="ParaNum"/>
        <w:rPr>
          <w:szCs w:val="22"/>
        </w:rPr>
      </w:pPr>
      <w:r>
        <w:t>In this Order, we adopt the Consent Decree entered into between the Enforcement Bureau (Bureau) and Matrix.  The Consent Decree resolves and terminates the Bureau’s investigation into whether Matrix violated Sections 201(b) and 202(a) of the Communications Act of 1934, as amended (Act),</w:t>
      </w:r>
      <w:r>
        <w:rPr>
          <w:rStyle w:val="FootnoteReference"/>
        </w:rPr>
        <w:footnoteReference w:id="3"/>
      </w:r>
      <w:r>
        <w:t xml:space="preserve"> </w:t>
      </w:r>
      <w:r>
        <w:rPr>
          <w:color w:val="000000"/>
        </w:rPr>
        <w:t>with respect to its</w:t>
      </w:r>
      <w:r w:rsidRPr="005A7591">
        <w:rPr>
          <w:color w:val="000000"/>
        </w:rPr>
        <w:t xml:space="preserve"> call completion practices to rural areas, including </w:t>
      </w:r>
      <w:r>
        <w:rPr>
          <w:color w:val="000000"/>
        </w:rPr>
        <w:t>its</w:t>
      </w:r>
      <w:r w:rsidRPr="005A7591">
        <w:rPr>
          <w:color w:val="000000"/>
        </w:rPr>
        <w:t xml:space="preserve"> use and oversight</w:t>
      </w:r>
      <w:r w:rsidRPr="001F6EE7">
        <w:rPr>
          <w:color w:val="000000"/>
        </w:rPr>
        <w:t xml:space="preserve"> of </w:t>
      </w:r>
      <w:r>
        <w:rPr>
          <w:color w:val="000000"/>
        </w:rPr>
        <w:t>i</w:t>
      </w:r>
      <w:r w:rsidRPr="001F6EE7">
        <w:rPr>
          <w:color w:val="000000"/>
        </w:rPr>
        <w:t xml:space="preserve">ntermediate </w:t>
      </w:r>
      <w:r>
        <w:rPr>
          <w:color w:val="000000"/>
        </w:rPr>
        <w:t>p</w:t>
      </w:r>
      <w:r w:rsidRPr="001F6EE7">
        <w:rPr>
          <w:color w:val="000000"/>
        </w:rPr>
        <w:t>roviders</w:t>
      </w:r>
      <w:r>
        <w:rPr>
          <w:color w:val="000000"/>
        </w:rPr>
        <w:t xml:space="preserve"> (entities used by Matrix to route calls to specified destinations) for call completion purposes</w:t>
      </w:r>
      <w:r>
        <w:rPr>
          <w:snapToGrid/>
          <w:kern w:val="0"/>
          <w:szCs w:val="22"/>
        </w:rPr>
        <w:t xml:space="preserve">. </w:t>
      </w:r>
    </w:p>
    <w:p w:rsidR="00F54A26" w:rsidRPr="00BB0C9A" w:rsidRDefault="00F54A26" w:rsidP="00F54A26">
      <w:pPr>
        <w:pStyle w:val="ParaNum"/>
        <w:rPr>
          <w:szCs w:val="22"/>
        </w:rPr>
      </w:pPr>
      <w:r>
        <w:t>A copy of the Consent Decree negotiated by the Bureau and Matrix is attached to this Order and is incorporated herein by reference.</w:t>
      </w:r>
    </w:p>
    <w:p w:rsidR="00F54A26" w:rsidRPr="00BA04D1" w:rsidRDefault="00F54A26" w:rsidP="00F54A26">
      <w:pPr>
        <w:pStyle w:val="ParaNum"/>
        <w:rPr>
          <w:szCs w:val="22"/>
        </w:rPr>
      </w:pPr>
      <w:r>
        <w:t>In the absence of material new evidence relating to this matter, we conclude that our investigation raises no substantial or material questions of fact as to whether the Company possesses the basic qualifications, including those related to character, to hold or obtain any Commission license or authorization.</w:t>
      </w:r>
    </w:p>
    <w:p w:rsidR="00F54A26" w:rsidRPr="00BA04D1" w:rsidRDefault="00F54A26" w:rsidP="00F54A26">
      <w:pPr>
        <w:pStyle w:val="ParaNum"/>
        <w:rPr>
          <w:szCs w:val="22"/>
        </w:rPr>
      </w:pPr>
      <w:r>
        <w:t>After reviewing the terms of the Consent Decree and evaluating the facts before us, we find that the public interest will be served by adopting the Consent Decree and terminating the investigation.</w:t>
      </w:r>
    </w:p>
    <w:p w:rsidR="00F54A26" w:rsidRDefault="00F54A26" w:rsidP="00E1498F">
      <w:pPr>
        <w:pStyle w:val="ParaNum"/>
        <w:widowControl/>
      </w:pPr>
      <w:r>
        <w:lastRenderedPageBreak/>
        <w:t xml:space="preserve">Accordingly, </w:t>
      </w:r>
      <w:r w:rsidRPr="009A7301">
        <w:rPr>
          <w:b/>
        </w:rPr>
        <w:t>IT IS ORDERED</w:t>
      </w:r>
      <w:r>
        <w:t xml:space="preserve"> that, pursuant to Sections 4(i), 4(j), and 503(b) of the Act,</w:t>
      </w:r>
      <w:r>
        <w:rPr>
          <w:rStyle w:val="FootnoteReference"/>
        </w:rPr>
        <w:footnoteReference w:id="4"/>
      </w:r>
      <w:r>
        <w:t xml:space="preserve"> and Sections 0.111 and 0.311 of the Rules,</w:t>
      </w:r>
      <w:r>
        <w:rPr>
          <w:rStyle w:val="FootnoteReference"/>
        </w:rPr>
        <w:footnoteReference w:id="5"/>
      </w:r>
      <w:r>
        <w:t xml:space="preserve"> the Consent Decree attached to this Order </w:t>
      </w:r>
      <w:r w:rsidRPr="009A7301">
        <w:rPr>
          <w:b/>
        </w:rPr>
        <w:t>IS ADOPTED</w:t>
      </w:r>
      <w:r>
        <w:t>.</w:t>
      </w:r>
    </w:p>
    <w:p w:rsidR="00F54A26" w:rsidRPr="003F1272" w:rsidRDefault="00F54A26" w:rsidP="00F54A26">
      <w:pPr>
        <w:pStyle w:val="ParaNum"/>
      </w:pPr>
      <w:r w:rsidRPr="009A7301">
        <w:rPr>
          <w:b/>
        </w:rPr>
        <w:t>IT IS FURTHER ORDERED</w:t>
      </w:r>
      <w:r>
        <w:t xml:space="preserve"> that the above-captioned investigation </w:t>
      </w:r>
      <w:r w:rsidRPr="009A7301">
        <w:rPr>
          <w:b/>
        </w:rPr>
        <w:t>IS TERMINATED</w:t>
      </w:r>
      <w:r>
        <w:t>.</w:t>
      </w:r>
    </w:p>
    <w:p w:rsidR="00F54A26" w:rsidRDefault="00F54A26" w:rsidP="00F54A26">
      <w:pPr>
        <w:pStyle w:val="ParaNum"/>
      </w:pPr>
      <w:r w:rsidRPr="009A7301">
        <w:rPr>
          <w:b/>
        </w:rPr>
        <w:t>IT IS FURTHER ORDERED</w:t>
      </w:r>
      <w:r>
        <w:t xml:space="preserve"> that a copy of this Order and Consent Decree shall be sent by both First Class U.S. Mail and Certified Mail to Bob Beaty, CEO, Matrix Telecom, Inc., 433 E. Las Colinas Boulevard, Irving, Texas 75039.</w:t>
      </w:r>
    </w:p>
    <w:p w:rsidR="00F54A26" w:rsidRDefault="00F54A26" w:rsidP="00F54A26">
      <w:pPr>
        <w:pStyle w:val="ParaNum"/>
        <w:numPr>
          <w:ilvl w:val="0"/>
          <w:numId w:val="0"/>
        </w:numPr>
        <w:ind w:firstLine="720"/>
      </w:pPr>
    </w:p>
    <w:p w:rsidR="00F54A26" w:rsidRDefault="00F54A26" w:rsidP="00F54A26">
      <w:pPr>
        <w:pStyle w:val="ParaNum"/>
        <w:numPr>
          <w:ilvl w:val="0"/>
          <w:numId w:val="0"/>
        </w:numPr>
        <w:spacing w:after="0"/>
        <w:ind w:firstLine="720"/>
      </w:pPr>
      <w:r>
        <w:tab/>
      </w:r>
      <w:r>
        <w:tab/>
      </w:r>
      <w:r>
        <w:tab/>
      </w:r>
      <w:r>
        <w:tab/>
        <w:t>FEDERAL COMMUNICATIONS COMMISSION</w:t>
      </w:r>
    </w:p>
    <w:p w:rsidR="00F54A26" w:rsidRDefault="00F54A26" w:rsidP="00F54A26">
      <w:pPr>
        <w:pStyle w:val="ParaNum"/>
        <w:numPr>
          <w:ilvl w:val="0"/>
          <w:numId w:val="0"/>
        </w:numPr>
        <w:spacing w:after="0"/>
        <w:ind w:firstLine="720"/>
      </w:pPr>
    </w:p>
    <w:p w:rsidR="00F54A26" w:rsidRDefault="00F54A26" w:rsidP="00F54A26">
      <w:pPr>
        <w:pStyle w:val="ParaNum"/>
        <w:numPr>
          <w:ilvl w:val="0"/>
          <w:numId w:val="0"/>
        </w:numPr>
        <w:spacing w:after="0"/>
        <w:ind w:firstLine="720"/>
      </w:pPr>
    </w:p>
    <w:p w:rsidR="00F54A26" w:rsidRDefault="00F54A26" w:rsidP="00F54A26">
      <w:pPr>
        <w:pStyle w:val="ParaNum"/>
        <w:numPr>
          <w:ilvl w:val="0"/>
          <w:numId w:val="0"/>
        </w:numPr>
        <w:spacing w:after="0"/>
        <w:ind w:firstLine="720"/>
      </w:pPr>
    </w:p>
    <w:p w:rsidR="00F54A26" w:rsidRDefault="00F54A26" w:rsidP="00F54A26">
      <w:pPr>
        <w:pStyle w:val="ParaNum"/>
        <w:numPr>
          <w:ilvl w:val="0"/>
          <w:numId w:val="0"/>
        </w:numPr>
        <w:spacing w:after="0"/>
        <w:ind w:firstLine="720"/>
      </w:pPr>
    </w:p>
    <w:p w:rsidR="00F54A26" w:rsidRDefault="00F54A26" w:rsidP="00F54A26">
      <w:pPr>
        <w:pStyle w:val="ParaNum"/>
        <w:numPr>
          <w:ilvl w:val="0"/>
          <w:numId w:val="0"/>
        </w:numPr>
        <w:spacing w:after="0"/>
        <w:ind w:firstLine="720"/>
      </w:pPr>
      <w:r>
        <w:tab/>
      </w:r>
      <w:r>
        <w:tab/>
      </w:r>
      <w:r>
        <w:tab/>
      </w:r>
      <w:r>
        <w:tab/>
        <w:t>Travis LeBlanc</w:t>
      </w:r>
    </w:p>
    <w:p w:rsidR="00F54A26" w:rsidRDefault="00F54A26" w:rsidP="00F54A26">
      <w:pPr>
        <w:pStyle w:val="ParaNum"/>
        <w:numPr>
          <w:ilvl w:val="0"/>
          <w:numId w:val="0"/>
        </w:numPr>
        <w:spacing w:after="0"/>
        <w:ind w:firstLine="720"/>
      </w:pPr>
      <w:r>
        <w:tab/>
      </w:r>
      <w:r>
        <w:tab/>
      </w:r>
      <w:r>
        <w:tab/>
      </w:r>
      <w:r>
        <w:tab/>
        <w:t>Acting Chief, Enforcement Bureau</w:t>
      </w:r>
    </w:p>
    <w:p w:rsidR="00AD09FD" w:rsidRDefault="00AD09FD">
      <w:pPr>
        <w:widowControl/>
        <w:spacing w:after="200" w:line="276" w:lineRule="auto"/>
        <w:rPr>
          <w:b/>
        </w:rPr>
        <w:sectPr w:rsidR="00AD09FD" w:rsidSect="00E1498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360"/>
        </w:sectPr>
      </w:pPr>
    </w:p>
    <w:p w:rsidR="008E0C3F" w:rsidRDefault="008E0C3F" w:rsidP="00243AAF">
      <w:pPr>
        <w:widowControl/>
        <w:jc w:val="center"/>
        <w:rPr>
          <w:b/>
        </w:rPr>
      </w:pPr>
      <w:r>
        <w:rPr>
          <w:b/>
        </w:rPr>
        <w:t>Before the</w:t>
      </w:r>
    </w:p>
    <w:p w:rsidR="008E0C3F" w:rsidRDefault="008E0C3F" w:rsidP="008E0C3F">
      <w:pPr>
        <w:widowControl/>
        <w:jc w:val="center"/>
        <w:rPr>
          <w:b/>
        </w:rPr>
      </w:pPr>
      <w:r>
        <w:rPr>
          <w:b/>
        </w:rPr>
        <w:t>Federal Communications Commission</w:t>
      </w:r>
    </w:p>
    <w:p w:rsidR="008E0C3F" w:rsidRDefault="008E0C3F" w:rsidP="008E0C3F">
      <w:pPr>
        <w:widowControl/>
        <w:jc w:val="center"/>
        <w:rPr>
          <w:b/>
        </w:rPr>
      </w:pPr>
      <w:r>
        <w:rPr>
          <w:b/>
        </w:rPr>
        <w:t>Washington, DC 20554</w:t>
      </w:r>
    </w:p>
    <w:p w:rsidR="008E0C3F" w:rsidRDefault="008E0C3F" w:rsidP="008E0C3F">
      <w:pPr>
        <w:widowControl/>
        <w:rPr>
          <w:szCs w:val="22"/>
        </w:rPr>
      </w:pPr>
    </w:p>
    <w:p w:rsidR="00CE6290" w:rsidRDefault="00CE6290" w:rsidP="008E0C3F">
      <w:pPr>
        <w:widowControl/>
        <w:rPr>
          <w:szCs w:val="22"/>
        </w:rPr>
      </w:pPr>
    </w:p>
    <w:tbl>
      <w:tblPr>
        <w:tblW w:w="11952" w:type="dxa"/>
        <w:tblLook w:val="0000" w:firstRow="0" w:lastRow="0" w:firstColumn="0" w:lastColumn="0" w:noHBand="0" w:noVBand="0"/>
      </w:tblPr>
      <w:tblGrid>
        <w:gridCol w:w="4788"/>
        <w:gridCol w:w="611"/>
        <w:gridCol w:w="3195"/>
        <w:gridCol w:w="163"/>
        <w:gridCol w:w="3032"/>
        <w:gridCol w:w="163"/>
      </w:tblGrid>
      <w:tr w:rsidR="008E0C3F" w:rsidTr="003230E7">
        <w:trPr>
          <w:trHeight w:val="1453"/>
        </w:trPr>
        <w:tc>
          <w:tcPr>
            <w:tcW w:w="4788" w:type="dxa"/>
          </w:tcPr>
          <w:p w:rsidR="008E0C3F" w:rsidRDefault="008E0C3F" w:rsidP="00AD5445">
            <w:pPr>
              <w:keepNext/>
              <w:widowControl/>
              <w:rPr>
                <w:szCs w:val="22"/>
              </w:rPr>
            </w:pPr>
            <w:r>
              <w:rPr>
                <w:szCs w:val="22"/>
              </w:rPr>
              <w:t>In the Matter of</w:t>
            </w:r>
          </w:p>
          <w:p w:rsidR="008E0C3F" w:rsidRDefault="008E0C3F" w:rsidP="00AD5445">
            <w:pPr>
              <w:keepNext/>
              <w:widowControl/>
              <w:rPr>
                <w:b/>
                <w:szCs w:val="22"/>
              </w:rPr>
            </w:pPr>
          </w:p>
          <w:p w:rsidR="008E0C3F" w:rsidRDefault="00234497" w:rsidP="00AD5445">
            <w:pPr>
              <w:keepNext/>
              <w:widowControl/>
              <w:rPr>
                <w:b/>
                <w:szCs w:val="22"/>
              </w:rPr>
            </w:pPr>
            <w:r>
              <w:rPr>
                <w:b/>
                <w:szCs w:val="22"/>
              </w:rPr>
              <w:t>MATRIX TELECOM, INC.</w:t>
            </w:r>
          </w:p>
          <w:p w:rsidR="008E0C3F" w:rsidRDefault="008E0C3F" w:rsidP="00AD5445">
            <w:pPr>
              <w:keepNext/>
              <w:widowControl/>
              <w:rPr>
                <w:b/>
                <w:szCs w:val="22"/>
              </w:rPr>
            </w:pPr>
          </w:p>
          <w:p w:rsidR="008E0C3F" w:rsidRDefault="008E0C3F" w:rsidP="00AD5445">
            <w:pPr>
              <w:keepNext/>
              <w:widowControl/>
              <w:rPr>
                <w:b/>
                <w:szCs w:val="22"/>
              </w:rPr>
            </w:pPr>
          </w:p>
          <w:p w:rsidR="008E0C3F" w:rsidRDefault="008E0C3F" w:rsidP="00AD5445">
            <w:pPr>
              <w:keepNext/>
              <w:widowControl/>
              <w:rPr>
                <w:szCs w:val="22"/>
              </w:rPr>
            </w:pPr>
          </w:p>
        </w:tc>
        <w:tc>
          <w:tcPr>
            <w:tcW w:w="611" w:type="dxa"/>
          </w:tcPr>
          <w:p w:rsidR="008E0C3F" w:rsidRDefault="008E0C3F" w:rsidP="00AD5445">
            <w:pPr>
              <w:keepNext/>
              <w:widowControl/>
              <w:tabs>
                <w:tab w:val="left" w:pos="132"/>
              </w:tabs>
              <w:rPr>
                <w:szCs w:val="22"/>
              </w:rPr>
            </w:pPr>
            <w:r>
              <w:rPr>
                <w:szCs w:val="22"/>
              </w:rPr>
              <w:t>)</w:t>
            </w:r>
          </w:p>
          <w:p w:rsidR="008E0C3F" w:rsidRDefault="008E0C3F" w:rsidP="00AD5445">
            <w:pPr>
              <w:keepNext/>
              <w:widowControl/>
              <w:tabs>
                <w:tab w:val="left" w:pos="132"/>
              </w:tabs>
              <w:rPr>
                <w:szCs w:val="22"/>
              </w:rPr>
            </w:pPr>
            <w:r>
              <w:rPr>
                <w:szCs w:val="22"/>
              </w:rPr>
              <w:t>)</w:t>
            </w:r>
          </w:p>
          <w:p w:rsidR="008E0C3F" w:rsidRDefault="008E0C3F" w:rsidP="00AD5445">
            <w:pPr>
              <w:keepNext/>
              <w:widowControl/>
              <w:tabs>
                <w:tab w:val="left" w:pos="132"/>
              </w:tabs>
              <w:rPr>
                <w:szCs w:val="22"/>
              </w:rPr>
            </w:pPr>
            <w:r>
              <w:rPr>
                <w:szCs w:val="22"/>
              </w:rPr>
              <w:t>)</w:t>
            </w:r>
          </w:p>
          <w:p w:rsidR="008E0C3F" w:rsidRDefault="008E0C3F" w:rsidP="00AD5445">
            <w:pPr>
              <w:keepNext/>
              <w:widowControl/>
              <w:tabs>
                <w:tab w:val="left" w:pos="132"/>
              </w:tabs>
              <w:rPr>
                <w:szCs w:val="22"/>
              </w:rPr>
            </w:pPr>
            <w:r>
              <w:rPr>
                <w:szCs w:val="22"/>
              </w:rPr>
              <w:t>)</w:t>
            </w:r>
          </w:p>
          <w:p w:rsidR="008E0C3F" w:rsidRDefault="008E0C3F" w:rsidP="00AD5445">
            <w:pPr>
              <w:keepNext/>
              <w:widowControl/>
              <w:tabs>
                <w:tab w:val="left" w:pos="132"/>
              </w:tabs>
              <w:rPr>
                <w:szCs w:val="22"/>
              </w:rPr>
            </w:pPr>
            <w:r>
              <w:rPr>
                <w:szCs w:val="22"/>
              </w:rPr>
              <w:t>)</w:t>
            </w:r>
          </w:p>
          <w:p w:rsidR="008E0C3F" w:rsidRDefault="008E0C3F" w:rsidP="007C7BDF">
            <w:pPr>
              <w:keepNext/>
              <w:widowControl/>
              <w:tabs>
                <w:tab w:val="left" w:pos="132"/>
              </w:tabs>
              <w:rPr>
                <w:szCs w:val="22"/>
              </w:rPr>
            </w:pPr>
          </w:p>
        </w:tc>
        <w:tc>
          <w:tcPr>
            <w:tcW w:w="3358" w:type="dxa"/>
            <w:gridSpan w:val="2"/>
          </w:tcPr>
          <w:p w:rsidR="008E0C3F" w:rsidRPr="00ED0D7B" w:rsidRDefault="008E0C3F" w:rsidP="00AD5445">
            <w:pPr>
              <w:widowControl/>
              <w:rPr>
                <w:spacing w:val="-2"/>
                <w:szCs w:val="22"/>
                <w:lang w:val="es-ES"/>
              </w:rPr>
            </w:pPr>
            <w:r w:rsidRPr="00ED0D7B">
              <w:rPr>
                <w:spacing w:val="-2"/>
                <w:szCs w:val="22"/>
                <w:lang w:val="es-ES"/>
              </w:rPr>
              <w:t xml:space="preserve">File No.:  </w:t>
            </w:r>
            <w:r w:rsidR="00CE6290" w:rsidRPr="003230E7">
              <w:rPr>
                <w:szCs w:val="22"/>
              </w:rPr>
              <w:t>EB-</w:t>
            </w:r>
            <w:r w:rsidR="00F9298A">
              <w:rPr>
                <w:szCs w:val="22"/>
              </w:rPr>
              <w:t>IHD-13-00011</w:t>
            </w:r>
            <w:r w:rsidR="00234497">
              <w:rPr>
                <w:szCs w:val="22"/>
              </w:rPr>
              <w:t>204</w:t>
            </w:r>
            <w:r w:rsidR="00F9298A">
              <w:rPr>
                <w:rStyle w:val="FootnoteReference"/>
                <w:szCs w:val="22"/>
              </w:rPr>
              <w:footnoteReference w:id="6"/>
            </w:r>
          </w:p>
          <w:p w:rsidR="008E0C3F" w:rsidRPr="0040282E" w:rsidRDefault="008E0C3F" w:rsidP="00AD5445">
            <w:pPr>
              <w:widowControl/>
              <w:ind w:left="-108" w:firstLine="108"/>
              <w:rPr>
                <w:spacing w:val="-2"/>
                <w:szCs w:val="22"/>
                <w:lang w:val="es-ES"/>
              </w:rPr>
            </w:pPr>
          </w:p>
          <w:p w:rsidR="008E0C3F" w:rsidRDefault="008E0C3F" w:rsidP="00AD5445">
            <w:pPr>
              <w:widowControl/>
              <w:rPr>
                <w:spacing w:val="-2"/>
                <w:szCs w:val="22"/>
                <w:lang w:val="es-ES"/>
              </w:rPr>
            </w:pPr>
            <w:r>
              <w:rPr>
                <w:spacing w:val="-2"/>
                <w:szCs w:val="22"/>
                <w:lang w:val="es-ES"/>
              </w:rPr>
              <w:t xml:space="preserve">Acct. No.:  </w:t>
            </w:r>
            <w:r w:rsidR="00234497" w:rsidRPr="00D46AB5">
              <w:rPr>
                <w:spacing w:val="-2"/>
                <w:szCs w:val="22"/>
              </w:rPr>
              <w:t>201432080032</w:t>
            </w:r>
          </w:p>
          <w:p w:rsidR="008E0C3F" w:rsidRDefault="008E0C3F" w:rsidP="00AD5445">
            <w:pPr>
              <w:widowControl/>
              <w:rPr>
                <w:spacing w:val="-2"/>
                <w:szCs w:val="22"/>
                <w:lang w:val="es-ES"/>
              </w:rPr>
            </w:pPr>
          </w:p>
          <w:p w:rsidR="008E0C3F" w:rsidRPr="00FF767B" w:rsidRDefault="008E0C3F" w:rsidP="00234497">
            <w:pPr>
              <w:keepNext/>
              <w:widowControl/>
              <w:rPr>
                <w:szCs w:val="22"/>
              </w:rPr>
            </w:pPr>
            <w:r>
              <w:rPr>
                <w:szCs w:val="22"/>
              </w:rPr>
              <w:t xml:space="preserve">FRN:  </w:t>
            </w:r>
            <w:r w:rsidR="00234497" w:rsidRPr="00752F4B">
              <w:t>0004333068</w:t>
            </w:r>
          </w:p>
        </w:tc>
        <w:tc>
          <w:tcPr>
            <w:tcW w:w="3195" w:type="dxa"/>
            <w:gridSpan w:val="2"/>
          </w:tcPr>
          <w:p w:rsidR="008E0C3F" w:rsidRDefault="008E0C3F" w:rsidP="00AD5445">
            <w:pPr>
              <w:keepNext/>
              <w:widowControl/>
              <w:rPr>
                <w:szCs w:val="22"/>
              </w:rPr>
            </w:pPr>
          </w:p>
        </w:tc>
      </w:tr>
      <w:tr w:rsidR="008E0C3F" w:rsidTr="003230E7">
        <w:trPr>
          <w:gridAfter w:val="1"/>
          <w:wAfter w:w="163" w:type="dxa"/>
          <w:trHeight w:val="134"/>
        </w:trPr>
        <w:tc>
          <w:tcPr>
            <w:tcW w:w="4788" w:type="dxa"/>
          </w:tcPr>
          <w:p w:rsidR="008E0C3F" w:rsidRDefault="008E0C3F" w:rsidP="00AD5445">
            <w:pPr>
              <w:keepNext/>
              <w:widowControl/>
              <w:rPr>
                <w:szCs w:val="22"/>
              </w:rPr>
            </w:pPr>
          </w:p>
        </w:tc>
        <w:tc>
          <w:tcPr>
            <w:tcW w:w="611" w:type="dxa"/>
          </w:tcPr>
          <w:p w:rsidR="008E0C3F" w:rsidRDefault="008E0C3F" w:rsidP="00AD5445">
            <w:pPr>
              <w:keepNext/>
              <w:widowControl/>
              <w:rPr>
                <w:szCs w:val="22"/>
              </w:rPr>
            </w:pPr>
          </w:p>
        </w:tc>
        <w:tc>
          <w:tcPr>
            <w:tcW w:w="3195" w:type="dxa"/>
          </w:tcPr>
          <w:p w:rsidR="008E0C3F" w:rsidRDefault="008E0C3F" w:rsidP="00AD5445">
            <w:pPr>
              <w:widowControl/>
              <w:ind w:left="-108" w:firstLine="108"/>
              <w:rPr>
                <w:spacing w:val="-2"/>
                <w:szCs w:val="22"/>
                <w:lang w:val="es-ES"/>
              </w:rPr>
            </w:pPr>
          </w:p>
        </w:tc>
        <w:tc>
          <w:tcPr>
            <w:tcW w:w="3195" w:type="dxa"/>
            <w:gridSpan w:val="2"/>
          </w:tcPr>
          <w:p w:rsidR="008E0C3F" w:rsidRDefault="008E0C3F" w:rsidP="00AD5445">
            <w:pPr>
              <w:widowControl/>
              <w:ind w:left="-108" w:firstLine="108"/>
              <w:rPr>
                <w:spacing w:val="-2"/>
                <w:szCs w:val="22"/>
                <w:lang w:val="es-ES"/>
              </w:rPr>
            </w:pPr>
          </w:p>
        </w:tc>
      </w:tr>
    </w:tbl>
    <w:p w:rsidR="008E0C3F" w:rsidRDefault="008E0C3F" w:rsidP="00006AA3">
      <w:pPr>
        <w:keepNext/>
        <w:widowControl/>
        <w:jc w:val="center"/>
        <w:rPr>
          <w:szCs w:val="22"/>
        </w:rPr>
      </w:pPr>
      <w:r>
        <w:rPr>
          <w:b/>
          <w:szCs w:val="22"/>
        </w:rPr>
        <w:t>CONSENT DECREE</w:t>
      </w:r>
    </w:p>
    <w:p w:rsidR="008E0C3F" w:rsidRDefault="008E0C3F" w:rsidP="00F3530E">
      <w:pPr>
        <w:pStyle w:val="ParaNum"/>
        <w:widowControl/>
        <w:numPr>
          <w:ilvl w:val="0"/>
          <w:numId w:val="20"/>
        </w:numPr>
        <w:tabs>
          <w:tab w:val="clear" w:pos="1080"/>
        </w:tabs>
        <w:spacing w:before="240" w:after="0"/>
      </w:pPr>
      <w:r>
        <w:t xml:space="preserve">The </w:t>
      </w:r>
      <w:r w:rsidRPr="00C8604F">
        <w:t>Enforcement</w:t>
      </w:r>
      <w:r w:rsidRPr="00F3530E">
        <w:rPr>
          <w:bCs/>
        </w:rPr>
        <w:t xml:space="preserve"> Bureau </w:t>
      </w:r>
      <w:r w:rsidR="00301746" w:rsidRPr="00F3530E">
        <w:rPr>
          <w:bCs/>
        </w:rPr>
        <w:t xml:space="preserve">(Bureau) </w:t>
      </w:r>
      <w:r>
        <w:t xml:space="preserve">of the Federal Communications Commission </w:t>
      </w:r>
      <w:r w:rsidR="009833AB">
        <w:t xml:space="preserve">and </w:t>
      </w:r>
      <w:r w:rsidR="00234497" w:rsidRPr="005A7591">
        <w:t>Matrix Telecom, Inc.</w:t>
      </w:r>
      <w:r w:rsidRPr="005A7591">
        <w:t xml:space="preserve"> (</w:t>
      </w:r>
      <w:r w:rsidR="00234497" w:rsidRPr="005A7591">
        <w:t>Matrix</w:t>
      </w:r>
      <w:r w:rsidR="009833AB" w:rsidRPr="005A7591">
        <w:t xml:space="preserve"> o</w:t>
      </w:r>
      <w:r w:rsidR="009833AB">
        <w:t>r Company</w:t>
      </w:r>
      <w:r>
        <w:t xml:space="preserve">), by their authorized representatives, hereby enter into this Consent Decree for the purpose of terminating the </w:t>
      </w:r>
      <w:r w:rsidR="00301746">
        <w:t xml:space="preserve">Bureau’s </w:t>
      </w:r>
      <w:r w:rsidRPr="00F3530E">
        <w:rPr>
          <w:bCs/>
        </w:rPr>
        <w:t>investigation</w:t>
      </w:r>
      <w:r>
        <w:t xml:space="preserve"> into </w:t>
      </w:r>
      <w:r w:rsidR="00CE6290">
        <w:t xml:space="preserve">possible </w:t>
      </w:r>
      <w:r w:rsidR="009833AB" w:rsidRPr="00F3530E">
        <w:rPr>
          <w:snapToGrid/>
          <w:kern w:val="0"/>
          <w:szCs w:val="22"/>
        </w:rPr>
        <w:t>violation</w:t>
      </w:r>
      <w:r w:rsidR="00CE6290" w:rsidRPr="00F3530E">
        <w:rPr>
          <w:snapToGrid/>
          <w:kern w:val="0"/>
          <w:szCs w:val="22"/>
        </w:rPr>
        <w:t>s</w:t>
      </w:r>
      <w:r w:rsidR="009833AB" w:rsidRPr="00F3530E">
        <w:rPr>
          <w:snapToGrid/>
          <w:kern w:val="0"/>
          <w:szCs w:val="22"/>
        </w:rPr>
        <w:t xml:space="preserve"> of </w:t>
      </w:r>
      <w:r w:rsidR="000336F1" w:rsidRPr="00F3530E">
        <w:rPr>
          <w:snapToGrid/>
          <w:kern w:val="0"/>
          <w:szCs w:val="22"/>
        </w:rPr>
        <w:t>S</w:t>
      </w:r>
      <w:r w:rsidR="009833AB" w:rsidRPr="00F3530E">
        <w:rPr>
          <w:snapToGrid/>
          <w:kern w:val="0"/>
          <w:szCs w:val="22"/>
        </w:rPr>
        <w:t>ection</w:t>
      </w:r>
      <w:r w:rsidR="00AC3BCF" w:rsidRPr="00F3530E">
        <w:rPr>
          <w:snapToGrid/>
          <w:kern w:val="0"/>
          <w:szCs w:val="22"/>
        </w:rPr>
        <w:t>s</w:t>
      </w:r>
      <w:r w:rsidR="009833AB" w:rsidRPr="00F3530E">
        <w:rPr>
          <w:snapToGrid/>
          <w:kern w:val="0"/>
          <w:szCs w:val="22"/>
        </w:rPr>
        <w:t xml:space="preserve"> 201(b)</w:t>
      </w:r>
      <w:r w:rsidR="00CE6290" w:rsidRPr="00F3530E">
        <w:rPr>
          <w:snapToGrid/>
          <w:kern w:val="0"/>
          <w:szCs w:val="22"/>
        </w:rPr>
        <w:t xml:space="preserve"> </w:t>
      </w:r>
      <w:r w:rsidR="00AC3BCF" w:rsidRPr="00F3530E">
        <w:rPr>
          <w:snapToGrid/>
          <w:kern w:val="0"/>
          <w:szCs w:val="22"/>
        </w:rPr>
        <w:t xml:space="preserve">and 202(a) </w:t>
      </w:r>
      <w:r w:rsidR="00CE6290" w:rsidRPr="00F3530E">
        <w:rPr>
          <w:snapToGrid/>
          <w:kern w:val="0"/>
          <w:szCs w:val="22"/>
        </w:rPr>
        <w:t xml:space="preserve">of the </w:t>
      </w:r>
      <w:r w:rsidR="009833AB" w:rsidRPr="00F3530E">
        <w:rPr>
          <w:snapToGrid/>
          <w:kern w:val="0"/>
          <w:szCs w:val="22"/>
        </w:rPr>
        <w:t>Communications Act of 1934, as amended (Act)</w:t>
      </w:r>
      <w:r w:rsidR="00BC04B3" w:rsidRPr="00F3530E">
        <w:rPr>
          <w:snapToGrid/>
          <w:kern w:val="0"/>
          <w:szCs w:val="22"/>
        </w:rPr>
        <w:t>,</w:t>
      </w:r>
      <w:r w:rsidR="00D6448E" w:rsidRPr="009833AB">
        <w:rPr>
          <w:snapToGrid/>
          <w:kern w:val="0"/>
          <w:szCs w:val="22"/>
          <w:vertAlign w:val="superscript"/>
        </w:rPr>
        <w:footnoteReference w:id="7"/>
      </w:r>
      <w:r w:rsidR="00CE6290" w:rsidRPr="00F3530E">
        <w:rPr>
          <w:color w:val="000000"/>
        </w:rPr>
        <w:t xml:space="preserve"> </w:t>
      </w:r>
      <w:r w:rsidR="00B75651" w:rsidRPr="00F3530E">
        <w:rPr>
          <w:color w:val="000000"/>
        </w:rPr>
        <w:t>with respect to</w:t>
      </w:r>
      <w:r w:rsidR="006D24F4" w:rsidRPr="00F3530E">
        <w:rPr>
          <w:color w:val="000000"/>
        </w:rPr>
        <w:t xml:space="preserve"> </w:t>
      </w:r>
      <w:r w:rsidR="00234497" w:rsidRPr="00F3530E">
        <w:rPr>
          <w:color w:val="000000"/>
        </w:rPr>
        <w:t>Matrix’</w:t>
      </w:r>
      <w:r w:rsidR="00CE6290" w:rsidRPr="00F3530E">
        <w:rPr>
          <w:color w:val="000000"/>
        </w:rPr>
        <w:t xml:space="preserve">s call completion practices to rural areas, including </w:t>
      </w:r>
      <w:r w:rsidR="005A7591" w:rsidRPr="00F3530E">
        <w:rPr>
          <w:color w:val="000000"/>
        </w:rPr>
        <w:t>its</w:t>
      </w:r>
      <w:r w:rsidR="00FB0C03" w:rsidRPr="00F3530E">
        <w:rPr>
          <w:color w:val="000000"/>
        </w:rPr>
        <w:t xml:space="preserve"> </w:t>
      </w:r>
      <w:r w:rsidR="00CE6290" w:rsidRPr="00F3530E">
        <w:rPr>
          <w:color w:val="000000"/>
        </w:rPr>
        <w:t xml:space="preserve">use and </w:t>
      </w:r>
      <w:r w:rsidR="00B27B41" w:rsidRPr="00F3530E">
        <w:rPr>
          <w:color w:val="000000"/>
        </w:rPr>
        <w:t>oversight</w:t>
      </w:r>
      <w:r w:rsidR="00CE6290" w:rsidRPr="00F3530E">
        <w:rPr>
          <w:color w:val="000000"/>
        </w:rPr>
        <w:t xml:space="preserve"> of </w:t>
      </w:r>
      <w:r w:rsidR="0081351E" w:rsidRPr="00F3530E">
        <w:rPr>
          <w:color w:val="000000"/>
        </w:rPr>
        <w:t>I</w:t>
      </w:r>
      <w:r w:rsidR="00CE6290" w:rsidRPr="00F3530E">
        <w:rPr>
          <w:color w:val="000000"/>
        </w:rPr>
        <w:t xml:space="preserve">ntermediate </w:t>
      </w:r>
      <w:r w:rsidR="0081351E" w:rsidRPr="00F3530E">
        <w:rPr>
          <w:color w:val="000000"/>
        </w:rPr>
        <w:t>P</w:t>
      </w:r>
      <w:r w:rsidR="00CE6290" w:rsidRPr="00F3530E">
        <w:rPr>
          <w:color w:val="000000"/>
        </w:rPr>
        <w:t>roviders</w:t>
      </w:r>
      <w:r w:rsidR="009833AB" w:rsidRPr="00F3530E">
        <w:rPr>
          <w:snapToGrid/>
          <w:kern w:val="0"/>
          <w:szCs w:val="22"/>
        </w:rPr>
        <w:t xml:space="preserve">.  </w:t>
      </w:r>
    </w:p>
    <w:p w:rsidR="008E0C3F" w:rsidRPr="000E0878" w:rsidRDefault="008E0C3F" w:rsidP="00006AA3">
      <w:pPr>
        <w:pStyle w:val="ParaNum"/>
        <w:widowControl/>
        <w:numPr>
          <w:ilvl w:val="0"/>
          <w:numId w:val="8"/>
        </w:numPr>
        <w:spacing w:before="240" w:after="240"/>
        <w:ind w:left="720"/>
        <w:rPr>
          <w:b/>
        </w:rPr>
      </w:pPr>
      <w:r w:rsidRPr="000E0878">
        <w:rPr>
          <w:b/>
        </w:rPr>
        <w:t>DEFINITIONS</w:t>
      </w:r>
    </w:p>
    <w:p w:rsidR="008E0C3F" w:rsidRPr="00657280" w:rsidRDefault="008E0C3F" w:rsidP="00AD5445">
      <w:pPr>
        <w:pStyle w:val="ParaNum"/>
        <w:rPr>
          <w:szCs w:val="22"/>
        </w:rPr>
      </w:pPr>
      <w:r>
        <w:t>For the purposes of this Consent Decree, the following definitions shall apply:</w:t>
      </w:r>
    </w:p>
    <w:p w:rsidR="008E0C3F" w:rsidRDefault="008E0C3F" w:rsidP="00D71382">
      <w:pPr>
        <w:widowControl/>
        <w:numPr>
          <w:ilvl w:val="0"/>
          <w:numId w:val="1"/>
        </w:numPr>
        <w:tabs>
          <w:tab w:val="clear" w:pos="3960"/>
          <w:tab w:val="left" w:pos="720"/>
          <w:tab w:val="left" w:pos="1440"/>
          <w:tab w:val="left" w:pos="1800"/>
        </w:tabs>
        <w:spacing w:after="120"/>
        <w:ind w:left="1890" w:hanging="450"/>
        <w:rPr>
          <w:szCs w:val="22"/>
        </w:rPr>
      </w:pPr>
      <w:r>
        <w:rPr>
          <w:szCs w:val="22"/>
        </w:rPr>
        <w:t xml:space="preserve">“Act” means the Communications Act of 1934, as amended, 47 U.S.C. § 151 </w:t>
      </w:r>
      <w:r w:rsidRPr="000D61E5">
        <w:rPr>
          <w:i/>
          <w:szCs w:val="22"/>
        </w:rPr>
        <w:t>et seq</w:t>
      </w:r>
      <w:r w:rsidRPr="00D63DDE">
        <w:rPr>
          <w:szCs w:val="22"/>
        </w:rPr>
        <w:t>.</w:t>
      </w:r>
    </w:p>
    <w:p w:rsidR="008E0C3F" w:rsidRDefault="008E0C3F" w:rsidP="00D71382">
      <w:pPr>
        <w:widowControl/>
        <w:numPr>
          <w:ilvl w:val="0"/>
          <w:numId w:val="1"/>
        </w:numPr>
        <w:tabs>
          <w:tab w:val="clear" w:pos="3960"/>
          <w:tab w:val="left" w:pos="720"/>
          <w:tab w:val="left" w:pos="1440"/>
          <w:tab w:val="left" w:pos="1800"/>
        </w:tabs>
        <w:spacing w:after="120"/>
        <w:ind w:left="1890" w:hanging="450"/>
        <w:rPr>
          <w:szCs w:val="22"/>
        </w:rPr>
      </w:pPr>
      <w:r>
        <w:rPr>
          <w:szCs w:val="22"/>
        </w:rPr>
        <w:t xml:space="preserve">“Adopting Order” means </w:t>
      </w:r>
      <w:r>
        <w:t>an</w:t>
      </w:r>
      <w:r>
        <w:rPr>
          <w:szCs w:val="22"/>
        </w:rPr>
        <w:t xml:space="preserve"> </w:t>
      </w:r>
      <w:r w:rsidR="0035259D">
        <w:rPr>
          <w:szCs w:val="22"/>
        </w:rPr>
        <w:t>o</w:t>
      </w:r>
      <w:r>
        <w:rPr>
          <w:szCs w:val="22"/>
        </w:rPr>
        <w:t>rder of the Bureau adopting the terms of this Consent Decree without change, addition, deletion, or modification.</w:t>
      </w:r>
    </w:p>
    <w:p w:rsidR="008E0C3F" w:rsidRDefault="008E0C3F" w:rsidP="00D71382">
      <w:pPr>
        <w:widowControl/>
        <w:numPr>
          <w:ilvl w:val="0"/>
          <w:numId w:val="1"/>
        </w:numPr>
        <w:tabs>
          <w:tab w:val="clear" w:pos="3960"/>
          <w:tab w:val="left" w:pos="720"/>
          <w:tab w:val="left" w:pos="1440"/>
          <w:tab w:val="left" w:pos="1800"/>
        </w:tabs>
        <w:spacing w:after="120"/>
        <w:ind w:left="1890" w:hanging="450"/>
        <w:rPr>
          <w:szCs w:val="22"/>
        </w:rPr>
      </w:pPr>
      <w:r>
        <w:rPr>
          <w:szCs w:val="22"/>
        </w:rPr>
        <w:t>“Bureau” means the Enforcement Bureau of the Federal Communications Commission.</w:t>
      </w:r>
    </w:p>
    <w:p w:rsidR="008E0C3F" w:rsidRDefault="008E0C3F" w:rsidP="00D71382">
      <w:pPr>
        <w:widowControl/>
        <w:numPr>
          <w:ilvl w:val="0"/>
          <w:numId w:val="1"/>
        </w:numPr>
        <w:tabs>
          <w:tab w:val="clear" w:pos="3960"/>
          <w:tab w:val="left" w:pos="720"/>
          <w:tab w:val="left" w:pos="1440"/>
          <w:tab w:val="left" w:pos="1800"/>
        </w:tabs>
        <w:spacing w:after="120"/>
        <w:ind w:left="1890" w:hanging="450"/>
        <w:rPr>
          <w:szCs w:val="22"/>
        </w:rPr>
      </w:pPr>
      <w:r>
        <w:rPr>
          <w:szCs w:val="22"/>
        </w:rPr>
        <w:t xml:space="preserve">“Commission” and “FCC” mean the Federal Communications Commission and all of its bureaus and offices.  </w:t>
      </w:r>
    </w:p>
    <w:p w:rsidR="008E0C3F" w:rsidRPr="00ED0D7B" w:rsidRDefault="008E0C3F" w:rsidP="00ED0D7B">
      <w:pPr>
        <w:widowControl/>
        <w:numPr>
          <w:ilvl w:val="0"/>
          <w:numId w:val="1"/>
        </w:numPr>
        <w:tabs>
          <w:tab w:val="clear" w:pos="3960"/>
          <w:tab w:val="left" w:pos="720"/>
          <w:tab w:val="left" w:pos="1440"/>
          <w:tab w:val="left" w:pos="1800"/>
        </w:tabs>
        <w:spacing w:after="120"/>
        <w:ind w:left="1890" w:hanging="450"/>
        <w:rPr>
          <w:szCs w:val="22"/>
        </w:rPr>
      </w:pPr>
      <w:r>
        <w:t xml:space="preserve">“Communications Laws” means collectively, the Act, the Rules, and the published </w:t>
      </w:r>
      <w:r w:rsidRPr="005A7591">
        <w:t xml:space="preserve">and promulgated orders and decisions of the Commission to which </w:t>
      </w:r>
      <w:r w:rsidR="00AD5445" w:rsidRPr="005A7591">
        <w:t xml:space="preserve">the </w:t>
      </w:r>
      <w:r w:rsidR="0081351E" w:rsidRPr="005A7591">
        <w:t>Company</w:t>
      </w:r>
      <w:r w:rsidRPr="005A7591">
        <w:t xml:space="preserve"> </w:t>
      </w:r>
      <w:r w:rsidR="0081351E" w:rsidRPr="005A7591">
        <w:t>is</w:t>
      </w:r>
      <w:r>
        <w:t xml:space="preserve"> subject by virtue of </w:t>
      </w:r>
      <w:r w:rsidR="00BC04B3">
        <w:t>its</w:t>
      </w:r>
      <w:r>
        <w:t xml:space="preserve"> business activities.</w:t>
      </w:r>
    </w:p>
    <w:p w:rsidR="008E0C3F" w:rsidRPr="005A7591" w:rsidRDefault="008E0C3F" w:rsidP="00D71382">
      <w:pPr>
        <w:widowControl/>
        <w:numPr>
          <w:ilvl w:val="0"/>
          <w:numId w:val="1"/>
        </w:numPr>
        <w:tabs>
          <w:tab w:val="clear" w:pos="3960"/>
          <w:tab w:val="left" w:pos="720"/>
          <w:tab w:val="left" w:pos="1440"/>
          <w:tab w:val="left" w:pos="1800"/>
        </w:tabs>
        <w:spacing w:after="120"/>
        <w:ind w:left="1890" w:hanging="450"/>
        <w:rPr>
          <w:szCs w:val="22"/>
        </w:rPr>
      </w:pPr>
      <w:r w:rsidRPr="005A7591">
        <w:rPr>
          <w:szCs w:val="22"/>
        </w:rPr>
        <w:t xml:space="preserve">“Compliance Plan” means the </w:t>
      </w:r>
      <w:r w:rsidR="00BC36F6" w:rsidRPr="005A7591">
        <w:rPr>
          <w:szCs w:val="22"/>
        </w:rPr>
        <w:t xml:space="preserve">compliance obligations, </w:t>
      </w:r>
      <w:r w:rsidRPr="005A7591">
        <w:rPr>
          <w:szCs w:val="22"/>
        </w:rPr>
        <w:t>p</w:t>
      </w:r>
      <w:r w:rsidR="00301746" w:rsidRPr="005A7591">
        <w:rPr>
          <w:szCs w:val="22"/>
        </w:rPr>
        <w:t>rogram</w:t>
      </w:r>
      <w:r w:rsidR="000E0878" w:rsidRPr="005A7591">
        <w:rPr>
          <w:szCs w:val="22"/>
        </w:rPr>
        <w:t>, and proc</w:t>
      </w:r>
      <w:r w:rsidR="00BC36F6" w:rsidRPr="005A7591">
        <w:rPr>
          <w:szCs w:val="22"/>
        </w:rPr>
        <w:t>edures</w:t>
      </w:r>
      <w:r w:rsidRPr="005A7591">
        <w:rPr>
          <w:szCs w:val="22"/>
        </w:rPr>
        <w:t xml:space="preserve"> described in this Consent Decree at paragraph </w:t>
      </w:r>
      <w:r w:rsidR="005F6505" w:rsidRPr="005A7591">
        <w:rPr>
          <w:szCs w:val="22"/>
        </w:rPr>
        <w:t>1</w:t>
      </w:r>
      <w:r w:rsidR="005F6505">
        <w:rPr>
          <w:szCs w:val="22"/>
        </w:rPr>
        <w:t>7</w:t>
      </w:r>
      <w:r w:rsidRPr="005A7591">
        <w:rPr>
          <w:szCs w:val="22"/>
        </w:rPr>
        <w:t>.</w:t>
      </w:r>
    </w:p>
    <w:p w:rsidR="008E0C3F" w:rsidRDefault="008E0C3F" w:rsidP="00D71382">
      <w:pPr>
        <w:widowControl/>
        <w:numPr>
          <w:ilvl w:val="0"/>
          <w:numId w:val="1"/>
        </w:numPr>
        <w:tabs>
          <w:tab w:val="clear" w:pos="3960"/>
          <w:tab w:val="left" w:pos="720"/>
          <w:tab w:val="left" w:pos="1440"/>
          <w:tab w:val="left" w:pos="1800"/>
        </w:tabs>
        <w:spacing w:after="120"/>
        <w:ind w:left="1890" w:hanging="450"/>
        <w:rPr>
          <w:szCs w:val="22"/>
        </w:rPr>
      </w:pPr>
      <w:r>
        <w:rPr>
          <w:szCs w:val="22"/>
        </w:rPr>
        <w:t xml:space="preserve">“Covered Employees” means all employees and agents of </w:t>
      </w:r>
      <w:r>
        <w:t xml:space="preserve">the </w:t>
      </w:r>
      <w:r w:rsidR="0081351E">
        <w:t>Company</w:t>
      </w:r>
      <w:r>
        <w:rPr>
          <w:szCs w:val="22"/>
        </w:rPr>
        <w:t xml:space="preserve"> who supervise, oversee, or manage the performance of, duties that relate to </w:t>
      </w:r>
      <w:r>
        <w:t xml:space="preserve">the </w:t>
      </w:r>
      <w:r w:rsidRPr="005A7591">
        <w:t>Compan</w:t>
      </w:r>
      <w:r w:rsidR="0081351E" w:rsidRPr="005A7591">
        <w:t>y</w:t>
      </w:r>
      <w:r w:rsidRPr="005A7591">
        <w:t>’</w:t>
      </w:r>
      <w:r w:rsidR="0081351E" w:rsidRPr="005A7591">
        <w:t>s</w:t>
      </w:r>
      <w:r w:rsidRPr="005A7591">
        <w:rPr>
          <w:szCs w:val="22"/>
        </w:rPr>
        <w:t xml:space="preserve"> responsibilities under </w:t>
      </w:r>
      <w:r w:rsidR="00A13A82">
        <w:rPr>
          <w:szCs w:val="22"/>
        </w:rPr>
        <w:t xml:space="preserve">this Consent Decree, </w:t>
      </w:r>
      <w:r w:rsidRPr="005A7591">
        <w:t>Section</w:t>
      </w:r>
      <w:r w:rsidR="00B75651">
        <w:t>s</w:t>
      </w:r>
      <w:r w:rsidR="0035259D" w:rsidRPr="005A7591">
        <w:t xml:space="preserve"> 201(b)</w:t>
      </w:r>
      <w:r w:rsidRPr="005A7591">
        <w:t xml:space="preserve"> </w:t>
      </w:r>
      <w:r w:rsidR="00B75651">
        <w:t xml:space="preserve">and 202(a) </w:t>
      </w:r>
      <w:r w:rsidRPr="005A7591">
        <w:t>of the Act</w:t>
      </w:r>
      <w:r w:rsidR="00D6448E" w:rsidRPr="005A7591">
        <w:t>, as interpreted</w:t>
      </w:r>
      <w:r w:rsidR="00EA2057" w:rsidRPr="005A7591">
        <w:t xml:space="preserve"> in</w:t>
      </w:r>
      <w:r w:rsidR="00DE3853" w:rsidRPr="005A7591">
        <w:t xml:space="preserve"> the</w:t>
      </w:r>
      <w:r w:rsidR="00DE3853">
        <w:t xml:space="preserve"> </w:t>
      </w:r>
      <w:r w:rsidR="00DE3853">
        <w:rPr>
          <w:i/>
        </w:rPr>
        <w:t>Rural Call Completion Declaratory Ruling</w:t>
      </w:r>
      <w:r w:rsidR="00D6448E">
        <w:t>,</w:t>
      </w:r>
      <w:r w:rsidR="00DE3853">
        <w:t xml:space="preserve"> and the rules adopted in the </w:t>
      </w:r>
      <w:r w:rsidR="00DE3853">
        <w:rPr>
          <w:i/>
        </w:rPr>
        <w:t xml:space="preserve">Rural Call Completion </w:t>
      </w:r>
      <w:r w:rsidR="00DE3853" w:rsidRPr="005A7591">
        <w:rPr>
          <w:i/>
        </w:rPr>
        <w:t>Order</w:t>
      </w:r>
      <w:r w:rsidR="005A7591">
        <w:t>.</w:t>
      </w:r>
      <w:r w:rsidR="005A7591">
        <w:rPr>
          <w:rStyle w:val="FootnoteReference"/>
          <w:szCs w:val="22"/>
        </w:rPr>
        <w:footnoteReference w:id="8"/>
      </w:r>
    </w:p>
    <w:p w:rsidR="008E0C3F" w:rsidRDefault="008E0C3F" w:rsidP="00D71382">
      <w:pPr>
        <w:widowControl/>
        <w:numPr>
          <w:ilvl w:val="0"/>
          <w:numId w:val="1"/>
        </w:numPr>
        <w:tabs>
          <w:tab w:val="clear" w:pos="3960"/>
          <w:tab w:val="left" w:pos="720"/>
          <w:tab w:val="left" w:pos="1800"/>
        </w:tabs>
        <w:spacing w:after="120"/>
        <w:ind w:left="1890" w:hanging="450"/>
        <w:rPr>
          <w:szCs w:val="22"/>
        </w:rPr>
      </w:pPr>
      <w:r>
        <w:rPr>
          <w:szCs w:val="22"/>
        </w:rPr>
        <w:t>“Effective Date” means the date on which the Bureau releases the Adopting Order.</w:t>
      </w:r>
    </w:p>
    <w:p w:rsidR="00D71382" w:rsidRPr="001F6EE7" w:rsidRDefault="00D71382" w:rsidP="0000069D">
      <w:pPr>
        <w:pStyle w:val="StyleParaNumAfter0pt"/>
      </w:pPr>
      <w:r w:rsidRPr="001F6EE7">
        <w:t xml:space="preserve">“Intermediate Provider” has the meaning provided in </w:t>
      </w:r>
      <w:r w:rsidR="001F20CA">
        <w:t xml:space="preserve">Section 64.1600(f) of the </w:t>
      </w:r>
      <w:r w:rsidR="00FA3A2A">
        <w:t>Rules</w:t>
      </w:r>
      <w:r w:rsidRPr="001F6EE7">
        <w:t>,</w:t>
      </w:r>
      <w:r w:rsidR="001F20CA">
        <w:rPr>
          <w:rStyle w:val="FootnoteReference"/>
        </w:rPr>
        <w:footnoteReference w:id="9"/>
      </w:r>
      <w:r w:rsidRPr="001F6EE7">
        <w:t xml:space="preserve"> but excludes a tandem provider to which the terminating carrier subtends or a carrier to which the terminating carrier requires an indirectly interconnecting carrier to deliver traffic.</w:t>
      </w:r>
    </w:p>
    <w:p w:rsidR="0000069D" w:rsidRPr="002170BB" w:rsidRDefault="008E0C3F" w:rsidP="00893A6D">
      <w:pPr>
        <w:widowControl/>
        <w:numPr>
          <w:ilvl w:val="0"/>
          <w:numId w:val="1"/>
        </w:numPr>
        <w:tabs>
          <w:tab w:val="clear" w:pos="3960"/>
          <w:tab w:val="left" w:pos="720"/>
          <w:tab w:val="left" w:pos="1440"/>
          <w:tab w:val="left" w:pos="1800"/>
        </w:tabs>
        <w:spacing w:after="120"/>
        <w:ind w:left="1886" w:hanging="446"/>
      </w:pPr>
      <w:r>
        <w:rPr>
          <w:color w:val="000000"/>
          <w:szCs w:val="22"/>
        </w:rPr>
        <w:t>“</w:t>
      </w:r>
      <w:r>
        <w:rPr>
          <w:szCs w:val="22"/>
        </w:rPr>
        <w:t xml:space="preserve">Investigation” means the investigation commenced by the Bureau’s </w:t>
      </w:r>
      <w:r w:rsidR="00893A6D" w:rsidRPr="005A7591">
        <w:rPr>
          <w:szCs w:val="22"/>
        </w:rPr>
        <w:t xml:space="preserve">March 21, 2013 </w:t>
      </w:r>
      <w:r w:rsidR="005365A7" w:rsidRPr="005A7591">
        <w:t>Letter of Inquiry (LOI)</w:t>
      </w:r>
      <w:r w:rsidR="00301F5E" w:rsidRPr="007127FC">
        <w:rPr>
          <w:vertAlign w:val="superscript"/>
        </w:rPr>
        <w:footnoteReference w:id="10"/>
      </w:r>
      <w:r w:rsidR="005365A7" w:rsidRPr="005A7591">
        <w:t xml:space="preserve"> </w:t>
      </w:r>
      <w:r w:rsidRPr="005A7591">
        <w:rPr>
          <w:szCs w:val="22"/>
        </w:rPr>
        <w:t xml:space="preserve">regarding </w:t>
      </w:r>
      <w:r w:rsidR="00893A6D" w:rsidRPr="005A7591">
        <w:rPr>
          <w:szCs w:val="22"/>
        </w:rPr>
        <w:t>Matrix</w:t>
      </w:r>
      <w:r w:rsidR="009833AB" w:rsidRPr="005A7591">
        <w:rPr>
          <w:szCs w:val="22"/>
        </w:rPr>
        <w:t xml:space="preserve">’s </w:t>
      </w:r>
      <w:r w:rsidRPr="005A7591">
        <w:rPr>
          <w:szCs w:val="22"/>
        </w:rPr>
        <w:t xml:space="preserve">possible violations of </w:t>
      </w:r>
      <w:r w:rsidRPr="005A7591">
        <w:t>Section</w:t>
      </w:r>
      <w:r w:rsidR="00B75651">
        <w:t>s</w:t>
      </w:r>
      <w:r w:rsidRPr="005A7591">
        <w:t xml:space="preserve"> </w:t>
      </w:r>
      <w:r w:rsidR="009833AB" w:rsidRPr="005A7591">
        <w:t>201(b)</w:t>
      </w:r>
      <w:r w:rsidR="00D71382">
        <w:t xml:space="preserve"> </w:t>
      </w:r>
      <w:r w:rsidR="00B75651">
        <w:t xml:space="preserve">and 202(a) </w:t>
      </w:r>
      <w:r w:rsidR="009833AB">
        <w:t>of the Act</w:t>
      </w:r>
      <w:r w:rsidR="00893A6D">
        <w:rPr>
          <w:szCs w:val="22"/>
        </w:rPr>
        <w:t>.</w:t>
      </w:r>
    </w:p>
    <w:p w:rsidR="007127FC" w:rsidRDefault="007127FC" w:rsidP="007127FC">
      <w:pPr>
        <w:widowControl/>
        <w:numPr>
          <w:ilvl w:val="0"/>
          <w:numId w:val="1"/>
        </w:numPr>
        <w:tabs>
          <w:tab w:val="clear" w:pos="3960"/>
          <w:tab w:val="left" w:pos="720"/>
          <w:tab w:val="left" w:pos="1440"/>
          <w:tab w:val="left" w:pos="1800"/>
        </w:tabs>
        <w:spacing w:after="120"/>
        <w:ind w:left="1886" w:hanging="446"/>
        <w:rPr>
          <w:szCs w:val="22"/>
        </w:rPr>
      </w:pPr>
      <w:r>
        <w:rPr>
          <w:szCs w:val="22"/>
        </w:rPr>
        <w:t>“</w:t>
      </w:r>
      <w:r w:rsidRPr="007127FC">
        <w:rPr>
          <w:szCs w:val="22"/>
        </w:rPr>
        <w:t>Matrix</w:t>
      </w:r>
      <w:r>
        <w:rPr>
          <w:szCs w:val="22"/>
        </w:rPr>
        <w:t xml:space="preserve">” or “Company” means Matrix Telecom, Inc., </w:t>
      </w:r>
      <w:r>
        <w:t xml:space="preserve">including all of its subsidiaries, affiliates, </w:t>
      </w:r>
      <w:r>
        <w:rPr>
          <w:bCs/>
          <w:szCs w:val="22"/>
        </w:rPr>
        <w:t>predecessors-in-interest, and successors-in-interest.</w:t>
      </w:r>
    </w:p>
    <w:p w:rsidR="008E0C3F" w:rsidRDefault="008E0C3F" w:rsidP="0000069D">
      <w:pPr>
        <w:pStyle w:val="StyleParaNumAfter0pt"/>
      </w:pPr>
      <w:r w:rsidRPr="00147F5B">
        <w:t xml:space="preserve">“Operating Procedures” means the standard, internal operating procedures and compliance policies established by </w:t>
      </w:r>
      <w:r>
        <w:t xml:space="preserve">the </w:t>
      </w:r>
      <w:r w:rsidR="0081351E">
        <w:t>Company</w:t>
      </w:r>
      <w:r w:rsidRPr="00147F5B">
        <w:t xml:space="preserve"> to implement the Compliance Plan.  </w:t>
      </w:r>
    </w:p>
    <w:p w:rsidR="008E0C3F" w:rsidRDefault="008E0C3F" w:rsidP="007127FC">
      <w:pPr>
        <w:widowControl/>
        <w:numPr>
          <w:ilvl w:val="0"/>
          <w:numId w:val="1"/>
        </w:numPr>
        <w:tabs>
          <w:tab w:val="clear" w:pos="3960"/>
          <w:tab w:val="left" w:pos="720"/>
          <w:tab w:val="left" w:pos="1440"/>
          <w:tab w:val="left" w:pos="1800"/>
        </w:tabs>
        <w:spacing w:after="120"/>
        <w:ind w:left="1886" w:hanging="446"/>
        <w:rPr>
          <w:szCs w:val="22"/>
        </w:rPr>
      </w:pPr>
      <w:r>
        <w:rPr>
          <w:szCs w:val="22"/>
        </w:rPr>
        <w:t xml:space="preserve">“Parties” means </w:t>
      </w:r>
      <w:r w:rsidR="00893A6D" w:rsidRPr="005A7591">
        <w:rPr>
          <w:szCs w:val="22"/>
        </w:rPr>
        <w:t>Matrix</w:t>
      </w:r>
      <w:r w:rsidR="009833AB">
        <w:rPr>
          <w:szCs w:val="22"/>
        </w:rPr>
        <w:t xml:space="preserve"> </w:t>
      </w:r>
      <w:r>
        <w:rPr>
          <w:szCs w:val="22"/>
        </w:rPr>
        <w:t>and the Bureau, each of which is a “Party.”</w:t>
      </w:r>
    </w:p>
    <w:p w:rsidR="008E0C3F" w:rsidRDefault="008E0C3F" w:rsidP="00F35708">
      <w:pPr>
        <w:widowControl/>
        <w:numPr>
          <w:ilvl w:val="0"/>
          <w:numId w:val="1"/>
        </w:numPr>
        <w:tabs>
          <w:tab w:val="clear" w:pos="3960"/>
          <w:tab w:val="left" w:pos="720"/>
          <w:tab w:val="left" w:pos="1800"/>
        </w:tabs>
        <w:ind w:left="1886" w:hanging="446"/>
        <w:rPr>
          <w:szCs w:val="22"/>
        </w:rPr>
      </w:pPr>
      <w:r>
        <w:rPr>
          <w:szCs w:val="22"/>
        </w:rPr>
        <w:t>“Rules” means the Commission’s regulations found in Title 47 of the Code of Federal Regulations.</w:t>
      </w:r>
    </w:p>
    <w:p w:rsidR="00657280" w:rsidRPr="00657280" w:rsidRDefault="00657280" w:rsidP="000E0878">
      <w:pPr>
        <w:widowControl/>
        <w:tabs>
          <w:tab w:val="left" w:pos="720"/>
          <w:tab w:val="left" w:pos="1440"/>
        </w:tabs>
        <w:rPr>
          <w:szCs w:val="22"/>
        </w:rPr>
      </w:pPr>
    </w:p>
    <w:p w:rsidR="008E0C3F" w:rsidRDefault="003366E5" w:rsidP="00E1498F">
      <w:pPr>
        <w:pStyle w:val="Heading1"/>
        <w:numPr>
          <w:ilvl w:val="0"/>
          <w:numId w:val="0"/>
        </w:numPr>
      </w:pPr>
      <w:r>
        <w:t>II.</w:t>
      </w:r>
      <w:r>
        <w:tab/>
      </w:r>
      <w:r w:rsidR="008E0C3F">
        <w:t>BACKGROUND</w:t>
      </w:r>
    </w:p>
    <w:p w:rsidR="008E0C3F" w:rsidRPr="00907167" w:rsidRDefault="00CE6290" w:rsidP="00F35708">
      <w:pPr>
        <w:pStyle w:val="ParaNum"/>
        <w:spacing w:after="240"/>
      </w:pPr>
      <w:r w:rsidRPr="00B75651">
        <w:rPr>
          <w:snapToGrid/>
        </w:rPr>
        <w:t>Section 201(b) of the Act provides, “</w:t>
      </w:r>
      <w:r w:rsidR="00ED0D7B" w:rsidRPr="00B75651">
        <w:rPr>
          <w:snapToGrid/>
        </w:rPr>
        <w:t>[a]</w:t>
      </w:r>
      <w:r w:rsidRPr="00B75651">
        <w:rPr>
          <w:snapToGrid/>
        </w:rPr>
        <w:t>ll charges, practices, classifications, and regulations for and in connection with [interstate and foreign] communication service, shall be just and reasonable, and any such charge, practice, classification, or regulation that is unjust or unreasonable is hereby declared to be unlawful.”</w:t>
      </w:r>
      <w:r w:rsidRPr="00CE6290">
        <w:rPr>
          <w:snapToGrid/>
          <w:vertAlign w:val="superscript"/>
        </w:rPr>
        <w:footnoteReference w:id="11"/>
      </w:r>
      <w:r w:rsidRPr="001F6EE7">
        <w:t xml:space="preserve">  </w:t>
      </w:r>
      <w:r w:rsidR="00B75651">
        <w:t>Section 202(a) states, “[i]t shall be unlawful for any common carrier to make any unjust or unreasonable discrimination in charges, practices, classifications, regulations, facilities, or services for or in connection with like communication service, directly or indirectly, by any means or device, . . . or to subject any particular person, class of persons, or locality to any undue or unreasonable prejudice or disadvantage.”</w:t>
      </w:r>
      <w:r w:rsidR="00B75651">
        <w:rPr>
          <w:rStyle w:val="FootnoteReference"/>
        </w:rPr>
        <w:footnoteReference w:id="12"/>
      </w:r>
    </w:p>
    <w:p w:rsidR="008E0C3F" w:rsidRPr="00D71382" w:rsidRDefault="00D71382" w:rsidP="00F35708">
      <w:pPr>
        <w:pStyle w:val="ParaNum"/>
        <w:widowControl/>
        <w:spacing w:after="240"/>
        <w:rPr>
          <w:szCs w:val="22"/>
        </w:rPr>
      </w:pPr>
      <w:r>
        <w:rPr>
          <w:snapToGrid/>
          <w:kern w:val="0"/>
          <w:szCs w:val="22"/>
        </w:rPr>
        <w:t>T</w:t>
      </w:r>
      <w:r w:rsidRPr="00D71382">
        <w:rPr>
          <w:snapToGrid/>
          <w:kern w:val="0"/>
          <w:szCs w:val="22"/>
        </w:rPr>
        <w:t>he Commission has emphasized that “i</w:t>
      </w:r>
      <w:r w:rsidRPr="00D71382">
        <w:rPr>
          <w:snapToGrid/>
          <w:kern w:val="0"/>
          <w:szCs w:val="22"/>
          <w:shd w:val="clear" w:color="auto" w:fill="FFFFFF"/>
        </w:rPr>
        <w:t>t is vital that our Nation maintains a communications network </w:t>
      </w:r>
      <w:bookmarkStart w:id="1" w:name="SR;848"/>
      <w:bookmarkStart w:id="2" w:name="SR;849"/>
      <w:bookmarkEnd w:id="1"/>
      <w:bookmarkEnd w:id="2"/>
      <w:r w:rsidRPr="00D71382">
        <w:rPr>
          <w:snapToGrid/>
          <w:kern w:val="0"/>
          <w:szCs w:val="22"/>
          <w:shd w:val="clear" w:color="auto" w:fill="FFFFFF"/>
        </w:rPr>
        <w:t>that offers reliable and resilient service</w:t>
      </w:r>
      <w:r w:rsidRPr="00D71382">
        <w:rPr>
          <w:snapToGrid/>
          <w:kern w:val="0"/>
          <w:szCs w:val="22"/>
        </w:rPr>
        <w:t>.”</w:t>
      </w:r>
      <w:r w:rsidRPr="00D71382">
        <w:rPr>
          <w:snapToGrid/>
          <w:kern w:val="0"/>
          <w:szCs w:val="22"/>
          <w:vertAlign w:val="superscript"/>
        </w:rPr>
        <w:footnoteReference w:id="13"/>
      </w:r>
      <w:r w:rsidRPr="00D71382">
        <w:rPr>
          <w:snapToGrid/>
          <w:kern w:val="0"/>
          <w:szCs w:val="22"/>
        </w:rPr>
        <w:t xml:space="preserve">  The Commission has also recognized that “permitting blocking or the refusal to deliver voice telephone traffic, whether as a means of ‘self-help’ to address perceived unreasonable intercarrier compensation charges or otherwise, risks ‘degradation of the country’s telecommunications network.’”</w:t>
      </w:r>
      <w:r w:rsidRPr="00D71382">
        <w:rPr>
          <w:snapToGrid/>
          <w:kern w:val="0"/>
          <w:szCs w:val="22"/>
          <w:vertAlign w:val="superscript"/>
        </w:rPr>
        <w:footnoteReference w:id="14"/>
      </w:r>
      <w:r w:rsidRPr="00D71382">
        <w:rPr>
          <w:snapToGrid/>
          <w:kern w:val="0"/>
          <w:szCs w:val="22"/>
        </w:rPr>
        <w:t xml:space="preserve">  To prevent that</w:t>
      </w:r>
      <w:r w:rsidR="00BC04B3">
        <w:rPr>
          <w:snapToGrid/>
          <w:kern w:val="0"/>
          <w:szCs w:val="22"/>
        </w:rPr>
        <w:t xml:space="preserve"> result</w:t>
      </w:r>
      <w:r w:rsidRPr="00D71382">
        <w:rPr>
          <w:snapToGrid/>
          <w:kern w:val="0"/>
          <w:szCs w:val="22"/>
        </w:rPr>
        <w:t xml:space="preserve">, the Commission has consistently held that telecommunications carriers, including interexchange carriers, </w:t>
      </w:r>
      <w:r w:rsidR="00ED6DC9">
        <w:rPr>
          <w:snapToGrid/>
          <w:kern w:val="0"/>
          <w:szCs w:val="22"/>
        </w:rPr>
        <w:t xml:space="preserve">generally </w:t>
      </w:r>
      <w:r w:rsidRPr="00D71382">
        <w:rPr>
          <w:snapToGrid/>
          <w:kern w:val="0"/>
          <w:szCs w:val="22"/>
        </w:rPr>
        <w:t>may not “‘block, choke, reduce or restrict traffic in any way.’”</w:t>
      </w:r>
      <w:r w:rsidRPr="00D71382">
        <w:rPr>
          <w:snapToGrid/>
          <w:kern w:val="0"/>
          <w:szCs w:val="22"/>
          <w:vertAlign w:val="superscript"/>
        </w:rPr>
        <w:footnoteReference w:id="15"/>
      </w:r>
    </w:p>
    <w:p w:rsidR="00331D4B" w:rsidRPr="001F6EE7" w:rsidRDefault="00331D4B" w:rsidP="00F35708">
      <w:pPr>
        <w:pStyle w:val="ParaNum"/>
        <w:spacing w:after="240"/>
      </w:pPr>
      <w:r w:rsidRPr="001F6EE7">
        <w:t>In June 2011, a coalition of trade associations representing rural</w:t>
      </w:r>
      <w:r w:rsidR="00F548E5">
        <w:t xml:space="preserve"> </w:t>
      </w:r>
      <w:r w:rsidR="00670DC6">
        <w:t xml:space="preserve">rate-of-return incumbent </w:t>
      </w:r>
      <w:r w:rsidRPr="001F6EE7">
        <w:t>local exchange carriers</w:t>
      </w:r>
      <w:r w:rsidR="00F548E5">
        <w:t xml:space="preserve"> (LECs)</w:t>
      </w:r>
      <w:r w:rsidRPr="001F6EE7">
        <w:t xml:space="preserve"> sent a letter to the Bureau concerning “a nationwide and industry-wide epidemic” of calls to </w:t>
      </w:r>
      <w:r w:rsidR="00F548E5">
        <w:t>rural</w:t>
      </w:r>
      <w:r w:rsidR="0038535D">
        <w:t xml:space="preserve"> </w:t>
      </w:r>
      <w:r w:rsidR="00F548E5">
        <w:t xml:space="preserve">LEC service </w:t>
      </w:r>
      <w:r w:rsidRPr="001F6EE7">
        <w:t>areas failing to complete or having poor call quality.</w:t>
      </w:r>
      <w:r w:rsidRPr="001F6EE7">
        <w:rPr>
          <w:vertAlign w:val="superscript"/>
        </w:rPr>
        <w:footnoteReference w:id="16"/>
      </w:r>
      <w:r w:rsidRPr="001F6EE7">
        <w:t xml:space="preserve">  In September 2011, the Commission announced that it had created a Rural Call Completion Task Force “to investigate and address the growing problem of calls to rural customers that are being delayed or that fail to connect.”</w:t>
      </w:r>
      <w:r w:rsidRPr="001F6EE7">
        <w:rPr>
          <w:vertAlign w:val="superscript"/>
        </w:rPr>
        <w:footnoteReference w:id="17"/>
      </w:r>
      <w:r w:rsidRPr="001F6EE7">
        <w:t xml:space="preserve">  </w:t>
      </w:r>
    </w:p>
    <w:p w:rsidR="004C7B39" w:rsidRPr="00B75651" w:rsidRDefault="00D71382" w:rsidP="00F35708">
      <w:pPr>
        <w:pStyle w:val="ParaNum"/>
        <w:spacing w:after="240"/>
        <w:rPr>
          <w:szCs w:val="22"/>
        </w:rPr>
      </w:pPr>
      <w:r w:rsidRPr="001F6EE7">
        <w:t xml:space="preserve">On February 6, 2012, the </w:t>
      </w:r>
      <w:r w:rsidR="00301F5E">
        <w:t xml:space="preserve">Commission’s </w:t>
      </w:r>
      <w:r w:rsidRPr="001F6EE7">
        <w:t xml:space="preserve">Wireline Competition Bureau (WCB) clarified in </w:t>
      </w:r>
      <w:r w:rsidR="00CA1171">
        <w:t xml:space="preserve">the </w:t>
      </w:r>
      <w:r w:rsidR="00CA1171" w:rsidRPr="00B75651">
        <w:rPr>
          <w:i/>
        </w:rPr>
        <w:t>Rural Call Completion Declaratory Ruling</w:t>
      </w:r>
      <w:r w:rsidRPr="001F6EE7">
        <w:t xml:space="preserve"> that “it is an unjust and unreasonable practice in violation of section 201 of the Act for a carrier that knows or should know that it is providing degraded service to certain areas to fail to correct the problem or to fail to ensure that intermediate providers, least-cost routers, or other entities acting for or employed by the carrier are performing adequately.”</w:t>
      </w:r>
      <w:r w:rsidRPr="001F6EE7">
        <w:rPr>
          <w:vertAlign w:val="superscript"/>
        </w:rPr>
        <w:footnoteReference w:id="18"/>
      </w:r>
      <w:r w:rsidRPr="001F6EE7">
        <w:t xml:space="preserve">  </w:t>
      </w:r>
      <w:r w:rsidR="005D65D1">
        <w:t>Thus, for example, “i</w:t>
      </w:r>
      <w:r w:rsidR="00F9298A">
        <w:t>f carriers continue to hand off calls to agents, intermediate providers, or others that a carrier knows are not completing a reasonable percentage of calls or are otherwise restricting traffic . . ., that is an unjust or unreasonable practice prohibited by section 201 of the Act.</w:t>
      </w:r>
      <w:r w:rsidR="00CA536F">
        <w:t>”</w:t>
      </w:r>
      <w:r w:rsidR="00F9298A">
        <w:rPr>
          <w:rStyle w:val="FootnoteReference"/>
        </w:rPr>
        <w:footnoteReference w:id="19"/>
      </w:r>
      <w:r w:rsidR="00B75651">
        <w:t xml:space="preserve">  WCB further clarified that “adopting or perpetuating routing practices that result in lower quality service to rural or high-cost localities than like service to urban or lower cost localities (including other lower cost rural areas) may, in the absence of a persuasive explanation, constitute unjust or unreasonable discrimination in practices, facilities, or services and violate section 202 of the Act.”</w:t>
      </w:r>
      <w:r w:rsidR="00B75651">
        <w:rPr>
          <w:rStyle w:val="FootnoteReference"/>
        </w:rPr>
        <w:footnoteReference w:id="20"/>
      </w:r>
    </w:p>
    <w:p w:rsidR="002B2033" w:rsidRPr="00081DBA" w:rsidRDefault="00A522E4" w:rsidP="00081DBA">
      <w:pPr>
        <w:pStyle w:val="ParaNum"/>
        <w:widowControl/>
        <w:spacing w:after="240"/>
        <w:rPr>
          <w:szCs w:val="22"/>
        </w:rPr>
      </w:pPr>
      <w:r w:rsidRPr="007127FC">
        <w:t>Matrix</w:t>
      </w:r>
      <w:r w:rsidR="00331D4B" w:rsidRPr="007127FC">
        <w:t xml:space="preserve"> offers </w:t>
      </w:r>
      <w:r w:rsidRPr="007127FC">
        <w:t xml:space="preserve">retail </w:t>
      </w:r>
      <w:r w:rsidR="00331D4B" w:rsidRPr="007127FC">
        <w:t xml:space="preserve">telecommunications services </w:t>
      </w:r>
      <w:r w:rsidRPr="007127FC">
        <w:t xml:space="preserve">to retail and business customers throughout the United States, and </w:t>
      </w:r>
      <w:r w:rsidR="00301F5E">
        <w:t xml:space="preserve">it </w:t>
      </w:r>
      <w:r w:rsidRPr="007127FC">
        <w:t>offers wholesale service to other service providers, including long-distance providers</w:t>
      </w:r>
      <w:r w:rsidR="00331D4B" w:rsidRPr="007127FC">
        <w:t>.</w:t>
      </w:r>
      <w:r w:rsidRPr="007127FC">
        <w:t xml:space="preserve">  Calls delivered to Matrix by its wholesale customers account for </w:t>
      </w:r>
      <w:r w:rsidR="00B75651">
        <w:t>a</w:t>
      </w:r>
      <w:r w:rsidRPr="007127FC">
        <w:t xml:space="preserve"> </w:t>
      </w:r>
      <w:r w:rsidR="00007F83" w:rsidRPr="007127FC">
        <w:t xml:space="preserve">substantial majority </w:t>
      </w:r>
      <w:r w:rsidRPr="007127FC">
        <w:t>of the interstate long-distance traffic carried by the Company.</w:t>
      </w:r>
      <w:r w:rsidR="00331D4B" w:rsidRPr="007127FC">
        <w:t xml:space="preserve">  </w:t>
      </w:r>
    </w:p>
    <w:p w:rsidR="003B571F" w:rsidRDefault="003B571F" w:rsidP="00081DBA">
      <w:pPr>
        <w:pStyle w:val="ParaNum"/>
        <w:keepNext/>
        <w:widowControl/>
        <w:spacing w:after="240"/>
      </w:pPr>
      <w:r w:rsidRPr="0097793D">
        <w:t>The Bureau initiated an investigation of Matrix (and companies Matrix had acquired, including Excel Telecommunications and Vartec Telecom) based on allegations and information concerning the Company’s performance in completing long-distance calls to rural areas.  The Bureau represents that this material included allegations and information from consumers and from rural carriers,</w:t>
      </w:r>
      <w:r w:rsidRPr="001C3281">
        <w:t xml:space="preserve"> </w:t>
      </w:r>
      <w:r w:rsidRPr="0097793D">
        <w:t>responses by long-distance providers to complaints served by the Commission’s Rural Call Completion Task Force, and performance data from carriers that used Matrix as an Intermediate Provider.</w:t>
      </w:r>
      <w:r>
        <w:rPr>
          <w:rStyle w:val="FootnoteReference"/>
        </w:rPr>
        <w:footnoteReference w:id="21"/>
      </w:r>
      <w:r w:rsidRPr="0097793D">
        <w:t xml:space="preserve">  </w:t>
      </w:r>
      <w:r w:rsidR="00F25969" w:rsidRPr="007127FC">
        <w:t xml:space="preserve">On </w:t>
      </w:r>
      <w:r w:rsidR="00007F83" w:rsidRPr="007127FC">
        <w:t>March 21, 2013</w:t>
      </w:r>
      <w:r w:rsidR="00F25969" w:rsidRPr="007127FC">
        <w:t>, the Bureau issued a</w:t>
      </w:r>
      <w:r w:rsidR="005365A7" w:rsidRPr="007127FC">
        <w:t>n</w:t>
      </w:r>
      <w:r w:rsidR="00F25969" w:rsidRPr="007127FC">
        <w:t xml:space="preserve"> LOI to </w:t>
      </w:r>
      <w:r w:rsidR="00007F83" w:rsidRPr="007127FC">
        <w:t>Matrix</w:t>
      </w:r>
      <w:r w:rsidR="00F25969" w:rsidRPr="007127FC">
        <w:t xml:space="preserve"> seeking information about its performance, and the performance of its Intermediate Providers, in completing long-distance calls.</w:t>
      </w:r>
      <w:r w:rsidR="00301F5E">
        <w:rPr>
          <w:rStyle w:val="FootnoteReference"/>
        </w:rPr>
        <w:footnoteReference w:id="22"/>
      </w:r>
      <w:r w:rsidR="00F25969" w:rsidRPr="007127FC">
        <w:t xml:space="preserve">  </w:t>
      </w:r>
      <w:bookmarkStart w:id="3" w:name="_Ref170101234"/>
      <w:bookmarkStart w:id="4" w:name="_Ref170874736"/>
    </w:p>
    <w:p w:rsidR="00331D4B" w:rsidRPr="007127FC" w:rsidRDefault="00007F83" w:rsidP="001C10A9">
      <w:pPr>
        <w:pStyle w:val="ParaNum"/>
        <w:spacing w:after="240"/>
      </w:pPr>
      <w:r w:rsidRPr="007127FC">
        <w:t>Pursuant to an agreement with the Bureau,</w:t>
      </w:r>
      <w:r w:rsidRPr="007127FC">
        <w:rPr>
          <w:rStyle w:val="FootnoteReference"/>
        </w:rPr>
        <w:footnoteReference w:id="23"/>
      </w:r>
      <w:r w:rsidRPr="007127FC">
        <w:t xml:space="preserve"> o</w:t>
      </w:r>
      <w:r w:rsidR="00B444C0" w:rsidRPr="007127FC">
        <w:t xml:space="preserve">n </w:t>
      </w:r>
      <w:r w:rsidRPr="007127FC">
        <w:t>May 20, 2013, Matrix</w:t>
      </w:r>
      <w:r w:rsidR="00B444C0" w:rsidRPr="007127FC">
        <w:t xml:space="preserve"> submitted narrative responses to most of the questions in the LOI and produced relevant documents.</w:t>
      </w:r>
      <w:r w:rsidR="00B444C0" w:rsidRPr="007127FC">
        <w:rPr>
          <w:rStyle w:val="FootnoteReference"/>
          <w:szCs w:val="22"/>
        </w:rPr>
        <w:footnoteReference w:id="24"/>
      </w:r>
      <w:r w:rsidR="00B444C0" w:rsidRPr="007127FC">
        <w:t xml:space="preserve">  On </w:t>
      </w:r>
      <w:r w:rsidRPr="007127FC">
        <w:t>June 20</w:t>
      </w:r>
      <w:r w:rsidR="00B444C0" w:rsidRPr="007127FC">
        <w:t xml:space="preserve">, 2013, </w:t>
      </w:r>
      <w:r w:rsidRPr="007127FC">
        <w:t>Matrix</w:t>
      </w:r>
      <w:r w:rsidR="00B444C0" w:rsidRPr="007127FC">
        <w:t xml:space="preserve"> responded to the remaining questions in the LOI and produced call answer data</w:t>
      </w:r>
      <w:r w:rsidR="0083431D" w:rsidRPr="007127FC">
        <w:t xml:space="preserve"> for specified one week samples covering six months between 2012 and 2013</w:t>
      </w:r>
      <w:r w:rsidR="00B444C0" w:rsidRPr="007127FC">
        <w:t>.</w:t>
      </w:r>
      <w:r w:rsidR="00B444C0" w:rsidRPr="007127FC">
        <w:rPr>
          <w:rStyle w:val="FootnoteReference"/>
          <w:szCs w:val="22"/>
        </w:rPr>
        <w:footnoteReference w:id="25"/>
      </w:r>
      <w:r w:rsidR="00B444C0" w:rsidRPr="007127FC">
        <w:t xml:space="preserve">  </w:t>
      </w:r>
      <w:r w:rsidR="0083431D" w:rsidRPr="007127FC">
        <w:t xml:space="preserve">Matrix </w:t>
      </w:r>
      <w:r w:rsidR="0013502F" w:rsidRPr="007127FC">
        <w:t xml:space="preserve">provided </w:t>
      </w:r>
      <w:r w:rsidR="00B75651">
        <w:t>multiple</w:t>
      </w:r>
      <w:r w:rsidR="0083431D" w:rsidRPr="007127FC">
        <w:t xml:space="preserve"> s</w:t>
      </w:r>
      <w:r w:rsidR="0013502F" w:rsidRPr="007127FC">
        <w:t>upplemental response</w:t>
      </w:r>
      <w:r w:rsidR="007A02DA" w:rsidRPr="007127FC">
        <w:t>s</w:t>
      </w:r>
      <w:r w:rsidR="0013502F" w:rsidRPr="007127FC">
        <w:t xml:space="preserve"> to the LOI </w:t>
      </w:r>
      <w:r w:rsidR="007A02DA" w:rsidRPr="007127FC">
        <w:t xml:space="preserve">and additional material </w:t>
      </w:r>
      <w:r w:rsidR="00B75651">
        <w:t xml:space="preserve">from July through November </w:t>
      </w:r>
      <w:r w:rsidR="007A02DA" w:rsidRPr="007127FC">
        <w:t>2013, a</w:t>
      </w:r>
      <w:r w:rsidR="00EA2057" w:rsidRPr="007127FC">
        <w:t xml:space="preserve">nd </w:t>
      </w:r>
      <w:r w:rsidR="00E25C6F">
        <w:t xml:space="preserve">it </w:t>
      </w:r>
      <w:r w:rsidR="00EA2057" w:rsidRPr="007127FC">
        <w:t>cooperated fully with the Investigation</w:t>
      </w:r>
      <w:r w:rsidR="00CF408A" w:rsidRPr="007127FC">
        <w:t>.</w:t>
      </w:r>
      <w:r w:rsidR="0013502F" w:rsidRPr="007127FC">
        <w:rPr>
          <w:rStyle w:val="FootnoteReference"/>
          <w:szCs w:val="22"/>
        </w:rPr>
        <w:footnoteReference w:id="26"/>
      </w:r>
    </w:p>
    <w:p w:rsidR="007A02DA" w:rsidRDefault="007A02DA" w:rsidP="001C10A9">
      <w:pPr>
        <w:pStyle w:val="ParaNum"/>
        <w:spacing w:after="240"/>
      </w:pPr>
      <w:r w:rsidRPr="007127FC">
        <w:t xml:space="preserve">In the months immediately following its receipt of the LOI, Matrix </w:t>
      </w:r>
      <w:r w:rsidR="007127FC">
        <w:t>significantly</w:t>
      </w:r>
      <w:r w:rsidR="00C8571D" w:rsidRPr="007127FC">
        <w:t xml:space="preserve"> reduced </w:t>
      </w:r>
      <w:r w:rsidRPr="007127FC">
        <w:t xml:space="preserve">the number of Intermediate Providers </w:t>
      </w:r>
      <w:r w:rsidR="007127FC">
        <w:t>it used to deliver long-distance calls to rural areas</w:t>
      </w:r>
      <w:r w:rsidRPr="007127FC">
        <w:t>.  As a result</w:t>
      </w:r>
      <w:r w:rsidR="00706AD8" w:rsidRPr="007127FC">
        <w:t xml:space="preserve"> of those </w:t>
      </w:r>
      <w:r w:rsidR="00A13A82">
        <w:t>routing changes</w:t>
      </w:r>
      <w:r w:rsidRPr="007127FC">
        <w:t>, Matrix’s call completion performance to rural areas substantially improved.</w:t>
      </w:r>
      <w:r w:rsidR="00F267E4" w:rsidRPr="007127FC">
        <w:t xml:space="preserve">  Also, after it received the LOI, Matrix </w:t>
      </w:r>
      <w:r w:rsidR="00706AD8" w:rsidRPr="007127FC">
        <w:t>made significant investments to upgrade its network and related operations to improve rural call completion performance</w:t>
      </w:r>
      <w:r w:rsidR="00706AD8">
        <w:t>.</w:t>
      </w:r>
    </w:p>
    <w:p w:rsidR="007C7BDF" w:rsidRDefault="007C7BDF" w:rsidP="00F35708">
      <w:pPr>
        <w:pStyle w:val="ParaNum"/>
        <w:spacing w:after="240"/>
      </w:pPr>
      <w:r w:rsidRPr="00E16121">
        <w:t xml:space="preserve">On November 8, 2013, the Commission released the </w:t>
      </w:r>
      <w:r w:rsidRPr="00E16121">
        <w:rPr>
          <w:i/>
        </w:rPr>
        <w:t>Rural Call Completion Order</w:t>
      </w:r>
      <w:r w:rsidRPr="00E16121">
        <w:t xml:space="preserve">, which adopted rules requiring covered providers to record, retain, and report to the Commission call answer rates for </w:t>
      </w:r>
      <w:r>
        <w:t>long-distance</w:t>
      </w:r>
      <w:r w:rsidRPr="00E16121">
        <w:t xml:space="preserve"> calls.</w:t>
      </w:r>
      <w:r>
        <w:rPr>
          <w:rStyle w:val="FootnoteReference"/>
          <w:szCs w:val="22"/>
        </w:rPr>
        <w:footnoteReference w:id="27"/>
      </w:r>
      <w:r w:rsidRPr="00E16121">
        <w:t xml:space="preserve">  The Commission found that “rural call completion problems are serious and widespread,”</w:t>
      </w:r>
      <w:r>
        <w:rPr>
          <w:rStyle w:val="FootnoteReference"/>
          <w:szCs w:val="22"/>
        </w:rPr>
        <w:footnoteReference w:id="28"/>
      </w:r>
      <w:r w:rsidRPr="00E16121">
        <w:t xml:space="preserve"> and that “[t]hese failures have significant and immediate public interest ramifications, causing rural businesses to lose customers, cutting families off from their relatives in rural areas, and creating potential for dangerous delays in public safety communications in rural areas.”</w:t>
      </w:r>
      <w:r>
        <w:rPr>
          <w:rStyle w:val="FootnoteReference"/>
          <w:szCs w:val="22"/>
        </w:rPr>
        <w:footnoteReference w:id="29"/>
      </w:r>
      <w:r w:rsidRPr="00E16121">
        <w:t xml:space="preserve">  </w:t>
      </w:r>
      <w:r>
        <w:t xml:space="preserve">The new rules require </w:t>
      </w:r>
      <w:r w:rsidR="00A13A82">
        <w:t>“</w:t>
      </w:r>
      <w:r>
        <w:t>covered providers</w:t>
      </w:r>
      <w:r w:rsidR="00A13A82">
        <w:t>”</w:t>
      </w:r>
      <w:r w:rsidR="00A13A82">
        <w:rPr>
          <w:rStyle w:val="FootnoteReference"/>
        </w:rPr>
        <w:footnoteReference w:id="30"/>
      </w:r>
      <w:r>
        <w:t xml:space="preserve"> to record and retain detailed information about long-distance calls to customers of </w:t>
      </w:r>
      <w:r w:rsidR="002F4599">
        <w:t xml:space="preserve">incumbent </w:t>
      </w:r>
      <w:r>
        <w:t xml:space="preserve">rural </w:t>
      </w:r>
      <w:r w:rsidR="00756582">
        <w:t>LECs</w:t>
      </w:r>
      <w:r>
        <w:t>,</w:t>
      </w:r>
      <w:r>
        <w:rPr>
          <w:rStyle w:val="FootnoteReference"/>
          <w:szCs w:val="22"/>
        </w:rPr>
        <w:footnoteReference w:id="31"/>
      </w:r>
      <w:r>
        <w:t xml:space="preserve"> as identified by </w:t>
      </w:r>
      <w:r w:rsidR="00665161">
        <w:t xml:space="preserve">Operating Company Numbers </w:t>
      </w:r>
      <w:r>
        <w:t>(OCNs).</w:t>
      </w:r>
      <w:r>
        <w:rPr>
          <w:rStyle w:val="FootnoteReference"/>
          <w:szCs w:val="22"/>
        </w:rPr>
        <w:footnoteReference w:id="32"/>
      </w:r>
      <w:r>
        <w:t xml:space="preserve">  The rules also require covered providers to report to the Commission, on a quarterly basis, answer rates for </w:t>
      </w:r>
      <w:r w:rsidR="00EA12BF">
        <w:t xml:space="preserve">long-distance </w:t>
      </w:r>
      <w:r>
        <w:t xml:space="preserve">calls delivered to each rural OCN and answer rates for </w:t>
      </w:r>
      <w:r w:rsidR="00EA12BF">
        <w:t xml:space="preserve">long-distance </w:t>
      </w:r>
      <w:r>
        <w:t>calls delivered to non</w:t>
      </w:r>
      <w:r w:rsidR="00625677">
        <w:t>-</w:t>
      </w:r>
      <w:r>
        <w:t>rural OCNs in the aggregate.</w:t>
      </w:r>
      <w:r>
        <w:rPr>
          <w:rStyle w:val="FootnoteReference"/>
          <w:szCs w:val="22"/>
        </w:rPr>
        <w:footnoteReference w:id="33"/>
      </w:r>
      <w:r>
        <w:t xml:space="preserve">  </w:t>
      </w:r>
      <w:r w:rsidR="00764E73">
        <w:t>The</w:t>
      </w:r>
      <w:r w:rsidR="00E97B2B">
        <w:t xml:space="preserve"> information collections required by the </w:t>
      </w:r>
      <w:r w:rsidR="00E97B2B">
        <w:rPr>
          <w:i/>
        </w:rPr>
        <w:t>Rural Call Completion Order</w:t>
      </w:r>
      <w:r w:rsidR="00E97B2B">
        <w:t xml:space="preserve"> </w:t>
      </w:r>
      <w:r w:rsidR="00764E73">
        <w:t xml:space="preserve">will </w:t>
      </w:r>
      <w:r w:rsidR="00E97B2B">
        <w:t>go into effect after the Office of Management and Budget approves the information collections and the Commission publishes a notice in the Federal Register announcing their effective date</w:t>
      </w:r>
      <w:r w:rsidR="00417DFB">
        <w:t>(s)</w:t>
      </w:r>
      <w:r w:rsidR="00E97B2B">
        <w:t>.</w:t>
      </w:r>
      <w:r w:rsidR="00417DFB">
        <w:rPr>
          <w:rStyle w:val="FootnoteReference"/>
        </w:rPr>
        <w:footnoteReference w:id="34"/>
      </w:r>
      <w:r w:rsidR="00E97B2B">
        <w:t xml:space="preserve"> </w:t>
      </w:r>
    </w:p>
    <w:bookmarkEnd w:id="3"/>
    <w:bookmarkEnd w:id="4"/>
    <w:p w:rsidR="008E0C3F" w:rsidRDefault="008E0C3F" w:rsidP="00E1498F">
      <w:pPr>
        <w:pStyle w:val="Heading1"/>
        <w:numPr>
          <w:ilvl w:val="0"/>
          <w:numId w:val="18"/>
        </w:numPr>
      </w:pPr>
      <w:r>
        <w:t xml:space="preserve">TERMS OF </w:t>
      </w:r>
      <w:r w:rsidRPr="008E796F">
        <w:t>AGREEMENT</w:t>
      </w:r>
    </w:p>
    <w:p w:rsidR="008E0C3F" w:rsidRPr="0014487A" w:rsidRDefault="008E0C3F" w:rsidP="00440893">
      <w:pPr>
        <w:pStyle w:val="ParaNum"/>
        <w:spacing w:after="240"/>
        <w:rPr>
          <w:szCs w:val="22"/>
        </w:rPr>
      </w:pPr>
      <w:r w:rsidRPr="0014487A">
        <w:rPr>
          <w:b/>
          <w:u w:val="single"/>
        </w:rPr>
        <w:t>Adopting Order</w:t>
      </w:r>
      <w:r w:rsidRPr="0014487A">
        <w:rPr>
          <w:b/>
        </w:rPr>
        <w:t xml:space="preserve">.  </w:t>
      </w:r>
      <w:r>
        <w:t xml:space="preserve">The Parties agree that the provisions of this Consent Decree shall be subject to final approval by the </w:t>
      </w:r>
      <w:r w:rsidRPr="0014487A">
        <w:rPr>
          <w:bCs/>
        </w:rPr>
        <w:t xml:space="preserve">Bureau </w:t>
      </w:r>
      <w:r>
        <w:t>by incorporation of such provisions by reference in the Adopting Order.</w:t>
      </w:r>
      <w:r w:rsidRPr="0014487A">
        <w:rPr>
          <w:b/>
          <w:u w:val="single"/>
        </w:rPr>
        <w:t xml:space="preserve"> </w:t>
      </w:r>
    </w:p>
    <w:p w:rsidR="008E0C3F" w:rsidRDefault="008E0C3F" w:rsidP="00440893">
      <w:pPr>
        <w:pStyle w:val="ParaNum"/>
        <w:spacing w:after="240"/>
      </w:pPr>
      <w:r>
        <w:rPr>
          <w:b/>
          <w:u w:val="single"/>
        </w:rPr>
        <w:t>Jurisdictio</w:t>
      </w:r>
      <w:r w:rsidRPr="005E7DD6">
        <w:rPr>
          <w:b/>
          <w:u w:val="single"/>
        </w:rPr>
        <w:t>n</w:t>
      </w:r>
      <w:r w:rsidRPr="005E7DD6">
        <w:rPr>
          <w:b/>
        </w:rPr>
        <w:t>.</w:t>
      </w:r>
      <w:r>
        <w:t xml:space="preserve">  The </w:t>
      </w:r>
      <w:r w:rsidR="0081351E">
        <w:t>Company</w:t>
      </w:r>
      <w:r>
        <w:t xml:space="preserve"> agree</w:t>
      </w:r>
      <w:r w:rsidR="0081351E">
        <w:t>s</w:t>
      </w:r>
      <w:r>
        <w:t xml:space="preserve"> that the </w:t>
      </w:r>
      <w:r>
        <w:rPr>
          <w:bCs/>
        </w:rPr>
        <w:t>Bureau</w:t>
      </w:r>
      <w:r>
        <w:t xml:space="preserve"> has jurisdiction over </w:t>
      </w:r>
      <w:r w:rsidR="00502DE1">
        <w:t>it</w:t>
      </w:r>
      <w:r>
        <w:t xml:space="preserve"> and the matters contained in this Consent Decree and that the Bureau has the authority to enter into and adopt this Consent Decree.</w:t>
      </w:r>
    </w:p>
    <w:p w:rsidR="008E0C3F" w:rsidRDefault="008E0C3F" w:rsidP="00440893">
      <w:pPr>
        <w:pStyle w:val="ParaNum"/>
        <w:spacing w:after="240"/>
      </w:pPr>
      <w:r>
        <w:rPr>
          <w:b/>
          <w:u w:val="single"/>
        </w:rPr>
        <w:t>Effective Date; Violation</w:t>
      </w:r>
      <w:r w:rsidRPr="005E7DD6">
        <w:rPr>
          <w:b/>
          <w:u w:val="single"/>
        </w:rPr>
        <w:t>s</w:t>
      </w:r>
      <w:r w:rsidRPr="005E7DD6">
        <w:rPr>
          <w:b/>
        </w:rPr>
        <w:t>.</w:t>
      </w:r>
      <w:r>
        <w:rPr>
          <w:b/>
        </w:rPr>
        <w:t xml:space="preserve">  </w:t>
      </w:r>
      <w:r>
        <w:t>The Parties agree that this Consent Decree shall become effective on the Effective Date</w:t>
      </w:r>
      <w:r w:rsidR="00F64631">
        <w:t xml:space="preserve"> as defined herein</w:t>
      </w:r>
      <w:r>
        <w:t xml:space="preserve">.  </w:t>
      </w:r>
      <w:r w:rsidR="00610A85">
        <w:t>As of the Effective Date</w:t>
      </w:r>
      <w:r>
        <w:t xml:space="preserve">, the Adopting Order and this Consent Decree shall have the same force and effect as any other </w:t>
      </w:r>
      <w:r w:rsidR="00F64631">
        <w:t>o</w:t>
      </w:r>
      <w:r>
        <w:t xml:space="preserve">rder of the Commission.  Any violation of the Adopting Order or of the terms of this Consent Decree shall constitute a separate violation of a Commission </w:t>
      </w:r>
      <w:r w:rsidR="00F64631">
        <w:t>o</w:t>
      </w:r>
      <w:r>
        <w:t xml:space="preserve">rder, entitling the </w:t>
      </w:r>
      <w:r w:rsidR="00F64631">
        <w:rPr>
          <w:bCs/>
        </w:rPr>
        <w:t>Commission</w:t>
      </w:r>
      <w:r>
        <w:rPr>
          <w:bCs/>
        </w:rPr>
        <w:t xml:space="preserve"> </w:t>
      </w:r>
      <w:r>
        <w:t xml:space="preserve">to exercise any rights and remedies attendant to the enforcement of a Commission </w:t>
      </w:r>
      <w:r w:rsidR="00F64631">
        <w:t>o</w:t>
      </w:r>
      <w:r>
        <w:t>rder.</w:t>
      </w:r>
    </w:p>
    <w:p w:rsidR="008E0C3F" w:rsidRPr="00394451" w:rsidRDefault="008E0C3F" w:rsidP="00440893">
      <w:pPr>
        <w:pStyle w:val="ParaNum"/>
        <w:spacing w:after="240"/>
        <w:rPr>
          <w:szCs w:val="22"/>
        </w:rPr>
      </w:pPr>
      <w:r>
        <w:rPr>
          <w:b/>
          <w:szCs w:val="22"/>
          <w:u w:val="single"/>
        </w:rPr>
        <w:t>Termination of Investigati</w:t>
      </w:r>
      <w:r w:rsidRPr="005E7DD6">
        <w:rPr>
          <w:b/>
          <w:szCs w:val="22"/>
          <w:u w:val="single"/>
        </w:rPr>
        <w:t>on</w:t>
      </w:r>
      <w:r w:rsidRPr="005E7DD6">
        <w:rPr>
          <w:b/>
          <w:szCs w:val="22"/>
        </w:rPr>
        <w:t xml:space="preserve">.  </w:t>
      </w:r>
      <w:r>
        <w:t>In express reliance on the covenants and representations in this Consent Decree and to avoid further expenditure of public resources, the Bureau agrees to terminate the Investigation.  In consideration for the termination of the Investigation, the Compan</w:t>
      </w:r>
      <w:r w:rsidR="0081351E">
        <w:t>y</w:t>
      </w:r>
      <w:r>
        <w:t xml:space="preserve"> agree</w:t>
      </w:r>
      <w:r w:rsidR="0081351E">
        <w:t>s</w:t>
      </w:r>
      <w:r>
        <w:t xml:space="preserve"> to the terms, conditions, and procedures contained herein.  The Bureau further agrees that, in the absence of new material evidence, the Bureau will not use the facts developed in the Investigation through the Effective Date, or the existence of this Consent Decree, to institute on its own motion any new proceeding, formal or informal, or take any action on its own motion against the </w:t>
      </w:r>
      <w:r w:rsidR="0081351E">
        <w:t>Company</w:t>
      </w:r>
      <w:r>
        <w:t xml:space="preserve"> concerning the matters that were the subject of the Investigation.  </w:t>
      </w:r>
      <w:r w:rsidRPr="00394451">
        <w:rPr>
          <w:szCs w:val="22"/>
        </w:rPr>
        <w:t>The Bureau also agrees that</w:t>
      </w:r>
      <w:r w:rsidR="00610A85">
        <w:rPr>
          <w:szCs w:val="22"/>
        </w:rPr>
        <w:t>,</w:t>
      </w:r>
      <w:r w:rsidRPr="00394451">
        <w:rPr>
          <w:szCs w:val="22"/>
        </w:rPr>
        <w:t xml:space="preserve"> </w:t>
      </w:r>
      <w:r>
        <w:rPr>
          <w:szCs w:val="22"/>
        </w:rPr>
        <w:t xml:space="preserve">in the absence of new material evidence </w:t>
      </w:r>
      <w:r w:rsidRPr="00394451">
        <w:rPr>
          <w:szCs w:val="22"/>
        </w:rPr>
        <w:t>it will not use the facts developed in th</w:t>
      </w:r>
      <w:r>
        <w:rPr>
          <w:szCs w:val="22"/>
        </w:rPr>
        <w:t xml:space="preserve">e </w:t>
      </w:r>
      <w:r w:rsidRPr="00394451">
        <w:rPr>
          <w:szCs w:val="22"/>
        </w:rPr>
        <w:t>Investigation through the Effective Date, or the existence of this Consent Decree, to institute on its own motion any proceeding, formal or informal, or take any action on its own motion against</w:t>
      </w:r>
      <w:r w:rsidRPr="00C96340">
        <w:t xml:space="preserve"> </w:t>
      </w:r>
      <w:r>
        <w:rPr>
          <w:szCs w:val="22"/>
        </w:rPr>
        <w:t xml:space="preserve">the </w:t>
      </w:r>
      <w:r w:rsidR="0081351E">
        <w:rPr>
          <w:szCs w:val="22"/>
        </w:rPr>
        <w:t>Company</w:t>
      </w:r>
      <w:r>
        <w:rPr>
          <w:szCs w:val="22"/>
        </w:rPr>
        <w:t xml:space="preserve"> </w:t>
      </w:r>
      <w:r w:rsidRPr="00394451">
        <w:rPr>
          <w:szCs w:val="22"/>
        </w:rPr>
        <w:t xml:space="preserve">with respect to </w:t>
      </w:r>
      <w:r w:rsidR="00502DE1">
        <w:rPr>
          <w:szCs w:val="22"/>
        </w:rPr>
        <w:t>the Company’s</w:t>
      </w:r>
      <w:r>
        <w:rPr>
          <w:szCs w:val="22"/>
        </w:rPr>
        <w:t xml:space="preserve"> </w:t>
      </w:r>
      <w:r w:rsidRPr="00394451">
        <w:rPr>
          <w:szCs w:val="22"/>
        </w:rPr>
        <w:t xml:space="preserve">basic qualifications, including </w:t>
      </w:r>
      <w:r w:rsidR="00502DE1">
        <w:rPr>
          <w:szCs w:val="22"/>
        </w:rPr>
        <w:t>its</w:t>
      </w:r>
      <w:r w:rsidRPr="00394451">
        <w:rPr>
          <w:szCs w:val="22"/>
        </w:rPr>
        <w:t xml:space="preserve"> character qualifications, to be </w:t>
      </w:r>
      <w:r w:rsidR="00502DE1">
        <w:rPr>
          <w:szCs w:val="22"/>
        </w:rPr>
        <w:t xml:space="preserve">a </w:t>
      </w:r>
      <w:r w:rsidRPr="00394451">
        <w:rPr>
          <w:szCs w:val="22"/>
        </w:rPr>
        <w:t>Commission licensee or hold Commission</w:t>
      </w:r>
      <w:r>
        <w:rPr>
          <w:szCs w:val="22"/>
        </w:rPr>
        <w:t xml:space="preserve"> licenses or</w:t>
      </w:r>
      <w:r w:rsidRPr="00394451">
        <w:rPr>
          <w:szCs w:val="22"/>
        </w:rPr>
        <w:t xml:space="preserve"> authorizations.</w:t>
      </w:r>
    </w:p>
    <w:p w:rsidR="008E0C3F" w:rsidRPr="00CA57B5" w:rsidRDefault="008E0C3F" w:rsidP="00440893">
      <w:pPr>
        <w:pStyle w:val="ParaNum"/>
        <w:widowControl/>
        <w:spacing w:after="240"/>
        <w:rPr>
          <w:szCs w:val="22"/>
        </w:rPr>
      </w:pPr>
      <w:r w:rsidRPr="00CA57B5">
        <w:rPr>
          <w:b/>
          <w:u w:val="single"/>
        </w:rPr>
        <w:t>Compliance Officer</w:t>
      </w:r>
      <w:r w:rsidRPr="00CA57B5">
        <w:rPr>
          <w:b/>
        </w:rPr>
        <w:t>.</w:t>
      </w:r>
      <w:r w:rsidRPr="00D510A9">
        <w:t xml:space="preserve">  Within </w:t>
      </w:r>
      <w:r w:rsidR="00540F5A">
        <w:t>thirty</w:t>
      </w:r>
      <w:r w:rsidR="00540F5A" w:rsidRPr="00D510A9">
        <w:t xml:space="preserve"> </w:t>
      </w:r>
      <w:r w:rsidRPr="00D510A9">
        <w:t>(</w:t>
      </w:r>
      <w:r w:rsidR="005D5046">
        <w:t>30</w:t>
      </w:r>
      <w:r w:rsidRPr="00D510A9">
        <w:t xml:space="preserve">) calendar days </w:t>
      </w:r>
      <w:r>
        <w:t xml:space="preserve">after </w:t>
      </w:r>
      <w:r w:rsidRPr="00D510A9">
        <w:t xml:space="preserve">the Effective Date, </w:t>
      </w:r>
      <w:r>
        <w:t xml:space="preserve">the </w:t>
      </w:r>
      <w:r w:rsidR="0081351E">
        <w:t>Company</w:t>
      </w:r>
      <w:r>
        <w:t xml:space="preserve"> </w:t>
      </w:r>
      <w:r w:rsidRPr="00D510A9">
        <w:t xml:space="preserve">shall designate a senior corporate manager with the requisite corporate and organizational authority to serve as </w:t>
      </w:r>
      <w:r>
        <w:t xml:space="preserve">a </w:t>
      </w:r>
      <w:r w:rsidRPr="00D510A9">
        <w:t xml:space="preserve">Compliance Officer </w:t>
      </w:r>
      <w:r w:rsidRPr="00CA57B5">
        <w:rPr>
          <w:szCs w:val="22"/>
        </w:rPr>
        <w:t xml:space="preserve">and to discharge the duties set forth below.  </w:t>
      </w:r>
      <w:r w:rsidRPr="00683BCC">
        <w:t xml:space="preserve">The </w:t>
      </w:r>
      <w:r w:rsidR="00B04ADB">
        <w:t xml:space="preserve">person designated as the </w:t>
      </w:r>
      <w:r w:rsidRPr="00683BCC">
        <w:t xml:space="preserve">Compliance Officer shall </w:t>
      </w:r>
      <w:r w:rsidR="00B04ADB">
        <w:t xml:space="preserve">be responsible for developing, implementing, and administering the Compliance Plan and ensuring the </w:t>
      </w:r>
      <w:r w:rsidR="0081351E">
        <w:t>Company</w:t>
      </w:r>
      <w:r w:rsidR="00672F2A">
        <w:t>’s</w:t>
      </w:r>
      <w:r w:rsidR="00B04ADB">
        <w:t xml:space="preserve"> compl</w:t>
      </w:r>
      <w:r w:rsidR="00672F2A">
        <w:t>iance</w:t>
      </w:r>
      <w:r w:rsidR="00B04ADB">
        <w:t xml:space="preserve"> with the terms and conditions of the Compliance Plan and this Consent Decree.  </w:t>
      </w:r>
      <w:r w:rsidRPr="00CA57B5">
        <w:rPr>
          <w:szCs w:val="22"/>
        </w:rPr>
        <w:t xml:space="preserve">In addition to the general knowledge of the Communications Laws necessary to discharge his/her duties under this Consent Decree, the Compliance Officer shall have specific knowledge of </w:t>
      </w:r>
      <w:r w:rsidR="00DE3853" w:rsidRPr="00CA57B5">
        <w:rPr>
          <w:szCs w:val="22"/>
        </w:rPr>
        <w:t>Section</w:t>
      </w:r>
      <w:r w:rsidR="00B75651" w:rsidRPr="00CA57B5">
        <w:rPr>
          <w:szCs w:val="22"/>
        </w:rPr>
        <w:t>s</w:t>
      </w:r>
      <w:r w:rsidR="00DE3853" w:rsidRPr="00CA57B5">
        <w:rPr>
          <w:szCs w:val="22"/>
        </w:rPr>
        <w:t xml:space="preserve"> 201(b) </w:t>
      </w:r>
      <w:r w:rsidR="00B75651" w:rsidRPr="00CA57B5">
        <w:rPr>
          <w:szCs w:val="22"/>
        </w:rPr>
        <w:t xml:space="preserve">and 202(a) </w:t>
      </w:r>
      <w:r w:rsidR="00DE3853" w:rsidRPr="00CA57B5">
        <w:rPr>
          <w:szCs w:val="22"/>
        </w:rPr>
        <w:t>of the Act</w:t>
      </w:r>
      <w:r w:rsidR="00C37F6D" w:rsidRPr="00CA57B5">
        <w:rPr>
          <w:szCs w:val="22"/>
        </w:rPr>
        <w:t>, as interpreted</w:t>
      </w:r>
      <w:r w:rsidR="00D814C8" w:rsidRPr="00CA57B5">
        <w:rPr>
          <w:szCs w:val="22"/>
        </w:rPr>
        <w:t xml:space="preserve"> in</w:t>
      </w:r>
      <w:r w:rsidR="00DE3853" w:rsidRPr="00CA57B5">
        <w:rPr>
          <w:szCs w:val="22"/>
        </w:rPr>
        <w:t xml:space="preserve"> </w:t>
      </w:r>
      <w:r w:rsidR="00672F2A" w:rsidRPr="003A624C">
        <w:t xml:space="preserve">the </w:t>
      </w:r>
      <w:r w:rsidR="00672F2A" w:rsidRPr="00CA57B5">
        <w:rPr>
          <w:i/>
        </w:rPr>
        <w:t>RuralCall Completion Declaratory Ruling</w:t>
      </w:r>
      <w:r w:rsidR="00C37F6D">
        <w:t>,</w:t>
      </w:r>
      <w:r>
        <w:t xml:space="preserve"> and </w:t>
      </w:r>
      <w:r w:rsidR="00672F2A">
        <w:t xml:space="preserve">the rules adopted in the </w:t>
      </w:r>
      <w:r w:rsidR="00672F2A" w:rsidRPr="00CA57B5">
        <w:rPr>
          <w:i/>
        </w:rPr>
        <w:t>Rural Call Completion Order</w:t>
      </w:r>
      <w:r>
        <w:t xml:space="preserve"> </w:t>
      </w:r>
      <w:r w:rsidRPr="00CA57B5">
        <w:rPr>
          <w:szCs w:val="22"/>
        </w:rPr>
        <w:t xml:space="preserve">prior to assuming his/her duties. </w:t>
      </w:r>
      <w:r w:rsidR="00963A00" w:rsidRPr="00CA57B5">
        <w:rPr>
          <w:szCs w:val="22"/>
        </w:rPr>
        <w:t xml:space="preserve"> </w:t>
      </w:r>
    </w:p>
    <w:p w:rsidR="008E0C3F" w:rsidRPr="00D510A9" w:rsidRDefault="008E0C3F" w:rsidP="00440893">
      <w:pPr>
        <w:pStyle w:val="ParaNum"/>
        <w:spacing w:after="240"/>
        <w:rPr>
          <w:szCs w:val="22"/>
        </w:rPr>
      </w:pPr>
      <w:r>
        <w:rPr>
          <w:b/>
          <w:u w:val="single"/>
        </w:rPr>
        <w:t xml:space="preserve">Compliance </w:t>
      </w:r>
      <w:r w:rsidRPr="001A23C5">
        <w:rPr>
          <w:b/>
          <w:u w:val="single"/>
        </w:rPr>
        <w:t>Plan</w:t>
      </w:r>
      <w:r w:rsidRPr="001A23C5">
        <w:rPr>
          <w:b/>
        </w:rPr>
        <w:t>.</w:t>
      </w:r>
      <w:r>
        <w:t xml:space="preserve">  </w:t>
      </w:r>
      <w:r w:rsidRPr="004F127D">
        <w:t xml:space="preserve">For purposes of settling the matters set forth herein, </w:t>
      </w:r>
      <w:r>
        <w:t xml:space="preserve">the </w:t>
      </w:r>
      <w:r w:rsidR="00F35CFD">
        <w:t xml:space="preserve">Company </w:t>
      </w:r>
      <w:r w:rsidRPr="004F127D">
        <w:t>agree</w:t>
      </w:r>
      <w:r w:rsidR="00F35CFD">
        <w:t>s</w:t>
      </w:r>
      <w:r w:rsidRPr="004F127D">
        <w:t xml:space="preserve"> </w:t>
      </w:r>
      <w:r>
        <w:t xml:space="preserve">that </w:t>
      </w:r>
      <w:r w:rsidR="00F35CFD">
        <w:t>i</w:t>
      </w:r>
      <w:r>
        <w:t>t shall, within sixty (60) calendar days after the Effective Date,</w:t>
      </w:r>
      <w:r w:rsidRPr="004F127D">
        <w:t xml:space="preserve"> develop and implement a </w:t>
      </w:r>
      <w:r w:rsidRPr="003A624C">
        <w:t xml:space="preserve">Compliance Plan designed to ensure future compliance with </w:t>
      </w:r>
      <w:r w:rsidR="00DE3853" w:rsidRPr="003A624C">
        <w:rPr>
          <w:szCs w:val="22"/>
        </w:rPr>
        <w:t>Section</w:t>
      </w:r>
      <w:r w:rsidR="00E10991">
        <w:rPr>
          <w:szCs w:val="22"/>
        </w:rPr>
        <w:t>s</w:t>
      </w:r>
      <w:r w:rsidR="00DE3853" w:rsidRPr="003A624C">
        <w:rPr>
          <w:szCs w:val="22"/>
        </w:rPr>
        <w:t xml:space="preserve"> 201(b) </w:t>
      </w:r>
      <w:r w:rsidR="00E10991">
        <w:rPr>
          <w:szCs w:val="22"/>
        </w:rPr>
        <w:t xml:space="preserve">and 202(a) </w:t>
      </w:r>
      <w:r w:rsidR="00DE3853" w:rsidRPr="003A624C">
        <w:rPr>
          <w:szCs w:val="22"/>
        </w:rPr>
        <w:t>of the Act</w:t>
      </w:r>
      <w:r w:rsidR="00D6448E" w:rsidRPr="003A624C">
        <w:rPr>
          <w:szCs w:val="22"/>
        </w:rPr>
        <w:t>,</w:t>
      </w:r>
      <w:r w:rsidR="00EA2057" w:rsidRPr="003A624C">
        <w:rPr>
          <w:szCs w:val="22"/>
        </w:rPr>
        <w:t xml:space="preserve"> </w:t>
      </w:r>
      <w:r w:rsidR="00D6448E" w:rsidRPr="003A624C">
        <w:t xml:space="preserve">as interpreted </w:t>
      </w:r>
      <w:r w:rsidR="00EA2057" w:rsidRPr="003A624C">
        <w:rPr>
          <w:szCs w:val="22"/>
        </w:rPr>
        <w:t>in</w:t>
      </w:r>
      <w:r w:rsidR="00DE3853" w:rsidRPr="003A624C">
        <w:t xml:space="preserve"> </w:t>
      </w:r>
      <w:r w:rsidR="00672F2A" w:rsidRPr="003A624C">
        <w:t xml:space="preserve">the </w:t>
      </w:r>
      <w:r w:rsidR="00672F2A" w:rsidRPr="003A624C">
        <w:rPr>
          <w:i/>
        </w:rPr>
        <w:t>Rural Call Completion Declaratory Ruling</w:t>
      </w:r>
      <w:r w:rsidR="00D6448E" w:rsidRPr="003A624C">
        <w:t>,</w:t>
      </w:r>
      <w:r w:rsidR="00672F2A" w:rsidRPr="003A624C">
        <w:t xml:space="preserve"> </w:t>
      </w:r>
      <w:r w:rsidR="00D6448E" w:rsidRPr="003A624C">
        <w:t xml:space="preserve">with </w:t>
      </w:r>
      <w:r w:rsidR="00672F2A" w:rsidRPr="003A624C">
        <w:t xml:space="preserve">the rules adopted in the </w:t>
      </w:r>
      <w:r w:rsidR="00672F2A" w:rsidRPr="003A624C">
        <w:rPr>
          <w:i/>
        </w:rPr>
        <w:t>Rural Call Completion Order</w:t>
      </w:r>
      <w:r w:rsidRPr="003A624C">
        <w:t>,</w:t>
      </w:r>
      <w:r w:rsidR="0075349A" w:rsidRPr="003A624C">
        <w:rPr>
          <w:rStyle w:val="FootnoteReference"/>
        </w:rPr>
        <w:footnoteReference w:id="35"/>
      </w:r>
      <w:r w:rsidRPr="003A624C">
        <w:t xml:space="preserve"> and with the terms and conditions of this Consent Decree.  </w:t>
      </w:r>
      <w:r w:rsidR="00F35CFD" w:rsidRPr="003A624C">
        <w:t xml:space="preserve">With respect to </w:t>
      </w:r>
      <w:r w:rsidR="00DE3853" w:rsidRPr="003A624C">
        <w:rPr>
          <w:szCs w:val="22"/>
        </w:rPr>
        <w:t>Section</w:t>
      </w:r>
      <w:r w:rsidR="00E10991">
        <w:rPr>
          <w:szCs w:val="22"/>
        </w:rPr>
        <w:t>s</w:t>
      </w:r>
      <w:r w:rsidR="00DE3853" w:rsidRPr="003A624C">
        <w:rPr>
          <w:szCs w:val="22"/>
        </w:rPr>
        <w:t xml:space="preserve"> 201(b) </w:t>
      </w:r>
      <w:r w:rsidR="00E10991">
        <w:rPr>
          <w:szCs w:val="22"/>
        </w:rPr>
        <w:t xml:space="preserve">and 202(a) </w:t>
      </w:r>
      <w:r w:rsidR="00DE3853" w:rsidRPr="003A624C">
        <w:rPr>
          <w:szCs w:val="22"/>
        </w:rPr>
        <w:t>of the Act</w:t>
      </w:r>
      <w:r w:rsidR="00C37F6D" w:rsidRPr="003A624C">
        <w:rPr>
          <w:szCs w:val="22"/>
        </w:rPr>
        <w:t>, as interpreted</w:t>
      </w:r>
      <w:r w:rsidR="006C7796" w:rsidRPr="003A624C">
        <w:t xml:space="preserve"> in</w:t>
      </w:r>
      <w:r w:rsidR="00DE3853" w:rsidRPr="003A624C">
        <w:t xml:space="preserve"> </w:t>
      </w:r>
      <w:r w:rsidR="00F35CFD" w:rsidRPr="003A624C">
        <w:t xml:space="preserve">the </w:t>
      </w:r>
      <w:r w:rsidR="00F35CFD" w:rsidRPr="003A624C">
        <w:rPr>
          <w:i/>
        </w:rPr>
        <w:t>Rural Call Completion Declaratory Ruling</w:t>
      </w:r>
      <w:r w:rsidR="00C37F6D" w:rsidRPr="003A624C">
        <w:t>,</w:t>
      </w:r>
      <w:r w:rsidR="00F35CFD" w:rsidRPr="003A624C">
        <w:t xml:space="preserve"> and the rules adopted in the </w:t>
      </w:r>
      <w:r w:rsidR="00F35CFD" w:rsidRPr="003A624C">
        <w:rPr>
          <w:i/>
        </w:rPr>
        <w:t>Rural</w:t>
      </w:r>
      <w:r w:rsidR="00F35CFD">
        <w:rPr>
          <w:i/>
        </w:rPr>
        <w:t xml:space="preserve"> Call Completion Order</w:t>
      </w:r>
      <w:r w:rsidR="00F35CFD" w:rsidRPr="00A348AD">
        <w:t>, the Company shall implement the following procedures:</w:t>
      </w:r>
    </w:p>
    <w:p w:rsidR="008E0C3F" w:rsidRPr="00EB3D7E" w:rsidRDefault="008E0C3F" w:rsidP="00440893">
      <w:pPr>
        <w:widowControl/>
        <w:numPr>
          <w:ilvl w:val="0"/>
          <w:numId w:val="4"/>
        </w:numPr>
        <w:tabs>
          <w:tab w:val="clear" w:pos="1872"/>
          <w:tab w:val="left" w:pos="720"/>
          <w:tab w:val="left" w:pos="1440"/>
        </w:tabs>
        <w:spacing w:after="240"/>
        <w:ind w:left="1440"/>
        <w:rPr>
          <w:szCs w:val="22"/>
        </w:rPr>
      </w:pPr>
      <w:r w:rsidRPr="003A624C">
        <w:rPr>
          <w:b/>
          <w:szCs w:val="22"/>
          <w:u w:val="single"/>
        </w:rPr>
        <w:t>Operating Procedures</w:t>
      </w:r>
      <w:r w:rsidRPr="003A624C">
        <w:rPr>
          <w:b/>
          <w:szCs w:val="22"/>
        </w:rPr>
        <w:t xml:space="preserve">.  </w:t>
      </w:r>
      <w:r w:rsidRPr="003A624C">
        <w:rPr>
          <w:szCs w:val="22"/>
        </w:rPr>
        <w:t xml:space="preserve">Within </w:t>
      </w:r>
      <w:r w:rsidRPr="003A624C">
        <w:t>sixty</w:t>
      </w:r>
      <w:r w:rsidRPr="003A624C" w:rsidDel="00D05FAE">
        <w:rPr>
          <w:szCs w:val="22"/>
        </w:rPr>
        <w:t xml:space="preserve"> </w:t>
      </w:r>
      <w:r w:rsidRPr="003A624C">
        <w:rPr>
          <w:szCs w:val="22"/>
        </w:rPr>
        <w:t xml:space="preserve">(60) calendar days after the Effective Date, </w:t>
      </w:r>
      <w:r w:rsidRPr="003A624C">
        <w:t xml:space="preserve">the </w:t>
      </w:r>
      <w:r w:rsidR="0081351E" w:rsidRPr="003A624C">
        <w:t>Company</w:t>
      </w:r>
      <w:r w:rsidRPr="003A624C">
        <w:rPr>
          <w:szCs w:val="22"/>
        </w:rPr>
        <w:t xml:space="preserve"> shall establish Operating Procedures that all Covered Employees shall follow to help ensure </w:t>
      </w:r>
      <w:r w:rsidRPr="003A624C">
        <w:t xml:space="preserve">the </w:t>
      </w:r>
      <w:r w:rsidR="0081351E" w:rsidRPr="003A624C">
        <w:t>Company</w:t>
      </w:r>
      <w:r w:rsidRPr="003A624C">
        <w:t>’</w:t>
      </w:r>
      <w:r w:rsidR="0081351E" w:rsidRPr="003A624C">
        <w:t>s</w:t>
      </w:r>
      <w:r w:rsidRPr="003A624C">
        <w:rPr>
          <w:szCs w:val="22"/>
        </w:rPr>
        <w:t xml:space="preserve"> compliance with </w:t>
      </w:r>
      <w:r w:rsidR="00DE3853" w:rsidRPr="003A624C">
        <w:rPr>
          <w:szCs w:val="22"/>
        </w:rPr>
        <w:t>Section</w:t>
      </w:r>
      <w:r w:rsidR="00E10991">
        <w:rPr>
          <w:szCs w:val="22"/>
        </w:rPr>
        <w:t>s</w:t>
      </w:r>
      <w:r w:rsidR="00DE3853" w:rsidRPr="003A624C">
        <w:rPr>
          <w:szCs w:val="22"/>
        </w:rPr>
        <w:t xml:space="preserve"> 201(b) </w:t>
      </w:r>
      <w:r w:rsidR="00E10991">
        <w:rPr>
          <w:szCs w:val="22"/>
        </w:rPr>
        <w:t xml:space="preserve">and 202(a) </w:t>
      </w:r>
      <w:r w:rsidR="00DE3853" w:rsidRPr="003A624C">
        <w:rPr>
          <w:szCs w:val="22"/>
        </w:rPr>
        <w:t>of the Act</w:t>
      </w:r>
      <w:r w:rsidR="00C37F6D" w:rsidRPr="003A624C">
        <w:rPr>
          <w:szCs w:val="22"/>
        </w:rPr>
        <w:t>, as interpreted</w:t>
      </w:r>
      <w:r w:rsidR="006C7796" w:rsidRPr="003A624C">
        <w:rPr>
          <w:szCs w:val="22"/>
        </w:rPr>
        <w:t xml:space="preserve"> in</w:t>
      </w:r>
      <w:r w:rsidR="00DE3853" w:rsidRPr="003A624C">
        <w:rPr>
          <w:szCs w:val="22"/>
        </w:rPr>
        <w:t xml:space="preserve"> </w:t>
      </w:r>
      <w:r w:rsidRPr="003A624C">
        <w:rPr>
          <w:szCs w:val="22"/>
        </w:rPr>
        <w:t>the</w:t>
      </w:r>
      <w:r w:rsidR="00133060" w:rsidRPr="003A624C">
        <w:rPr>
          <w:szCs w:val="22"/>
        </w:rPr>
        <w:t xml:space="preserve"> </w:t>
      </w:r>
      <w:r w:rsidR="00F35CFD" w:rsidRPr="003A624C">
        <w:rPr>
          <w:i/>
        </w:rPr>
        <w:t>Rural Call Completion Declaratory Ruling</w:t>
      </w:r>
      <w:r w:rsidR="00C37F6D" w:rsidRPr="003A624C">
        <w:t>,</w:t>
      </w:r>
      <w:r w:rsidR="00F35CFD" w:rsidRPr="003A624C">
        <w:t xml:space="preserve"> and </w:t>
      </w:r>
      <w:r w:rsidR="00B543E4" w:rsidRPr="003A624C">
        <w:t xml:space="preserve">with </w:t>
      </w:r>
      <w:r w:rsidR="00F35CFD" w:rsidRPr="003A624C">
        <w:t xml:space="preserve">the rules adopted in the </w:t>
      </w:r>
      <w:r w:rsidR="00F35CFD" w:rsidRPr="003A624C">
        <w:rPr>
          <w:i/>
        </w:rPr>
        <w:t>Rural Call Completion Order</w:t>
      </w:r>
      <w:r w:rsidRPr="003A624C">
        <w:rPr>
          <w:szCs w:val="22"/>
        </w:rPr>
        <w:t xml:space="preserve">.  </w:t>
      </w:r>
      <w:r w:rsidR="00133060" w:rsidRPr="003A624C">
        <w:rPr>
          <w:szCs w:val="22"/>
        </w:rPr>
        <w:t>The Company’s Operating Procedures shall include internal procedures and policies specifically designed to ensure the Compan</w:t>
      </w:r>
      <w:r w:rsidR="0081351E" w:rsidRPr="003A624C">
        <w:rPr>
          <w:szCs w:val="22"/>
        </w:rPr>
        <w:t>y’</w:t>
      </w:r>
      <w:r w:rsidR="00133060" w:rsidRPr="003A624C">
        <w:rPr>
          <w:szCs w:val="22"/>
        </w:rPr>
        <w:t>s compl</w:t>
      </w:r>
      <w:r w:rsidR="0081351E" w:rsidRPr="003A624C">
        <w:rPr>
          <w:szCs w:val="22"/>
        </w:rPr>
        <w:t>iance</w:t>
      </w:r>
      <w:r w:rsidR="00133060" w:rsidRPr="003A624C">
        <w:rPr>
          <w:szCs w:val="22"/>
        </w:rPr>
        <w:t xml:space="preserve"> with </w:t>
      </w:r>
      <w:r w:rsidR="00DE3853" w:rsidRPr="003A624C">
        <w:rPr>
          <w:szCs w:val="22"/>
        </w:rPr>
        <w:t>Section</w:t>
      </w:r>
      <w:r w:rsidR="00E10991">
        <w:rPr>
          <w:szCs w:val="22"/>
        </w:rPr>
        <w:t>s</w:t>
      </w:r>
      <w:r w:rsidR="00DE3853" w:rsidRPr="003A624C">
        <w:rPr>
          <w:szCs w:val="22"/>
        </w:rPr>
        <w:t xml:space="preserve"> 201(b) </w:t>
      </w:r>
      <w:r w:rsidR="00E10991">
        <w:rPr>
          <w:szCs w:val="22"/>
        </w:rPr>
        <w:t xml:space="preserve">and 202(a) </w:t>
      </w:r>
      <w:r w:rsidR="00DE3853" w:rsidRPr="003A624C">
        <w:rPr>
          <w:szCs w:val="22"/>
        </w:rPr>
        <w:t>of the Act</w:t>
      </w:r>
      <w:r w:rsidR="00B543E4" w:rsidRPr="003A624C">
        <w:rPr>
          <w:szCs w:val="22"/>
        </w:rPr>
        <w:t>,</w:t>
      </w:r>
      <w:r w:rsidR="006C7796" w:rsidRPr="003A624C">
        <w:t xml:space="preserve"> </w:t>
      </w:r>
      <w:r w:rsidR="00B543E4" w:rsidRPr="003A624C">
        <w:t xml:space="preserve">as interpreted </w:t>
      </w:r>
      <w:r w:rsidR="006C7796" w:rsidRPr="003A624C">
        <w:t>in</w:t>
      </w:r>
      <w:r w:rsidR="00DE3853" w:rsidRPr="003A624C">
        <w:t xml:space="preserve"> </w:t>
      </w:r>
      <w:r w:rsidR="00672F2A" w:rsidRPr="003A624C">
        <w:t xml:space="preserve">the </w:t>
      </w:r>
      <w:r w:rsidR="00672F2A" w:rsidRPr="003A624C">
        <w:rPr>
          <w:i/>
        </w:rPr>
        <w:t>Rural Call Completion Declaratory Ruling</w:t>
      </w:r>
      <w:r w:rsidR="00B543E4" w:rsidRPr="003A624C">
        <w:t>,</w:t>
      </w:r>
      <w:r w:rsidR="00672F2A" w:rsidRPr="003A624C">
        <w:t xml:space="preserve"> and the rules adopted in the </w:t>
      </w:r>
      <w:r w:rsidR="00672F2A" w:rsidRPr="003A624C">
        <w:rPr>
          <w:i/>
        </w:rPr>
        <w:t>Rural Call Completion Order</w:t>
      </w:r>
      <w:r w:rsidR="00133060" w:rsidRPr="003A624C">
        <w:rPr>
          <w:szCs w:val="22"/>
        </w:rPr>
        <w:t>.</w:t>
      </w:r>
      <w:r w:rsidRPr="003A624C">
        <w:t xml:space="preserve"> </w:t>
      </w:r>
      <w:r w:rsidRPr="003A624C">
        <w:rPr>
          <w:szCs w:val="22"/>
        </w:rPr>
        <w:t xml:space="preserve"> </w:t>
      </w:r>
      <w:r w:rsidR="00835A3E" w:rsidRPr="003A624C">
        <w:t xml:space="preserve">The Company </w:t>
      </w:r>
      <w:r w:rsidR="00835A3E" w:rsidRPr="003A624C">
        <w:rPr>
          <w:szCs w:val="22"/>
        </w:rPr>
        <w:t>shall also develop a Compliance Checklist that describes the steps that a Covered Employee must follow to ensure compliance with Section</w:t>
      </w:r>
      <w:r w:rsidR="00E10991">
        <w:rPr>
          <w:szCs w:val="22"/>
        </w:rPr>
        <w:t>s</w:t>
      </w:r>
      <w:r w:rsidR="00835A3E" w:rsidRPr="003A624C">
        <w:rPr>
          <w:szCs w:val="22"/>
        </w:rPr>
        <w:t xml:space="preserve"> 201(b) </w:t>
      </w:r>
      <w:r w:rsidR="00E10991">
        <w:rPr>
          <w:szCs w:val="22"/>
        </w:rPr>
        <w:t xml:space="preserve">and 202(a) </w:t>
      </w:r>
      <w:r w:rsidR="00835A3E" w:rsidRPr="003A624C">
        <w:rPr>
          <w:szCs w:val="22"/>
        </w:rPr>
        <w:t>of the Act</w:t>
      </w:r>
      <w:r w:rsidR="00C37F6D" w:rsidRPr="003A624C">
        <w:rPr>
          <w:szCs w:val="22"/>
        </w:rPr>
        <w:t>, as interpreted</w:t>
      </w:r>
      <w:r w:rsidR="006C7796" w:rsidRPr="003A624C">
        <w:rPr>
          <w:szCs w:val="22"/>
        </w:rPr>
        <w:t xml:space="preserve"> in</w:t>
      </w:r>
      <w:r w:rsidR="00835A3E" w:rsidRPr="003A624C">
        <w:rPr>
          <w:szCs w:val="22"/>
        </w:rPr>
        <w:t xml:space="preserve"> the </w:t>
      </w:r>
      <w:r w:rsidR="00835A3E" w:rsidRPr="003A624C">
        <w:rPr>
          <w:i/>
        </w:rPr>
        <w:t>Rural Call Completion Declaratory Ruling</w:t>
      </w:r>
      <w:r w:rsidR="00C37F6D" w:rsidRPr="003A624C">
        <w:t>,</w:t>
      </w:r>
      <w:r w:rsidR="00835A3E" w:rsidRPr="003A624C">
        <w:t xml:space="preserve"> and the rules adopted in the </w:t>
      </w:r>
      <w:r w:rsidR="00835A3E" w:rsidRPr="003A624C">
        <w:rPr>
          <w:i/>
        </w:rPr>
        <w:t>Rural Call</w:t>
      </w:r>
      <w:r w:rsidR="00835A3E">
        <w:rPr>
          <w:i/>
        </w:rPr>
        <w:t xml:space="preserve"> Completion Order</w:t>
      </w:r>
      <w:r w:rsidR="00835A3E">
        <w:rPr>
          <w:szCs w:val="22"/>
        </w:rPr>
        <w:t>.</w:t>
      </w:r>
    </w:p>
    <w:p w:rsidR="008E0C3F" w:rsidRPr="008F5028" w:rsidRDefault="008E0C3F" w:rsidP="00440893">
      <w:pPr>
        <w:widowControl/>
        <w:numPr>
          <w:ilvl w:val="0"/>
          <w:numId w:val="4"/>
        </w:numPr>
        <w:tabs>
          <w:tab w:val="left" w:pos="720"/>
          <w:tab w:val="left" w:pos="1440"/>
        </w:tabs>
        <w:spacing w:after="240"/>
        <w:ind w:left="1440"/>
        <w:rPr>
          <w:szCs w:val="22"/>
        </w:rPr>
      </w:pPr>
      <w:r w:rsidRPr="008F5028">
        <w:rPr>
          <w:b/>
          <w:szCs w:val="22"/>
          <w:u w:val="single"/>
        </w:rPr>
        <w:t>Compliance Manua</w:t>
      </w:r>
      <w:r w:rsidRPr="00915A2E">
        <w:rPr>
          <w:b/>
          <w:szCs w:val="22"/>
          <w:u w:val="single"/>
        </w:rPr>
        <w:t>l</w:t>
      </w:r>
      <w:r w:rsidRPr="00915A2E">
        <w:rPr>
          <w:b/>
          <w:szCs w:val="22"/>
        </w:rPr>
        <w:t xml:space="preserve">.  </w:t>
      </w:r>
      <w:r w:rsidRPr="00915A2E">
        <w:rPr>
          <w:szCs w:val="22"/>
        </w:rPr>
        <w:t>Within sixty (60) calendar days after the Effective Date, the Compliance Officer shall develop and distribute a Compliance Manual to all Covered Employees,</w:t>
      </w:r>
      <w:r w:rsidRPr="0008609B">
        <w:rPr>
          <w:szCs w:val="22"/>
        </w:rPr>
        <w:t xml:space="preserve"> all of whom shall follow the procedures detailed in the Compliance Manual.  </w:t>
      </w:r>
      <w:r w:rsidR="00C40F09">
        <w:rPr>
          <w:szCs w:val="22"/>
        </w:rPr>
        <w:t xml:space="preserve">Distribution </w:t>
      </w:r>
      <w:r w:rsidR="00231F47">
        <w:rPr>
          <w:szCs w:val="22"/>
        </w:rPr>
        <w:t xml:space="preserve">of the Compliance Manual </w:t>
      </w:r>
      <w:r w:rsidR="00C40F09">
        <w:rPr>
          <w:szCs w:val="22"/>
        </w:rPr>
        <w:t>by e</w:t>
      </w:r>
      <w:r w:rsidR="00B03F0C">
        <w:rPr>
          <w:szCs w:val="22"/>
        </w:rPr>
        <w:t>-</w:t>
      </w:r>
      <w:r w:rsidR="00C40F09">
        <w:rPr>
          <w:szCs w:val="22"/>
        </w:rPr>
        <w:t>mail or an e</w:t>
      </w:r>
      <w:r w:rsidR="00B03F0C">
        <w:rPr>
          <w:szCs w:val="22"/>
        </w:rPr>
        <w:t>-</w:t>
      </w:r>
      <w:r w:rsidR="00C40F09">
        <w:rPr>
          <w:szCs w:val="22"/>
        </w:rPr>
        <w:t xml:space="preserve">mail link to an internal intranet site shall be deemed to comply with </w:t>
      </w:r>
      <w:r w:rsidR="00231F47">
        <w:rPr>
          <w:szCs w:val="22"/>
        </w:rPr>
        <w:t xml:space="preserve">the distribution requirement in </w:t>
      </w:r>
      <w:r w:rsidR="00C40F09">
        <w:rPr>
          <w:szCs w:val="22"/>
        </w:rPr>
        <w:t xml:space="preserve">this paragraph.  </w:t>
      </w:r>
      <w:r w:rsidRPr="0008609B">
        <w:rPr>
          <w:szCs w:val="22"/>
        </w:rPr>
        <w:t xml:space="preserve">The </w:t>
      </w:r>
      <w:r w:rsidRPr="003A624C">
        <w:rPr>
          <w:szCs w:val="22"/>
        </w:rPr>
        <w:t xml:space="preserve">Compliance Manual shall explain </w:t>
      </w:r>
      <w:r w:rsidR="00DE3853" w:rsidRPr="003A624C">
        <w:rPr>
          <w:szCs w:val="22"/>
        </w:rPr>
        <w:t>Section</w:t>
      </w:r>
      <w:r w:rsidR="00E10991">
        <w:rPr>
          <w:szCs w:val="22"/>
        </w:rPr>
        <w:t>s</w:t>
      </w:r>
      <w:r w:rsidR="00DE3853" w:rsidRPr="003A624C">
        <w:rPr>
          <w:szCs w:val="22"/>
        </w:rPr>
        <w:t xml:space="preserve"> 201(b) </w:t>
      </w:r>
      <w:r w:rsidR="00E10991">
        <w:rPr>
          <w:szCs w:val="22"/>
        </w:rPr>
        <w:t xml:space="preserve">and 202(a) </w:t>
      </w:r>
      <w:r w:rsidR="00DE3853" w:rsidRPr="003A624C">
        <w:rPr>
          <w:szCs w:val="22"/>
        </w:rPr>
        <w:t>of the Act</w:t>
      </w:r>
      <w:r w:rsidR="00C37F6D" w:rsidRPr="003A624C">
        <w:rPr>
          <w:szCs w:val="22"/>
        </w:rPr>
        <w:t>, as interpreted</w:t>
      </w:r>
      <w:r w:rsidR="006C7796" w:rsidRPr="003A624C">
        <w:rPr>
          <w:szCs w:val="22"/>
        </w:rPr>
        <w:t xml:space="preserve"> in</w:t>
      </w:r>
      <w:r w:rsidR="00DE3853" w:rsidRPr="003A624C">
        <w:rPr>
          <w:szCs w:val="22"/>
        </w:rPr>
        <w:t xml:space="preserve"> </w:t>
      </w:r>
      <w:r w:rsidRPr="003A624C">
        <w:rPr>
          <w:szCs w:val="22"/>
        </w:rPr>
        <w:t xml:space="preserve">the </w:t>
      </w:r>
      <w:r w:rsidR="00672F2A" w:rsidRPr="003A624C">
        <w:rPr>
          <w:i/>
        </w:rPr>
        <w:t>Rural Call Completion Declaratory Ruling</w:t>
      </w:r>
      <w:r w:rsidR="00C37F6D" w:rsidRPr="003A624C">
        <w:t>,</w:t>
      </w:r>
      <w:r w:rsidR="00672F2A" w:rsidRPr="003A624C">
        <w:t xml:space="preserve"> and the rules adopted in the </w:t>
      </w:r>
      <w:r w:rsidR="00672F2A" w:rsidRPr="003A624C">
        <w:rPr>
          <w:i/>
        </w:rPr>
        <w:t>Rural Call Completion Order</w:t>
      </w:r>
      <w:r w:rsidR="002A4248" w:rsidRPr="003A624C">
        <w:rPr>
          <w:szCs w:val="22"/>
        </w:rPr>
        <w:t xml:space="preserve">, and </w:t>
      </w:r>
      <w:r w:rsidRPr="003A624C">
        <w:rPr>
          <w:szCs w:val="22"/>
        </w:rPr>
        <w:t>set forth the Operating Procedures that Covered Employees shall follow to help ensure the Compan</w:t>
      </w:r>
      <w:r w:rsidR="0081351E" w:rsidRPr="003A624C">
        <w:rPr>
          <w:szCs w:val="22"/>
        </w:rPr>
        <w:t>y</w:t>
      </w:r>
      <w:r w:rsidRPr="003A624C">
        <w:rPr>
          <w:szCs w:val="22"/>
        </w:rPr>
        <w:t>’</w:t>
      </w:r>
      <w:r w:rsidR="0081351E" w:rsidRPr="003A624C">
        <w:rPr>
          <w:szCs w:val="22"/>
        </w:rPr>
        <w:t>s</w:t>
      </w:r>
      <w:r w:rsidRPr="003A624C">
        <w:rPr>
          <w:szCs w:val="22"/>
        </w:rPr>
        <w:t xml:space="preserve"> compliance with </w:t>
      </w:r>
      <w:r w:rsidR="00DE3853" w:rsidRPr="003A624C">
        <w:rPr>
          <w:szCs w:val="22"/>
        </w:rPr>
        <w:t>Section</w:t>
      </w:r>
      <w:r w:rsidR="00E10991">
        <w:rPr>
          <w:szCs w:val="22"/>
        </w:rPr>
        <w:t>s</w:t>
      </w:r>
      <w:r w:rsidR="00DE3853" w:rsidRPr="003A624C">
        <w:rPr>
          <w:szCs w:val="22"/>
        </w:rPr>
        <w:t xml:space="preserve"> 201(b) </w:t>
      </w:r>
      <w:r w:rsidR="00E10991">
        <w:rPr>
          <w:szCs w:val="22"/>
        </w:rPr>
        <w:t xml:space="preserve">and 202(a) </w:t>
      </w:r>
      <w:r w:rsidR="00DE3853" w:rsidRPr="003A624C">
        <w:rPr>
          <w:szCs w:val="22"/>
        </w:rPr>
        <w:t>of the Act</w:t>
      </w:r>
      <w:r w:rsidR="00A31DC2" w:rsidRPr="003A624C">
        <w:rPr>
          <w:szCs w:val="22"/>
        </w:rPr>
        <w:t>, as interpreted</w:t>
      </w:r>
      <w:r w:rsidR="006C7796" w:rsidRPr="003A624C">
        <w:t xml:space="preserve"> in</w:t>
      </w:r>
      <w:r w:rsidR="00DE3853" w:rsidRPr="003A624C">
        <w:t xml:space="preserve"> the </w:t>
      </w:r>
      <w:r w:rsidR="00672F2A" w:rsidRPr="003A624C">
        <w:rPr>
          <w:i/>
        </w:rPr>
        <w:t>Rural Call Completion Declaratory Ruling</w:t>
      </w:r>
      <w:r w:rsidR="00A31DC2" w:rsidRPr="003A624C">
        <w:t>,</w:t>
      </w:r>
      <w:r w:rsidR="00672F2A" w:rsidRPr="003A624C">
        <w:t xml:space="preserve"> and the rules adopted in the </w:t>
      </w:r>
      <w:r w:rsidR="00672F2A" w:rsidRPr="003A624C">
        <w:rPr>
          <w:i/>
        </w:rPr>
        <w:t>Rural Call Completion Order</w:t>
      </w:r>
      <w:r w:rsidRPr="003A624C">
        <w:rPr>
          <w:szCs w:val="22"/>
        </w:rPr>
        <w:t xml:space="preserve">.  At least once annually, the </w:t>
      </w:r>
      <w:r w:rsidR="0081351E" w:rsidRPr="003A624C">
        <w:rPr>
          <w:szCs w:val="22"/>
        </w:rPr>
        <w:t>Company</w:t>
      </w:r>
      <w:r w:rsidRPr="003A624C">
        <w:rPr>
          <w:szCs w:val="22"/>
        </w:rPr>
        <w:t xml:space="preserve"> shall review and revise the Compliance Manual as necessary to ensure that the information set forth therein remains current and accurate.  The </w:t>
      </w:r>
      <w:r w:rsidR="0081351E" w:rsidRPr="003A624C">
        <w:rPr>
          <w:szCs w:val="22"/>
        </w:rPr>
        <w:t>Company</w:t>
      </w:r>
      <w:r w:rsidRPr="003A624C">
        <w:rPr>
          <w:szCs w:val="22"/>
        </w:rPr>
        <w:t xml:space="preserve"> shall distribute any revisions to the Compliance Manual promptly to Covered Employees.  The Compliance Manual shall require Covered Employees to contact the Compan</w:t>
      </w:r>
      <w:r w:rsidR="0081351E" w:rsidRPr="003A624C">
        <w:rPr>
          <w:szCs w:val="22"/>
        </w:rPr>
        <w:t>y</w:t>
      </w:r>
      <w:r w:rsidRPr="003A624C">
        <w:rPr>
          <w:szCs w:val="22"/>
        </w:rPr>
        <w:t>’</w:t>
      </w:r>
      <w:r w:rsidR="0081351E" w:rsidRPr="003A624C">
        <w:rPr>
          <w:szCs w:val="22"/>
        </w:rPr>
        <w:t>s</w:t>
      </w:r>
      <w:r w:rsidRPr="003A624C">
        <w:rPr>
          <w:szCs w:val="22"/>
        </w:rPr>
        <w:t xml:space="preserve"> Compliance Officer and, if appropriate, regulatory legal counsel with any questions or concerns that arise with respect to the Compan</w:t>
      </w:r>
      <w:r w:rsidR="0081351E" w:rsidRPr="003A624C">
        <w:rPr>
          <w:szCs w:val="22"/>
        </w:rPr>
        <w:t>y</w:t>
      </w:r>
      <w:r w:rsidRPr="003A624C">
        <w:rPr>
          <w:szCs w:val="22"/>
        </w:rPr>
        <w:t>’</w:t>
      </w:r>
      <w:r w:rsidR="0081351E" w:rsidRPr="003A624C">
        <w:rPr>
          <w:szCs w:val="22"/>
        </w:rPr>
        <w:t>s</w:t>
      </w:r>
      <w:r w:rsidRPr="003A624C">
        <w:rPr>
          <w:szCs w:val="22"/>
        </w:rPr>
        <w:t xml:space="preserve"> obligations under </w:t>
      </w:r>
      <w:r w:rsidR="00DE3853" w:rsidRPr="003A624C">
        <w:rPr>
          <w:szCs w:val="22"/>
        </w:rPr>
        <w:t>Section</w:t>
      </w:r>
      <w:r w:rsidR="00E10991">
        <w:rPr>
          <w:szCs w:val="22"/>
        </w:rPr>
        <w:t>s</w:t>
      </w:r>
      <w:r w:rsidR="00DE3853" w:rsidRPr="003A624C">
        <w:rPr>
          <w:szCs w:val="22"/>
        </w:rPr>
        <w:t xml:space="preserve"> 201(b) </w:t>
      </w:r>
      <w:r w:rsidR="00E10991">
        <w:rPr>
          <w:szCs w:val="22"/>
        </w:rPr>
        <w:t xml:space="preserve">and 202(a) </w:t>
      </w:r>
      <w:r w:rsidR="00DE3853" w:rsidRPr="003A624C">
        <w:rPr>
          <w:szCs w:val="22"/>
        </w:rPr>
        <w:t>of the Act</w:t>
      </w:r>
      <w:r w:rsidR="00C37F6D" w:rsidRPr="003A624C">
        <w:rPr>
          <w:szCs w:val="22"/>
        </w:rPr>
        <w:t>, as interpreted</w:t>
      </w:r>
      <w:r w:rsidR="006C7796" w:rsidRPr="003A624C">
        <w:rPr>
          <w:szCs w:val="22"/>
        </w:rPr>
        <w:t xml:space="preserve"> in</w:t>
      </w:r>
      <w:r w:rsidR="00DE3853" w:rsidRPr="003A624C">
        <w:rPr>
          <w:szCs w:val="22"/>
        </w:rPr>
        <w:t xml:space="preserve"> the</w:t>
      </w:r>
      <w:r w:rsidR="00DE3853" w:rsidRPr="003A624C">
        <w:rPr>
          <w:i/>
        </w:rPr>
        <w:t xml:space="preserve"> </w:t>
      </w:r>
      <w:r w:rsidR="00672F2A" w:rsidRPr="003A624C">
        <w:rPr>
          <w:i/>
        </w:rPr>
        <w:t>Rural Call Completion</w:t>
      </w:r>
      <w:r w:rsidR="00672F2A">
        <w:rPr>
          <w:i/>
        </w:rPr>
        <w:t xml:space="preserve"> Declaratory Ruling</w:t>
      </w:r>
      <w:r w:rsidR="00C37F6D">
        <w:t>,</w:t>
      </w:r>
      <w:r w:rsidR="00672F2A">
        <w:t xml:space="preserve"> and the rules adopted in the </w:t>
      </w:r>
      <w:r w:rsidR="00672F2A">
        <w:rPr>
          <w:i/>
        </w:rPr>
        <w:t>Rural Call Completion Order</w:t>
      </w:r>
      <w:r w:rsidRPr="008F5028">
        <w:rPr>
          <w:szCs w:val="22"/>
        </w:rPr>
        <w:t>.</w:t>
      </w:r>
    </w:p>
    <w:p w:rsidR="008E0C3F" w:rsidRDefault="008E0C3F" w:rsidP="00440893">
      <w:pPr>
        <w:widowControl/>
        <w:numPr>
          <w:ilvl w:val="0"/>
          <w:numId w:val="4"/>
        </w:numPr>
        <w:tabs>
          <w:tab w:val="left" w:pos="720"/>
          <w:tab w:val="left" w:pos="1440"/>
        </w:tabs>
        <w:spacing w:after="240"/>
        <w:ind w:left="1440"/>
        <w:rPr>
          <w:szCs w:val="22"/>
        </w:rPr>
      </w:pPr>
      <w:r w:rsidRPr="003A624C">
        <w:rPr>
          <w:b/>
          <w:szCs w:val="22"/>
          <w:u w:val="single"/>
        </w:rPr>
        <w:t>Compliance Training Program</w:t>
      </w:r>
      <w:r w:rsidRPr="003A624C">
        <w:rPr>
          <w:b/>
          <w:szCs w:val="22"/>
        </w:rPr>
        <w:t>.</w:t>
      </w:r>
      <w:r w:rsidRPr="003A624C">
        <w:rPr>
          <w:szCs w:val="22"/>
        </w:rPr>
        <w:t xml:space="preserve">  </w:t>
      </w:r>
      <w:r w:rsidRPr="003A624C">
        <w:t xml:space="preserve">The </w:t>
      </w:r>
      <w:r w:rsidR="0081351E" w:rsidRPr="003A624C">
        <w:t>Company</w:t>
      </w:r>
      <w:r w:rsidRPr="003A624C">
        <w:rPr>
          <w:szCs w:val="22"/>
        </w:rPr>
        <w:t xml:space="preserve"> shall establish and implement a Compliance Training Program on compliance with </w:t>
      </w:r>
      <w:r w:rsidR="00DE3853" w:rsidRPr="003A624C">
        <w:rPr>
          <w:szCs w:val="22"/>
        </w:rPr>
        <w:t>Section</w:t>
      </w:r>
      <w:r w:rsidR="00E10991">
        <w:rPr>
          <w:szCs w:val="22"/>
        </w:rPr>
        <w:t>s</w:t>
      </w:r>
      <w:r w:rsidR="00DE3853" w:rsidRPr="003A624C">
        <w:rPr>
          <w:szCs w:val="22"/>
        </w:rPr>
        <w:t xml:space="preserve"> 201(b) </w:t>
      </w:r>
      <w:r w:rsidR="00E10991">
        <w:rPr>
          <w:szCs w:val="22"/>
        </w:rPr>
        <w:t xml:space="preserve">and 202(a) </w:t>
      </w:r>
      <w:r w:rsidR="00DE3853" w:rsidRPr="003A624C">
        <w:rPr>
          <w:szCs w:val="22"/>
        </w:rPr>
        <w:t>of the Act</w:t>
      </w:r>
      <w:r w:rsidR="00C37F6D" w:rsidRPr="003A624C">
        <w:rPr>
          <w:szCs w:val="22"/>
        </w:rPr>
        <w:t>, as interpreted</w:t>
      </w:r>
      <w:r w:rsidR="006C7796" w:rsidRPr="003A624C">
        <w:rPr>
          <w:szCs w:val="22"/>
        </w:rPr>
        <w:t xml:space="preserve"> in</w:t>
      </w:r>
      <w:r w:rsidR="00DE3853" w:rsidRPr="003A624C">
        <w:rPr>
          <w:szCs w:val="22"/>
        </w:rPr>
        <w:t xml:space="preserve"> </w:t>
      </w:r>
      <w:r w:rsidRPr="003A624C">
        <w:rPr>
          <w:szCs w:val="22"/>
        </w:rPr>
        <w:t xml:space="preserve">the </w:t>
      </w:r>
      <w:r w:rsidR="00F35CFD" w:rsidRPr="003A624C">
        <w:rPr>
          <w:i/>
        </w:rPr>
        <w:t>Rural Call Completion Declaratory Ruling</w:t>
      </w:r>
      <w:r w:rsidR="00CC00DF" w:rsidRPr="003A624C">
        <w:t>,</w:t>
      </w:r>
      <w:r w:rsidR="00F35CFD" w:rsidRPr="003A624C">
        <w:t xml:space="preserve"> the rules adopted in the </w:t>
      </w:r>
      <w:r w:rsidR="00F35CFD" w:rsidRPr="003A624C">
        <w:rPr>
          <w:i/>
        </w:rPr>
        <w:t>Rural Call Completion Order</w:t>
      </w:r>
      <w:r w:rsidRPr="003A624C">
        <w:rPr>
          <w:szCs w:val="22"/>
        </w:rPr>
        <w:t xml:space="preserve">, and the Operating Procedures.  As part of the Compliance Training Program, Covered Employees shall be advised of </w:t>
      </w:r>
      <w:r w:rsidRPr="003A624C">
        <w:t>the Compan</w:t>
      </w:r>
      <w:r w:rsidR="0081351E" w:rsidRPr="003A624C">
        <w:t>y</w:t>
      </w:r>
      <w:r w:rsidRPr="003A624C">
        <w:t>’</w:t>
      </w:r>
      <w:r w:rsidR="0081351E" w:rsidRPr="003A624C">
        <w:t>s</w:t>
      </w:r>
      <w:r w:rsidRPr="003A624C">
        <w:rPr>
          <w:szCs w:val="22"/>
        </w:rPr>
        <w:t xml:space="preserve"> obligation to report any noncompliance with </w:t>
      </w:r>
      <w:r w:rsidR="00F35CFD" w:rsidRPr="003A624C">
        <w:t xml:space="preserve">the rules adopted in the </w:t>
      </w:r>
      <w:r w:rsidR="00F35CFD" w:rsidRPr="003A624C">
        <w:rPr>
          <w:i/>
        </w:rPr>
        <w:t>Rural Call Completion Order</w:t>
      </w:r>
      <w:r w:rsidR="00F35CFD" w:rsidRPr="003A624C">
        <w:rPr>
          <w:szCs w:val="22"/>
        </w:rPr>
        <w:t xml:space="preserve"> </w:t>
      </w:r>
      <w:r w:rsidRPr="003A624C">
        <w:rPr>
          <w:szCs w:val="22"/>
        </w:rPr>
        <w:t>under</w:t>
      </w:r>
      <w:r w:rsidRPr="003A624C">
        <w:rPr>
          <w:b/>
          <w:szCs w:val="22"/>
        </w:rPr>
        <w:t xml:space="preserve"> </w:t>
      </w:r>
      <w:r w:rsidRPr="003A624C">
        <w:rPr>
          <w:szCs w:val="22"/>
        </w:rPr>
        <w:t>paragraph</w:t>
      </w:r>
      <w:r w:rsidRPr="003A624C">
        <w:rPr>
          <w:b/>
          <w:szCs w:val="22"/>
        </w:rPr>
        <w:t xml:space="preserve"> </w:t>
      </w:r>
      <w:r w:rsidR="005F6505" w:rsidRPr="003A624C">
        <w:rPr>
          <w:szCs w:val="22"/>
        </w:rPr>
        <w:t>1</w:t>
      </w:r>
      <w:r w:rsidR="005F6505">
        <w:rPr>
          <w:szCs w:val="22"/>
        </w:rPr>
        <w:t>8</w:t>
      </w:r>
      <w:r w:rsidR="005F6505" w:rsidRPr="003A624C">
        <w:rPr>
          <w:szCs w:val="22"/>
        </w:rPr>
        <w:t xml:space="preserve"> </w:t>
      </w:r>
      <w:r w:rsidRPr="003A624C">
        <w:rPr>
          <w:szCs w:val="22"/>
        </w:rPr>
        <w:t>of this Consent Decree and shall be instructed on how to disclose</w:t>
      </w:r>
      <w:r w:rsidRPr="00EB3D7E">
        <w:rPr>
          <w:szCs w:val="22"/>
        </w:rPr>
        <w:t xml:space="preserve"> noncompliance to the Compliance Officer.  All Covered Employees shall be trained pursuant to the Compliance Training Program within </w:t>
      </w:r>
      <w:r>
        <w:t>ninety</w:t>
      </w:r>
      <w:r w:rsidDel="00D05FAE">
        <w:rPr>
          <w:szCs w:val="22"/>
        </w:rPr>
        <w:t xml:space="preserve"> </w:t>
      </w:r>
      <w:r w:rsidRPr="00EB3D7E">
        <w:rPr>
          <w:szCs w:val="22"/>
        </w:rPr>
        <w:t>(</w:t>
      </w:r>
      <w:r w:rsidR="007C58F6">
        <w:rPr>
          <w:szCs w:val="22"/>
        </w:rPr>
        <w:t>90</w:t>
      </w:r>
      <w:r w:rsidRPr="00EB3D7E">
        <w:rPr>
          <w:szCs w:val="22"/>
        </w:rPr>
        <w:t>) calendar days after the Effective Date</w:t>
      </w:r>
      <w:r>
        <w:rPr>
          <w:szCs w:val="22"/>
        </w:rPr>
        <w:t>.</w:t>
      </w:r>
      <w:r w:rsidRPr="00EB3D7E">
        <w:rPr>
          <w:b/>
          <w:szCs w:val="22"/>
        </w:rPr>
        <w:t xml:space="preserve"> </w:t>
      </w:r>
      <w:r>
        <w:rPr>
          <w:szCs w:val="22"/>
        </w:rPr>
        <w:t xml:space="preserve"> A</w:t>
      </w:r>
      <w:r w:rsidRPr="00EB3D7E">
        <w:rPr>
          <w:szCs w:val="22"/>
        </w:rPr>
        <w:t xml:space="preserve">ny person who becomes a Covered Employee at any time </w:t>
      </w:r>
      <w:r>
        <w:rPr>
          <w:szCs w:val="22"/>
        </w:rPr>
        <w:t>there</w:t>
      </w:r>
      <w:r w:rsidRPr="00EB3D7E">
        <w:rPr>
          <w:szCs w:val="22"/>
        </w:rPr>
        <w:t xml:space="preserve">after shall be trained within </w:t>
      </w:r>
      <w:r>
        <w:rPr>
          <w:szCs w:val="22"/>
        </w:rPr>
        <w:t xml:space="preserve">thirty (30) </w:t>
      </w:r>
      <w:r w:rsidRPr="00EB3D7E">
        <w:rPr>
          <w:szCs w:val="22"/>
        </w:rPr>
        <w:t xml:space="preserve">calendar days after the date such person becomes a Covered Employee.  </w:t>
      </w:r>
      <w:r>
        <w:t xml:space="preserve">The </w:t>
      </w:r>
      <w:r w:rsidR="0081351E">
        <w:t>Company</w:t>
      </w:r>
      <w:r w:rsidRPr="00EB3D7E">
        <w:rPr>
          <w:szCs w:val="22"/>
        </w:rPr>
        <w:t xml:space="preserve"> shall repeat the compliance training on an annual basis</w:t>
      </w:r>
      <w:r>
        <w:rPr>
          <w:szCs w:val="22"/>
        </w:rPr>
        <w:t>.</w:t>
      </w:r>
      <w:r w:rsidR="000B6CE9">
        <w:rPr>
          <w:szCs w:val="22"/>
        </w:rPr>
        <w:t xml:space="preserve">  </w:t>
      </w:r>
      <w:r>
        <w:rPr>
          <w:szCs w:val="22"/>
        </w:rPr>
        <w:t xml:space="preserve">At least once annually, the </w:t>
      </w:r>
      <w:r w:rsidR="0081351E">
        <w:rPr>
          <w:szCs w:val="22"/>
        </w:rPr>
        <w:t>Company</w:t>
      </w:r>
      <w:r>
        <w:rPr>
          <w:szCs w:val="22"/>
        </w:rPr>
        <w:t xml:space="preserve"> </w:t>
      </w:r>
      <w:r w:rsidRPr="00EB3D7E">
        <w:rPr>
          <w:szCs w:val="22"/>
        </w:rPr>
        <w:t xml:space="preserve">shall review and revise the Compliance Training Program as necessary to ensure that it </w:t>
      </w:r>
      <w:r w:rsidRPr="00145E55">
        <w:rPr>
          <w:szCs w:val="22"/>
        </w:rPr>
        <w:t xml:space="preserve">remains current and complete and to enhance its effectiveness. </w:t>
      </w:r>
    </w:p>
    <w:p w:rsidR="0048327A" w:rsidRDefault="0048327A" w:rsidP="00440893">
      <w:pPr>
        <w:widowControl/>
        <w:numPr>
          <w:ilvl w:val="0"/>
          <w:numId w:val="4"/>
        </w:numPr>
        <w:tabs>
          <w:tab w:val="left" w:pos="720"/>
          <w:tab w:val="left" w:pos="1440"/>
        </w:tabs>
        <w:spacing w:after="240"/>
        <w:ind w:left="1440"/>
        <w:rPr>
          <w:szCs w:val="22"/>
        </w:rPr>
      </w:pPr>
      <w:r w:rsidRPr="0048327A">
        <w:rPr>
          <w:b/>
          <w:szCs w:val="22"/>
          <w:u w:val="single"/>
        </w:rPr>
        <w:t xml:space="preserve">Compliance With the </w:t>
      </w:r>
      <w:r w:rsidRPr="0048327A">
        <w:rPr>
          <w:b/>
          <w:i/>
          <w:szCs w:val="22"/>
          <w:u w:val="single"/>
        </w:rPr>
        <w:t>Rural Call Completion Order</w:t>
      </w:r>
      <w:r>
        <w:rPr>
          <w:b/>
          <w:szCs w:val="22"/>
        </w:rPr>
        <w:t>.</w:t>
      </w:r>
      <w:r w:rsidRPr="0048327A">
        <w:rPr>
          <w:szCs w:val="22"/>
        </w:rPr>
        <w:t xml:space="preserve">  </w:t>
      </w:r>
      <w:r>
        <w:rPr>
          <w:szCs w:val="22"/>
        </w:rPr>
        <w:t>Matrix agrees that while this Consent Decree is in effect</w:t>
      </w:r>
      <w:r w:rsidR="00B03F0C">
        <w:rPr>
          <w:szCs w:val="22"/>
        </w:rPr>
        <w:t>,</w:t>
      </w:r>
      <w:r>
        <w:rPr>
          <w:szCs w:val="22"/>
        </w:rPr>
        <w:t xml:space="preserve"> the Company shall be treated as a “covered provider” for purposes of the rules adopted in the </w:t>
      </w:r>
      <w:r w:rsidRPr="003A624C">
        <w:rPr>
          <w:i/>
        </w:rPr>
        <w:t>Rural Call Completion Order</w:t>
      </w:r>
      <w:r>
        <w:t>, regardless of whether the Company makes the initial long-distance call path choice for more than 100,000 domestic retail subscriber lines.</w:t>
      </w:r>
      <w:r>
        <w:rPr>
          <w:szCs w:val="22"/>
        </w:rPr>
        <w:t xml:space="preserve"> </w:t>
      </w:r>
    </w:p>
    <w:p w:rsidR="00835A3E" w:rsidRDefault="00835A3E" w:rsidP="00440893">
      <w:pPr>
        <w:widowControl/>
        <w:numPr>
          <w:ilvl w:val="0"/>
          <w:numId w:val="4"/>
        </w:numPr>
        <w:tabs>
          <w:tab w:val="left" w:pos="720"/>
          <w:tab w:val="left" w:pos="1440"/>
        </w:tabs>
        <w:spacing w:after="240"/>
        <w:ind w:left="1440"/>
        <w:rPr>
          <w:szCs w:val="22"/>
        </w:rPr>
      </w:pPr>
      <w:r>
        <w:rPr>
          <w:b/>
          <w:szCs w:val="22"/>
          <w:u w:val="single"/>
        </w:rPr>
        <w:t>Testing</w:t>
      </w:r>
      <w:r>
        <w:rPr>
          <w:b/>
          <w:szCs w:val="22"/>
        </w:rPr>
        <w:t>.</w:t>
      </w:r>
      <w:r>
        <w:rPr>
          <w:szCs w:val="22"/>
        </w:rPr>
        <w:t xml:space="preserve">  The Company will cooperate with the FCC and with rural </w:t>
      </w:r>
      <w:r w:rsidR="00231F47">
        <w:rPr>
          <w:szCs w:val="22"/>
        </w:rPr>
        <w:t xml:space="preserve">LECs </w:t>
      </w:r>
      <w:r>
        <w:rPr>
          <w:szCs w:val="22"/>
        </w:rPr>
        <w:t xml:space="preserve">to undertake commercially reasonable steps to establish test points and uniform test criteria to evaluate rural call completion when </w:t>
      </w:r>
      <w:r w:rsidR="00610A85">
        <w:rPr>
          <w:szCs w:val="22"/>
        </w:rPr>
        <w:t xml:space="preserve">complaints, or </w:t>
      </w:r>
      <w:r>
        <w:rPr>
          <w:szCs w:val="22"/>
        </w:rPr>
        <w:t xml:space="preserve">data collected in accordance with the </w:t>
      </w:r>
      <w:r w:rsidRPr="005764F6">
        <w:rPr>
          <w:i/>
          <w:szCs w:val="22"/>
        </w:rPr>
        <w:t>Rural Call Completion Order</w:t>
      </w:r>
      <w:r w:rsidR="00610A85">
        <w:rPr>
          <w:szCs w:val="22"/>
        </w:rPr>
        <w:t xml:space="preserve">, </w:t>
      </w:r>
      <w:r>
        <w:rPr>
          <w:szCs w:val="22"/>
        </w:rPr>
        <w:t xml:space="preserve">indicate potential rural call completion problems.  </w:t>
      </w:r>
    </w:p>
    <w:p w:rsidR="00610A85" w:rsidRDefault="00610A85" w:rsidP="00440893">
      <w:pPr>
        <w:widowControl/>
        <w:numPr>
          <w:ilvl w:val="0"/>
          <w:numId w:val="4"/>
        </w:numPr>
        <w:tabs>
          <w:tab w:val="left" w:pos="720"/>
          <w:tab w:val="left" w:pos="1440"/>
        </w:tabs>
        <w:spacing w:after="240"/>
        <w:ind w:left="1440"/>
        <w:rPr>
          <w:szCs w:val="22"/>
        </w:rPr>
      </w:pPr>
      <w:r>
        <w:rPr>
          <w:b/>
          <w:szCs w:val="22"/>
          <w:u w:val="single"/>
        </w:rPr>
        <w:t>Resolution of Call Completion Problems.</w:t>
      </w:r>
      <w:r>
        <w:rPr>
          <w:szCs w:val="22"/>
        </w:rPr>
        <w:t xml:space="preserve">  The Company will notify any </w:t>
      </w:r>
      <w:r w:rsidR="003C5D9C">
        <w:rPr>
          <w:szCs w:val="22"/>
        </w:rPr>
        <w:t xml:space="preserve">Intermediate  </w:t>
      </w:r>
      <w:r w:rsidR="006D24F4">
        <w:rPr>
          <w:szCs w:val="22"/>
        </w:rPr>
        <w:t>P</w:t>
      </w:r>
      <w:r>
        <w:rPr>
          <w:szCs w:val="22"/>
        </w:rPr>
        <w:t xml:space="preserve">rovider it has reason to believe is causing call completion problems, and </w:t>
      </w:r>
      <w:r w:rsidR="00B03F0C">
        <w:rPr>
          <w:szCs w:val="22"/>
        </w:rPr>
        <w:t xml:space="preserve">it </w:t>
      </w:r>
      <w:r>
        <w:rPr>
          <w:szCs w:val="22"/>
        </w:rPr>
        <w:t xml:space="preserve">will work cooperatively with each such </w:t>
      </w:r>
      <w:r w:rsidR="003C5D9C">
        <w:rPr>
          <w:szCs w:val="22"/>
        </w:rPr>
        <w:t xml:space="preserve">Intermediate </w:t>
      </w:r>
      <w:r w:rsidR="006D24F4">
        <w:rPr>
          <w:szCs w:val="22"/>
        </w:rPr>
        <w:t>P</w:t>
      </w:r>
      <w:r>
        <w:rPr>
          <w:szCs w:val="22"/>
        </w:rPr>
        <w:t xml:space="preserve">rovider </w:t>
      </w:r>
      <w:r w:rsidR="00231F47">
        <w:rPr>
          <w:szCs w:val="22"/>
        </w:rPr>
        <w:t xml:space="preserve">to </w:t>
      </w:r>
      <w:r>
        <w:rPr>
          <w:szCs w:val="22"/>
        </w:rPr>
        <w:t>analyz</w:t>
      </w:r>
      <w:r w:rsidR="00231F47">
        <w:rPr>
          <w:szCs w:val="22"/>
        </w:rPr>
        <w:t>e</w:t>
      </w:r>
      <w:r>
        <w:rPr>
          <w:szCs w:val="22"/>
        </w:rPr>
        <w:t xml:space="preserve"> and resolv</w:t>
      </w:r>
      <w:r w:rsidR="00231F47">
        <w:rPr>
          <w:szCs w:val="22"/>
        </w:rPr>
        <w:t>e</w:t>
      </w:r>
      <w:r>
        <w:rPr>
          <w:szCs w:val="22"/>
        </w:rPr>
        <w:t xml:space="preserve"> such problems as soon as practicable.</w:t>
      </w:r>
      <w:r w:rsidR="00231F47">
        <w:rPr>
          <w:szCs w:val="22"/>
        </w:rPr>
        <w:t xml:space="preserve">  If complaints, testing, or data collected in accordance with the </w:t>
      </w:r>
      <w:r w:rsidR="00231F47">
        <w:rPr>
          <w:i/>
          <w:szCs w:val="22"/>
        </w:rPr>
        <w:t>Rural Call Completion Order</w:t>
      </w:r>
      <w:r w:rsidR="00231F47">
        <w:rPr>
          <w:szCs w:val="22"/>
        </w:rPr>
        <w:t xml:space="preserve"> </w:t>
      </w:r>
      <w:r w:rsidR="008E5DD6">
        <w:rPr>
          <w:szCs w:val="22"/>
        </w:rPr>
        <w:t xml:space="preserve">show that an Intermediate Provider has sustained inadequate performance on a particular route, as reasonably determined by the Company, the Company will cease using the Intermediate Provider on that route, provided that other Intermediate Providers offer commercially reasonable options for reaching that location.   </w:t>
      </w:r>
    </w:p>
    <w:p w:rsidR="00A42DFB" w:rsidRPr="003A624C" w:rsidRDefault="00A42DFB" w:rsidP="00440893">
      <w:pPr>
        <w:pStyle w:val="ParaNum"/>
        <w:spacing w:after="240"/>
      </w:pPr>
      <w:r w:rsidRPr="00A42DFB">
        <w:rPr>
          <w:b/>
          <w:u w:val="single"/>
        </w:rPr>
        <w:t>Reporting Noncompliance</w:t>
      </w:r>
      <w:r w:rsidRPr="00A42DFB">
        <w:rPr>
          <w:b/>
        </w:rPr>
        <w:t>.</w:t>
      </w:r>
      <w:r w:rsidRPr="00160CBE">
        <w:t xml:space="preserve">  </w:t>
      </w:r>
      <w:r>
        <w:t>The Company</w:t>
      </w:r>
      <w:r w:rsidRPr="00160CBE">
        <w:t xml:space="preserve"> shall report any noncompliance with </w:t>
      </w:r>
      <w:r>
        <w:t xml:space="preserve">the rules adopted in the </w:t>
      </w:r>
      <w:r w:rsidRPr="00A42DFB">
        <w:rPr>
          <w:i/>
        </w:rPr>
        <w:t>Rural Call Completion Order</w:t>
      </w:r>
      <w:r>
        <w:t xml:space="preserve"> </w:t>
      </w:r>
      <w:r w:rsidR="00A31DC2">
        <w:t xml:space="preserve">or </w:t>
      </w:r>
      <w:r w:rsidRPr="00160CBE">
        <w:t xml:space="preserve">with the terms and conditions of this Consent Decree within fifteen (15) calendar days after </w:t>
      </w:r>
      <w:r w:rsidR="00610A85">
        <w:t>the Compliance Officer or any Covered Employee becomes aware of the matter (whether from a report from an employee or otherwise)</w:t>
      </w:r>
      <w:r w:rsidRPr="00160CBE">
        <w:t xml:space="preserve">.  Such reports shall include a detailed explanation of (i) each instance of noncompliance; (ii) the steps that </w:t>
      </w:r>
      <w:r>
        <w:t>the Company</w:t>
      </w:r>
      <w:r w:rsidRPr="00160CBE">
        <w:t xml:space="preserve"> ha</w:t>
      </w:r>
      <w:r>
        <w:t>s</w:t>
      </w:r>
      <w:r w:rsidRPr="00160CBE">
        <w:t xml:space="preserve"> taken or will take to remedy such noncompliance; (iii) the schedule on which such remedial actions will be taken; and (iv) the steps that </w:t>
      </w:r>
      <w:r>
        <w:t>the Company</w:t>
      </w:r>
      <w:r w:rsidRPr="00160CBE">
        <w:t xml:space="preserve"> ha</w:t>
      </w:r>
      <w:r>
        <w:t>s</w:t>
      </w:r>
      <w:r w:rsidRPr="00160CBE">
        <w:t xml:space="preserve"> taken or will take to prevent the recurrence of any such noncompliance.  All reports of noncompliance shall be submitted to the Chief, Investigations </w:t>
      </w:r>
      <w:r>
        <w:t>&amp;</w:t>
      </w:r>
      <w:r w:rsidRPr="00160CBE">
        <w:t xml:space="preserve"> Hearings Division, Enforcement Bureau, Federal Communications Commission, Room 4-C330, 445 12th Street, SW</w:t>
      </w:r>
      <w:r>
        <w:t>,</w:t>
      </w:r>
      <w:r w:rsidRPr="00160CBE">
        <w:t xml:space="preserve"> Washington, DC 20554, with cop</w:t>
      </w:r>
      <w:r w:rsidR="00B03F0C">
        <w:t>ies</w:t>
      </w:r>
      <w:r w:rsidRPr="00160CBE">
        <w:t xml:space="preserve"> submitted electronically to Theresa Z. Cavanaugh at </w:t>
      </w:r>
      <w:r w:rsidRPr="003A624C">
        <w:t>Terry.Cavanaugh@fcc.gov</w:t>
      </w:r>
      <w:r w:rsidRPr="003A624C">
        <w:rPr>
          <w:szCs w:val="22"/>
        </w:rPr>
        <w:t xml:space="preserve"> and </w:t>
      </w:r>
      <w:r w:rsidR="00A26F24" w:rsidRPr="003A624C">
        <w:rPr>
          <w:szCs w:val="22"/>
        </w:rPr>
        <w:t>Theodore C. Marcus</w:t>
      </w:r>
      <w:r w:rsidRPr="003A624C">
        <w:rPr>
          <w:szCs w:val="22"/>
        </w:rPr>
        <w:t xml:space="preserve"> at </w:t>
      </w:r>
      <w:r w:rsidR="00A26F24" w:rsidRPr="003A624C">
        <w:rPr>
          <w:szCs w:val="22"/>
        </w:rPr>
        <w:t>Theodore</w:t>
      </w:r>
      <w:r w:rsidRPr="003A624C">
        <w:rPr>
          <w:szCs w:val="22"/>
        </w:rPr>
        <w:t>.</w:t>
      </w:r>
      <w:r w:rsidR="00A26F24" w:rsidRPr="003A624C">
        <w:rPr>
          <w:szCs w:val="22"/>
        </w:rPr>
        <w:t>Marcus</w:t>
      </w:r>
      <w:r w:rsidRPr="003A624C">
        <w:rPr>
          <w:szCs w:val="22"/>
        </w:rPr>
        <w:t>@fcc.gov</w:t>
      </w:r>
      <w:r w:rsidRPr="003A624C">
        <w:t xml:space="preserve">.  </w:t>
      </w:r>
    </w:p>
    <w:p w:rsidR="008E0C3F" w:rsidRPr="00160CBE" w:rsidRDefault="008E0C3F" w:rsidP="001D7304">
      <w:pPr>
        <w:pStyle w:val="ParaNum"/>
        <w:spacing w:after="240"/>
      </w:pPr>
      <w:r w:rsidRPr="00160CBE">
        <w:rPr>
          <w:b/>
          <w:u w:val="single"/>
        </w:rPr>
        <w:t>Compliance Reports</w:t>
      </w:r>
      <w:r w:rsidRPr="001A23C5">
        <w:rPr>
          <w:b/>
        </w:rPr>
        <w:t>.</w:t>
      </w:r>
      <w:r w:rsidRPr="00160CBE">
        <w:t xml:space="preserve">  </w:t>
      </w:r>
      <w:r>
        <w:t xml:space="preserve">The </w:t>
      </w:r>
      <w:r w:rsidR="0081351E">
        <w:t>Company</w:t>
      </w:r>
      <w:r w:rsidRPr="00160CBE">
        <w:t xml:space="preserve"> shall file Compliance Reports with the Commission ninety (90) calendar days after the Effective Date, twelve (12) months after the Effective Date, twenty-four (24) months after the Effective Date</w:t>
      </w:r>
      <w:r>
        <w:t>, and thirty-six</w:t>
      </w:r>
      <w:r w:rsidRPr="00160CBE">
        <w:t xml:space="preserve"> (</w:t>
      </w:r>
      <w:r>
        <w:t>36</w:t>
      </w:r>
      <w:r w:rsidRPr="00160CBE">
        <w:t>) months after the Effective Date</w:t>
      </w:r>
      <w:r>
        <w:t>.</w:t>
      </w:r>
    </w:p>
    <w:p w:rsidR="008E0C3F" w:rsidRPr="003A624C" w:rsidRDefault="008E0C3F" w:rsidP="000E0878">
      <w:pPr>
        <w:widowControl/>
        <w:numPr>
          <w:ilvl w:val="0"/>
          <w:numId w:val="5"/>
        </w:numPr>
        <w:tabs>
          <w:tab w:val="clear" w:pos="1872"/>
          <w:tab w:val="left" w:pos="720"/>
          <w:tab w:val="left" w:pos="1440"/>
        </w:tabs>
        <w:spacing w:after="120"/>
        <w:ind w:left="1440"/>
        <w:rPr>
          <w:szCs w:val="22"/>
        </w:rPr>
      </w:pPr>
      <w:r w:rsidRPr="00160CBE">
        <w:rPr>
          <w:szCs w:val="22"/>
        </w:rPr>
        <w:t xml:space="preserve">Each </w:t>
      </w:r>
      <w:r>
        <w:rPr>
          <w:szCs w:val="22"/>
        </w:rPr>
        <w:t>C</w:t>
      </w:r>
      <w:r w:rsidRPr="00160CBE">
        <w:rPr>
          <w:szCs w:val="22"/>
        </w:rPr>
        <w:t xml:space="preserve">ompliance </w:t>
      </w:r>
      <w:r>
        <w:rPr>
          <w:szCs w:val="22"/>
        </w:rPr>
        <w:t>R</w:t>
      </w:r>
      <w:r w:rsidRPr="00160CBE">
        <w:rPr>
          <w:szCs w:val="22"/>
        </w:rPr>
        <w:t xml:space="preserve">eport shall include a detailed description of </w:t>
      </w:r>
      <w:r>
        <w:t>the Compan</w:t>
      </w:r>
      <w:r w:rsidR="0081351E">
        <w:t>y</w:t>
      </w:r>
      <w:r w:rsidR="00855641">
        <w:rPr>
          <w:szCs w:val="22"/>
        </w:rPr>
        <w:t>’</w:t>
      </w:r>
      <w:r w:rsidR="0081351E">
        <w:rPr>
          <w:szCs w:val="22"/>
        </w:rPr>
        <w:t>s</w:t>
      </w:r>
      <w:r w:rsidRPr="00160CBE">
        <w:rPr>
          <w:szCs w:val="22"/>
        </w:rPr>
        <w:t xml:space="preserve"> efforts during the relevant period to comply with the terms and conditions of this Consent </w:t>
      </w:r>
      <w:r w:rsidRPr="003A624C">
        <w:rPr>
          <w:szCs w:val="22"/>
        </w:rPr>
        <w:t>Decree</w:t>
      </w:r>
      <w:r w:rsidR="000B6CE9" w:rsidRPr="003A624C">
        <w:rPr>
          <w:szCs w:val="22"/>
        </w:rPr>
        <w:t xml:space="preserve">, </w:t>
      </w:r>
      <w:r w:rsidR="00C37F6D" w:rsidRPr="003A624C">
        <w:rPr>
          <w:szCs w:val="22"/>
        </w:rPr>
        <w:t>with</w:t>
      </w:r>
      <w:r w:rsidR="00AF1BD1" w:rsidRPr="003A624C">
        <w:rPr>
          <w:szCs w:val="22"/>
        </w:rPr>
        <w:t xml:space="preserve"> </w:t>
      </w:r>
      <w:r w:rsidR="00244F12" w:rsidRPr="003A624C">
        <w:rPr>
          <w:szCs w:val="22"/>
        </w:rPr>
        <w:t>Section</w:t>
      </w:r>
      <w:r w:rsidR="00E10991">
        <w:rPr>
          <w:szCs w:val="22"/>
        </w:rPr>
        <w:t>s</w:t>
      </w:r>
      <w:r w:rsidR="00244F12" w:rsidRPr="003A624C">
        <w:rPr>
          <w:szCs w:val="22"/>
        </w:rPr>
        <w:t xml:space="preserve"> 201(b) </w:t>
      </w:r>
      <w:r w:rsidR="00E10991">
        <w:rPr>
          <w:szCs w:val="22"/>
        </w:rPr>
        <w:t xml:space="preserve">and 202(a) </w:t>
      </w:r>
      <w:r w:rsidR="00244F12" w:rsidRPr="003A624C">
        <w:rPr>
          <w:szCs w:val="22"/>
        </w:rPr>
        <w:t>of the Act</w:t>
      </w:r>
      <w:r w:rsidR="00C37F6D" w:rsidRPr="003A624C">
        <w:rPr>
          <w:szCs w:val="22"/>
        </w:rPr>
        <w:t>, as interpreted</w:t>
      </w:r>
      <w:r w:rsidR="00D814C8" w:rsidRPr="003A624C">
        <w:t xml:space="preserve"> </w:t>
      </w:r>
      <w:r w:rsidR="00B60BF7" w:rsidRPr="003A624C">
        <w:t xml:space="preserve">in </w:t>
      </w:r>
      <w:r w:rsidR="00A42DFB" w:rsidRPr="003A624C">
        <w:t xml:space="preserve">the </w:t>
      </w:r>
      <w:r w:rsidR="00A42DFB" w:rsidRPr="003A624C">
        <w:rPr>
          <w:i/>
        </w:rPr>
        <w:t>Rural Call Completion Declaratory Ruling</w:t>
      </w:r>
      <w:r w:rsidR="00A42DFB" w:rsidRPr="003A624C">
        <w:t xml:space="preserve">, and </w:t>
      </w:r>
      <w:r w:rsidR="00C37F6D" w:rsidRPr="003A624C">
        <w:t xml:space="preserve">with </w:t>
      </w:r>
      <w:r w:rsidR="00A42DFB" w:rsidRPr="003A624C">
        <w:t xml:space="preserve">the rules adopted in the </w:t>
      </w:r>
      <w:r w:rsidR="00A42DFB" w:rsidRPr="003A624C">
        <w:rPr>
          <w:i/>
        </w:rPr>
        <w:t>Rural Call Completion Order</w:t>
      </w:r>
      <w:r w:rsidRPr="003A624C">
        <w:rPr>
          <w:szCs w:val="22"/>
        </w:rPr>
        <w:t xml:space="preserve">.  In addition, each Compliance Report shall include a certification by the Compliance Officer, as an agent of and on behalf of </w:t>
      </w:r>
      <w:r w:rsidRPr="003A624C">
        <w:t xml:space="preserve">the </w:t>
      </w:r>
      <w:r w:rsidR="0081351E" w:rsidRPr="003A624C">
        <w:t>Company</w:t>
      </w:r>
      <w:r w:rsidRPr="003A624C">
        <w:rPr>
          <w:szCs w:val="22"/>
        </w:rPr>
        <w:t xml:space="preserve">, stating that the Compliance Officer has personal knowledge that </w:t>
      </w:r>
      <w:r w:rsidRPr="003A624C">
        <w:t xml:space="preserve">the </w:t>
      </w:r>
      <w:r w:rsidR="0081351E" w:rsidRPr="003A624C">
        <w:t>Company</w:t>
      </w:r>
      <w:r w:rsidRPr="003A624C">
        <w:rPr>
          <w:szCs w:val="22"/>
        </w:rPr>
        <w:t xml:space="preserve"> (i) ha</w:t>
      </w:r>
      <w:r w:rsidR="0081351E" w:rsidRPr="003A624C">
        <w:rPr>
          <w:szCs w:val="22"/>
        </w:rPr>
        <w:t>s</w:t>
      </w:r>
      <w:r w:rsidRPr="003A624C">
        <w:rPr>
          <w:szCs w:val="22"/>
        </w:rPr>
        <w:t xml:space="preserve"> established and implemented the Compliance Plan; (ii) ha</w:t>
      </w:r>
      <w:r w:rsidR="0081351E" w:rsidRPr="003A624C">
        <w:rPr>
          <w:szCs w:val="22"/>
        </w:rPr>
        <w:t>s</w:t>
      </w:r>
      <w:r w:rsidRPr="003A624C">
        <w:rPr>
          <w:szCs w:val="22"/>
        </w:rPr>
        <w:t xml:space="preserve"> utilized the Operating Procedures since the implementation of the Compliance Plan; and (iii) </w:t>
      </w:r>
      <w:r w:rsidR="0081351E" w:rsidRPr="003A624C">
        <w:rPr>
          <w:szCs w:val="22"/>
        </w:rPr>
        <w:t>is</w:t>
      </w:r>
      <w:r w:rsidRPr="003A624C">
        <w:rPr>
          <w:szCs w:val="22"/>
        </w:rPr>
        <w:t xml:space="preserve"> not aware of any instances of noncompliance with the terms and conditions of this Consent Decree, including the reporting obligations set forth in paragraph </w:t>
      </w:r>
      <w:r w:rsidR="00A42DFB" w:rsidRPr="003A624C">
        <w:rPr>
          <w:szCs w:val="22"/>
        </w:rPr>
        <w:t>1</w:t>
      </w:r>
      <w:r w:rsidR="0009645A">
        <w:rPr>
          <w:szCs w:val="22"/>
        </w:rPr>
        <w:t>8</w:t>
      </w:r>
      <w:r w:rsidRPr="003A624C">
        <w:rPr>
          <w:szCs w:val="22"/>
        </w:rPr>
        <w:t xml:space="preserve"> of this Consent Decree.</w:t>
      </w:r>
    </w:p>
    <w:p w:rsidR="008E0C3F" w:rsidRPr="00160CBE" w:rsidRDefault="008E0C3F" w:rsidP="000E0878">
      <w:pPr>
        <w:widowControl/>
        <w:numPr>
          <w:ilvl w:val="0"/>
          <w:numId w:val="5"/>
        </w:numPr>
        <w:tabs>
          <w:tab w:val="clear" w:pos="1872"/>
          <w:tab w:val="left" w:pos="720"/>
          <w:tab w:val="left" w:pos="1440"/>
        </w:tabs>
        <w:spacing w:after="120"/>
        <w:ind w:left="1440"/>
        <w:rPr>
          <w:szCs w:val="22"/>
        </w:rPr>
      </w:pPr>
      <w:r w:rsidRPr="00160CBE">
        <w:rPr>
          <w:szCs w:val="22"/>
        </w:rPr>
        <w:t xml:space="preserve">The Compliance Officer’s certification shall be accompanied by a statement explaining the basis for such certification and </w:t>
      </w:r>
      <w:r>
        <w:rPr>
          <w:szCs w:val="22"/>
        </w:rPr>
        <w:t xml:space="preserve">shall </w:t>
      </w:r>
      <w:r w:rsidRPr="00160CBE">
        <w:rPr>
          <w:szCs w:val="22"/>
        </w:rPr>
        <w:t xml:space="preserve">comply with Section 1.16 of the Rules and be subscribed to as true under penalty of perjury in substantially the form set forth </w:t>
      </w:r>
      <w:r w:rsidR="00244F12">
        <w:rPr>
          <w:szCs w:val="22"/>
        </w:rPr>
        <w:t>therein</w:t>
      </w:r>
      <w:r w:rsidRPr="00160CBE">
        <w:rPr>
          <w:szCs w:val="22"/>
        </w:rPr>
        <w:t>.</w:t>
      </w:r>
      <w:r w:rsidR="000B6CE9" w:rsidRPr="00160CBE">
        <w:rPr>
          <w:rStyle w:val="FootnoteReference"/>
          <w:szCs w:val="22"/>
        </w:rPr>
        <w:footnoteReference w:id="36"/>
      </w:r>
    </w:p>
    <w:p w:rsidR="008E0C3F" w:rsidRPr="00160CBE" w:rsidRDefault="008E0C3F" w:rsidP="000E0878">
      <w:pPr>
        <w:widowControl/>
        <w:numPr>
          <w:ilvl w:val="0"/>
          <w:numId w:val="5"/>
        </w:numPr>
        <w:tabs>
          <w:tab w:val="clear" w:pos="1872"/>
          <w:tab w:val="left" w:pos="720"/>
          <w:tab w:val="left" w:pos="1440"/>
        </w:tabs>
        <w:spacing w:after="120"/>
        <w:ind w:left="1440"/>
        <w:rPr>
          <w:szCs w:val="22"/>
        </w:rPr>
      </w:pPr>
      <w:r w:rsidRPr="00160CBE">
        <w:rPr>
          <w:szCs w:val="22"/>
        </w:rPr>
        <w:t xml:space="preserve">If the Compliance Officer cannot provide the requisite certification, the Compliance Officer, as an agent of and on behalf of </w:t>
      </w:r>
      <w:r>
        <w:t xml:space="preserve">the </w:t>
      </w:r>
      <w:r w:rsidR="0081351E">
        <w:t>Company</w:t>
      </w:r>
      <w:r w:rsidRPr="00160CBE">
        <w:rPr>
          <w:szCs w:val="22"/>
        </w:rPr>
        <w:t xml:space="preserve">, shall provide the Commission with a detailed explanation of the reason(s) why and describe fully (i) each instance of noncompliance; (ii) the steps that </w:t>
      </w:r>
      <w:r>
        <w:t xml:space="preserve">the </w:t>
      </w:r>
      <w:r w:rsidR="0081351E">
        <w:t>Company</w:t>
      </w:r>
      <w:r w:rsidRPr="00160CBE">
        <w:rPr>
          <w:szCs w:val="22"/>
        </w:rPr>
        <w:t xml:space="preserve"> ha</w:t>
      </w:r>
      <w:r w:rsidR="0081351E">
        <w:rPr>
          <w:szCs w:val="22"/>
        </w:rPr>
        <w:t>s</w:t>
      </w:r>
      <w:r w:rsidRPr="00160CBE">
        <w:rPr>
          <w:szCs w:val="22"/>
        </w:rPr>
        <w:t xml:space="preserve"> taken or will take to remedy such noncompliance, including the schedule on which proposed remedial actions will be taken; and (iii) the steps that </w:t>
      </w:r>
      <w:r>
        <w:t xml:space="preserve">the </w:t>
      </w:r>
      <w:r w:rsidR="0081351E">
        <w:t>Company</w:t>
      </w:r>
      <w:r w:rsidRPr="00160CBE">
        <w:rPr>
          <w:szCs w:val="22"/>
        </w:rPr>
        <w:t xml:space="preserve"> ha</w:t>
      </w:r>
      <w:r w:rsidR="0081351E">
        <w:rPr>
          <w:szCs w:val="22"/>
        </w:rPr>
        <w:t>s</w:t>
      </w:r>
      <w:r w:rsidRPr="00160CBE">
        <w:rPr>
          <w:szCs w:val="22"/>
        </w:rPr>
        <w:t xml:space="preserve"> taken or will take to prevent the recurrence of any such noncompliance, including the schedule on which such preventive action will be taken.</w:t>
      </w:r>
    </w:p>
    <w:p w:rsidR="002B2033" w:rsidRPr="00081DBA" w:rsidRDefault="008E0C3F" w:rsidP="00081DBA">
      <w:pPr>
        <w:widowControl/>
        <w:numPr>
          <w:ilvl w:val="0"/>
          <w:numId w:val="5"/>
        </w:numPr>
        <w:tabs>
          <w:tab w:val="clear" w:pos="1872"/>
          <w:tab w:val="left" w:pos="720"/>
          <w:tab w:val="left" w:pos="1440"/>
        </w:tabs>
        <w:spacing w:after="240"/>
        <w:ind w:left="1440"/>
      </w:pPr>
      <w:r w:rsidRPr="00160CBE">
        <w:rPr>
          <w:szCs w:val="22"/>
        </w:rPr>
        <w:t xml:space="preserve">All Compliance Reports shall be submitted to the Chief, Investigations </w:t>
      </w:r>
      <w:r>
        <w:rPr>
          <w:szCs w:val="22"/>
        </w:rPr>
        <w:t xml:space="preserve">&amp; </w:t>
      </w:r>
      <w:r w:rsidRPr="00160CBE">
        <w:rPr>
          <w:szCs w:val="22"/>
        </w:rPr>
        <w:t xml:space="preserve">Hearings Division, Enforcement Bureau, Federal Communications Commission, </w:t>
      </w:r>
      <w:r>
        <w:rPr>
          <w:szCs w:val="22"/>
        </w:rPr>
        <w:t>Room 4</w:t>
      </w:r>
      <w:r>
        <w:rPr>
          <w:szCs w:val="22"/>
        </w:rPr>
        <w:softHyphen/>
      </w:r>
      <w:r>
        <w:rPr>
          <w:szCs w:val="22"/>
        </w:rPr>
        <w:softHyphen/>
      </w:r>
      <w:r>
        <w:rPr>
          <w:szCs w:val="22"/>
        </w:rPr>
        <w:noBreakHyphen/>
        <w:t xml:space="preserve">C330, </w:t>
      </w:r>
      <w:r w:rsidRPr="00160CBE">
        <w:rPr>
          <w:szCs w:val="22"/>
        </w:rPr>
        <w:t>445 12th Street, SW, Washington, DC 20554, with cop</w:t>
      </w:r>
      <w:r w:rsidR="00B03F0C">
        <w:rPr>
          <w:szCs w:val="22"/>
        </w:rPr>
        <w:t>ies</w:t>
      </w:r>
      <w:r w:rsidRPr="00160CBE">
        <w:rPr>
          <w:szCs w:val="22"/>
        </w:rPr>
        <w:t xml:space="preserve"> submitted electronically to </w:t>
      </w:r>
      <w:r w:rsidRPr="003A624C">
        <w:rPr>
          <w:szCs w:val="22"/>
        </w:rPr>
        <w:t>Theresa Z. Cavanaugh at Terry.Cavanaugh@fcc.gov</w:t>
      </w:r>
      <w:r w:rsidR="00A42DFB" w:rsidRPr="003A624C">
        <w:rPr>
          <w:szCs w:val="22"/>
        </w:rPr>
        <w:t xml:space="preserve"> and </w:t>
      </w:r>
      <w:r w:rsidR="00A26F24" w:rsidRPr="003A624C">
        <w:rPr>
          <w:szCs w:val="22"/>
        </w:rPr>
        <w:t>Theodore C. Marcus</w:t>
      </w:r>
      <w:r w:rsidR="00A42DFB" w:rsidRPr="003A624C">
        <w:rPr>
          <w:szCs w:val="22"/>
        </w:rPr>
        <w:t xml:space="preserve"> at </w:t>
      </w:r>
      <w:r w:rsidR="00A26F24" w:rsidRPr="003A624C">
        <w:rPr>
          <w:szCs w:val="22"/>
        </w:rPr>
        <w:t>Theodore.Marcus</w:t>
      </w:r>
      <w:r w:rsidR="00A42DFB" w:rsidRPr="003A624C">
        <w:rPr>
          <w:szCs w:val="22"/>
        </w:rPr>
        <w:t>@fcc.gov</w:t>
      </w:r>
      <w:r w:rsidR="00A42DFB" w:rsidRPr="003A624C">
        <w:t>.</w:t>
      </w:r>
    </w:p>
    <w:p w:rsidR="008C1B03" w:rsidRPr="003A624C" w:rsidRDefault="008E0C3F" w:rsidP="00081DBA">
      <w:pPr>
        <w:pStyle w:val="ParaNum"/>
        <w:keepNext/>
        <w:widowControl/>
        <w:spacing w:after="240"/>
      </w:pPr>
      <w:r w:rsidRPr="003A624C">
        <w:rPr>
          <w:b/>
          <w:szCs w:val="22"/>
          <w:u w:val="single"/>
        </w:rPr>
        <w:t>Termination Date</w:t>
      </w:r>
      <w:r w:rsidRPr="003A624C">
        <w:rPr>
          <w:szCs w:val="22"/>
        </w:rPr>
        <w:t>.</w:t>
      </w:r>
      <w:r w:rsidRPr="003A624C">
        <w:rPr>
          <w:b/>
          <w:szCs w:val="22"/>
        </w:rPr>
        <w:t xml:space="preserve"> </w:t>
      </w:r>
      <w:r w:rsidRPr="003A624C">
        <w:rPr>
          <w:szCs w:val="22"/>
        </w:rPr>
        <w:t xml:space="preserve"> Unless stated otherwise, the requirements set forth in paragraphs </w:t>
      </w:r>
      <w:r w:rsidR="005F6505" w:rsidRPr="003A624C">
        <w:rPr>
          <w:szCs w:val="22"/>
        </w:rPr>
        <w:t>1</w:t>
      </w:r>
      <w:r w:rsidR="005F6505">
        <w:rPr>
          <w:szCs w:val="22"/>
        </w:rPr>
        <w:t>6</w:t>
      </w:r>
      <w:r w:rsidR="005F6505" w:rsidRPr="003A624C">
        <w:rPr>
          <w:szCs w:val="22"/>
        </w:rPr>
        <w:t xml:space="preserve"> </w:t>
      </w:r>
      <w:r w:rsidRPr="003A624C">
        <w:rPr>
          <w:szCs w:val="22"/>
        </w:rPr>
        <w:t xml:space="preserve">through </w:t>
      </w:r>
      <w:r w:rsidR="005F6505" w:rsidRPr="003A624C">
        <w:rPr>
          <w:szCs w:val="22"/>
        </w:rPr>
        <w:t>1</w:t>
      </w:r>
      <w:r w:rsidR="005F6505">
        <w:rPr>
          <w:szCs w:val="22"/>
        </w:rPr>
        <w:t>9</w:t>
      </w:r>
      <w:r w:rsidR="005F6505" w:rsidRPr="003A624C">
        <w:rPr>
          <w:szCs w:val="22"/>
        </w:rPr>
        <w:t xml:space="preserve"> </w:t>
      </w:r>
      <w:r w:rsidRPr="003A624C">
        <w:rPr>
          <w:szCs w:val="22"/>
        </w:rPr>
        <w:t>of this Consent Decree shall expire thirty-six (36) months after the Effective Date.</w:t>
      </w:r>
      <w:r w:rsidR="008C1B03" w:rsidRPr="003A624C">
        <w:t xml:space="preserve"> </w:t>
      </w:r>
    </w:p>
    <w:p w:rsidR="008C1B03" w:rsidRPr="008C1B03" w:rsidRDefault="008C1B03" w:rsidP="003F1272">
      <w:pPr>
        <w:pStyle w:val="ParaNum"/>
        <w:keepNext/>
        <w:widowControl/>
        <w:spacing w:after="240"/>
      </w:pPr>
      <w:r w:rsidRPr="00A319A7">
        <w:rPr>
          <w:b/>
          <w:u w:val="single"/>
        </w:rPr>
        <w:t>Section 208 Complaints:  Subsequent Investigations</w:t>
      </w:r>
      <w:r w:rsidRPr="008C1B03">
        <w:t>.  Nothing in this Consent Decree shall prevent the Commission or its delegated authority from adjudicating complaints filed pursuant to Section 208 of the Act</w:t>
      </w:r>
      <w:r w:rsidRPr="008C1B03">
        <w:rPr>
          <w:sz w:val="20"/>
          <w:vertAlign w:val="superscript"/>
        </w:rPr>
        <w:footnoteReference w:id="37"/>
      </w:r>
      <w:r w:rsidRPr="008C1B03">
        <w:t xml:space="preserve"> against the Company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the Company with the Communications Laws.</w:t>
      </w:r>
    </w:p>
    <w:p w:rsidR="001B138D" w:rsidRPr="003A624C" w:rsidRDefault="008E0C3F" w:rsidP="00E1498F">
      <w:pPr>
        <w:pStyle w:val="ParaNum"/>
        <w:widowControl/>
        <w:spacing w:after="240"/>
        <w:rPr>
          <w:rFonts w:eastAsia="MS Mincho"/>
        </w:rPr>
      </w:pPr>
      <w:r w:rsidRPr="008C1B03">
        <w:rPr>
          <w:b/>
          <w:u w:val="single"/>
        </w:rPr>
        <w:t>Voluntary</w:t>
      </w:r>
      <w:r w:rsidRPr="008C1B03">
        <w:rPr>
          <w:b/>
          <w:szCs w:val="22"/>
          <w:u w:val="single"/>
        </w:rPr>
        <w:t xml:space="preserve"> Contribution</w:t>
      </w:r>
      <w:r w:rsidRPr="008C1B03">
        <w:rPr>
          <w:b/>
          <w:szCs w:val="22"/>
        </w:rPr>
        <w:t xml:space="preserve">.  </w:t>
      </w:r>
      <w:r>
        <w:t xml:space="preserve">The </w:t>
      </w:r>
      <w:r w:rsidR="0081351E">
        <w:t>Company</w:t>
      </w:r>
      <w:r w:rsidRPr="008C1B03">
        <w:rPr>
          <w:rFonts w:eastAsia="MS Mincho"/>
        </w:rPr>
        <w:t xml:space="preserve"> agree</w:t>
      </w:r>
      <w:r w:rsidR="0081351E" w:rsidRPr="008C1B03">
        <w:rPr>
          <w:rFonts w:eastAsia="MS Mincho"/>
        </w:rPr>
        <w:t>s</w:t>
      </w:r>
      <w:r w:rsidRPr="008C1B03">
        <w:rPr>
          <w:rFonts w:eastAsia="MS Mincho"/>
        </w:rPr>
        <w:t xml:space="preserve"> that </w:t>
      </w:r>
      <w:r w:rsidR="0081351E" w:rsidRPr="008C1B03">
        <w:rPr>
          <w:rFonts w:eastAsia="MS Mincho"/>
        </w:rPr>
        <w:t>it</w:t>
      </w:r>
      <w:r w:rsidRPr="008C1B03">
        <w:rPr>
          <w:rFonts w:eastAsia="MS Mincho"/>
        </w:rPr>
        <w:t xml:space="preserve"> will make a voluntary </w:t>
      </w:r>
      <w:r w:rsidRPr="003A624C">
        <w:rPr>
          <w:rFonts w:eastAsia="MS Mincho"/>
        </w:rPr>
        <w:t xml:space="preserve">contribution to the United States Treasury in the amount of </w:t>
      </w:r>
      <w:r w:rsidR="00A26F24" w:rsidRPr="003A624C">
        <w:rPr>
          <w:rFonts w:eastAsia="MS Mincho"/>
        </w:rPr>
        <w:t xml:space="preserve">eight </w:t>
      </w:r>
      <w:r w:rsidR="0081351E" w:rsidRPr="003A624C">
        <w:rPr>
          <w:rFonts w:eastAsia="MS Mincho"/>
        </w:rPr>
        <w:t xml:space="preserve">hundred </w:t>
      </w:r>
      <w:r w:rsidR="00A26F24" w:rsidRPr="003A624C">
        <w:rPr>
          <w:rFonts w:eastAsia="MS Mincho"/>
        </w:rPr>
        <w:t xml:space="preserve">seventy-five </w:t>
      </w:r>
      <w:r w:rsidR="0081351E" w:rsidRPr="003A624C">
        <w:rPr>
          <w:rFonts w:eastAsia="MS Mincho"/>
        </w:rPr>
        <w:t>thousand dollars</w:t>
      </w:r>
      <w:r w:rsidRPr="003A624C">
        <w:rPr>
          <w:rFonts w:eastAsia="MS Mincho"/>
        </w:rPr>
        <w:t xml:space="preserve"> ($</w:t>
      </w:r>
      <w:r w:rsidR="00A26F24" w:rsidRPr="003A624C">
        <w:rPr>
          <w:rFonts w:eastAsia="MS Mincho"/>
        </w:rPr>
        <w:t>875</w:t>
      </w:r>
      <w:r w:rsidRPr="003A624C">
        <w:rPr>
          <w:rFonts w:eastAsia="MS Mincho"/>
        </w:rPr>
        <w:t xml:space="preserve">,000) </w:t>
      </w:r>
      <w:r w:rsidR="00944D5C" w:rsidRPr="003A624C">
        <w:rPr>
          <w:rFonts w:eastAsia="MS Mincho"/>
        </w:rPr>
        <w:t xml:space="preserve">(Voluntary Contribution).  Such Voluntary Contribution shall be made in </w:t>
      </w:r>
      <w:r w:rsidR="004E3A86">
        <w:rPr>
          <w:rFonts w:eastAsia="MS Mincho"/>
        </w:rPr>
        <w:t>seven</w:t>
      </w:r>
      <w:r w:rsidR="00F22E40" w:rsidRPr="003A624C">
        <w:rPr>
          <w:rFonts w:eastAsia="MS Mincho"/>
        </w:rPr>
        <w:t xml:space="preserve"> </w:t>
      </w:r>
      <w:r w:rsidR="00944D5C" w:rsidRPr="003A624C">
        <w:rPr>
          <w:rFonts w:eastAsia="MS Mincho"/>
        </w:rPr>
        <w:t>installments (each an Installment Payment)</w:t>
      </w:r>
      <w:r w:rsidR="008F070A" w:rsidRPr="008F070A">
        <w:rPr>
          <w:rFonts w:eastAsia="MS Mincho"/>
        </w:rPr>
        <w:t xml:space="preserve"> </w:t>
      </w:r>
      <w:r w:rsidR="008F070A" w:rsidRPr="003A624C">
        <w:rPr>
          <w:rFonts w:eastAsia="MS Mincho"/>
        </w:rPr>
        <w:t xml:space="preserve">in the amount of one hundred </w:t>
      </w:r>
      <w:r w:rsidR="008F070A">
        <w:rPr>
          <w:rFonts w:eastAsia="MS Mincho"/>
        </w:rPr>
        <w:t>twenty</w:t>
      </w:r>
      <w:r w:rsidR="008F070A" w:rsidRPr="003A624C">
        <w:rPr>
          <w:rFonts w:eastAsia="MS Mincho"/>
        </w:rPr>
        <w:t>-five thousand dollars ($1</w:t>
      </w:r>
      <w:r w:rsidR="008F070A">
        <w:rPr>
          <w:rFonts w:eastAsia="MS Mincho"/>
        </w:rPr>
        <w:t>2</w:t>
      </w:r>
      <w:r w:rsidR="008F070A" w:rsidRPr="003A624C">
        <w:rPr>
          <w:rFonts w:eastAsia="MS Mincho"/>
        </w:rPr>
        <w:t>5,</w:t>
      </w:r>
      <w:r w:rsidR="008F070A">
        <w:rPr>
          <w:rFonts w:eastAsia="MS Mincho"/>
        </w:rPr>
        <w:t>000</w:t>
      </w:r>
      <w:r w:rsidR="008F070A" w:rsidRPr="003A624C">
        <w:rPr>
          <w:rFonts w:eastAsia="MS Mincho"/>
        </w:rPr>
        <w:t>.</w:t>
      </w:r>
      <w:r w:rsidR="008F070A">
        <w:rPr>
          <w:rFonts w:eastAsia="MS Mincho"/>
        </w:rPr>
        <w:t>00</w:t>
      </w:r>
      <w:r w:rsidR="008F070A" w:rsidRPr="003A624C">
        <w:rPr>
          <w:rFonts w:eastAsia="MS Mincho"/>
        </w:rPr>
        <w:t>)</w:t>
      </w:r>
      <w:r w:rsidR="008F070A">
        <w:rPr>
          <w:rFonts w:eastAsia="MS Mincho"/>
        </w:rPr>
        <w:t xml:space="preserve"> apiece</w:t>
      </w:r>
      <w:r w:rsidR="00944D5C" w:rsidRPr="003A624C">
        <w:rPr>
          <w:rFonts w:eastAsia="MS Mincho"/>
        </w:rPr>
        <w:t xml:space="preserve">.  The first Installment Payment is due on </w:t>
      </w:r>
      <w:r w:rsidR="001B138D" w:rsidRPr="003A624C">
        <w:rPr>
          <w:rFonts w:eastAsia="MS Mincho"/>
        </w:rPr>
        <w:t xml:space="preserve">June </w:t>
      </w:r>
      <w:r w:rsidR="008F070A">
        <w:rPr>
          <w:rFonts w:eastAsia="MS Mincho"/>
        </w:rPr>
        <w:t>1</w:t>
      </w:r>
      <w:r w:rsidR="001B138D" w:rsidRPr="003A624C">
        <w:rPr>
          <w:rFonts w:eastAsia="MS Mincho"/>
        </w:rPr>
        <w:t>6, 2014</w:t>
      </w:r>
      <w:r w:rsidRPr="003A624C">
        <w:rPr>
          <w:rFonts w:eastAsia="MS Mincho"/>
        </w:rPr>
        <w:t>.</w:t>
      </w:r>
      <w:r w:rsidR="00944D5C" w:rsidRPr="003A624C">
        <w:rPr>
          <w:rFonts w:eastAsia="MS Mincho"/>
        </w:rPr>
        <w:t xml:space="preserve">  Thereafter, Installment Payment</w:t>
      </w:r>
      <w:r w:rsidR="008F070A">
        <w:rPr>
          <w:rFonts w:eastAsia="MS Mincho"/>
        </w:rPr>
        <w:t>s</w:t>
      </w:r>
      <w:r w:rsidR="00944D5C" w:rsidRPr="003A624C">
        <w:rPr>
          <w:rFonts w:eastAsia="MS Mincho"/>
        </w:rPr>
        <w:t xml:space="preserve"> </w:t>
      </w:r>
      <w:r w:rsidR="008F070A">
        <w:rPr>
          <w:rFonts w:eastAsia="MS Mincho"/>
        </w:rPr>
        <w:t>are</w:t>
      </w:r>
      <w:r w:rsidR="008F070A" w:rsidRPr="003A624C">
        <w:rPr>
          <w:rFonts w:eastAsia="MS Mincho"/>
        </w:rPr>
        <w:t xml:space="preserve"> </w:t>
      </w:r>
      <w:r w:rsidR="00944D5C" w:rsidRPr="003A624C">
        <w:rPr>
          <w:rFonts w:eastAsia="MS Mincho"/>
        </w:rPr>
        <w:t>due and payable on the following dates: January 5, 2015, July 1, 2015, January 4, 2016</w:t>
      </w:r>
      <w:r w:rsidR="001B138D" w:rsidRPr="003A624C">
        <w:rPr>
          <w:rFonts w:eastAsia="MS Mincho"/>
        </w:rPr>
        <w:t xml:space="preserve">, </w:t>
      </w:r>
      <w:r w:rsidR="004E3A86">
        <w:rPr>
          <w:rFonts w:eastAsia="MS Mincho"/>
        </w:rPr>
        <w:t xml:space="preserve">July 1, 2016, January 6, 2017 </w:t>
      </w:r>
      <w:r w:rsidR="001B138D" w:rsidRPr="003A624C">
        <w:rPr>
          <w:rFonts w:eastAsia="MS Mincho"/>
        </w:rPr>
        <w:t xml:space="preserve">and a </w:t>
      </w:r>
      <w:r w:rsidR="00944D5C" w:rsidRPr="003A624C">
        <w:rPr>
          <w:rFonts w:eastAsia="MS Mincho"/>
        </w:rPr>
        <w:t xml:space="preserve">final </w:t>
      </w:r>
      <w:r w:rsidR="001B138D" w:rsidRPr="003A624C">
        <w:rPr>
          <w:rFonts w:eastAsia="MS Mincho"/>
        </w:rPr>
        <w:t>Installment P</w:t>
      </w:r>
      <w:r w:rsidR="00944D5C" w:rsidRPr="003A624C">
        <w:rPr>
          <w:rFonts w:eastAsia="MS Mincho"/>
        </w:rPr>
        <w:t xml:space="preserve">ayment on July </w:t>
      </w:r>
      <w:r w:rsidR="00EC6011">
        <w:rPr>
          <w:rFonts w:eastAsia="MS Mincho"/>
        </w:rPr>
        <w:t>3</w:t>
      </w:r>
      <w:r w:rsidR="00944D5C" w:rsidRPr="003A624C">
        <w:rPr>
          <w:rFonts w:eastAsia="MS Mincho"/>
        </w:rPr>
        <w:t>, 201</w:t>
      </w:r>
      <w:r w:rsidR="004E3A86">
        <w:rPr>
          <w:rFonts w:eastAsia="MS Mincho"/>
        </w:rPr>
        <w:t>7</w:t>
      </w:r>
      <w:r w:rsidR="001B138D" w:rsidRPr="003A624C">
        <w:rPr>
          <w:rFonts w:eastAsia="MS Mincho"/>
        </w:rPr>
        <w:t xml:space="preserve"> (Maturity Date)</w:t>
      </w:r>
      <w:r w:rsidR="00944D5C" w:rsidRPr="003A624C">
        <w:rPr>
          <w:rFonts w:eastAsia="MS Mincho"/>
        </w:rPr>
        <w:t>.</w:t>
      </w:r>
      <w:r w:rsidR="001B138D" w:rsidRPr="003A624C">
        <w:rPr>
          <w:rFonts w:eastAsia="MS Mincho"/>
        </w:rPr>
        <w:t xml:space="preserve">  Matrix acknowledges and agrees that upon execution of this Consent Decree, the Voluntary Contribution and each Installment Payment shall become a “Claim” or “Debt” as defined in 31 U.S.C. § 3701(b)(1).</w:t>
      </w:r>
      <w:r w:rsidR="001B138D" w:rsidRPr="003A624C">
        <w:rPr>
          <w:rStyle w:val="FootnoteReference"/>
          <w:rFonts w:eastAsia="MS Mincho"/>
        </w:rPr>
        <w:footnoteReference w:id="38"/>
      </w:r>
      <w:r w:rsidR="00944D5C" w:rsidRPr="003A624C">
        <w:rPr>
          <w:rFonts w:eastAsia="MS Mincho"/>
        </w:rPr>
        <w:t xml:space="preserve"> </w:t>
      </w:r>
      <w:r w:rsidR="009150C3" w:rsidRPr="003A624C">
        <w:rPr>
          <w:rFonts w:eastAsia="MS Mincho"/>
        </w:rPr>
        <w:t xml:space="preserve"> </w:t>
      </w:r>
      <w:r w:rsidR="001B138D" w:rsidRPr="003A624C">
        <w:rPr>
          <w:rFonts w:eastAsia="MS Mincho"/>
        </w:rPr>
        <w:t>Upon an Event of Default (as defined below), all procedures for collection as permitted by law may, at the Commission’s discretion, be initiated.  In addition, Matrix agrees that it will make the first and all subsequent Installment Payments in United States Dollars without further demand or notice by the dates specified above.  Matrix</w:t>
      </w:r>
      <w:r w:rsidRPr="003A624C">
        <w:rPr>
          <w:rFonts w:eastAsia="MS Mincho"/>
        </w:rPr>
        <w:t xml:space="preserve"> shall also send electronic notification of payment to </w:t>
      </w:r>
      <w:r w:rsidRPr="003A624C">
        <w:rPr>
          <w:szCs w:val="22"/>
        </w:rPr>
        <w:t xml:space="preserve">Theresa Z. Cavanaugh at </w:t>
      </w:r>
      <w:r w:rsidR="0081351E" w:rsidRPr="003A624C">
        <w:rPr>
          <w:szCs w:val="22"/>
        </w:rPr>
        <w:t xml:space="preserve">Terry.Cavanaugh@fcc.gov and </w:t>
      </w:r>
      <w:r w:rsidR="00A26F24" w:rsidRPr="003A624C">
        <w:rPr>
          <w:szCs w:val="22"/>
        </w:rPr>
        <w:t>Theodore C. Marcus</w:t>
      </w:r>
      <w:r w:rsidR="0081351E" w:rsidRPr="003A624C">
        <w:rPr>
          <w:szCs w:val="22"/>
        </w:rPr>
        <w:t xml:space="preserve"> at </w:t>
      </w:r>
      <w:r w:rsidR="00A26F24" w:rsidRPr="003A624C">
        <w:rPr>
          <w:szCs w:val="22"/>
        </w:rPr>
        <w:t>Theodore.Marcus</w:t>
      </w:r>
      <w:r w:rsidRPr="003A624C">
        <w:rPr>
          <w:szCs w:val="22"/>
        </w:rPr>
        <w:t>@fcc.gov</w:t>
      </w:r>
      <w:r w:rsidRPr="003A624C">
        <w:rPr>
          <w:rFonts w:eastAsia="MS Mincho"/>
        </w:rPr>
        <w:t xml:space="preserve"> on the date </w:t>
      </w:r>
      <w:r w:rsidR="00E14064">
        <w:rPr>
          <w:rFonts w:eastAsia="MS Mincho"/>
        </w:rPr>
        <w:t>each</w:t>
      </w:r>
      <w:r w:rsidR="00E14064" w:rsidRPr="003A624C">
        <w:rPr>
          <w:rFonts w:eastAsia="MS Mincho"/>
        </w:rPr>
        <w:t xml:space="preserve"> </w:t>
      </w:r>
      <w:r w:rsidR="001B138D" w:rsidRPr="003A624C">
        <w:rPr>
          <w:rFonts w:eastAsia="MS Mincho"/>
        </w:rPr>
        <w:t xml:space="preserve">Installment Payment </w:t>
      </w:r>
      <w:r w:rsidRPr="003A624C">
        <w:rPr>
          <w:rFonts w:eastAsia="MS Mincho"/>
        </w:rPr>
        <w:t>is made.</w:t>
      </w:r>
    </w:p>
    <w:p w:rsidR="001B138D" w:rsidRPr="001B138D" w:rsidRDefault="001B138D" w:rsidP="001D7304">
      <w:pPr>
        <w:pStyle w:val="ParaNum"/>
        <w:spacing w:after="240"/>
        <w:rPr>
          <w:rFonts w:eastAsia="MS Mincho"/>
        </w:rPr>
      </w:pPr>
      <w:r w:rsidRPr="009B4E30">
        <w:rPr>
          <w:szCs w:val="22"/>
        </w:rPr>
        <w:t xml:space="preserve">Installment Payments must be made by check or similar instrument, wire transfer, or credit card, and must include the Account Number and FRN referenced </w:t>
      </w:r>
      <w:r>
        <w:rPr>
          <w:szCs w:val="22"/>
        </w:rPr>
        <w:t>in the caption to the Adopting Order</w:t>
      </w:r>
      <w:r w:rsidRPr="009B4E30">
        <w:rPr>
          <w:szCs w:val="22"/>
        </w:rPr>
        <w:t>.  Regardless of the form of payment, a completed FCC Form 159 (Remittance Advice) must be submitted.</w:t>
      </w:r>
      <w:r w:rsidRPr="009B4E30">
        <w:rPr>
          <w:rStyle w:val="FootnoteReference"/>
          <w:szCs w:val="22"/>
        </w:rPr>
        <w:footnoteReference w:id="39"/>
      </w:r>
      <w:r w:rsidRPr="009B4E30">
        <w:rPr>
          <w:szCs w:val="22"/>
        </w:rPr>
        <w:t xml:space="preserve">  When completing the FCC Form 159, enter the Account Number in block number 23A (call sign/other ID) and enter the letters “FORF” in block number 24A (payment type code).</w:t>
      </w:r>
      <w:r>
        <w:rPr>
          <w:szCs w:val="22"/>
        </w:rPr>
        <w:t xml:space="preserve">  </w:t>
      </w:r>
      <w:r w:rsidRPr="009B4E30">
        <w:rPr>
          <w:szCs w:val="22"/>
        </w:rPr>
        <w:t>Below are additional instructions you should follow based on the form of payment you select:</w:t>
      </w:r>
    </w:p>
    <w:p w:rsidR="001B138D" w:rsidRPr="009B4E30" w:rsidRDefault="001B138D" w:rsidP="001B138D">
      <w:pPr>
        <w:pStyle w:val="ParaNum"/>
        <w:numPr>
          <w:ilvl w:val="0"/>
          <w:numId w:val="17"/>
        </w:numPr>
        <w:rPr>
          <w:rFonts w:eastAsia="MS Mincho"/>
          <w:szCs w:val="22"/>
        </w:rPr>
      </w:pPr>
      <w:r w:rsidRPr="009B4E30">
        <w:rPr>
          <w:rFonts w:eastAsia="MS Mincho"/>
          <w:szCs w:val="22"/>
        </w:rPr>
        <w:t>Payment by check or money order must be made payable to the order of the Federal Communications Commission.</w:t>
      </w:r>
      <w:r>
        <w:rPr>
          <w:rFonts w:eastAsia="MS Mincho"/>
          <w:szCs w:val="22"/>
        </w:rPr>
        <w:t xml:space="preserve"> </w:t>
      </w:r>
      <w:r w:rsidRPr="009B4E30">
        <w:rPr>
          <w:rFonts w:eastAsia="MS Mincho"/>
          <w:szCs w:val="22"/>
        </w:rPr>
        <w:t xml:space="preserve"> Such payments</w:t>
      </w:r>
      <w:r>
        <w:rPr>
          <w:rFonts w:eastAsia="MS Mincho"/>
          <w:szCs w:val="22"/>
        </w:rPr>
        <w:t xml:space="preserve"> </w:t>
      </w:r>
      <w:r w:rsidRPr="009B4E30">
        <w:rPr>
          <w:rFonts w:eastAsia="MS Mincho"/>
          <w:szCs w:val="22"/>
        </w:rPr>
        <w:t>(along with the completed Form 159)</w:t>
      </w:r>
      <w:r>
        <w:rPr>
          <w:rFonts w:eastAsia="MS Mincho"/>
          <w:szCs w:val="22"/>
        </w:rPr>
        <w:t xml:space="preserve"> </w:t>
      </w:r>
      <w:r w:rsidRPr="009B4E30">
        <w:rPr>
          <w:rFonts w:eastAsia="MS Mincho"/>
          <w:szCs w:val="22"/>
        </w:rPr>
        <w:t>must be mailed to Federal Communications Commission, P.O. Box 979088, St.</w:t>
      </w:r>
      <w:r>
        <w:rPr>
          <w:rFonts w:eastAsia="MS Mincho"/>
          <w:szCs w:val="22"/>
        </w:rPr>
        <w:t xml:space="preserve"> </w:t>
      </w:r>
      <w:r w:rsidRPr="009B4E30">
        <w:rPr>
          <w:rFonts w:eastAsia="MS Mincho"/>
          <w:szCs w:val="22"/>
        </w:rPr>
        <w:t>Louis, MO 63197-9000, or sent via</w:t>
      </w:r>
      <w:r>
        <w:rPr>
          <w:rFonts w:eastAsia="MS Mincho"/>
          <w:szCs w:val="22"/>
        </w:rPr>
        <w:t xml:space="preserve"> </w:t>
      </w:r>
      <w:r w:rsidRPr="009B4E30">
        <w:rPr>
          <w:rFonts w:eastAsia="MS Mincho"/>
          <w:szCs w:val="22"/>
        </w:rPr>
        <w:t>overnight mail to U.S. Bank – Government Lockbox #979088, SL</w:t>
      </w:r>
      <w:r w:rsidRPr="009B4E30">
        <w:rPr>
          <w:rFonts w:eastAsia="MS Mincho"/>
          <w:szCs w:val="22"/>
        </w:rPr>
        <w:noBreakHyphen/>
        <w:t>MO</w:t>
      </w:r>
      <w:r w:rsidRPr="009B4E30">
        <w:rPr>
          <w:rFonts w:eastAsia="MS Mincho"/>
          <w:szCs w:val="22"/>
        </w:rPr>
        <w:noBreakHyphen/>
        <w:t>C2</w:t>
      </w:r>
      <w:r w:rsidRPr="009B4E30">
        <w:rPr>
          <w:rFonts w:eastAsia="MS Mincho"/>
          <w:szCs w:val="22"/>
        </w:rPr>
        <w:noBreakHyphen/>
        <w:t>GL, 1005 Convention Plaza, St. Louis, MO 63101.</w:t>
      </w:r>
    </w:p>
    <w:p w:rsidR="001B138D" w:rsidRPr="009B4E30" w:rsidRDefault="001B138D" w:rsidP="001B138D">
      <w:pPr>
        <w:pStyle w:val="ParaNum"/>
        <w:numPr>
          <w:ilvl w:val="0"/>
          <w:numId w:val="17"/>
        </w:numPr>
        <w:rPr>
          <w:rFonts w:eastAsia="MS Mincho"/>
          <w:szCs w:val="22"/>
        </w:rPr>
      </w:pPr>
      <w:r w:rsidRPr="009B4E30">
        <w:rPr>
          <w:rFonts w:eastAsia="MS Mincho"/>
          <w:szCs w:val="22"/>
        </w:rPr>
        <w:t>Payment by wire transfer must be made to ABA Number 021030004, receiving bank TREAS/NYC, and Account Number 27000001.</w:t>
      </w:r>
      <w:r>
        <w:rPr>
          <w:rFonts w:eastAsia="MS Mincho"/>
          <w:szCs w:val="22"/>
        </w:rPr>
        <w:t xml:space="preserve"> </w:t>
      </w:r>
      <w:r w:rsidRPr="009B4E30">
        <w:rPr>
          <w:rFonts w:eastAsia="MS Mincho"/>
          <w:szCs w:val="22"/>
        </w:rPr>
        <w:t xml:space="preserve"> To complete the wire transfer and ensure appropriate crediting of the wired funds, a completed Form 159 must be faxed to U.S. Bank at (314) 418-4232 on the same business day the wire transfer is initiated.</w:t>
      </w:r>
    </w:p>
    <w:p w:rsidR="001B138D" w:rsidRPr="009B4E30" w:rsidRDefault="001B138D" w:rsidP="001B138D">
      <w:pPr>
        <w:pStyle w:val="ParaNum"/>
        <w:numPr>
          <w:ilvl w:val="0"/>
          <w:numId w:val="17"/>
        </w:numPr>
        <w:rPr>
          <w:rFonts w:eastAsia="MS Mincho"/>
          <w:szCs w:val="22"/>
        </w:rPr>
      </w:pPr>
      <w:r w:rsidRPr="009B4E30">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1B138D" w:rsidRDefault="001B138D" w:rsidP="001D7304">
      <w:pPr>
        <w:pStyle w:val="ParaNum"/>
        <w:numPr>
          <w:ilvl w:val="0"/>
          <w:numId w:val="0"/>
        </w:numPr>
        <w:spacing w:after="240"/>
        <w:rPr>
          <w:rFonts w:eastAsia="MS Mincho"/>
          <w:szCs w:val="22"/>
        </w:rPr>
      </w:pPr>
      <w:r>
        <w:rPr>
          <w:rFonts w:eastAsia="MS Mincho"/>
          <w:szCs w:val="22"/>
        </w:rPr>
        <w:t>Q</w:t>
      </w:r>
      <w:r w:rsidRPr="009B4E30">
        <w:rPr>
          <w:rFonts w:eastAsia="MS Mincho"/>
          <w:szCs w:val="22"/>
        </w:rPr>
        <w:t>uestions regarding payment procedure</w:t>
      </w:r>
      <w:r>
        <w:rPr>
          <w:rFonts w:eastAsia="MS Mincho"/>
          <w:szCs w:val="22"/>
        </w:rPr>
        <w:t xml:space="preserve"> should be addressed to </w:t>
      </w:r>
      <w:r w:rsidRPr="009B4E30">
        <w:rPr>
          <w:rFonts w:eastAsia="MS Mincho"/>
          <w:szCs w:val="22"/>
        </w:rPr>
        <w:t>the Financial Operations Group Help Desk by phone, 1-877-480-3201, or by e</w:t>
      </w:r>
      <w:r>
        <w:rPr>
          <w:rFonts w:eastAsia="MS Mincho"/>
          <w:szCs w:val="22"/>
        </w:rPr>
        <w:t>-</w:t>
      </w:r>
      <w:r w:rsidRPr="009B4E30">
        <w:rPr>
          <w:rFonts w:eastAsia="MS Mincho"/>
          <w:szCs w:val="22"/>
        </w:rPr>
        <w:t xml:space="preserve">mail, </w:t>
      </w:r>
      <w:r w:rsidRPr="003A624C">
        <w:rPr>
          <w:rFonts w:eastAsia="MS Mincho"/>
          <w:szCs w:val="22"/>
        </w:rPr>
        <w:t>ARINQUIRIES@fcc.gov</w:t>
      </w:r>
      <w:r w:rsidRPr="009B4E30">
        <w:rPr>
          <w:rFonts w:eastAsia="MS Mincho"/>
          <w:szCs w:val="22"/>
        </w:rPr>
        <w:t>.</w:t>
      </w:r>
    </w:p>
    <w:p w:rsidR="001B138D" w:rsidRPr="001B138D" w:rsidRDefault="001B138D" w:rsidP="001D7304">
      <w:pPr>
        <w:pStyle w:val="ParaNum"/>
        <w:spacing w:after="240"/>
        <w:rPr>
          <w:rFonts w:eastAsia="MS Mincho"/>
        </w:rPr>
      </w:pPr>
      <w:r w:rsidRPr="003A624C">
        <w:rPr>
          <w:b/>
          <w:szCs w:val="22"/>
          <w:u w:val="single"/>
        </w:rPr>
        <w:t>Event of Default</w:t>
      </w:r>
      <w:r w:rsidRPr="003A624C">
        <w:rPr>
          <w:b/>
          <w:szCs w:val="22"/>
        </w:rPr>
        <w:t>.</w:t>
      </w:r>
      <w:r w:rsidRPr="003A624C">
        <w:rPr>
          <w:szCs w:val="22"/>
        </w:rPr>
        <w:t xml:space="preserve">  Matrix agrees that an Event of Default shall occur upon the failure by</w:t>
      </w:r>
      <w:r w:rsidRPr="009B4E30">
        <w:rPr>
          <w:szCs w:val="22"/>
        </w:rPr>
        <w:t xml:space="preserve"> </w:t>
      </w:r>
      <w:r>
        <w:rPr>
          <w:szCs w:val="22"/>
        </w:rPr>
        <w:t>the Company</w:t>
      </w:r>
      <w:r w:rsidRPr="009B4E30">
        <w:rPr>
          <w:szCs w:val="22"/>
        </w:rPr>
        <w:t xml:space="preserve"> to pay the full amount of any Installment Payment on or before the due date</w:t>
      </w:r>
      <w:r>
        <w:rPr>
          <w:szCs w:val="22"/>
        </w:rPr>
        <w:t>s</w:t>
      </w:r>
      <w:r w:rsidRPr="009B4E30">
        <w:rPr>
          <w:szCs w:val="22"/>
        </w:rPr>
        <w:t xml:space="preserve"> specified in </w:t>
      </w:r>
      <w:r w:rsidR="0048327A">
        <w:rPr>
          <w:szCs w:val="22"/>
        </w:rPr>
        <w:t xml:space="preserve">paragraph </w:t>
      </w:r>
      <w:r w:rsidR="005F6505">
        <w:rPr>
          <w:szCs w:val="22"/>
        </w:rPr>
        <w:t xml:space="preserve">22 </w:t>
      </w:r>
      <w:r w:rsidR="0048327A">
        <w:rPr>
          <w:szCs w:val="22"/>
        </w:rPr>
        <w:t xml:space="preserve">of </w:t>
      </w:r>
      <w:r w:rsidRPr="009B4E30">
        <w:rPr>
          <w:szCs w:val="22"/>
        </w:rPr>
        <w:t>this Consent Decree.</w:t>
      </w:r>
    </w:p>
    <w:p w:rsidR="008C1B03" w:rsidRPr="0048327A" w:rsidRDefault="00752F4B" w:rsidP="001D7304">
      <w:pPr>
        <w:pStyle w:val="ParaNum"/>
        <w:widowControl/>
        <w:spacing w:after="240"/>
      </w:pPr>
      <w:r w:rsidRPr="00752F4B">
        <w:rPr>
          <w:b/>
          <w:szCs w:val="22"/>
          <w:u w:val="single"/>
        </w:rPr>
        <w:t>Interest, Charges for Collection, and Acceleration of Maturity Date</w:t>
      </w:r>
      <w:r w:rsidRPr="00752F4B">
        <w:rPr>
          <w:b/>
          <w:szCs w:val="22"/>
        </w:rPr>
        <w:t>.</w:t>
      </w:r>
      <w:r w:rsidRPr="00752F4B">
        <w:rPr>
          <w:szCs w:val="22"/>
        </w:rPr>
        <w:t xml:space="preserve">  After an Event of Default has occurred under this Consent Decree, the then unpaid amount of the Voluntary Contribution shall accrue interest, computed using the U.S. Prime Rate in effect on the date of the Event of Default plus 4.75 percent, from the date of the Event of Default until payment in full.  Upon an Event of Default, the then unpaid amount of the Voluntary Contribution, together with interest, as aforesaid,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t>
      </w:r>
      <w:r w:rsidRPr="0048327A">
        <w:rPr>
          <w:szCs w:val="22"/>
        </w:rPr>
        <w:t>waived by Matrix.</w:t>
      </w:r>
    </w:p>
    <w:p w:rsidR="008E0C3F" w:rsidRDefault="008E0C3F" w:rsidP="001D7304">
      <w:pPr>
        <w:pStyle w:val="ParaNum"/>
        <w:spacing w:after="240"/>
      </w:pPr>
      <w:r>
        <w:rPr>
          <w:b/>
          <w:u w:val="single"/>
        </w:rPr>
        <w:t>Waivers</w:t>
      </w:r>
      <w:r w:rsidRPr="001A23C5">
        <w:rPr>
          <w:b/>
        </w:rPr>
        <w:t>.</w:t>
      </w:r>
      <w:r>
        <w:t xml:space="preserve">  The </w:t>
      </w:r>
      <w:r w:rsidR="0081351E">
        <w:t>Company</w:t>
      </w:r>
      <w:r>
        <w:t xml:space="preserve"> waive</w:t>
      </w:r>
      <w:r w:rsidR="0081351E">
        <w:t>s</w:t>
      </w:r>
      <w:r>
        <w:t xml:space="preserve"> any and all rights </w:t>
      </w:r>
      <w:r w:rsidR="00F35CFD">
        <w:t>it</w:t>
      </w:r>
      <w:r>
        <w:t xml:space="preserve"> may have to seek administrative or judicial reconsideration, review, appeal, or stay, or to otherwise challenge or contest the validity of this Consent Decree and the Adopting Order, provided the Bureau issues the Adopting Order as defined in this Consent Decree.  The </w:t>
      </w:r>
      <w:r w:rsidR="0081351E">
        <w:t>Company</w:t>
      </w:r>
      <w:r>
        <w:t xml:space="preserve"> shall retain the right to challenge Commission interpretation of the Consent Decree or any terms contained herein.  If either Party (or the United States on behalf of the Commission) brings a judicial action to enforce the terms of the Adopting Order, neither the </w:t>
      </w:r>
      <w:r w:rsidR="0081351E">
        <w:t>Company</w:t>
      </w:r>
      <w:r>
        <w:t xml:space="preserve"> nor the Commission shall contest the validity of the Consent Decree or the Adopting Order, and</w:t>
      </w:r>
      <w:r w:rsidRPr="0066566D">
        <w:t xml:space="preserve"> </w:t>
      </w:r>
      <w:r>
        <w:t xml:space="preserve">the </w:t>
      </w:r>
      <w:r w:rsidR="0081351E">
        <w:t>Company</w:t>
      </w:r>
      <w:r>
        <w:t xml:space="preserve"> shall waive any statutory right to a trial </w:t>
      </w:r>
      <w:r>
        <w:rPr>
          <w:i/>
        </w:rPr>
        <w:t>de novo</w:t>
      </w:r>
      <w:r>
        <w:t xml:space="preserve">.  The </w:t>
      </w:r>
      <w:r w:rsidR="0081351E">
        <w:t>Company</w:t>
      </w:r>
      <w:r>
        <w:t xml:space="preserve"> hereby agree</w:t>
      </w:r>
      <w:r w:rsidR="0081351E">
        <w:t>s</w:t>
      </w:r>
      <w:r>
        <w:t xml:space="preserve"> to waive any claims </w:t>
      </w:r>
      <w:r w:rsidR="0081351E">
        <w:t>it</w:t>
      </w:r>
      <w:r>
        <w:t xml:space="preserve"> may otherwise have under the Equal Access to Justice Act</w:t>
      </w:r>
      <w:r>
        <w:rPr>
          <w:rStyle w:val="FootnoteReference"/>
        </w:rPr>
        <w:footnoteReference w:id="40"/>
      </w:r>
      <w:r>
        <w:t xml:space="preserve"> relating to the matters addressed in this Consent Decree.</w:t>
      </w:r>
      <w:r w:rsidR="0069094D">
        <w:t xml:space="preserve">  </w:t>
      </w:r>
    </w:p>
    <w:p w:rsidR="008E0C3F" w:rsidRDefault="008E0C3F" w:rsidP="001D7304">
      <w:pPr>
        <w:pStyle w:val="ParaNum"/>
        <w:spacing w:after="240"/>
      </w:pPr>
      <w:r>
        <w:rPr>
          <w:b/>
          <w:u w:val="single"/>
        </w:rPr>
        <w:t>Invalidity</w:t>
      </w:r>
      <w:r w:rsidRPr="001A23C5">
        <w:rPr>
          <w:b/>
        </w:rPr>
        <w:t>.</w:t>
      </w:r>
      <w:r>
        <w:t xml:space="preserve">  In the event that this Consent Decree in its entirety is rendered invalid by any court of competent jurisdiction, it shall become null and void and may not be used in any manner in any legal proceeding.</w:t>
      </w:r>
    </w:p>
    <w:p w:rsidR="008E0C3F" w:rsidRDefault="008E0C3F" w:rsidP="001D7304">
      <w:pPr>
        <w:pStyle w:val="ParaNum"/>
        <w:spacing w:after="240"/>
      </w:pPr>
      <w:r>
        <w:rPr>
          <w:b/>
          <w:u w:val="single"/>
        </w:rPr>
        <w:t>Subsequent Rule or Order</w:t>
      </w:r>
      <w:r w:rsidRPr="001A23C5">
        <w:rPr>
          <w:b/>
        </w:rPr>
        <w:t>.</w:t>
      </w:r>
      <w:r>
        <w:t xml:space="preserve">  The Parties agree that if any provision of the Consent Decree conflicts with any subsequent rule or order adopted by the Commission (except an order specifically intended to revise the terms of this Consent Decree to which the </w:t>
      </w:r>
      <w:r w:rsidR="0081351E">
        <w:t>Company</w:t>
      </w:r>
      <w:r>
        <w:t xml:space="preserve"> do</w:t>
      </w:r>
      <w:r w:rsidR="0081351E">
        <w:t>es</w:t>
      </w:r>
      <w:r>
        <w:t xml:space="preserve"> not expressly consent) that provision will be superseded by such Commission rule or order.</w:t>
      </w:r>
    </w:p>
    <w:p w:rsidR="008E0C3F" w:rsidRDefault="008E0C3F" w:rsidP="001D7304">
      <w:pPr>
        <w:pStyle w:val="ParaNum"/>
        <w:spacing w:after="240"/>
      </w:pPr>
      <w:r>
        <w:rPr>
          <w:b/>
          <w:u w:val="single"/>
        </w:rPr>
        <w:t>Successors and Assigns</w:t>
      </w:r>
      <w:r w:rsidRPr="001A23C5">
        <w:rPr>
          <w:b/>
        </w:rPr>
        <w:t>.</w:t>
      </w:r>
      <w:r>
        <w:t xml:space="preserve">  The </w:t>
      </w:r>
      <w:r w:rsidR="0081351E">
        <w:t>Company</w:t>
      </w:r>
      <w:r>
        <w:t xml:space="preserve"> agree</w:t>
      </w:r>
      <w:r w:rsidR="0081351E">
        <w:t>s</w:t>
      </w:r>
      <w:r>
        <w:t xml:space="preserve"> that the provisions of this Consent Decree shall be binding on </w:t>
      </w:r>
      <w:r w:rsidR="0081351E">
        <w:t>its</w:t>
      </w:r>
      <w:r>
        <w:t xml:space="preserve"> successors, assigns, and transferees.</w:t>
      </w:r>
      <w:r>
        <w:rPr>
          <w:u w:val="single"/>
        </w:rPr>
        <w:t xml:space="preserve">  </w:t>
      </w:r>
    </w:p>
    <w:p w:rsidR="008E0C3F" w:rsidRDefault="008E0C3F" w:rsidP="001D7304">
      <w:pPr>
        <w:pStyle w:val="ParaNum"/>
        <w:spacing w:after="240"/>
      </w:pPr>
      <w:r w:rsidRPr="009E547E">
        <w:rPr>
          <w:b/>
          <w:u w:val="single"/>
        </w:rPr>
        <w:t>Final Settlement</w:t>
      </w:r>
      <w:r w:rsidRPr="009E547E">
        <w:rPr>
          <w:b/>
        </w:rPr>
        <w:t>.</w:t>
      </w:r>
      <w:r>
        <w:t xml:space="preserve">  The Parties agree and acknowledge that this Consent Decree shall constitute a final settlement between the Parties</w:t>
      </w:r>
      <w:r w:rsidR="001624BE">
        <w:t xml:space="preserve"> with respect to the Investigation</w:t>
      </w:r>
      <w:r>
        <w:t xml:space="preserve">.  The Parties further agree that this Consent Decree does not </w:t>
      </w:r>
      <w:r w:rsidRPr="00676ED3">
        <w:t>constitute and shall not be construed as either</w:t>
      </w:r>
      <w:r>
        <w:t xml:space="preserve"> an adjudication on the merits or a factual or legal finding or determination regarding any compliance or noncompliance with the requirements of the Communications Laws.  The Parties also agree that this Consent Decree does not constitute an admission of liability by the </w:t>
      </w:r>
      <w:r w:rsidR="0081351E">
        <w:t>Company</w:t>
      </w:r>
      <w:r>
        <w:t xml:space="preserve"> or a concession by the Commission that its </w:t>
      </w:r>
      <w:r w:rsidR="00FA3A2A">
        <w:t xml:space="preserve">Investigation </w:t>
      </w:r>
      <w:r>
        <w:t>was not well-founded.</w:t>
      </w:r>
    </w:p>
    <w:p w:rsidR="008E0C3F" w:rsidRDefault="008E0C3F" w:rsidP="001D7304">
      <w:pPr>
        <w:pStyle w:val="ParaNum"/>
        <w:spacing w:after="240"/>
      </w:pPr>
      <w:r w:rsidRPr="009E547E">
        <w:rPr>
          <w:b/>
          <w:u w:val="single"/>
        </w:rPr>
        <w:t>Modifications</w:t>
      </w:r>
      <w:r w:rsidRPr="009E547E">
        <w:rPr>
          <w:b/>
        </w:rPr>
        <w:t>.</w:t>
      </w:r>
      <w:r>
        <w:t xml:space="preserve">  This Consent Decree cannot be modified without the advance written consent of both Parties.</w:t>
      </w:r>
    </w:p>
    <w:p w:rsidR="008E0C3F" w:rsidRDefault="008E0C3F" w:rsidP="001D7304">
      <w:pPr>
        <w:pStyle w:val="ParaNum"/>
        <w:spacing w:after="240"/>
      </w:pPr>
      <w:r>
        <w:rPr>
          <w:b/>
          <w:u w:val="single"/>
        </w:rPr>
        <w:t>Paragraph Headings</w:t>
      </w:r>
      <w:r w:rsidRPr="001A23C5">
        <w:rPr>
          <w:b/>
        </w:rPr>
        <w:t>.</w:t>
      </w:r>
      <w:r>
        <w:t xml:space="preserve">  The headings of the paragraphs in this Consent Decree are inserted for convenience only and are not intended to affect the meaning or interpretation of this Consent Decree.</w:t>
      </w:r>
    </w:p>
    <w:p w:rsidR="00CA57B5" w:rsidRPr="007C6CB6" w:rsidRDefault="008E0C3F" w:rsidP="002B2033">
      <w:pPr>
        <w:pStyle w:val="ParaNum"/>
        <w:widowControl/>
        <w:spacing w:after="240"/>
        <w:rPr>
          <w:u w:val="single"/>
        </w:rPr>
      </w:pPr>
      <w:r w:rsidRPr="002B2033">
        <w:rPr>
          <w:b/>
          <w:u w:val="single"/>
        </w:rPr>
        <w:t>Authorized Representative</w:t>
      </w:r>
      <w:r w:rsidRPr="002B2033">
        <w:rPr>
          <w:b/>
        </w:rPr>
        <w:t>.</w:t>
      </w:r>
      <w:r>
        <w:t xml:space="preserve">  </w:t>
      </w:r>
      <w:r w:rsidR="008672D1" w:rsidRPr="00A348AD">
        <w:t xml:space="preserve">Each Party represents and warrants to the other </w:t>
      </w:r>
      <w:r w:rsidR="008672D1">
        <w:t xml:space="preserve">Parties </w:t>
      </w:r>
      <w:r w:rsidR="008672D1" w:rsidRPr="00A348AD">
        <w:t xml:space="preserve">that it has full power and authority to enter into this Consent Decree.  </w:t>
      </w:r>
      <w:r w:rsidR="008672D1">
        <w:t xml:space="preserve">Each person </w:t>
      </w:r>
      <w:r w:rsidR="008672D1" w:rsidRPr="00A348AD">
        <w:t>signing this Consent Decree</w:t>
      </w:r>
      <w:r w:rsidR="008672D1">
        <w:t xml:space="preserve"> on behalf of a Party hereby represents that he or she is fully authorized by the Party to</w:t>
      </w:r>
      <w:r w:rsidR="008672D1" w:rsidRPr="00A348AD">
        <w:t xml:space="preserve"> execute this Consent Decree</w:t>
      </w:r>
      <w:r w:rsidR="008672D1">
        <w:t xml:space="preserve"> and to bind the Party to its terms and conditions</w:t>
      </w:r>
      <w:r w:rsidR="008672D1" w:rsidRPr="00A348AD">
        <w:t>.</w:t>
      </w:r>
      <w:r w:rsidR="002B2033">
        <w:t xml:space="preserve">  </w:t>
      </w:r>
    </w:p>
    <w:p w:rsidR="008E0C3F" w:rsidRDefault="008E0C3F" w:rsidP="001D7304">
      <w:pPr>
        <w:pStyle w:val="ParaNum"/>
        <w:spacing w:after="240"/>
      </w:pPr>
      <w:r w:rsidRPr="00D7060E">
        <w:rPr>
          <w:b/>
          <w:u w:val="single"/>
        </w:rPr>
        <w:t>Counterparts</w:t>
      </w:r>
      <w:r w:rsidRPr="001A23C5">
        <w:rPr>
          <w:b/>
        </w:rPr>
        <w:t>.</w:t>
      </w:r>
      <w:r>
        <w:t xml:space="preserve">  </w:t>
      </w:r>
      <w:r w:rsidRPr="00394451">
        <w:t>This Consent Decree may be signed in counterpart</w:t>
      </w:r>
      <w:r>
        <w:t>s</w:t>
      </w:r>
      <w:r w:rsidRPr="00394451">
        <w:t xml:space="preserve"> </w:t>
      </w:r>
      <w:r>
        <w:t>and may be delivered</w:t>
      </w:r>
      <w:r w:rsidRPr="00394451">
        <w:t xml:space="preserve"> by facsimile</w:t>
      </w:r>
      <w:r>
        <w:t xml:space="preserve"> or electronic delivery</w:t>
      </w:r>
      <w:r w:rsidRPr="00394451">
        <w:t>.  Each counterpart, when executed and delivered, shall be an original, and all of the counterparts together shall constitute one and the same fully executed instrument.</w:t>
      </w:r>
    </w:p>
    <w:p w:rsidR="008E0C3F" w:rsidRDefault="008E0C3F" w:rsidP="008E0C3F">
      <w:pPr>
        <w:keepNext/>
        <w:widowControl/>
      </w:pPr>
    </w:p>
    <w:tbl>
      <w:tblPr>
        <w:tblW w:w="0" w:type="auto"/>
        <w:tblLook w:val="0000" w:firstRow="0" w:lastRow="0" w:firstColumn="0" w:lastColumn="0" w:noHBand="0" w:noVBand="0"/>
      </w:tblPr>
      <w:tblGrid>
        <w:gridCol w:w="4788"/>
        <w:gridCol w:w="4788"/>
      </w:tblGrid>
      <w:tr w:rsidR="008E0C3F" w:rsidTr="00AD5445">
        <w:trPr>
          <w:trHeight w:val="4140"/>
        </w:trPr>
        <w:tc>
          <w:tcPr>
            <w:tcW w:w="4788" w:type="dxa"/>
          </w:tcPr>
          <w:p w:rsidR="008E0C3F" w:rsidRDefault="008E0C3F" w:rsidP="00AD5445">
            <w:pPr>
              <w:widowControl/>
              <w:rPr>
                <w:szCs w:val="22"/>
              </w:rPr>
            </w:pPr>
          </w:p>
          <w:p w:rsidR="008E0C3F" w:rsidRDefault="008E0C3F" w:rsidP="00AD5445">
            <w:pPr>
              <w:widowControl/>
              <w:rPr>
                <w:szCs w:val="22"/>
              </w:rPr>
            </w:pPr>
          </w:p>
          <w:p w:rsidR="008E0C3F" w:rsidRDefault="008E0C3F" w:rsidP="00AD5445">
            <w:pPr>
              <w:widowControl/>
              <w:rPr>
                <w:szCs w:val="22"/>
              </w:rPr>
            </w:pPr>
          </w:p>
          <w:p w:rsidR="008E0C3F" w:rsidRDefault="008E0C3F" w:rsidP="00AD5445">
            <w:pPr>
              <w:widowControl/>
              <w:rPr>
                <w:szCs w:val="22"/>
              </w:rPr>
            </w:pPr>
            <w:r>
              <w:rPr>
                <w:szCs w:val="22"/>
              </w:rPr>
              <w:t>________________________________</w:t>
            </w:r>
          </w:p>
          <w:p w:rsidR="008E0C3F" w:rsidRDefault="003F781C" w:rsidP="00AD5445">
            <w:pPr>
              <w:widowControl/>
              <w:rPr>
                <w:szCs w:val="22"/>
              </w:rPr>
            </w:pPr>
            <w:r w:rsidRPr="0048327A">
              <w:rPr>
                <w:szCs w:val="22"/>
              </w:rPr>
              <w:t>Travis LeBlanc</w:t>
            </w:r>
          </w:p>
          <w:p w:rsidR="008E0C3F" w:rsidRDefault="00E14064" w:rsidP="00AD5445">
            <w:pPr>
              <w:widowControl/>
              <w:rPr>
                <w:szCs w:val="22"/>
              </w:rPr>
            </w:pPr>
            <w:r>
              <w:rPr>
                <w:szCs w:val="22"/>
              </w:rPr>
              <w:t xml:space="preserve">Acting </w:t>
            </w:r>
            <w:r w:rsidR="008E0C3F">
              <w:rPr>
                <w:szCs w:val="22"/>
              </w:rPr>
              <w:t>Chief</w:t>
            </w:r>
          </w:p>
          <w:p w:rsidR="008E0C3F" w:rsidRDefault="008E0C3F" w:rsidP="00AD5445">
            <w:pPr>
              <w:widowControl/>
              <w:rPr>
                <w:szCs w:val="22"/>
              </w:rPr>
            </w:pPr>
            <w:r>
              <w:rPr>
                <w:szCs w:val="22"/>
              </w:rPr>
              <w:t>Enforcement Bureau</w:t>
            </w:r>
          </w:p>
          <w:p w:rsidR="008E0C3F" w:rsidRDefault="008E0C3F" w:rsidP="00AD5445">
            <w:pPr>
              <w:widowControl/>
              <w:rPr>
                <w:szCs w:val="22"/>
              </w:rPr>
            </w:pPr>
          </w:p>
          <w:p w:rsidR="008E0C3F" w:rsidRDefault="008E0C3F" w:rsidP="00AD5445">
            <w:pPr>
              <w:widowControl/>
              <w:rPr>
                <w:szCs w:val="22"/>
              </w:rPr>
            </w:pPr>
          </w:p>
          <w:p w:rsidR="008E0C3F" w:rsidRDefault="008E0C3F" w:rsidP="00AD5445">
            <w:pPr>
              <w:widowControl/>
              <w:rPr>
                <w:szCs w:val="22"/>
              </w:rPr>
            </w:pPr>
            <w:r>
              <w:rPr>
                <w:szCs w:val="22"/>
              </w:rPr>
              <w:t>______________________________</w:t>
            </w:r>
          </w:p>
          <w:p w:rsidR="008E0C3F" w:rsidRDefault="008E0C3F" w:rsidP="00AD5445">
            <w:pPr>
              <w:widowControl/>
              <w:rPr>
                <w:szCs w:val="22"/>
              </w:rPr>
            </w:pPr>
            <w:r>
              <w:rPr>
                <w:szCs w:val="22"/>
              </w:rPr>
              <w:t>Date</w:t>
            </w:r>
          </w:p>
          <w:p w:rsidR="008E0C3F" w:rsidRDefault="008E0C3F" w:rsidP="00AD5445">
            <w:pPr>
              <w:widowControl/>
              <w:rPr>
                <w:szCs w:val="22"/>
              </w:rPr>
            </w:pPr>
          </w:p>
          <w:p w:rsidR="008E0C3F" w:rsidRDefault="008E0C3F" w:rsidP="00AD5445">
            <w:pPr>
              <w:widowControl/>
              <w:rPr>
                <w:szCs w:val="22"/>
              </w:rPr>
            </w:pPr>
          </w:p>
          <w:p w:rsidR="00F62F54" w:rsidRDefault="00F62F54" w:rsidP="00AD5445">
            <w:pPr>
              <w:widowControl/>
              <w:rPr>
                <w:szCs w:val="22"/>
              </w:rPr>
            </w:pPr>
          </w:p>
          <w:p w:rsidR="008E0C3F" w:rsidRDefault="008E0C3F" w:rsidP="00AD5445">
            <w:pPr>
              <w:widowControl/>
              <w:rPr>
                <w:szCs w:val="22"/>
              </w:rPr>
            </w:pPr>
            <w:r>
              <w:rPr>
                <w:szCs w:val="22"/>
              </w:rPr>
              <w:t>________________________________</w:t>
            </w:r>
          </w:p>
          <w:p w:rsidR="004A3C2E" w:rsidRDefault="00044DC2" w:rsidP="00AD5445">
            <w:pPr>
              <w:widowControl/>
              <w:rPr>
                <w:szCs w:val="22"/>
              </w:rPr>
            </w:pPr>
            <w:r>
              <w:rPr>
                <w:szCs w:val="22"/>
              </w:rPr>
              <w:t>Bob Beaty</w:t>
            </w:r>
          </w:p>
          <w:p w:rsidR="008E0C3F" w:rsidRPr="004A3C2E" w:rsidRDefault="00044DC2" w:rsidP="00AD5445">
            <w:pPr>
              <w:widowControl/>
              <w:rPr>
                <w:szCs w:val="22"/>
              </w:rPr>
            </w:pPr>
            <w:r>
              <w:rPr>
                <w:szCs w:val="22"/>
              </w:rPr>
              <w:t xml:space="preserve">President &amp; </w:t>
            </w:r>
            <w:r w:rsidR="004A3C2E">
              <w:rPr>
                <w:szCs w:val="22"/>
              </w:rPr>
              <w:t>CEO</w:t>
            </w:r>
          </w:p>
          <w:p w:rsidR="008E0C3F" w:rsidRPr="00FC7FC3" w:rsidRDefault="003F781C" w:rsidP="00AD5445">
            <w:pPr>
              <w:widowControl/>
              <w:rPr>
                <w:szCs w:val="22"/>
              </w:rPr>
            </w:pPr>
            <w:r>
              <w:rPr>
                <w:szCs w:val="22"/>
              </w:rPr>
              <w:t>Matrix Telecom, Inc.</w:t>
            </w:r>
          </w:p>
          <w:p w:rsidR="008E0C3F" w:rsidRDefault="008E0C3F" w:rsidP="00AD5445">
            <w:pPr>
              <w:widowControl/>
              <w:rPr>
                <w:szCs w:val="22"/>
              </w:rPr>
            </w:pPr>
          </w:p>
          <w:p w:rsidR="008E0C3F" w:rsidRDefault="008E0C3F" w:rsidP="00AD5445">
            <w:pPr>
              <w:widowControl/>
              <w:rPr>
                <w:szCs w:val="22"/>
              </w:rPr>
            </w:pPr>
          </w:p>
          <w:p w:rsidR="0048327A" w:rsidRDefault="0048327A" w:rsidP="0048327A">
            <w:pPr>
              <w:widowControl/>
              <w:rPr>
                <w:szCs w:val="22"/>
              </w:rPr>
            </w:pPr>
            <w:r>
              <w:rPr>
                <w:szCs w:val="22"/>
              </w:rPr>
              <w:t>______________________________</w:t>
            </w:r>
          </w:p>
          <w:p w:rsidR="008E0C3F" w:rsidRDefault="0048327A" w:rsidP="00AD5445">
            <w:pPr>
              <w:widowControl/>
              <w:rPr>
                <w:szCs w:val="22"/>
              </w:rPr>
            </w:pPr>
            <w:r>
              <w:rPr>
                <w:szCs w:val="22"/>
              </w:rPr>
              <w:t>Date</w:t>
            </w:r>
          </w:p>
        </w:tc>
        <w:tc>
          <w:tcPr>
            <w:tcW w:w="4788" w:type="dxa"/>
          </w:tcPr>
          <w:p w:rsidR="008E0C3F" w:rsidRDefault="008E0C3F" w:rsidP="00AD5445">
            <w:pPr>
              <w:widowControl/>
              <w:rPr>
                <w:b/>
                <w:szCs w:val="22"/>
              </w:rPr>
            </w:pPr>
          </w:p>
        </w:tc>
      </w:tr>
    </w:tbl>
    <w:p w:rsidR="004F5E37" w:rsidRPr="00005462" w:rsidRDefault="004F5E37" w:rsidP="00951B5E"/>
    <w:sectPr w:rsidR="004F5E37" w:rsidRPr="00005462" w:rsidSect="00E1498F">
      <w:footnotePr>
        <w:numRestart w:val="eachSect"/>
      </w:footnotePr>
      <w:type w:val="continuous"/>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8B" w:rsidRDefault="0036388B" w:rsidP="003A2672">
      <w:r>
        <w:separator/>
      </w:r>
    </w:p>
  </w:endnote>
  <w:endnote w:type="continuationSeparator" w:id="0">
    <w:p w:rsidR="0036388B" w:rsidRDefault="0036388B" w:rsidP="003A2672">
      <w:r>
        <w:continuationSeparator/>
      </w:r>
    </w:p>
  </w:endnote>
  <w:endnote w:type="continuationNotice" w:id="1">
    <w:p w:rsidR="0036388B" w:rsidRDefault="00363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pitch w:val="default"/>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45" w:rsidRDefault="00EE5A5F">
    <w:pPr>
      <w:pStyle w:val="Footer"/>
      <w:framePr w:wrap="around" w:vAnchor="text" w:hAnchor="margin" w:xAlign="center" w:y="1"/>
      <w:rPr>
        <w:rStyle w:val="PageNumber"/>
      </w:rPr>
    </w:pPr>
    <w:r>
      <w:rPr>
        <w:rStyle w:val="PageNumber"/>
      </w:rPr>
      <w:fldChar w:fldCharType="begin"/>
    </w:r>
    <w:r w:rsidR="00AD5445">
      <w:rPr>
        <w:rStyle w:val="PageNumber"/>
      </w:rPr>
      <w:instrText xml:space="preserve">PAGE  </w:instrText>
    </w:r>
    <w:r>
      <w:rPr>
        <w:rStyle w:val="PageNumber"/>
      </w:rPr>
      <w:fldChar w:fldCharType="end"/>
    </w:r>
  </w:p>
  <w:p w:rsidR="00AD5445" w:rsidRDefault="00AD5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45" w:rsidRPr="00AB20DD" w:rsidRDefault="00EE5A5F">
    <w:pPr>
      <w:pStyle w:val="Footer"/>
      <w:jc w:val="center"/>
    </w:pPr>
    <w:r w:rsidRPr="00AB20DD">
      <w:rPr>
        <w:rStyle w:val="PageNumber"/>
      </w:rPr>
      <w:fldChar w:fldCharType="begin"/>
    </w:r>
    <w:r w:rsidR="00AD5445" w:rsidRPr="00AB20DD">
      <w:rPr>
        <w:rStyle w:val="PageNumber"/>
      </w:rPr>
      <w:instrText xml:space="preserve"> PAGE </w:instrText>
    </w:r>
    <w:r w:rsidRPr="00AB20DD">
      <w:rPr>
        <w:rStyle w:val="PageNumber"/>
      </w:rPr>
      <w:fldChar w:fldCharType="separate"/>
    </w:r>
    <w:r w:rsidR="00E1498F">
      <w:rPr>
        <w:rStyle w:val="PageNumber"/>
        <w:noProof/>
      </w:rPr>
      <w:t>2</w:t>
    </w:r>
    <w:r w:rsidRPr="00AB20D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A" w:rsidRDefault="00EA5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8B" w:rsidRDefault="0036388B" w:rsidP="003A2672">
      <w:pPr>
        <w:rPr>
          <w:noProof/>
        </w:rPr>
      </w:pPr>
      <w:r>
        <w:rPr>
          <w:noProof/>
        </w:rPr>
        <w:separator/>
      </w:r>
    </w:p>
  </w:footnote>
  <w:footnote w:type="continuationSeparator" w:id="0">
    <w:p w:rsidR="0036388B" w:rsidRDefault="0036388B" w:rsidP="00E1498F">
      <w:pPr>
        <w:spacing w:before="120"/>
      </w:pPr>
      <w:r w:rsidRPr="009C2CA0">
        <w:rPr>
          <w:sz w:val="20"/>
        </w:rPr>
        <w:t xml:space="preserve">(Continued from previous page)  </w:t>
      </w:r>
      <w:r w:rsidRPr="009C2CA0">
        <w:rPr>
          <w:sz w:val="20"/>
        </w:rPr>
        <w:separator/>
      </w:r>
    </w:p>
  </w:footnote>
  <w:footnote w:type="continuationNotice" w:id="1">
    <w:p w:rsidR="0036388B" w:rsidRDefault="0036388B" w:rsidP="00E1498F">
      <w:pPr>
        <w:jc w:val="right"/>
      </w:pPr>
      <w:r w:rsidRPr="009C2CA0">
        <w:rPr>
          <w:sz w:val="20"/>
        </w:rPr>
        <w:t>(continued….)</w:t>
      </w:r>
    </w:p>
  </w:footnote>
  <w:footnote w:id="2">
    <w:p w:rsidR="00F54A26" w:rsidRDefault="00F54A26" w:rsidP="00F54A26">
      <w:pPr>
        <w:pStyle w:val="FootnoteText"/>
      </w:pPr>
      <w:r>
        <w:rPr>
          <w:rStyle w:val="FootnoteReference"/>
        </w:rPr>
        <w:footnoteRef/>
      </w:r>
      <w:r>
        <w:t xml:space="preserve"> This investigation was initiated under File No. </w:t>
      </w:r>
      <w:r w:rsidRPr="005A7591">
        <w:t>EB-13-IH-0282</w:t>
      </w:r>
      <w:r>
        <w:t xml:space="preserve"> and subsequently assigned File No. </w:t>
      </w:r>
      <w:r w:rsidRPr="005A7591">
        <w:t>EB-IHD-13-00011204.</w:t>
      </w:r>
    </w:p>
  </w:footnote>
  <w:footnote w:id="3">
    <w:p w:rsidR="00F54A26" w:rsidRDefault="00F54A26" w:rsidP="00F54A26">
      <w:pPr>
        <w:pStyle w:val="FootnoteText"/>
      </w:pPr>
      <w:r>
        <w:rPr>
          <w:rStyle w:val="FootnoteReference"/>
        </w:rPr>
        <w:footnoteRef/>
      </w:r>
      <w:r>
        <w:t xml:space="preserve"> </w:t>
      </w:r>
      <w:r>
        <w:rPr>
          <w:i/>
        </w:rPr>
        <w:t xml:space="preserve">See </w:t>
      </w:r>
      <w:r w:rsidRPr="005A7591">
        <w:t>47 U.S.C. §§ 201(b)</w:t>
      </w:r>
      <w:r>
        <w:t>, 202(a)</w:t>
      </w:r>
      <w:r w:rsidRPr="005A7591">
        <w:t>;</w:t>
      </w:r>
      <w:r>
        <w:t xml:space="preserve"> </w:t>
      </w:r>
      <w:r>
        <w:rPr>
          <w:i/>
        </w:rPr>
        <w:t xml:space="preserve">see also </w:t>
      </w:r>
      <w:r w:rsidRPr="002A2F53">
        <w:rPr>
          <w:i/>
        </w:rPr>
        <w:t>Developing an Unified Intercarrier Compensation Regime</w:t>
      </w:r>
      <w:r>
        <w:t>,</w:t>
      </w:r>
      <w:r w:rsidRPr="002A2F53">
        <w:rPr>
          <w:i/>
        </w:rPr>
        <w:t xml:space="preserve"> </w:t>
      </w:r>
      <w:r w:rsidRPr="002A2F53">
        <w:t>Declaratory Ruling, 27 FCC Rcd 1351 (Wireline Comp. Bur. 2012)</w:t>
      </w:r>
      <w:r>
        <w:t xml:space="preserve"> (</w:t>
      </w:r>
      <w:r>
        <w:rPr>
          <w:i/>
        </w:rPr>
        <w:t>Rural Call Completion Declaratory Ruling</w:t>
      </w:r>
      <w:r>
        <w:t>).</w:t>
      </w:r>
      <w:r w:rsidRPr="008A36BA">
        <w:t xml:space="preserve">  </w:t>
      </w:r>
    </w:p>
  </w:footnote>
  <w:footnote w:id="4">
    <w:p w:rsidR="00F54A26" w:rsidRDefault="00F54A26" w:rsidP="00F54A26">
      <w:pPr>
        <w:pStyle w:val="FootnoteText"/>
      </w:pPr>
      <w:r>
        <w:rPr>
          <w:rStyle w:val="FootnoteReference"/>
        </w:rPr>
        <w:footnoteRef/>
      </w:r>
      <w:r>
        <w:t xml:space="preserve"> </w:t>
      </w:r>
      <w:r w:rsidRPr="009A7301">
        <w:rPr>
          <w:i/>
        </w:rPr>
        <w:t>See</w:t>
      </w:r>
      <w:r>
        <w:t xml:space="preserve"> 47 U.S.C. §§ 154(i), 154(j), 503(b).</w:t>
      </w:r>
    </w:p>
  </w:footnote>
  <w:footnote w:id="5">
    <w:p w:rsidR="00F54A26" w:rsidRDefault="00F54A26" w:rsidP="00F54A26">
      <w:pPr>
        <w:pStyle w:val="FootnoteText"/>
      </w:pPr>
      <w:r>
        <w:rPr>
          <w:rStyle w:val="FootnoteReference"/>
        </w:rPr>
        <w:footnoteRef/>
      </w:r>
      <w:r>
        <w:t xml:space="preserve"> </w:t>
      </w:r>
      <w:r w:rsidRPr="009A7301">
        <w:rPr>
          <w:i/>
        </w:rPr>
        <w:t>See</w:t>
      </w:r>
      <w:r>
        <w:t xml:space="preserve"> 47 C.F.R. §§ 0.111, 0.311.</w:t>
      </w:r>
    </w:p>
  </w:footnote>
  <w:footnote w:id="6">
    <w:p w:rsidR="00F9298A" w:rsidRDefault="00F9298A">
      <w:pPr>
        <w:pStyle w:val="FootnoteText"/>
      </w:pPr>
      <w:r>
        <w:rPr>
          <w:rStyle w:val="FootnoteReference"/>
        </w:rPr>
        <w:footnoteRef/>
      </w:r>
      <w:r>
        <w:t xml:space="preserve"> This investigation</w:t>
      </w:r>
      <w:r w:rsidR="00540F5A">
        <w:t xml:space="preserve"> was </w:t>
      </w:r>
      <w:r>
        <w:t xml:space="preserve">initiated under File No. </w:t>
      </w:r>
      <w:r w:rsidRPr="005A7591">
        <w:t>EB-1</w:t>
      </w:r>
      <w:r w:rsidR="00234497" w:rsidRPr="005A7591">
        <w:t>3</w:t>
      </w:r>
      <w:r w:rsidRPr="005A7591">
        <w:t>-IH-</w:t>
      </w:r>
      <w:r w:rsidR="00234497" w:rsidRPr="005A7591">
        <w:t>0282</w:t>
      </w:r>
      <w:r w:rsidR="00540F5A">
        <w:t xml:space="preserve"> and </w:t>
      </w:r>
      <w:r>
        <w:t xml:space="preserve">subsequently assigned File No. </w:t>
      </w:r>
      <w:r w:rsidRPr="005A7591">
        <w:t>EB-IHD-13-00011</w:t>
      </w:r>
      <w:r w:rsidR="00234497" w:rsidRPr="005A7591">
        <w:t>204</w:t>
      </w:r>
      <w:r w:rsidRPr="005A7591">
        <w:t>.</w:t>
      </w:r>
    </w:p>
  </w:footnote>
  <w:footnote w:id="7">
    <w:p w:rsidR="00D6448E" w:rsidRPr="008A36BA" w:rsidRDefault="00D6448E" w:rsidP="00D6448E">
      <w:pPr>
        <w:pStyle w:val="FootnoteText"/>
      </w:pPr>
      <w:r w:rsidRPr="008A36BA">
        <w:rPr>
          <w:rStyle w:val="FootnoteReference"/>
        </w:rPr>
        <w:footnoteRef/>
      </w:r>
      <w:r w:rsidRPr="008A36BA">
        <w:t xml:space="preserve"> </w:t>
      </w:r>
      <w:r>
        <w:rPr>
          <w:i/>
        </w:rPr>
        <w:t xml:space="preserve">See </w:t>
      </w:r>
      <w:r w:rsidRPr="005A7591">
        <w:t>47 U.S.C. §§ 201(b)</w:t>
      </w:r>
      <w:r w:rsidR="00AC3BCF">
        <w:t>, 202(a)</w:t>
      </w:r>
      <w:r w:rsidRPr="005A7591">
        <w:t>;</w:t>
      </w:r>
      <w:r>
        <w:t xml:space="preserve"> </w:t>
      </w:r>
      <w:r>
        <w:rPr>
          <w:i/>
        </w:rPr>
        <w:t xml:space="preserve">see also </w:t>
      </w:r>
      <w:r w:rsidRPr="002A2F53">
        <w:rPr>
          <w:i/>
        </w:rPr>
        <w:t>Developing an Unified Intercarrier Compensation Regime</w:t>
      </w:r>
      <w:r>
        <w:t>,</w:t>
      </w:r>
      <w:r w:rsidRPr="002A2F53">
        <w:rPr>
          <w:i/>
        </w:rPr>
        <w:t xml:space="preserve"> </w:t>
      </w:r>
      <w:r w:rsidRPr="002A2F53">
        <w:t>Declaratory Ruling, 27 FCC Rcd 1351 (Wireline Comp. Bur. 2012)</w:t>
      </w:r>
      <w:r>
        <w:t xml:space="preserve"> (</w:t>
      </w:r>
      <w:r>
        <w:rPr>
          <w:i/>
        </w:rPr>
        <w:t>Rural Call Completion Declaratory Ruling</w:t>
      </w:r>
      <w:r>
        <w:t>).</w:t>
      </w:r>
      <w:r w:rsidRPr="008A36BA">
        <w:t xml:space="preserve">  </w:t>
      </w:r>
    </w:p>
  </w:footnote>
  <w:footnote w:id="8">
    <w:p w:rsidR="005A7591" w:rsidRDefault="005A7591" w:rsidP="005A7591">
      <w:pPr>
        <w:pStyle w:val="FootnoteText"/>
      </w:pPr>
      <w:r>
        <w:rPr>
          <w:rStyle w:val="FootnoteReference"/>
        </w:rPr>
        <w:footnoteRef/>
      </w:r>
      <w:r>
        <w:t xml:space="preserve"> </w:t>
      </w:r>
      <w:r>
        <w:rPr>
          <w:i/>
        </w:rPr>
        <w:t>Rural Call Completion</w:t>
      </w:r>
      <w:r>
        <w:t>, Report and Order and Further Notice of Proposed Rulemaking, 28 FCC Rcd 16154 (2013) (</w:t>
      </w:r>
      <w:r>
        <w:rPr>
          <w:i/>
        </w:rPr>
        <w:t>Rural Call Completion Order</w:t>
      </w:r>
      <w:r>
        <w:t xml:space="preserve">).  </w:t>
      </w:r>
    </w:p>
  </w:footnote>
  <w:footnote w:id="9">
    <w:p w:rsidR="001F20CA" w:rsidRDefault="001F20CA">
      <w:pPr>
        <w:pStyle w:val="FootnoteText"/>
      </w:pPr>
      <w:r>
        <w:rPr>
          <w:rStyle w:val="FootnoteReference"/>
        </w:rPr>
        <w:footnoteRef/>
      </w:r>
      <w:r>
        <w:t xml:space="preserve"> 47 C.F.R.</w:t>
      </w:r>
      <w:r w:rsidR="00ED0D7B">
        <w:t xml:space="preserve"> </w:t>
      </w:r>
      <w:r w:rsidR="00ED0D7B" w:rsidRPr="001F6EE7">
        <w:t>§</w:t>
      </w:r>
      <w:r w:rsidR="00ED0D7B">
        <w:t xml:space="preserve"> 64.1600(f).</w:t>
      </w:r>
    </w:p>
  </w:footnote>
  <w:footnote w:id="10">
    <w:p w:rsidR="00301F5E" w:rsidRPr="007127FC" w:rsidRDefault="00301F5E" w:rsidP="00301F5E">
      <w:pPr>
        <w:pStyle w:val="FootnoteText"/>
      </w:pPr>
      <w:r w:rsidRPr="007127FC">
        <w:rPr>
          <w:rStyle w:val="FootnoteReference"/>
        </w:rPr>
        <w:footnoteRef/>
      </w:r>
      <w:r w:rsidRPr="007127FC">
        <w:t xml:space="preserve"> Letter from Theresa Cavanaugh, Chief, Investigations &amp; Hearings Division, FCC Enforcement Bureau, to Jerry Ou, President and CEO, Matrix Telecom, Inc. (Mar. 21, 2013) (on file in EB-IHD-13-00011204).</w:t>
      </w:r>
    </w:p>
  </w:footnote>
  <w:footnote w:id="11">
    <w:p w:rsidR="00CE6290" w:rsidRPr="00CE6631" w:rsidRDefault="00CE6290" w:rsidP="00CE6290">
      <w:pPr>
        <w:pStyle w:val="FootnoteText"/>
      </w:pPr>
      <w:r>
        <w:rPr>
          <w:rStyle w:val="FootnoteReference"/>
        </w:rPr>
        <w:footnoteRef/>
      </w:r>
      <w:r>
        <w:t xml:space="preserve"> 47 U.S.C. </w:t>
      </w:r>
      <w:r w:rsidRPr="001F6EE7">
        <w:t>§ 20</w:t>
      </w:r>
      <w:r>
        <w:t>1</w:t>
      </w:r>
      <w:r w:rsidRPr="001F6EE7">
        <w:t>(</w:t>
      </w:r>
      <w:r>
        <w:t>b</w:t>
      </w:r>
      <w:r w:rsidRPr="001F6EE7">
        <w:t>).</w:t>
      </w:r>
      <w:r w:rsidR="007C7BDF">
        <w:t xml:space="preserve">  </w:t>
      </w:r>
    </w:p>
  </w:footnote>
  <w:footnote w:id="12">
    <w:p w:rsidR="00B75651" w:rsidRPr="00B75651" w:rsidRDefault="00B75651">
      <w:pPr>
        <w:pStyle w:val="FootnoteText"/>
      </w:pPr>
      <w:r>
        <w:rPr>
          <w:rStyle w:val="FootnoteReference"/>
        </w:rPr>
        <w:footnoteRef/>
      </w:r>
      <w:r>
        <w:t xml:space="preserve"> </w:t>
      </w:r>
      <w:r>
        <w:rPr>
          <w:i/>
        </w:rPr>
        <w:t>Id.</w:t>
      </w:r>
      <w:r>
        <w:t xml:space="preserve"> § 202(a).</w:t>
      </w:r>
    </w:p>
  </w:footnote>
  <w:footnote w:id="13">
    <w:p w:rsidR="00D71382" w:rsidRPr="00C629F0" w:rsidRDefault="00D71382" w:rsidP="00D71382">
      <w:pPr>
        <w:pStyle w:val="FootnoteText"/>
      </w:pPr>
      <w:r>
        <w:rPr>
          <w:rStyle w:val="FootnoteReference"/>
        </w:rPr>
        <w:footnoteRef/>
      </w:r>
      <w:r>
        <w:t xml:space="preserve"> </w:t>
      </w:r>
      <w:r>
        <w:rPr>
          <w:i/>
        </w:rPr>
        <w:t>Reliability and Continuity of Communications Networks</w:t>
      </w:r>
      <w:r>
        <w:t xml:space="preserve">, </w:t>
      </w:r>
      <w:r>
        <w:rPr>
          <w:i/>
        </w:rPr>
        <w:t>Including Broadband Technologies</w:t>
      </w:r>
      <w:r>
        <w:t xml:space="preserve">, Notice of Inquiry, 26 FCC Rcd 5614, 5616, para. 5 (2011); </w:t>
      </w:r>
      <w:r>
        <w:rPr>
          <w:i/>
        </w:rPr>
        <w:t>see also</w:t>
      </w:r>
      <w:r w:rsidRPr="00183BC9">
        <w:rPr>
          <w:i/>
        </w:rPr>
        <w:t xml:space="preserve"> </w:t>
      </w:r>
      <w:r>
        <w:rPr>
          <w:i/>
        </w:rPr>
        <w:t>Establishing Just and Reasonable Rates for Local Exchange Carriers</w:t>
      </w:r>
      <w:r>
        <w:t>, Declaratory Ruling and Order, 22 FCC Rcd 11629, para. 1 (Wireline Comp. Bur. 2007) (explaining that “the ubiquity and reliability of the nation’s telecommunications network is of paramount importance to the explicit goals of the Communications Act”)</w:t>
      </w:r>
      <w:r w:rsidR="00301F5E" w:rsidRPr="00301F5E">
        <w:t xml:space="preserve"> </w:t>
      </w:r>
      <w:r w:rsidR="00301F5E">
        <w:t>(</w:t>
      </w:r>
      <w:r w:rsidR="00301F5E">
        <w:rPr>
          <w:i/>
        </w:rPr>
        <w:t>Call Blocking Declaratory Ruling</w:t>
      </w:r>
      <w:r w:rsidR="00301F5E">
        <w:t>)</w:t>
      </w:r>
      <w:r>
        <w:t xml:space="preserve">.  </w:t>
      </w:r>
    </w:p>
  </w:footnote>
  <w:footnote w:id="14">
    <w:p w:rsidR="00D71382" w:rsidRPr="00A817C9" w:rsidRDefault="00D71382" w:rsidP="00D71382">
      <w:pPr>
        <w:pStyle w:val="FootnoteText"/>
      </w:pPr>
      <w:r>
        <w:rPr>
          <w:rStyle w:val="FootnoteReference"/>
        </w:rPr>
        <w:footnoteRef/>
      </w:r>
      <w:r>
        <w:t xml:space="preserve"> </w:t>
      </w:r>
      <w:r>
        <w:rPr>
          <w:i/>
        </w:rPr>
        <w:t>Connect America Fund</w:t>
      </w:r>
      <w:r>
        <w:t>, Report and Order and Further Notice of Proposed Rulemaking, 26 FCC Rcd 17663, 18029</w:t>
      </w:r>
      <w:r w:rsidR="00BC04B3">
        <w:t>,</w:t>
      </w:r>
      <w:r>
        <w:t xml:space="preserve"> para. 973 (2011)</w:t>
      </w:r>
      <w:r w:rsidR="0030787A">
        <w:t xml:space="preserve">, </w:t>
      </w:r>
      <w:r w:rsidR="0030787A" w:rsidRPr="003774F7">
        <w:rPr>
          <w:i/>
        </w:rPr>
        <w:t>pet</w:t>
      </w:r>
      <w:r w:rsidR="0030787A">
        <w:rPr>
          <w:i/>
        </w:rPr>
        <w:t>s</w:t>
      </w:r>
      <w:r w:rsidR="0030787A" w:rsidRPr="003774F7">
        <w:rPr>
          <w:i/>
        </w:rPr>
        <w:t>. for review pending</w:t>
      </w:r>
      <w:r w:rsidR="0030787A">
        <w:t xml:space="preserve"> </w:t>
      </w:r>
      <w:r w:rsidR="0030787A">
        <w:rPr>
          <w:i/>
        </w:rPr>
        <w:t>sub nom. In re: FCC 11-161</w:t>
      </w:r>
      <w:r w:rsidR="0030787A">
        <w:t>, No. 11-9900 (10</w:t>
      </w:r>
      <w:r w:rsidR="00301F5E">
        <w:t>th</w:t>
      </w:r>
      <w:r w:rsidR="0030787A">
        <w:t xml:space="preserve"> Cir. filed Dec. 2011)</w:t>
      </w:r>
      <w:r>
        <w:t xml:space="preserve"> (quoting </w:t>
      </w:r>
      <w:r>
        <w:rPr>
          <w:i/>
        </w:rPr>
        <w:t>Access Charge Reform</w:t>
      </w:r>
      <w:r>
        <w:t>,</w:t>
      </w:r>
      <w:r>
        <w:rPr>
          <w:i/>
        </w:rPr>
        <w:t xml:space="preserve"> </w:t>
      </w:r>
      <w:r w:rsidRPr="00A817C9">
        <w:t>Seventh</w:t>
      </w:r>
      <w:r>
        <w:rPr>
          <w:i/>
        </w:rPr>
        <w:t xml:space="preserve"> </w:t>
      </w:r>
      <w:r>
        <w:t>Report and Order and Further Notice of Proposed Rulemaking, 16 FCC Rcd 9923, 9933</w:t>
      </w:r>
      <w:r w:rsidR="0086369E">
        <w:t>,</w:t>
      </w:r>
      <w:r>
        <w:t xml:space="preserve"> para. 24 (2001)</w:t>
      </w:r>
      <w:r w:rsidR="00CA536F">
        <w:t>) (footnotes omitted</w:t>
      </w:r>
      <w:r>
        <w:t xml:space="preserve">).  </w:t>
      </w:r>
    </w:p>
  </w:footnote>
  <w:footnote w:id="15">
    <w:p w:rsidR="00D71382" w:rsidRPr="00663E7B" w:rsidRDefault="00D71382" w:rsidP="00D71382">
      <w:pPr>
        <w:pStyle w:val="FootnoteText"/>
        <w:rPr>
          <w:i/>
        </w:rPr>
      </w:pPr>
      <w:r>
        <w:rPr>
          <w:rStyle w:val="FootnoteReference"/>
        </w:rPr>
        <w:footnoteRef/>
      </w:r>
      <w:r>
        <w:t xml:space="preserve"> </w:t>
      </w:r>
      <w:r>
        <w:rPr>
          <w:i/>
        </w:rPr>
        <w:t>Id.</w:t>
      </w:r>
      <w:r>
        <w:t xml:space="preserve"> at 17903, para. 734 (quoting </w:t>
      </w:r>
      <w:r>
        <w:rPr>
          <w:i/>
        </w:rPr>
        <w:t>Call Blocking Declaratory Ruling</w:t>
      </w:r>
      <w:r>
        <w:t xml:space="preserve">, 22 FCC Rcd at 11631, para. 6).  The Commission has permitted call blocking “only under rare and limited circumstances.”  </w:t>
      </w:r>
      <w:r>
        <w:rPr>
          <w:i/>
        </w:rPr>
        <w:t>See Call Blocking Declaratory Ruling</w:t>
      </w:r>
      <w:r>
        <w:t xml:space="preserve">, 22 FCC Rcd at 11631, para. 6 n.20.  </w:t>
      </w:r>
    </w:p>
  </w:footnote>
  <w:footnote w:id="16">
    <w:p w:rsidR="00331D4B" w:rsidRPr="001F6EE7" w:rsidRDefault="00331D4B" w:rsidP="00331D4B">
      <w:pPr>
        <w:pStyle w:val="FootnoteText"/>
      </w:pPr>
      <w:r w:rsidRPr="001F6EE7">
        <w:rPr>
          <w:rStyle w:val="FootnoteReference"/>
        </w:rPr>
        <w:footnoteRef/>
      </w:r>
      <w:r w:rsidRPr="001F6EE7">
        <w:t xml:space="preserve"> Letter from Michael Romano, National Telecommunications Cooperative Association, </w:t>
      </w:r>
      <w:r w:rsidRPr="001F6EE7">
        <w:rPr>
          <w:i/>
        </w:rPr>
        <w:t>et al.</w:t>
      </w:r>
      <w:r w:rsidRPr="001F6EE7">
        <w:t>, to Theresa Z. Cavanaugh, Acting Chief</w:t>
      </w:r>
      <w:r w:rsidR="00E25C6F">
        <w:t>, Investigations &amp; Hearings Division, FCC Enforcement Bureau,</w:t>
      </w:r>
      <w:r w:rsidRPr="001F6EE7">
        <w:t xml:space="preserve"> and Margaret Dailey, Attorney Advisor, Investigations &amp;</w:t>
      </w:r>
      <w:r>
        <w:t xml:space="preserve"> </w:t>
      </w:r>
      <w:r w:rsidRPr="001F6EE7">
        <w:t>Hearings Division, FCC Enforcement Bureau at 3 (June 13, 2011</w:t>
      </w:r>
      <w:r w:rsidR="003450D9">
        <w:t>)</w:t>
      </w:r>
      <w:r w:rsidRPr="001F6EE7">
        <w:t xml:space="preserve">.  </w:t>
      </w:r>
    </w:p>
  </w:footnote>
  <w:footnote w:id="17">
    <w:p w:rsidR="00331D4B" w:rsidRPr="001F6EE7" w:rsidRDefault="00331D4B" w:rsidP="00331D4B">
      <w:pPr>
        <w:pStyle w:val="FootnoteText"/>
      </w:pPr>
      <w:r w:rsidRPr="001F6EE7">
        <w:rPr>
          <w:rStyle w:val="FootnoteReference"/>
        </w:rPr>
        <w:footnoteRef/>
      </w:r>
      <w:r w:rsidRPr="001F6EE7">
        <w:t xml:space="preserve"> </w:t>
      </w:r>
      <w:r w:rsidRPr="001F6EE7">
        <w:rPr>
          <w:i/>
        </w:rPr>
        <w:t>FCC Launches Rural Call Completion Task Force to Address Call Routing and Termination Problems in Rural America</w:t>
      </w:r>
      <w:r w:rsidRPr="001F6EE7">
        <w:t xml:space="preserve">, News Release, 2011 WL 4454097 (Sept. 26, 2011), </w:t>
      </w:r>
      <w:r w:rsidR="003450D9">
        <w:rPr>
          <w:i/>
        </w:rPr>
        <w:t xml:space="preserve">available at </w:t>
      </w:r>
      <w:r w:rsidRPr="001F6EE7">
        <w:t xml:space="preserve">http://www.fcc.gov/document/fcc-launches-rural-call-completion-task-force-sets-oct-18-workshop.  The Task Force conducted a workshop on rural call completion issues on October 18, 2011.  </w:t>
      </w:r>
      <w:r w:rsidRPr="001F6EE7">
        <w:rPr>
          <w:i/>
        </w:rPr>
        <w:t>See</w:t>
      </w:r>
      <w:r w:rsidRPr="001F6EE7">
        <w:t xml:space="preserve"> http://www.fcc.gov/events/rural-call-completion-workshop.  </w:t>
      </w:r>
    </w:p>
  </w:footnote>
  <w:footnote w:id="18">
    <w:p w:rsidR="00D71382" w:rsidRPr="001F6EE7" w:rsidRDefault="00D71382" w:rsidP="00D71382">
      <w:pPr>
        <w:pStyle w:val="FootnoteText"/>
      </w:pPr>
      <w:r w:rsidRPr="001F6EE7">
        <w:rPr>
          <w:rStyle w:val="FootnoteReference"/>
        </w:rPr>
        <w:footnoteRef/>
      </w:r>
      <w:r w:rsidRPr="001F6EE7">
        <w:t xml:space="preserve"> </w:t>
      </w:r>
      <w:r w:rsidR="00CA1171">
        <w:rPr>
          <w:i/>
        </w:rPr>
        <w:t xml:space="preserve">See </w:t>
      </w:r>
      <w:r w:rsidR="005A59B3">
        <w:rPr>
          <w:i/>
        </w:rPr>
        <w:t>Rural Call Completion Declaratory Ruling</w:t>
      </w:r>
      <w:r w:rsidR="005A59B3">
        <w:t>,</w:t>
      </w:r>
      <w:r w:rsidR="005A59B3">
        <w:rPr>
          <w:i/>
        </w:rPr>
        <w:t xml:space="preserve"> </w:t>
      </w:r>
      <w:r w:rsidRPr="001F6EE7">
        <w:t xml:space="preserve">27 FCC Rcd </w:t>
      </w:r>
      <w:r w:rsidR="00CA1171">
        <w:t>at</w:t>
      </w:r>
      <w:r w:rsidRPr="001F6EE7">
        <w:t xml:space="preserve"> 1355–56, para. 12 (footnote omitted).  </w:t>
      </w:r>
    </w:p>
  </w:footnote>
  <w:footnote w:id="19">
    <w:p w:rsidR="00F9298A" w:rsidRDefault="00F9298A">
      <w:pPr>
        <w:pStyle w:val="FootnoteText"/>
      </w:pPr>
      <w:r>
        <w:rPr>
          <w:rStyle w:val="FootnoteReference"/>
        </w:rPr>
        <w:footnoteRef/>
      </w:r>
      <w:r>
        <w:t xml:space="preserve"> </w:t>
      </w:r>
      <w:r w:rsidRPr="00A319A7">
        <w:rPr>
          <w:i/>
        </w:rPr>
        <w:t>Id</w:t>
      </w:r>
      <w:r>
        <w:t>.</w:t>
      </w:r>
      <w:r w:rsidR="00D544F2">
        <w:t xml:space="preserve"> </w:t>
      </w:r>
    </w:p>
  </w:footnote>
  <w:footnote w:id="20">
    <w:p w:rsidR="00B75651" w:rsidRPr="00B75651" w:rsidRDefault="00B75651">
      <w:pPr>
        <w:pStyle w:val="FootnoteText"/>
      </w:pPr>
      <w:r>
        <w:rPr>
          <w:rStyle w:val="FootnoteReference"/>
        </w:rPr>
        <w:footnoteRef/>
      </w:r>
      <w:r>
        <w:t xml:space="preserve"> </w:t>
      </w:r>
      <w:r>
        <w:rPr>
          <w:i/>
        </w:rPr>
        <w:t>Id.</w:t>
      </w:r>
      <w:r>
        <w:t xml:space="preserve"> at 1357–58, para. 14. </w:t>
      </w:r>
    </w:p>
  </w:footnote>
  <w:footnote w:id="21">
    <w:p w:rsidR="003B571F" w:rsidRDefault="003B571F" w:rsidP="003B571F">
      <w:pPr>
        <w:pStyle w:val="FootnoteText"/>
      </w:pPr>
      <w:r>
        <w:rPr>
          <w:rStyle w:val="FootnoteReference"/>
        </w:rPr>
        <w:footnoteRef/>
      </w:r>
      <w:r>
        <w:t xml:space="preserve"> T</w:t>
      </w:r>
      <w:r w:rsidRPr="0097793D">
        <w:t xml:space="preserve">he Bureau </w:t>
      </w:r>
      <w:r w:rsidRPr="00C36635">
        <w:t xml:space="preserve">forwarded </w:t>
      </w:r>
      <w:r w:rsidRPr="0097793D">
        <w:t xml:space="preserve">one consumer </w:t>
      </w:r>
      <w:r w:rsidRPr="00C36635">
        <w:t>inquiry</w:t>
      </w:r>
      <w:r w:rsidRPr="0097793D">
        <w:t xml:space="preserve"> regarding rural call completion </w:t>
      </w:r>
      <w:r w:rsidRPr="00C36635">
        <w:t>to</w:t>
      </w:r>
      <w:r w:rsidRPr="0097793D">
        <w:t xml:space="preserve"> the Company, </w:t>
      </w:r>
      <w:r w:rsidRPr="00C36635">
        <w:t xml:space="preserve">and the Company </w:t>
      </w:r>
      <w:r w:rsidRPr="0097793D">
        <w:t>responded</w:t>
      </w:r>
      <w:r w:rsidRPr="00C36635">
        <w:t xml:space="preserve"> to that inquiry</w:t>
      </w:r>
      <w:r w:rsidRPr="0097793D">
        <w:t>.</w:t>
      </w:r>
      <w:r>
        <w:t xml:space="preserve">  </w:t>
      </w:r>
      <w:r w:rsidRPr="007127FC">
        <w:rPr>
          <w:i/>
        </w:rPr>
        <w:t xml:space="preserve">See </w:t>
      </w:r>
      <w:r w:rsidRPr="007127FC">
        <w:t>Letter from James Lister, Birch Horton Bittner &amp; Cherot, to Marlene Dortch, Secretary, FCC (</w:t>
      </w:r>
      <w:r>
        <w:t>filed May 20</w:t>
      </w:r>
      <w:r w:rsidRPr="007127FC">
        <w:t>, 2013 in EB-IHD-13-00011204)</w:t>
      </w:r>
      <w:r>
        <w:t>.  The Bureau did not share other allegations and information with Matrix due to confidentiality concerns.</w:t>
      </w:r>
    </w:p>
  </w:footnote>
  <w:footnote w:id="22">
    <w:p w:rsidR="00301F5E" w:rsidRPr="00301F5E" w:rsidRDefault="00301F5E">
      <w:pPr>
        <w:pStyle w:val="FootnoteText"/>
      </w:pPr>
      <w:r>
        <w:rPr>
          <w:rStyle w:val="FootnoteReference"/>
        </w:rPr>
        <w:footnoteRef/>
      </w:r>
      <w:r>
        <w:t xml:space="preserve"> </w:t>
      </w:r>
      <w:r>
        <w:rPr>
          <w:i/>
        </w:rPr>
        <w:t>See supra</w:t>
      </w:r>
      <w:r>
        <w:t xml:space="preserve"> n.5.</w:t>
      </w:r>
    </w:p>
  </w:footnote>
  <w:footnote w:id="23">
    <w:p w:rsidR="00007F83" w:rsidRPr="007127FC" w:rsidRDefault="00007F83">
      <w:pPr>
        <w:pStyle w:val="FootnoteText"/>
      </w:pPr>
      <w:r w:rsidRPr="007127FC">
        <w:rPr>
          <w:rStyle w:val="FootnoteReference"/>
        </w:rPr>
        <w:footnoteRef/>
      </w:r>
      <w:r w:rsidRPr="007127FC">
        <w:t xml:space="preserve"> E-mail from Theodore Marcus, </w:t>
      </w:r>
      <w:r w:rsidR="00E25C6F">
        <w:t xml:space="preserve">Attorney Advisor, </w:t>
      </w:r>
      <w:r w:rsidRPr="007127FC">
        <w:t xml:space="preserve">Investigations &amp; Hearings Division, FCC Enforcement Bureau, to Aurora Ares, </w:t>
      </w:r>
      <w:r w:rsidR="004A3C2E">
        <w:t xml:space="preserve">Assistant General Counsel, </w:t>
      </w:r>
      <w:r w:rsidRPr="007127FC">
        <w:t xml:space="preserve">Matrix Telecom, Inc. (Mar. 29, 2013, 13:34 </w:t>
      </w:r>
      <w:r w:rsidR="00E25C6F" w:rsidRPr="007127FC">
        <w:t>E</w:t>
      </w:r>
      <w:r w:rsidR="00E25C6F">
        <w:t>D</w:t>
      </w:r>
      <w:r w:rsidR="00E25C6F" w:rsidRPr="007127FC">
        <w:t>T</w:t>
      </w:r>
      <w:r w:rsidRPr="007127FC">
        <w:t>) (on file in EB-IHD-13-00011204).</w:t>
      </w:r>
    </w:p>
  </w:footnote>
  <w:footnote w:id="24">
    <w:p w:rsidR="00B444C0" w:rsidRPr="007127FC" w:rsidRDefault="00B444C0" w:rsidP="00B444C0">
      <w:pPr>
        <w:pStyle w:val="FootnoteText"/>
      </w:pPr>
      <w:r w:rsidRPr="007127FC">
        <w:rPr>
          <w:rStyle w:val="FootnoteReference"/>
        </w:rPr>
        <w:footnoteRef/>
      </w:r>
      <w:r w:rsidRPr="007127FC">
        <w:t xml:space="preserve"> </w:t>
      </w:r>
      <w:r w:rsidRPr="007127FC">
        <w:rPr>
          <w:i/>
        </w:rPr>
        <w:t xml:space="preserve">See </w:t>
      </w:r>
      <w:r w:rsidR="00CF408A" w:rsidRPr="007127FC">
        <w:t xml:space="preserve">Letter from </w:t>
      </w:r>
      <w:r w:rsidR="00007F83" w:rsidRPr="007127FC">
        <w:t>James Lister</w:t>
      </w:r>
      <w:r w:rsidR="00CF408A" w:rsidRPr="007127FC">
        <w:t xml:space="preserve">, </w:t>
      </w:r>
      <w:r w:rsidR="00007F83" w:rsidRPr="007127FC">
        <w:t xml:space="preserve">Birch Horton Bittner &amp; Cherot, </w:t>
      </w:r>
      <w:r w:rsidR="00CF408A" w:rsidRPr="007127FC">
        <w:t>to Marlene Dortch, Secretary, FCC (</w:t>
      </w:r>
      <w:r w:rsidR="00E25C6F">
        <w:t xml:space="preserve">filed </w:t>
      </w:r>
      <w:r w:rsidR="00007F83" w:rsidRPr="007127FC">
        <w:t>May</w:t>
      </w:r>
      <w:r w:rsidR="00CF408A" w:rsidRPr="007127FC">
        <w:t xml:space="preserve"> </w:t>
      </w:r>
      <w:r w:rsidR="00007F83" w:rsidRPr="007127FC">
        <w:t>20</w:t>
      </w:r>
      <w:r w:rsidR="00CF408A" w:rsidRPr="007127FC">
        <w:t xml:space="preserve">, 2013 in </w:t>
      </w:r>
      <w:r w:rsidR="007C58F6" w:rsidRPr="007127FC">
        <w:t>EB-IHD-13-00011</w:t>
      </w:r>
      <w:r w:rsidR="00007F83" w:rsidRPr="007127FC">
        <w:t>204</w:t>
      </w:r>
      <w:r w:rsidR="00CF408A" w:rsidRPr="007127FC">
        <w:t>)</w:t>
      </w:r>
      <w:r w:rsidRPr="007127FC">
        <w:t xml:space="preserve">.  </w:t>
      </w:r>
    </w:p>
  </w:footnote>
  <w:footnote w:id="25">
    <w:p w:rsidR="00B444C0" w:rsidRPr="000B1E03" w:rsidRDefault="00B444C0" w:rsidP="00B444C0">
      <w:pPr>
        <w:pStyle w:val="FootnoteText"/>
      </w:pPr>
      <w:r w:rsidRPr="007127FC">
        <w:rPr>
          <w:rStyle w:val="FootnoteReference"/>
        </w:rPr>
        <w:footnoteRef/>
      </w:r>
      <w:r w:rsidRPr="007127FC">
        <w:t xml:space="preserve"> </w:t>
      </w:r>
      <w:r w:rsidRPr="007127FC">
        <w:rPr>
          <w:i/>
        </w:rPr>
        <w:t xml:space="preserve">See </w:t>
      </w:r>
      <w:r w:rsidR="00CF408A" w:rsidRPr="007127FC">
        <w:t xml:space="preserve">Letter from </w:t>
      </w:r>
      <w:r w:rsidR="00007F83" w:rsidRPr="007127FC">
        <w:t>James Lister, Birch Horton Bittner &amp; Cherot, to Marlene Dortch, Secretary, FCC (</w:t>
      </w:r>
      <w:r w:rsidR="00E25C6F">
        <w:t xml:space="preserve">filed </w:t>
      </w:r>
      <w:r w:rsidR="00007F83" w:rsidRPr="007127FC">
        <w:t>June 20, 2013 in EB-IHD-13-00011204</w:t>
      </w:r>
      <w:r w:rsidR="00CF408A" w:rsidRPr="007127FC">
        <w:t>).</w:t>
      </w:r>
      <w:r w:rsidR="00CF408A">
        <w:t xml:space="preserve">  </w:t>
      </w:r>
    </w:p>
  </w:footnote>
  <w:footnote w:id="26">
    <w:p w:rsidR="0013502F" w:rsidRDefault="0013502F" w:rsidP="0013502F">
      <w:pPr>
        <w:pStyle w:val="FootnoteText"/>
      </w:pPr>
      <w:r w:rsidRPr="007127FC">
        <w:rPr>
          <w:rStyle w:val="FootnoteReference"/>
        </w:rPr>
        <w:footnoteRef/>
      </w:r>
      <w:r w:rsidRPr="007127FC">
        <w:t xml:space="preserve"> </w:t>
      </w:r>
      <w:r w:rsidR="00CF408A" w:rsidRPr="007127FC">
        <w:rPr>
          <w:i/>
        </w:rPr>
        <w:t xml:space="preserve">See </w:t>
      </w:r>
      <w:r w:rsidR="00CF408A" w:rsidRPr="007127FC">
        <w:t xml:space="preserve">Letter from </w:t>
      </w:r>
      <w:r w:rsidR="0083431D" w:rsidRPr="007127FC">
        <w:t>James Lister, Birch Horton Bittner &amp; Cherot, to Marlene Dortch, Secretary, FCC (</w:t>
      </w:r>
      <w:r w:rsidR="005B2A68">
        <w:t xml:space="preserve">filed </w:t>
      </w:r>
      <w:r w:rsidR="0083431D" w:rsidRPr="007127FC">
        <w:t>July 11, 2013 in EB-IHD-13-00011204)</w:t>
      </w:r>
      <w:r w:rsidR="007A02DA" w:rsidRPr="007127FC">
        <w:t>; James Lister, Birch Horton Bittner &amp; Cherot, to Marlene Dortch, Secretary, FCC (</w:t>
      </w:r>
      <w:r w:rsidR="005B2A68">
        <w:t xml:space="preserve">filed </w:t>
      </w:r>
      <w:r w:rsidR="007A02DA" w:rsidRPr="007127FC">
        <w:t>Aug</w:t>
      </w:r>
      <w:r w:rsidR="005B2A68">
        <w:t>.</w:t>
      </w:r>
      <w:r w:rsidR="007A02DA" w:rsidRPr="007127FC">
        <w:t xml:space="preserve"> 8, 2013 in EB-IHD-13-00011204); James Lister, Birch Horton Bittner &amp; Cherot, to Marlene Dortch, Secretary, FCC (</w:t>
      </w:r>
      <w:r w:rsidR="005B2A68">
        <w:t xml:space="preserve">filed </w:t>
      </w:r>
      <w:r w:rsidR="007A02DA" w:rsidRPr="007127FC">
        <w:t>Aug. 30, 2013 in EB-IHD-13-00011204); James Lister, Birch Horton Bittner &amp; Cherot, to Marlene Dortch, Secretary, FCC (</w:t>
      </w:r>
      <w:r w:rsidR="005B2A68">
        <w:t xml:space="preserve">filed </w:t>
      </w:r>
      <w:r w:rsidR="007A02DA" w:rsidRPr="007127FC">
        <w:t>Sept. 10, 2013 in EB-IHD-13-00011204); James Lister, Birch Horton Bittner &amp; Cherot, to Marlene Dortch, Secretary, FCC (</w:t>
      </w:r>
      <w:r w:rsidR="005B2A68">
        <w:t xml:space="preserve">filed </w:t>
      </w:r>
      <w:r w:rsidR="00F267E4" w:rsidRPr="007127FC">
        <w:t>Sept.</w:t>
      </w:r>
      <w:r w:rsidR="007A02DA" w:rsidRPr="007127FC">
        <w:t xml:space="preserve"> 20, 2013 in EB-IHD-13-00011204</w:t>
      </w:r>
      <w:r w:rsidR="00F267E4" w:rsidRPr="007127FC">
        <w:t>); James Lister, Birch Horton Bittner &amp; Cherot, to Marlene Dortch, Secretary, FCC (</w:t>
      </w:r>
      <w:r w:rsidR="005B2A68">
        <w:t xml:space="preserve">filed </w:t>
      </w:r>
      <w:r w:rsidR="00F267E4" w:rsidRPr="007127FC">
        <w:t>Nov. 1, 2013 in EB-IHD-13-00011204)</w:t>
      </w:r>
      <w:r w:rsidRPr="007127FC">
        <w:t>.</w:t>
      </w:r>
      <w:r>
        <w:t xml:space="preserve">  </w:t>
      </w:r>
    </w:p>
  </w:footnote>
  <w:footnote w:id="27">
    <w:p w:rsidR="007C7BDF" w:rsidRPr="00807483" w:rsidRDefault="007C7BDF" w:rsidP="007C7BDF">
      <w:pPr>
        <w:pStyle w:val="FootnoteText"/>
      </w:pPr>
      <w:r>
        <w:rPr>
          <w:rStyle w:val="FootnoteReference"/>
        </w:rPr>
        <w:footnoteRef/>
      </w:r>
      <w:r>
        <w:t xml:space="preserve"> </w:t>
      </w:r>
      <w:r w:rsidRPr="006E286C">
        <w:rPr>
          <w:i/>
        </w:rPr>
        <w:t>See</w:t>
      </w:r>
      <w:r>
        <w:t xml:space="preserve"> </w:t>
      </w:r>
      <w:r w:rsidR="00CA536F">
        <w:rPr>
          <w:i/>
        </w:rPr>
        <w:t>Rural Call Completion Order</w:t>
      </w:r>
      <w:r w:rsidR="00CA536F">
        <w:t>,</w:t>
      </w:r>
      <w:r w:rsidR="00CA536F">
        <w:rPr>
          <w:i/>
        </w:rPr>
        <w:t xml:space="preserve"> </w:t>
      </w:r>
      <w:r w:rsidR="00443248">
        <w:t xml:space="preserve">28 FCC Rcd </w:t>
      </w:r>
      <w:r>
        <w:t xml:space="preserve">at </w:t>
      </w:r>
      <w:r w:rsidR="00443248">
        <w:t xml:space="preserve">16211–14, </w:t>
      </w:r>
      <w:r>
        <w:t xml:space="preserve">Appendix A.  </w:t>
      </w:r>
    </w:p>
  </w:footnote>
  <w:footnote w:id="28">
    <w:p w:rsidR="007C7BDF" w:rsidRPr="00E73A73" w:rsidRDefault="007C7BDF" w:rsidP="007C7BDF">
      <w:pPr>
        <w:pStyle w:val="FootnoteText"/>
      </w:pPr>
      <w:r>
        <w:rPr>
          <w:rStyle w:val="FootnoteReference"/>
        </w:rPr>
        <w:footnoteRef/>
      </w:r>
      <w:r>
        <w:t xml:space="preserve"> </w:t>
      </w:r>
      <w:r>
        <w:rPr>
          <w:i/>
        </w:rPr>
        <w:t>Id.</w:t>
      </w:r>
      <w:r>
        <w:t xml:space="preserve"> at </w:t>
      </w:r>
      <w:r w:rsidR="000E2204">
        <w:t>16161</w:t>
      </w:r>
      <w:r>
        <w:t xml:space="preserve">, para. 14.  </w:t>
      </w:r>
    </w:p>
  </w:footnote>
  <w:footnote w:id="29">
    <w:p w:rsidR="007C7BDF" w:rsidRPr="00E73A73" w:rsidRDefault="007C7BDF" w:rsidP="007C7BDF">
      <w:pPr>
        <w:pStyle w:val="FootnoteText"/>
      </w:pPr>
      <w:r>
        <w:rPr>
          <w:rStyle w:val="FootnoteReference"/>
        </w:rPr>
        <w:footnoteRef/>
      </w:r>
      <w:r>
        <w:t xml:space="preserve"> </w:t>
      </w:r>
      <w:r>
        <w:rPr>
          <w:i/>
        </w:rPr>
        <w:t>Id.</w:t>
      </w:r>
      <w:r>
        <w:t xml:space="preserve"> at </w:t>
      </w:r>
      <w:r w:rsidR="00004C90">
        <w:t>16155</w:t>
      </w:r>
      <w:r>
        <w:t xml:space="preserve">, para. 1.  </w:t>
      </w:r>
    </w:p>
  </w:footnote>
  <w:footnote w:id="30">
    <w:p w:rsidR="00A13A82" w:rsidRPr="00A13A82" w:rsidRDefault="00A13A82">
      <w:pPr>
        <w:pStyle w:val="FootnoteText"/>
      </w:pPr>
      <w:r>
        <w:rPr>
          <w:rStyle w:val="FootnoteReference"/>
        </w:rPr>
        <w:footnoteRef/>
      </w:r>
      <w:r>
        <w:t xml:space="preserve"> “Covered provider” means a “provider of long-distance voice service that makes the initial long-distance call path choice for more than 100,000 domestic retail subscriber lines.”  </w:t>
      </w:r>
      <w:r>
        <w:rPr>
          <w:i/>
        </w:rPr>
        <w:t>Id.</w:t>
      </w:r>
      <w:r>
        <w:t xml:space="preserve"> at 16165, </w:t>
      </w:r>
      <w:r w:rsidR="005B2A68">
        <w:t xml:space="preserve">16211, </w:t>
      </w:r>
      <w:r>
        <w:t>para. 20</w:t>
      </w:r>
      <w:r w:rsidR="005B2A68">
        <w:t xml:space="preserve">, </w:t>
      </w:r>
      <w:r>
        <w:t xml:space="preserve">Appendix A § 64.2101(c).  </w:t>
      </w:r>
    </w:p>
  </w:footnote>
  <w:footnote w:id="31">
    <w:p w:rsidR="007C7BDF" w:rsidRDefault="007C7BDF" w:rsidP="007C7BDF">
      <w:pPr>
        <w:pStyle w:val="FootnoteText"/>
      </w:pPr>
      <w:r>
        <w:rPr>
          <w:rStyle w:val="FootnoteReference"/>
        </w:rPr>
        <w:footnoteRef/>
      </w:r>
      <w:r>
        <w:t xml:space="preserve"> </w:t>
      </w:r>
      <w:r>
        <w:rPr>
          <w:szCs w:val="22"/>
        </w:rPr>
        <w:t xml:space="preserve">The Commission concluded that “the only call attempts that need to be retained are those to incumbent LECs that are rural telephone companies” because “rural call completion problems are largely confined to such carriers.”  </w:t>
      </w:r>
      <w:r>
        <w:rPr>
          <w:i/>
        </w:rPr>
        <w:t>Id.</w:t>
      </w:r>
      <w:r>
        <w:t xml:space="preserve"> at </w:t>
      </w:r>
      <w:r w:rsidR="00004C90">
        <w:t>16177</w:t>
      </w:r>
      <w:r w:rsidR="00443248">
        <w:t>–</w:t>
      </w:r>
      <w:r w:rsidR="00004C90">
        <w:t>78</w:t>
      </w:r>
      <w:r>
        <w:t xml:space="preserve">, para. 49; </w:t>
      </w:r>
      <w:r>
        <w:rPr>
          <w:i/>
        </w:rPr>
        <w:t>see also</w:t>
      </w:r>
      <w:r>
        <w:t xml:space="preserve"> 47 U.S.C. § 153(44).  </w:t>
      </w:r>
    </w:p>
  </w:footnote>
  <w:footnote w:id="32">
    <w:p w:rsidR="007C7BDF" w:rsidRDefault="007C7BDF" w:rsidP="007C7BDF">
      <w:pPr>
        <w:pStyle w:val="FootnoteText"/>
      </w:pPr>
      <w:r>
        <w:rPr>
          <w:rStyle w:val="FootnoteReference"/>
        </w:rPr>
        <w:footnoteRef/>
      </w:r>
      <w:r>
        <w:t xml:space="preserve"> </w:t>
      </w:r>
      <w:r w:rsidRPr="00443F5D">
        <w:t xml:space="preserve">An </w:t>
      </w:r>
      <w:r>
        <w:t>OCN</w:t>
      </w:r>
      <w:r w:rsidRPr="00443F5D">
        <w:t xml:space="preserve"> is a</w:t>
      </w:r>
      <w:r>
        <w:t>n</w:t>
      </w:r>
      <w:r w:rsidRPr="00443F5D">
        <w:t xml:space="preserve"> alphanumeric code that uniquely identifies providers of local telecommunications service.  </w:t>
      </w:r>
      <w:r w:rsidRPr="00443F5D">
        <w:rPr>
          <w:i/>
          <w:snapToGrid w:val="0"/>
        </w:rPr>
        <w:t xml:space="preserve">See </w:t>
      </w:r>
      <w:r w:rsidRPr="00443F5D">
        <w:rPr>
          <w:snapToGrid w:val="0"/>
        </w:rPr>
        <w:t>Alliance</w:t>
      </w:r>
      <w:r w:rsidRPr="00443F5D">
        <w:rPr>
          <w:smallCaps/>
          <w:snapToGrid w:val="0"/>
        </w:rPr>
        <w:t xml:space="preserve"> </w:t>
      </w:r>
      <w:r w:rsidRPr="00443F5D">
        <w:rPr>
          <w:snapToGrid w:val="0"/>
        </w:rPr>
        <w:t>for</w:t>
      </w:r>
      <w:r w:rsidRPr="00443F5D">
        <w:rPr>
          <w:smallCaps/>
          <w:snapToGrid w:val="0"/>
        </w:rPr>
        <w:t xml:space="preserve"> </w:t>
      </w:r>
      <w:r w:rsidRPr="00443F5D">
        <w:rPr>
          <w:snapToGrid w:val="0"/>
        </w:rPr>
        <w:t>Telecom</w:t>
      </w:r>
      <w:r w:rsidR="00D51CBE">
        <w:rPr>
          <w:snapToGrid w:val="0"/>
        </w:rPr>
        <w:t>.</w:t>
      </w:r>
      <w:r w:rsidRPr="00443F5D">
        <w:rPr>
          <w:smallCaps/>
          <w:snapToGrid w:val="0"/>
        </w:rPr>
        <w:t xml:space="preserve"> </w:t>
      </w:r>
      <w:r w:rsidRPr="00443F5D">
        <w:rPr>
          <w:snapToGrid w:val="0"/>
        </w:rPr>
        <w:t>Industry</w:t>
      </w:r>
      <w:r w:rsidRPr="00443F5D">
        <w:rPr>
          <w:smallCaps/>
          <w:snapToGrid w:val="0"/>
        </w:rPr>
        <w:t xml:space="preserve"> </w:t>
      </w:r>
      <w:r w:rsidRPr="00443F5D">
        <w:rPr>
          <w:snapToGrid w:val="0"/>
        </w:rPr>
        <w:t>Solutions</w:t>
      </w:r>
      <w:r w:rsidR="00004C90">
        <w:rPr>
          <w:snapToGrid w:val="0"/>
        </w:rPr>
        <w:t>,</w:t>
      </w:r>
      <w:r w:rsidRPr="00443F5D">
        <w:rPr>
          <w:i/>
          <w:snapToGrid w:val="0"/>
        </w:rPr>
        <w:t xml:space="preserve"> ATIS Telecom Glossary</w:t>
      </w:r>
      <w:r w:rsidRPr="00443F5D">
        <w:rPr>
          <w:rStyle w:val="Normal2"/>
          <w:snapToGrid w:val="0"/>
        </w:rPr>
        <w:t xml:space="preserve">, </w:t>
      </w:r>
      <w:r w:rsidRPr="00443F5D">
        <w:rPr>
          <w:i/>
          <w:snapToGrid w:val="0"/>
        </w:rPr>
        <w:t>available at</w:t>
      </w:r>
      <w:r w:rsidRPr="00443F5D">
        <w:rPr>
          <w:snapToGrid w:val="0"/>
        </w:rPr>
        <w:t xml:space="preserve"> </w:t>
      </w:r>
      <w:r w:rsidR="00004C90" w:rsidRPr="00D61568">
        <w:t>http://www.atis.org/</w:t>
      </w:r>
      <w:r w:rsidRPr="009D0950">
        <w:t>glossary/definition.aspx?id=8448</w:t>
      </w:r>
      <w:r w:rsidRPr="00443F5D">
        <w:rPr>
          <w:rStyle w:val="Normal2"/>
          <w:snapToGrid w:val="0"/>
        </w:rPr>
        <w:t xml:space="preserve"> (last </w:t>
      </w:r>
      <w:r w:rsidR="00665161">
        <w:rPr>
          <w:rStyle w:val="Normal2"/>
          <w:snapToGrid w:val="0"/>
        </w:rPr>
        <w:t>visit</w:t>
      </w:r>
      <w:r w:rsidR="00665161" w:rsidRPr="00443F5D">
        <w:rPr>
          <w:rStyle w:val="Normal2"/>
          <w:snapToGrid w:val="0"/>
        </w:rPr>
        <w:t xml:space="preserve">ed </w:t>
      </w:r>
      <w:r w:rsidR="00665161">
        <w:rPr>
          <w:rStyle w:val="Normal2"/>
          <w:snapToGrid w:val="0"/>
        </w:rPr>
        <w:t>May 13</w:t>
      </w:r>
      <w:r w:rsidR="00610A85">
        <w:rPr>
          <w:rStyle w:val="Normal2"/>
          <w:snapToGrid w:val="0"/>
        </w:rPr>
        <w:t xml:space="preserve">, </w:t>
      </w:r>
      <w:r w:rsidRPr="00443F5D">
        <w:rPr>
          <w:rStyle w:val="Normal2"/>
          <w:snapToGrid w:val="0"/>
        </w:rPr>
        <w:t>201</w:t>
      </w:r>
      <w:r w:rsidR="00610A85">
        <w:rPr>
          <w:rStyle w:val="Normal2"/>
          <w:snapToGrid w:val="0"/>
        </w:rPr>
        <w:t>4</w:t>
      </w:r>
      <w:r w:rsidRPr="00443F5D">
        <w:rPr>
          <w:rStyle w:val="Normal2"/>
          <w:snapToGrid w:val="0"/>
        </w:rPr>
        <w:t>).</w:t>
      </w:r>
      <w:r>
        <w:rPr>
          <w:rStyle w:val="Normal2"/>
          <w:snapToGrid w:val="0"/>
        </w:rPr>
        <w:t xml:space="preserve">  T</w:t>
      </w:r>
      <w:r>
        <w:t xml:space="preserve">he Commission ordered the National Exchange Carrier Association, Inc. (NECA), which maintains </w:t>
      </w:r>
      <w:r w:rsidRPr="00443F5D">
        <w:t>list</w:t>
      </w:r>
      <w:r w:rsidR="00CA536F">
        <w:t>s</w:t>
      </w:r>
      <w:r w:rsidRPr="00443F5D">
        <w:t xml:space="preserve"> of </w:t>
      </w:r>
      <w:r>
        <w:t xml:space="preserve">incumbent LEC </w:t>
      </w:r>
      <w:r w:rsidRPr="00443F5D">
        <w:t>OCNs</w:t>
      </w:r>
      <w:r>
        <w:t>,</w:t>
      </w:r>
      <w:r w:rsidRPr="00443F5D">
        <w:t xml:space="preserve"> </w:t>
      </w:r>
      <w:r>
        <w:t>to update th</w:t>
      </w:r>
      <w:r w:rsidR="00CA536F">
        <w:t>ose</w:t>
      </w:r>
      <w:r>
        <w:t xml:space="preserve"> list</w:t>
      </w:r>
      <w:r w:rsidR="00CA536F">
        <w:t>s</w:t>
      </w:r>
      <w:r>
        <w:t xml:space="preserve"> annually.  </w:t>
      </w:r>
      <w:r>
        <w:rPr>
          <w:i/>
        </w:rPr>
        <w:t>See Rural Call Completion Order</w:t>
      </w:r>
      <w:r w:rsidR="001C10A9">
        <w:t>,</w:t>
      </w:r>
      <w:r w:rsidR="009E097F">
        <w:t xml:space="preserve"> 28 FCC Rcd at 16187</w:t>
      </w:r>
      <w:r w:rsidR="00502DE1" w:rsidRPr="001F6EE7">
        <w:t>–</w:t>
      </w:r>
      <w:r w:rsidR="009E097F">
        <w:t>88</w:t>
      </w:r>
      <w:r>
        <w:t xml:space="preserve">, para. 73.  A list of </w:t>
      </w:r>
      <w:r w:rsidR="002F4599">
        <w:t xml:space="preserve">incumbent </w:t>
      </w:r>
      <w:r>
        <w:t>rural LEC OCNs is available at</w:t>
      </w:r>
      <w:r w:rsidRPr="00443F5D">
        <w:t xml:space="preserve"> http://www.neca.org/WorkArea/linkit.aspx?LinkIdentifier=id&amp;ItemID=8874&amp;libID=8894 (last </w:t>
      </w:r>
      <w:r w:rsidR="00665161">
        <w:t>visit</w:t>
      </w:r>
      <w:r w:rsidR="00665161" w:rsidRPr="00443F5D">
        <w:t xml:space="preserve">ed </w:t>
      </w:r>
      <w:r w:rsidR="00665161">
        <w:t>May 13</w:t>
      </w:r>
      <w:r w:rsidRPr="00443F5D">
        <w:t>, 201</w:t>
      </w:r>
      <w:r w:rsidR="004C4E3A">
        <w:t>4</w:t>
      </w:r>
      <w:r w:rsidRPr="00443F5D">
        <w:t xml:space="preserve">).  </w:t>
      </w:r>
    </w:p>
  </w:footnote>
  <w:footnote w:id="33">
    <w:p w:rsidR="007C7BDF" w:rsidRDefault="007C7BDF" w:rsidP="007C7BDF">
      <w:pPr>
        <w:pStyle w:val="FootnoteText"/>
      </w:pPr>
      <w:r>
        <w:rPr>
          <w:rStyle w:val="FootnoteReference"/>
        </w:rPr>
        <w:footnoteRef/>
      </w:r>
      <w:r>
        <w:t xml:space="preserve"> </w:t>
      </w:r>
      <w:r>
        <w:rPr>
          <w:i/>
        </w:rPr>
        <w:t>Rural Call Completion Order</w:t>
      </w:r>
      <w:r>
        <w:t>,</w:t>
      </w:r>
      <w:r w:rsidR="00502DE1">
        <w:t xml:space="preserve"> 28 FCC Rcd at 16184,</w:t>
      </w:r>
      <w:r>
        <w:t xml:space="preserve"> para. 65.  </w:t>
      </w:r>
    </w:p>
  </w:footnote>
  <w:footnote w:id="34">
    <w:p w:rsidR="00417DFB" w:rsidRPr="00417DFB" w:rsidRDefault="00417DFB">
      <w:pPr>
        <w:pStyle w:val="FootnoteText"/>
      </w:pPr>
      <w:r>
        <w:rPr>
          <w:rStyle w:val="FootnoteReference"/>
        </w:rPr>
        <w:footnoteRef/>
      </w:r>
      <w:r>
        <w:t xml:space="preserve"> </w:t>
      </w:r>
      <w:r>
        <w:rPr>
          <w:i/>
        </w:rPr>
        <w:t>Id.</w:t>
      </w:r>
      <w:r>
        <w:t xml:space="preserve"> at </w:t>
      </w:r>
      <w:r w:rsidR="00963A00">
        <w:t xml:space="preserve">16207, </w:t>
      </w:r>
      <w:r>
        <w:t xml:space="preserve">para. 131.  </w:t>
      </w:r>
    </w:p>
  </w:footnote>
  <w:footnote w:id="35">
    <w:p w:rsidR="0075349A" w:rsidRPr="0075349A" w:rsidRDefault="0075349A">
      <w:pPr>
        <w:pStyle w:val="FootnoteText"/>
      </w:pPr>
      <w:r>
        <w:rPr>
          <w:rStyle w:val="FootnoteReference"/>
        </w:rPr>
        <w:footnoteRef/>
      </w:r>
      <w:r>
        <w:t xml:space="preserve"> The Company shall have no obligation to comply with the information collections required by the </w:t>
      </w:r>
      <w:r>
        <w:rPr>
          <w:i/>
        </w:rPr>
        <w:t>Rural Call Completion Order</w:t>
      </w:r>
      <w:r>
        <w:t xml:space="preserve"> until they become effective.  </w:t>
      </w:r>
      <w:r>
        <w:rPr>
          <w:i/>
        </w:rPr>
        <w:t xml:space="preserve">See supra </w:t>
      </w:r>
      <w:r w:rsidR="00D544F2">
        <w:t>n.</w:t>
      </w:r>
      <w:r w:rsidR="003B571F">
        <w:t xml:space="preserve">29 </w:t>
      </w:r>
      <w:r w:rsidR="00D544F2">
        <w:t>and accompanying text</w:t>
      </w:r>
      <w:r>
        <w:t xml:space="preserve">.  </w:t>
      </w:r>
    </w:p>
  </w:footnote>
  <w:footnote w:id="36">
    <w:p w:rsidR="00AD5445" w:rsidRDefault="00AD5445" w:rsidP="000B6CE9">
      <w:pPr>
        <w:pStyle w:val="FootnoteText"/>
        <w:tabs>
          <w:tab w:val="left" w:pos="180"/>
        </w:tabs>
      </w:pPr>
      <w:r>
        <w:rPr>
          <w:rStyle w:val="FootnoteReference"/>
          <w:szCs w:val="22"/>
        </w:rPr>
        <w:footnoteRef/>
      </w:r>
      <w:r>
        <w:t xml:space="preserve"> </w:t>
      </w:r>
      <w:r w:rsidR="00E14064">
        <w:rPr>
          <w:i/>
        </w:rPr>
        <w:t xml:space="preserve">See </w:t>
      </w:r>
      <w:r>
        <w:t>47 C.F.R. § 1.16.</w:t>
      </w:r>
    </w:p>
  </w:footnote>
  <w:footnote w:id="37">
    <w:p w:rsidR="008C1B03" w:rsidRPr="00CD347F" w:rsidRDefault="008C1B03" w:rsidP="008C1B03">
      <w:pPr>
        <w:pStyle w:val="FootnoteText"/>
        <w:rPr>
          <w:rStyle w:val="FootnoteTextChar2CharCharChar"/>
        </w:rPr>
      </w:pPr>
      <w:r w:rsidRPr="008D1C99">
        <w:rPr>
          <w:rStyle w:val="FootnoteReference"/>
        </w:rPr>
        <w:footnoteRef/>
      </w:r>
      <w:r w:rsidRPr="008D1C99">
        <w:rPr>
          <w:rStyle w:val="FootnoteReference"/>
        </w:rPr>
        <w:t xml:space="preserve"> </w:t>
      </w:r>
      <w:r w:rsidRPr="00CD347F">
        <w:rPr>
          <w:rStyle w:val="FootnoteTextChar2CharCharChar"/>
        </w:rPr>
        <w:t>47 U.S.C. § 208.</w:t>
      </w:r>
    </w:p>
  </w:footnote>
  <w:footnote w:id="38">
    <w:p w:rsidR="001B138D" w:rsidRDefault="001B138D">
      <w:pPr>
        <w:pStyle w:val="FootnoteText"/>
      </w:pPr>
      <w:r>
        <w:rPr>
          <w:rStyle w:val="FootnoteReference"/>
        </w:rPr>
        <w:footnoteRef/>
      </w:r>
      <w:r>
        <w:t xml:space="preserve"> </w:t>
      </w:r>
      <w:r w:rsidR="00E14064">
        <w:rPr>
          <w:i/>
        </w:rPr>
        <w:t xml:space="preserve">See </w:t>
      </w:r>
      <w:r>
        <w:t>Debt Collection Improvement Act of 1996, Pub. L. No. 104-134, 110 Stat. 1321, 1358 (Apr. 26, 1996).</w:t>
      </w:r>
    </w:p>
  </w:footnote>
  <w:footnote w:id="39">
    <w:p w:rsidR="001B138D" w:rsidRPr="00042447" w:rsidRDefault="001B138D" w:rsidP="001B138D">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40">
    <w:p w:rsidR="00AD5445" w:rsidRDefault="00AD5445" w:rsidP="008E0C3F">
      <w:pPr>
        <w:pStyle w:val="FootnoteText"/>
      </w:pPr>
      <w:r>
        <w:rPr>
          <w:rStyle w:val="FootnoteReference"/>
        </w:rPr>
        <w:footnoteRef/>
      </w:r>
      <w:r>
        <w:t xml:space="preserve"> </w:t>
      </w:r>
      <w:r>
        <w:rPr>
          <w:i/>
        </w:rPr>
        <w:t xml:space="preserve">See </w:t>
      </w:r>
      <w:r>
        <w:t>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7A" w:rsidRDefault="00EA5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A0" w:rsidRPr="009C2CA0" w:rsidRDefault="009C2CA0" w:rsidP="009C2CA0">
    <w:pPr>
      <w:tabs>
        <w:tab w:val="center" w:pos="4680"/>
        <w:tab w:val="right" w:pos="9360"/>
      </w:tabs>
    </w:pPr>
    <w:r w:rsidRPr="00E1498F">
      <w:rPr>
        <w:b/>
        <w:noProof/>
        <w:snapToGrid/>
      </w:rPr>
      <mc:AlternateContent>
        <mc:Choice Requires="wps">
          <w:drawing>
            <wp:anchor distT="0" distB="0" distL="114300" distR="114300" simplePos="0" relativeHeight="251661312" behindDoc="1" locked="0" layoutInCell="0" allowOverlap="1" wp14:anchorId="4A7F4C85" wp14:editId="10A77983">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9C2CA0">
      <w:rPr>
        <w:b/>
      </w:rPr>
      <w:tab/>
      <w:t>Federal Communications Commission</w:t>
    </w:r>
    <w:r w:rsidRPr="009C2CA0">
      <w:rPr>
        <w:b/>
      </w:rPr>
      <w:tab/>
    </w:r>
    <w:r>
      <w:rPr>
        <w:b/>
      </w:rPr>
      <w:t>DA 14-679</w:t>
    </w:r>
  </w:p>
  <w:p w:rsidR="00AD5445" w:rsidRDefault="00AD54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A0" w:rsidRPr="009C2CA0" w:rsidRDefault="009C2CA0" w:rsidP="009C2CA0">
    <w:pPr>
      <w:tabs>
        <w:tab w:val="center" w:pos="4680"/>
        <w:tab w:val="right" w:pos="9360"/>
      </w:tabs>
    </w:pPr>
    <w:r w:rsidRPr="00E1498F">
      <w:rPr>
        <w:b/>
        <w:noProof/>
        <w:snapToGrid/>
      </w:rPr>
      <mc:AlternateContent>
        <mc:Choice Requires="wps">
          <w:drawing>
            <wp:anchor distT="0" distB="0" distL="114300" distR="114300" simplePos="0" relativeHeight="251659264" behindDoc="1" locked="0" layoutInCell="0" allowOverlap="1" wp14:anchorId="128D3AAD" wp14:editId="4F10BFF6">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9C2CA0">
      <w:rPr>
        <w:b/>
      </w:rPr>
      <w:tab/>
      <w:t>Federal Communications Commission</w:t>
    </w:r>
    <w:r w:rsidRPr="009C2CA0">
      <w:rPr>
        <w:b/>
      </w:rPr>
      <w:tab/>
    </w:r>
    <w:r>
      <w:rPr>
        <w:b/>
        <w:spacing w:val="-2"/>
      </w:rPr>
      <w:t>DA 14-679</w:t>
    </w:r>
  </w:p>
  <w:p w:rsidR="00AD5445" w:rsidRDefault="00AD54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F1A86982"/>
    <w:lvl w:ilvl="0">
      <w:start w:val="1"/>
      <w:numFmt w:val="upperRoman"/>
      <w:lvlText w:val="%1."/>
      <w:lvlJc w:val="left"/>
      <w:pPr>
        <w:tabs>
          <w:tab w:val="num" w:pos="720"/>
        </w:tabs>
        <w:ind w:left="720" w:hanging="720"/>
      </w:pPr>
      <w:rPr>
        <w:rFonts w:ascii="Times New Roman Bold" w:hAnsi="Times New Roman Bold" w:cs="Wingdings"/>
        <w:b/>
        <w:bCs w:val="0"/>
        <w:caps/>
        <w:kern w:val="28"/>
        <w:sz w:val="22"/>
        <w:szCs w:val="22"/>
      </w:rPr>
    </w:lvl>
    <w:lvl w:ilvl="1">
      <w:start w:val="1"/>
      <w:numFmt w:val="upperLetter"/>
      <w:lvlText w:val="%2."/>
      <w:lvlJc w:val="left"/>
      <w:pPr>
        <w:tabs>
          <w:tab w:val="num" w:pos="1440"/>
        </w:tabs>
        <w:ind w:left="1440" w:hanging="720"/>
      </w:pPr>
      <w:rPr>
        <w:rFonts w:ascii="Times New Roman" w:hAnsi="Times New Roman" w:cs="Times New Roman"/>
        <w:kern w:val="28"/>
        <w:sz w:val="22"/>
        <w:szCs w:val="22"/>
      </w:rPr>
    </w:lvl>
    <w:lvl w:ilvl="2">
      <w:start w:val="1"/>
      <w:numFmt w:val="decimal"/>
      <w:lvlText w:val="%3."/>
      <w:lvlJc w:val="left"/>
      <w:pPr>
        <w:tabs>
          <w:tab w:val="num" w:pos="2160"/>
        </w:tabs>
        <w:ind w:left="2160" w:hanging="720"/>
      </w:pPr>
      <w:rPr>
        <w:rFonts w:ascii="Times New Roman" w:hAnsi="Times New Roman" w:cs="Times New Roman"/>
        <w:b/>
        <w:bCs w:val="0"/>
        <w:kern w:val="28"/>
        <w:sz w:val="22"/>
        <w:szCs w:val="22"/>
      </w:rPr>
    </w:lvl>
    <w:lvl w:ilvl="3">
      <w:start w:val="1"/>
      <w:numFmt w:val="lowerLetter"/>
      <w:lvlText w:val="%4."/>
      <w:lvlJc w:val="left"/>
      <w:pPr>
        <w:tabs>
          <w:tab w:val="num" w:pos="2880"/>
        </w:tabs>
        <w:ind w:left="2880" w:hanging="720"/>
      </w:pPr>
      <w:rPr>
        <w:rFonts w:ascii="Times New Roman" w:hAnsi="Times New Roman" w:cs="Times New Roman"/>
        <w:b/>
        <w:bCs w:val="0"/>
        <w:kern w:val="28"/>
        <w:sz w:val="22"/>
        <w:szCs w:val="22"/>
      </w:rPr>
    </w:lvl>
    <w:lvl w:ilvl="4">
      <w:start w:val="1"/>
      <w:numFmt w:val="lowerRoman"/>
      <w:lvlText w:val="(%5)"/>
      <w:lvlJc w:val="left"/>
      <w:pPr>
        <w:tabs>
          <w:tab w:val="num" w:pos="3600"/>
        </w:tabs>
        <w:ind w:left="3600" w:hanging="720"/>
      </w:pPr>
      <w:rPr>
        <w:rFonts w:ascii="Times New Roman" w:hAnsi="Times New Roman" w:cs="Times New Roman"/>
        <w:b/>
        <w:bCs w:val="0"/>
        <w:kern w:val="28"/>
        <w:sz w:val="22"/>
        <w:szCs w:val="22"/>
      </w:rPr>
    </w:lvl>
    <w:lvl w:ilvl="5">
      <w:start w:val="1"/>
      <w:numFmt w:val="lowerLetter"/>
      <w:lvlText w:val="(%6)"/>
      <w:lvlJc w:val="left"/>
      <w:pPr>
        <w:tabs>
          <w:tab w:val="num" w:pos="4320"/>
        </w:tabs>
        <w:ind w:left="4320" w:hanging="720"/>
      </w:pPr>
      <w:rPr>
        <w:rFonts w:ascii="Times New Roman" w:hAnsi="Times New Roman" w:cs="Times New Roman"/>
        <w:b/>
        <w:bCs w:val="0"/>
        <w:kern w:val="28"/>
        <w:sz w:val="22"/>
        <w:szCs w:val="22"/>
      </w:rPr>
    </w:lvl>
    <w:lvl w:ilvl="6">
      <w:start w:val="1"/>
      <w:numFmt w:val="lowerRoman"/>
      <w:lvlText w:val="(%7)"/>
      <w:lvlJc w:val="left"/>
      <w:pPr>
        <w:tabs>
          <w:tab w:val="num" w:pos="5040"/>
        </w:tabs>
        <w:ind w:left="4320"/>
      </w:pPr>
      <w:rPr>
        <w:rFonts w:ascii="Times New Roman" w:hAnsi="Times New Roman" w:cs="Times New Roman"/>
        <w:b/>
        <w:bCs w:val="0"/>
        <w:kern w:val="28"/>
        <w:sz w:val="22"/>
        <w:szCs w:val="22"/>
      </w:rPr>
    </w:lvl>
    <w:lvl w:ilvl="7">
      <w:start w:val="1"/>
      <w:numFmt w:val="lowerLetter"/>
      <w:lvlText w:val="(%8)"/>
      <w:lvlJc w:val="left"/>
      <w:pPr>
        <w:tabs>
          <w:tab w:val="num" w:pos="5400"/>
        </w:tabs>
        <w:ind w:left="5040"/>
      </w:pPr>
      <w:rPr>
        <w:rFonts w:ascii="Times New Roman" w:hAnsi="Times New Roman" w:cs="Times New Roman"/>
        <w:b/>
        <w:bCs w:val="0"/>
        <w:kern w:val="28"/>
        <w:sz w:val="22"/>
        <w:szCs w:val="22"/>
      </w:rPr>
    </w:lvl>
    <w:lvl w:ilvl="8">
      <w:start w:val="1"/>
      <w:numFmt w:val="lowerRoman"/>
      <w:lvlText w:val="(%9)"/>
      <w:lvlJc w:val="left"/>
      <w:pPr>
        <w:tabs>
          <w:tab w:val="num" w:pos="6120"/>
        </w:tabs>
        <w:ind w:left="5760"/>
      </w:pPr>
      <w:rPr>
        <w:rFonts w:ascii="Times New Roman" w:hAnsi="Times New Roman" w:cs="Times New Roman"/>
        <w:b/>
        <w:bCs w:val="0"/>
        <w:kern w:val="28"/>
        <w:sz w:val="22"/>
        <w:szCs w:val="22"/>
      </w:rPr>
    </w:lvl>
  </w:abstractNum>
  <w:abstractNum w:abstractNumId="1">
    <w:nsid w:val="0000001E"/>
    <w:multiLevelType w:val="hybridMultilevel"/>
    <w:tmpl w:val="CEFC1FB6"/>
    <w:lvl w:ilvl="0" w:tplc="0F8CCEB0">
      <w:start w:val="1"/>
      <w:numFmt w:val="decimal"/>
      <w:lvlText w:val="%1."/>
      <w:lvlJc w:val="left"/>
      <w:pPr>
        <w:tabs>
          <w:tab w:val="num" w:pos="1440"/>
        </w:tabs>
        <w:ind w:firstLine="720"/>
      </w:pPr>
      <w:rPr>
        <w:rFonts w:ascii="Times New Roman" w:hAnsi="Times New Roman" w:cs="Times New Roman" w:hint="default"/>
        <w:b w:val="0"/>
        <w:bCs w:val="0"/>
        <w:i w:val="0"/>
        <w:iCs w:val="0"/>
        <w:kern w:val="28"/>
        <w:sz w:val="22"/>
        <w:szCs w:val="24"/>
      </w:rPr>
    </w:lvl>
    <w:lvl w:ilvl="1" w:tplc="A0F8C1A6">
      <w:start w:val="1"/>
      <w:numFmt w:val="lowerLetter"/>
      <w:lvlText w:val="(%2)"/>
      <w:lvlJc w:val="left"/>
      <w:pPr>
        <w:tabs>
          <w:tab w:val="num" w:pos="2520"/>
        </w:tabs>
        <w:ind w:left="2520" w:hanging="1440"/>
      </w:pPr>
      <w:rPr>
        <w:rFonts w:ascii="Times New Roman" w:hAnsi="Times New Roman" w:cs="Times New Roman"/>
        <w:b w:val="0"/>
        <w:bCs w:val="0"/>
        <w:kern w:val="0"/>
        <w:sz w:val="22"/>
        <w:szCs w:val="22"/>
      </w:rPr>
    </w:lvl>
    <w:lvl w:ilvl="2" w:tplc="FFFFFFFF">
      <w:start w:val="1"/>
      <w:numFmt w:val="lowerLetter"/>
      <w:lvlText w:val="(%3)"/>
      <w:lvlJc w:val="left"/>
      <w:pPr>
        <w:tabs>
          <w:tab w:val="num" w:pos="2340"/>
        </w:tabs>
        <w:ind w:left="2340" w:hanging="360"/>
      </w:pPr>
      <w:rPr>
        <w:rFonts w:ascii="Times New Roman" w:hAnsi="Times New Roman" w:cs="Times New Roman"/>
        <w:kern w:val="28"/>
        <w:sz w:val="22"/>
        <w:szCs w:val="22"/>
      </w:rPr>
    </w:lvl>
    <w:lvl w:ilvl="3" w:tplc="FFFFFFFF">
      <w:start w:val="1"/>
      <w:numFmt w:val="decimal"/>
      <w:lvlText w:val="%4."/>
      <w:lvlJc w:val="left"/>
      <w:pPr>
        <w:tabs>
          <w:tab w:val="num" w:pos="2880"/>
        </w:tabs>
        <w:ind w:left="2880" w:hanging="360"/>
      </w:pPr>
      <w:rPr>
        <w:rFonts w:ascii="Times New Roman" w:hAnsi="Times New Roman" w:cs="Times New Roman"/>
        <w:kern w:val="28"/>
        <w:sz w:val="22"/>
        <w:szCs w:val="22"/>
      </w:rPr>
    </w:lvl>
    <w:lvl w:ilvl="4" w:tplc="FFFFFFFF">
      <w:start w:val="1"/>
      <w:numFmt w:val="decimal"/>
      <w:lvlText w:val="%5."/>
      <w:lvlJc w:val="left"/>
      <w:pPr>
        <w:tabs>
          <w:tab w:val="num" w:pos="3600"/>
        </w:tabs>
        <w:ind w:left="3600" w:hanging="360"/>
      </w:pPr>
      <w:rPr>
        <w:rFonts w:ascii="Times New Roman" w:hAnsi="Times New Roman" w:cs="Times New Roman"/>
        <w:kern w:val="28"/>
        <w:sz w:val="22"/>
        <w:szCs w:val="22"/>
      </w:rPr>
    </w:lvl>
    <w:lvl w:ilvl="5" w:tplc="FFFFFFFF">
      <w:start w:val="1"/>
      <w:numFmt w:val="decimal"/>
      <w:lvlText w:val="%6."/>
      <w:lvlJc w:val="left"/>
      <w:pPr>
        <w:tabs>
          <w:tab w:val="num" w:pos="4320"/>
        </w:tabs>
        <w:ind w:left="4320" w:hanging="360"/>
      </w:pPr>
      <w:rPr>
        <w:rFonts w:ascii="Times New Roman" w:hAnsi="Times New Roman" w:cs="Times New Roman"/>
        <w:kern w:val="28"/>
        <w:sz w:val="22"/>
        <w:szCs w:val="22"/>
      </w:rPr>
    </w:lvl>
    <w:lvl w:ilvl="6" w:tplc="FFFFFFFF">
      <w:start w:val="1"/>
      <w:numFmt w:val="decimal"/>
      <w:lvlText w:val="%7."/>
      <w:lvlJc w:val="left"/>
      <w:pPr>
        <w:tabs>
          <w:tab w:val="num" w:pos="5040"/>
        </w:tabs>
        <w:ind w:left="5040" w:hanging="360"/>
      </w:pPr>
      <w:rPr>
        <w:rFonts w:ascii="Times New Roman" w:hAnsi="Times New Roman" w:cs="Times New Roman"/>
        <w:kern w:val="28"/>
        <w:sz w:val="22"/>
        <w:szCs w:val="22"/>
      </w:rPr>
    </w:lvl>
    <w:lvl w:ilvl="7" w:tplc="FFFFFFFF">
      <w:start w:val="1"/>
      <w:numFmt w:val="decimal"/>
      <w:lvlText w:val="%8."/>
      <w:lvlJc w:val="left"/>
      <w:pPr>
        <w:tabs>
          <w:tab w:val="num" w:pos="5760"/>
        </w:tabs>
        <w:ind w:left="5760" w:hanging="360"/>
      </w:pPr>
      <w:rPr>
        <w:rFonts w:ascii="Times New Roman" w:hAnsi="Times New Roman" w:cs="Times New Roman"/>
        <w:kern w:val="28"/>
        <w:sz w:val="22"/>
        <w:szCs w:val="22"/>
      </w:rPr>
    </w:lvl>
    <w:lvl w:ilvl="8" w:tplc="FFFFFFFF">
      <w:start w:val="1"/>
      <w:numFmt w:val="decimal"/>
      <w:lvlText w:val="%9."/>
      <w:lvlJc w:val="left"/>
      <w:pPr>
        <w:tabs>
          <w:tab w:val="num" w:pos="6480"/>
        </w:tabs>
        <w:ind w:left="6480" w:hanging="360"/>
      </w:pPr>
      <w:rPr>
        <w:rFonts w:ascii="Times New Roman" w:hAnsi="Times New Roman" w:cs="Times New Roman"/>
        <w:kern w:val="28"/>
        <w:sz w:val="22"/>
        <w:szCs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D6C1CE2"/>
    <w:multiLevelType w:val="hybridMultilevel"/>
    <w:tmpl w:val="66509A30"/>
    <w:lvl w:ilvl="0" w:tplc="FFFFFFFF">
      <w:start w:val="1"/>
      <w:numFmt w:val="lowerLetter"/>
      <w:lvlText w:val="(%1)"/>
      <w:lvlJc w:val="left"/>
      <w:pPr>
        <w:tabs>
          <w:tab w:val="num" w:pos="1872"/>
        </w:tabs>
        <w:ind w:left="1872" w:hanging="432"/>
      </w:pPr>
      <w:rPr>
        <w:rFonts w:cs="Times New Roman" w:hint="default"/>
        <w:b w:val="0"/>
        <w:i w:val="0"/>
        <w:sz w:val="24"/>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4">
    <w:nsid w:val="0D7B67E0"/>
    <w:multiLevelType w:val="hybridMultilevel"/>
    <w:tmpl w:val="8E5E2198"/>
    <w:lvl w:ilvl="0" w:tplc="FFFFFFFF">
      <w:start w:val="1"/>
      <w:numFmt w:val="lowerLetter"/>
      <w:lvlText w:val="(%1)"/>
      <w:lvlJc w:val="left"/>
      <w:pPr>
        <w:tabs>
          <w:tab w:val="num" w:pos="1872"/>
        </w:tabs>
        <w:ind w:left="1872" w:hanging="432"/>
      </w:pPr>
      <w:rPr>
        <w:rFonts w:cs="Times New Roman" w:hint="default"/>
        <w:b w:val="0"/>
        <w:i w:val="0"/>
        <w:sz w:val="24"/>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5">
    <w:nsid w:val="14907F2C"/>
    <w:multiLevelType w:val="hybridMultilevel"/>
    <w:tmpl w:val="4CE09A84"/>
    <w:lvl w:ilvl="0" w:tplc="269474F0">
      <w:start w:val="1"/>
      <w:numFmt w:val="lowerLetter"/>
      <w:pStyle w:val="StyleParaNumAfter0pt"/>
      <w:lvlText w:val="(%1)"/>
      <w:lvlJc w:val="left"/>
      <w:pPr>
        <w:tabs>
          <w:tab w:val="num" w:pos="3960"/>
        </w:tabs>
        <w:ind w:left="3960" w:hanging="432"/>
      </w:pPr>
      <w:rPr>
        <w:rFonts w:hint="default"/>
        <w:b w:val="0"/>
        <w:i w:val="0"/>
        <w:sz w:val="22"/>
        <w:szCs w:val="22"/>
      </w:rPr>
    </w:lvl>
    <w:lvl w:ilvl="1" w:tplc="FFFFFFFF" w:tentative="1">
      <w:start w:val="1"/>
      <w:numFmt w:val="lowerLetter"/>
      <w:lvlText w:val="%2."/>
      <w:lvlJc w:val="left"/>
      <w:pPr>
        <w:tabs>
          <w:tab w:val="num" w:pos="4176"/>
        </w:tabs>
        <w:ind w:left="4176" w:hanging="360"/>
      </w:pPr>
    </w:lvl>
    <w:lvl w:ilvl="2" w:tplc="FFFFFFFF" w:tentative="1">
      <w:start w:val="1"/>
      <w:numFmt w:val="lowerRoman"/>
      <w:lvlText w:val="%3."/>
      <w:lvlJc w:val="right"/>
      <w:pPr>
        <w:tabs>
          <w:tab w:val="num" w:pos="4896"/>
        </w:tabs>
        <w:ind w:left="4896" w:hanging="180"/>
      </w:pPr>
    </w:lvl>
    <w:lvl w:ilvl="3" w:tplc="FFFFFFFF" w:tentative="1">
      <w:start w:val="1"/>
      <w:numFmt w:val="decimal"/>
      <w:lvlText w:val="%4."/>
      <w:lvlJc w:val="left"/>
      <w:pPr>
        <w:tabs>
          <w:tab w:val="num" w:pos="5616"/>
        </w:tabs>
        <w:ind w:left="5616" w:hanging="360"/>
      </w:pPr>
    </w:lvl>
    <w:lvl w:ilvl="4" w:tplc="FFFFFFFF" w:tentative="1">
      <w:start w:val="1"/>
      <w:numFmt w:val="lowerLetter"/>
      <w:lvlText w:val="%5."/>
      <w:lvlJc w:val="left"/>
      <w:pPr>
        <w:tabs>
          <w:tab w:val="num" w:pos="6336"/>
        </w:tabs>
        <w:ind w:left="6336" w:hanging="360"/>
      </w:pPr>
    </w:lvl>
    <w:lvl w:ilvl="5" w:tplc="FFFFFFFF" w:tentative="1">
      <w:start w:val="1"/>
      <w:numFmt w:val="lowerRoman"/>
      <w:lvlText w:val="%6."/>
      <w:lvlJc w:val="right"/>
      <w:pPr>
        <w:tabs>
          <w:tab w:val="num" w:pos="7056"/>
        </w:tabs>
        <w:ind w:left="7056" w:hanging="180"/>
      </w:pPr>
    </w:lvl>
    <w:lvl w:ilvl="6" w:tplc="FFFFFFFF" w:tentative="1">
      <w:start w:val="1"/>
      <w:numFmt w:val="decimal"/>
      <w:lvlText w:val="%7."/>
      <w:lvlJc w:val="left"/>
      <w:pPr>
        <w:tabs>
          <w:tab w:val="num" w:pos="7776"/>
        </w:tabs>
        <w:ind w:left="7776" w:hanging="360"/>
      </w:pPr>
    </w:lvl>
    <w:lvl w:ilvl="7" w:tplc="FFFFFFFF" w:tentative="1">
      <w:start w:val="1"/>
      <w:numFmt w:val="lowerLetter"/>
      <w:lvlText w:val="%8."/>
      <w:lvlJc w:val="left"/>
      <w:pPr>
        <w:tabs>
          <w:tab w:val="num" w:pos="8496"/>
        </w:tabs>
        <w:ind w:left="8496" w:hanging="360"/>
      </w:pPr>
    </w:lvl>
    <w:lvl w:ilvl="8" w:tplc="FFFFFFFF" w:tentative="1">
      <w:start w:val="1"/>
      <w:numFmt w:val="lowerRoman"/>
      <w:lvlText w:val="%9."/>
      <w:lvlJc w:val="right"/>
      <w:pPr>
        <w:tabs>
          <w:tab w:val="num" w:pos="9216"/>
        </w:tabs>
        <w:ind w:left="9216"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1204D7"/>
    <w:multiLevelType w:val="hybridMultilevel"/>
    <w:tmpl w:val="01DEEF1E"/>
    <w:lvl w:ilvl="0" w:tplc="5998B4AE">
      <w:start w:val="1"/>
      <w:numFmt w:val="lowerLetter"/>
      <w:lvlText w:val="(%1)"/>
      <w:lvlJc w:val="left"/>
      <w:pPr>
        <w:ind w:left="2520" w:hanging="360"/>
      </w:pPr>
      <w:rPr>
        <w:rFonts w:ascii="Times New Roman" w:hAnsi="Times New Roman" w:cs="Times New Roman" w:hint="default"/>
        <w:b w:val="0"/>
        <w:i w:val="0"/>
        <w:sz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7F51849"/>
    <w:multiLevelType w:val="hybridMultilevel"/>
    <w:tmpl w:val="9CC48AB0"/>
    <w:lvl w:ilvl="0" w:tplc="0E0AF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28E1E95"/>
    <w:multiLevelType w:val="singleLevel"/>
    <w:tmpl w:val="FE70DD96"/>
    <w:lvl w:ilvl="0">
      <w:start w:val="1"/>
      <w:numFmt w:val="decimal"/>
      <w:lvlText w:val="%1."/>
      <w:lvlJc w:val="left"/>
      <w:pPr>
        <w:tabs>
          <w:tab w:val="num" w:pos="1170"/>
        </w:tabs>
        <w:ind w:firstLine="720"/>
      </w:pPr>
      <w:rPr>
        <w:rFonts w:cs="Times New Roman"/>
        <w:b w:val="0"/>
      </w:rPr>
    </w:lvl>
  </w:abstractNum>
  <w:abstractNum w:abstractNumId="15">
    <w:nsid w:val="72516A7E"/>
    <w:multiLevelType w:val="hybridMultilevel"/>
    <w:tmpl w:val="585E6128"/>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9"/>
  </w:num>
  <w:num w:numId="4">
    <w:abstractNumId w:val="3"/>
  </w:num>
  <w:num w:numId="5">
    <w:abstractNumId w:val="4"/>
  </w:num>
  <w:num w:numId="6">
    <w:abstractNumId w:val="10"/>
  </w:num>
  <w:num w:numId="7">
    <w:abstractNumId w:val="13"/>
  </w:num>
  <w:num w:numId="8">
    <w:abstractNumId w:val="12"/>
  </w:num>
  <w:num w:numId="9">
    <w:abstractNumId w:val="1"/>
  </w:num>
  <w:num w:numId="10">
    <w:abstractNumId w:val="7"/>
  </w:num>
  <w:num w:numId="11">
    <w:abstractNumId w:val="14"/>
  </w:num>
  <w:num w:numId="12">
    <w:abstractNumId w:val="0"/>
  </w:num>
  <w:num w:numId="13">
    <w:abstractNumId w:val="6"/>
  </w:num>
  <w:num w:numId="14">
    <w:abstractNumId w:val="11"/>
  </w:num>
  <w:num w:numId="15">
    <w:abstractNumId w:val="8"/>
  </w:num>
  <w:num w:numId="16">
    <w:abstractNumId w:val="2"/>
  </w:num>
  <w:num w:numId="17">
    <w:abstractNumId w:val="15"/>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linkStyles/>
  <w:trackRevisions/>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72"/>
    <w:rsid w:val="0000069D"/>
    <w:rsid w:val="00004C90"/>
    <w:rsid w:val="00005462"/>
    <w:rsid w:val="00006AA3"/>
    <w:rsid w:val="0000758B"/>
    <w:rsid w:val="00007F83"/>
    <w:rsid w:val="00012DBF"/>
    <w:rsid w:val="0003204D"/>
    <w:rsid w:val="000336F1"/>
    <w:rsid w:val="00044DC2"/>
    <w:rsid w:val="000519C6"/>
    <w:rsid w:val="00057152"/>
    <w:rsid w:val="00057291"/>
    <w:rsid w:val="00073658"/>
    <w:rsid w:val="00081DBA"/>
    <w:rsid w:val="0008609B"/>
    <w:rsid w:val="000942DC"/>
    <w:rsid w:val="0009645A"/>
    <w:rsid w:val="00096B9A"/>
    <w:rsid w:val="000A5515"/>
    <w:rsid w:val="000A59C1"/>
    <w:rsid w:val="000B3A28"/>
    <w:rsid w:val="000B6CE9"/>
    <w:rsid w:val="000D0AF2"/>
    <w:rsid w:val="000D2A8E"/>
    <w:rsid w:val="000D6912"/>
    <w:rsid w:val="000E0878"/>
    <w:rsid w:val="000E2204"/>
    <w:rsid w:val="000E6077"/>
    <w:rsid w:val="001061ED"/>
    <w:rsid w:val="001078B6"/>
    <w:rsid w:val="0011498F"/>
    <w:rsid w:val="00117C7C"/>
    <w:rsid w:val="00130100"/>
    <w:rsid w:val="00133060"/>
    <w:rsid w:val="00134E02"/>
    <w:rsid w:val="0013502F"/>
    <w:rsid w:val="00140160"/>
    <w:rsid w:val="00146E4D"/>
    <w:rsid w:val="001624BE"/>
    <w:rsid w:val="00176147"/>
    <w:rsid w:val="001836E0"/>
    <w:rsid w:val="0019259A"/>
    <w:rsid w:val="001952F2"/>
    <w:rsid w:val="001A147A"/>
    <w:rsid w:val="001B138D"/>
    <w:rsid w:val="001B2DE8"/>
    <w:rsid w:val="001C02B0"/>
    <w:rsid w:val="001C10A9"/>
    <w:rsid w:val="001D3BDA"/>
    <w:rsid w:val="001D7304"/>
    <w:rsid w:val="001E5B93"/>
    <w:rsid w:val="001F0DDB"/>
    <w:rsid w:val="001F20CA"/>
    <w:rsid w:val="00201975"/>
    <w:rsid w:val="00202A03"/>
    <w:rsid w:val="00206A26"/>
    <w:rsid w:val="00231F47"/>
    <w:rsid w:val="0023373C"/>
    <w:rsid w:val="00234497"/>
    <w:rsid w:val="00243AAF"/>
    <w:rsid w:val="00244F12"/>
    <w:rsid w:val="00250D51"/>
    <w:rsid w:val="00261425"/>
    <w:rsid w:val="00262BB1"/>
    <w:rsid w:val="00264B49"/>
    <w:rsid w:val="0026541A"/>
    <w:rsid w:val="00266777"/>
    <w:rsid w:val="002677E4"/>
    <w:rsid w:val="00273FE0"/>
    <w:rsid w:val="002807D5"/>
    <w:rsid w:val="002A4248"/>
    <w:rsid w:val="002B1236"/>
    <w:rsid w:val="002B2033"/>
    <w:rsid w:val="002C07B1"/>
    <w:rsid w:val="002C38E0"/>
    <w:rsid w:val="002D17E4"/>
    <w:rsid w:val="002D233E"/>
    <w:rsid w:val="002F4599"/>
    <w:rsid w:val="002F5894"/>
    <w:rsid w:val="00301746"/>
    <w:rsid w:val="00301F5E"/>
    <w:rsid w:val="0030787A"/>
    <w:rsid w:val="00315043"/>
    <w:rsid w:val="003230E7"/>
    <w:rsid w:val="003304FA"/>
    <w:rsid w:val="00330541"/>
    <w:rsid w:val="00331D4B"/>
    <w:rsid w:val="003366E5"/>
    <w:rsid w:val="003450D9"/>
    <w:rsid w:val="00345E32"/>
    <w:rsid w:val="00351DDC"/>
    <w:rsid w:val="0035259D"/>
    <w:rsid w:val="0035264E"/>
    <w:rsid w:val="00353977"/>
    <w:rsid w:val="0035725C"/>
    <w:rsid w:val="0036388B"/>
    <w:rsid w:val="00367FB3"/>
    <w:rsid w:val="003774F7"/>
    <w:rsid w:val="00382CD5"/>
    <w:rsid w:val="00384055"/>
    <w:rsid w:val="0038535D"/>
    <w:rsid w:val="0039101D"/>
    <w:rsid w:val="00396019"/>
    <w:rsid w:val="003A1667"/>
    <w:rsid w:val="003A2672"/>
    <w:rsid w:val="003A624C"/>
    <w:rsid w:val="003B571F"/>
    <w:rsid w:val="003C17E3"/>
    <w:rsid w:val="003C4518"/>
    <w:rsid w:val="003C5D9C"/>
    <w:rsid w:val="003D31C8"/>
    <w:rsid w:val="003F1272"/>
    <w:rsid w:val="003F7046"/>
    <w:rsid w:val="003F781C"/>
    <w:rsid w:val="003F78F9"/>
    <w:rsid w:val="0040282E"/>
    <w:rsid w:val="00417DFB"/>
    <w:rsid w:val="004257D5"/>
    <w:rsid w:val="0043299E"/>
    <w:rsid w:val="0043529C"/>
    <w:rsid w:val="00440893"/>
    <w:rsid w:val="00443248"/>
    <w:rsid w:val="004552B9"/>
    <w:rsid w:val="00474E3C"/>
    <w:rsid w:val="004778CD"/>
    <w:rsid w:val="004807BB"/>
    <w:rsid w:val="0048327A"/>
    <w:rsid w:val="00495914"/>
    <w:rsid w:val="004A3C2E"/>
    <w:rsid w:val="004B049E"/>
    <w:rsid w:val="004B53F8"/>
    <w:rsid w:val="004C4E3A"/>
    <w:rsid w:val="004C7B39"/>
    <w:rsid w:val="004D32BB"/>
    <w:rsid w:val="004D50F5"/>
    <w:rsid w:val="004E3A86"/>
    <w:rsid w:val="004F2BD1"/>
    <w:rsid w:val="004F5E37"/>
    <w:rsid w:val="004F78D4"/>
    <w:rsid w:val="00502DE1"/>
    <w:rsid w:val="00503F6E"/>
    <w:rsid w:val="00506300"/>
    <w:rsid w:val="005365A7"/>
    <w:rsid w:val="00536F20"/>
    <w:rsid w:val="00540F5A"/>
    <w:rsid w:val="00551EAE"/>
    <w:rsid w:val="005639A0"/>
    <w:rsid w:val="00570F19"/>
    <w:rsid w:val="005753DB"/>
    <w:rsid w:val="005764F6"/>
    <w:rsid w:val="00576A2B"/>
    <w:rsid w:val="005908DB"/>
    <w:rsid w:val="005A3EBE"/>
    <w:rsid w:val="005A59B3"/>
    <w:rsid w:val="005A7591"/>
    <w:rsid w:val="005B2A68"/>
    <w:rsid w:val="005D5046"/>
    <w:rsid w:val="005D65D1"/>
    <w:rsid w:val="005D7152"/>
    <w:rsid w:val="005E0A7C"/>
    <w:rsid w:val="005F1987"/>
    <w:rsid w:val="005F2456"/>
    <w:rsid w:val="005F6505"/>
    <w:rsid w:val="0060083D"/>
    <w:rsid w:val="006055EE"/>
    <w:rsid w:val="00610A85"/>
    <w:rsid w:val="006135C7"/>
    <w:rsid w:val="00614285"/>
    <w:rsid w:val="0061770A"/>
    <w:rsid w:val="00625677"/>
    <w:rsid w:val="00634CE7"/>
    <w:rsid w:val="00640814"/>
    <w:rsid w:val="00653EEC"/>
    <w:rsid w:val="00655B9F"/>
    <w:rsid w:val="00657280"/>
    <w:rsid w:val="0066388D"/>
    <w:rsid w:val="00665161"/>
    <w:rsid w:val="00670DC6"/>
    <w:rsid w:val="0067118F"/>
    <w:rsid w:val="00672F2A"/>
    <w:rsid w:val="00673C23"/>
    <w:rsid w:val="00676ED3"/>
    <w:rsid w:val="0069094D"/>
    <w:rsid w:val="006B4871"/>
    <w:rsid w:val="006C09B9"/>
    <w:rsid w:val="006C7796"/>
    <w:rsid w:val="006D12B6"/>
    <w:rsid w:val="006D24F4"/>
    <w:rsid w:val="006D272A"/>
    <w:rsid w:val="006D4F86"/>
    <w:rsid w:val="006F087D"/>
    <w:rsid w:val="00706AD8"/>
    <w:rsid w:val="00710E73"/>
    <w:rsid w:val="007127FC"/>
    <w:rsid w:val="00715B15"/>
    <w:rsid w:val="0071796F"/>
    <w:rsid w:val="00723121"/>
    <w:rsid w:val="00752F4B"/>
    <w:rsid w:val="0075349A"/>
    <w:rsid w:val="00756582"/>
    <w:rsid w:val="00764E73"/>
    <w:rsid w:val="007A02DA"/>
    <w:rsid w:val="007A3030"/>
    <w:rsid w:val="007A34C1"/>
    <w:rsid w:val="007C4817"/>
    <w:rsid w:val="007C4FCB"/>
    <w:rsid w:val="007C58F6"/>
    <w:rsid w:val="007C6CB6"/>
    <w:rsid w:val="007C7BDF"/>
    <w:rsid w:val="007E272E"/>
    <w:rsid w:val="008009AF"/>
    <w:rsid w:val="0081351E"/>
    <w:rsid w:val="00821BC9"/>
    <w:rsid w:val="008227DF"/>
    <w:rsid w:val="0083431D"/>
    <w:rsid w:val="00834D9B"/>
    <w:rsid w:val="00835A3E"/>
    <w:rsid w:val="00855641"/>
    <w:rsid w:val="0086369E"/>
    <w:rsid w:val="008672D1"/>
    <w:rsid w:val="00867C8B"/>
    <w:rsid w:val="008744D7"/>
    <w:rsid w:val="008764CE"/>
    <w:rsid w:val="00877860"/>
    <w:rsid w:val="0088262F"/>
    <w:rsid w:val="0088455E"/>
    <w:rsid w:val="00893A6D"/>
    <w:rsid w:val="008A2981"/>
    <w:rsid w:val="008A7327"/>
    <w:rsid w:val="008B7443"/>
    <w:rsid w:val="008C1B03"/>
    <w:rsid w:val="008D0C37"/>
    <w:rsid w:val="008D1A3A"/>
    <w:rsid w:val="008D4543"/>
    <w:rsid w:val="008D5734"/>
    <w:rsid w:val="008E0C3F"/>
    <w:rsid w:val="008E5DD6"/>
    <w:rsid w:val="008E6058"/>
    <w:rsid w:val="008E796F"/>
    <w:rsid w:val="008F070A"/>
    <w:rsid w:val="008F5028"/>
    <w:rsid w:val="008F5871"/>
    <w:rsid w:val="009069FB"/>
    <w:rsid w:val="00907167"/>
    <w:rsid w:val="009150C3"/>
    <w:rsid w:val="00915A2E"/>
    <w:rsid w:val="00923C26"/>
    <w:rsid w:val="0092521F"/>
    <w:rsid w:val="009258B3"/>
    <w:rsid w:val="009264E6"/>
    <w:rsid w:val="009336CC"/>
    <w:rsid w:val="0093706C"/>
    <w:rsid w:val="00942A93"/>
    <w:rsid w:val="00944D5C"/>
    <w:rsid w:val="00951B5E"/>
    <w:rsid w:val="0095359A"/>
    <w:rsid w:val="00963A00"/>
    <w:rsid w:val="00973AFA"/>
    <w:rsid w:val="009833AB"/>
    <w:rsid w:val="00992ADA"/>
    <w:rsid w:val="009A4F65"/>
    <w:rsid w:val="009B707B"/>
    <w:rsid w:val="009C2CA0"/>
    <w:rsid w:val="009E097F"/>
    <w:rsid w:val="00A01009"/>
    <w:rsid w:val="00A04EBB"/>
    <w:rsid w:val="00A1024A"/>
    <w:rsid w:val="00A13A82"/>
    <w:rsid w:val="00A1428C"/>
    <w:rsid w:val="00A26F24"/>
    <w:rsid w:val="00A319A7"/>
    <w:rsid w:val="00A31DC2"/>
    <w:rsid w:val="00A42DFB"/>
    <w:rsid w:val="00A47D73"/>
    <w:rsid w:val="00A522E4"/>
    <w:rsid w:val="00A61B6D"/>
    <w:rsid w:val="00A642EE"/>
    <w:rsid w:val="00A7322B"/>
    <w:rsid w:val="00A76C05"/>
    <w:rsid w:val="00A81766"/>
    <w:rsid w:val="00A834D8"/>
    <w:rsid w:val="00A95464"/>
    <w:rsid w:val="00AA1618"/>
    <w:rsid w:val="00AA575C"/>
    <w:rsid w:val="00AB20DD"/>
    <w:rsid w:val="00AB53D3"/>
    <w:rsid w:val="00AB7523"/>
    <w:rsid w:val="00AC0253"/>
    <w:rsid w:val="00AC0669"/>
    <w:rsid w:val="00AC3989"/>
    <w:rsid w:val="00AC3BCF"/>
    <w:rsid w:val="00AC6323"/>
    <w:rsid w:val="00AD09FD"/>
    <w:rsid w:val="00AD5445"/>
    <w:rsid w:val="00AE6990"/>
    <w:rsid w:val="00AE71A3"/>
    <w:rsid w:val="00AF1BD1"/>
    <w:rsid w:val="00B03F0C"/>
    <w:rsid w:val="00B04097"/>
    <w:rsid w:val="00B04ADB"/>
    <w:rsid w:val="00B13705"/>
    <w:rsid w:val="00B25BF0"/>
    <w:rsid w:val="00B27A2C"/>
    <w:rsid w:val="00B27B41"/>
    <w:rsid w:val="00B27C3B"/>
    <w:rsid w:val="00B306EA"/>
    <w:rsid w:val="00B4147A"/>
    <w:rsid w:val="00B444C0"/>
    <w:rsid w:val="00B477F0"/>
    <w:rsid w:val="00B53A06"/>
    <w:rsid w:val="00B543E4"/>
    <w:rsid w:val="00B60BF7"/>
    <w:rsid w:val="00B67429"/>
    <w:rsid w:val="00B67552"/>
    <w:rsid w:val="00B7126D"/>
    <w:rsid w:val="00B75651"/>
    <w:rsid w:val="00B82543"/>
    <w:rsid w:val="00B87C3F"/>
    <w:rsid w:val="00BA5867"/>
    <w:rsid w:val="00BC04B3"/>
    <w:rsid w:val="00BC10AA"/>
    <w:rsid w:val="00BC3276"/>
    <w:rsid w:val="00BC36F6"/>
    <w:rsid w:val="00BD2077"/>
    <w:rsid w:val="00BD40E3"/>
    <w:rsid w:val="00BD63D4"/>
    <w:rsid w:val="00C011DD"/>
    <w:rsid w:val="00C01697"/>
    <w:rsid w:val="00C251D2"/>
    <w:rsid w:val="00C37F6D"/>
    <w:rsid w:val="00C40F09"/>
    <w:rsid w:val="00C45ED1"/>
    <w:rsid w:val="00C610FA"/>
    <w:rsid w:val="00C80259"/>
    <w:rsid w:val="00C8571D"/>
    <w:rsid w:val="00C92BDE"/>
    <w:rsid w:val="00CA1171"/>
    <w:rsid w:val="00CA536F"/>
    <w:rsid w:val="00CA57B5"/>
    <w:rsid w:val="00CB297C"/>
    <w:rsid w:val="00CC00DF"/>
    <w:rsid w:val="00CC44F4"/>
    <w:rsid w:val="00CE2240"/>
    <w:rsid w:val="00CE6290"/>
    <w:rsid w:val="00CF2BC0"/>
    <w:rsid w:val="00CF408A"/>
    <w:rsid w:val="00D05414"/>
    <w:rsid w:val="00D162B4"/>
    <w:rsid w:val="00D34496"/>
    <w:rsid w:val="00D51CBE"/>
    <w:rsid w:val="00D544F2"/>
    <w:rsid w:val="00D61568"/>
    <w:rsid w:val="00D6448E"/>
    <w:rsid w:val="00D71382"/>
    <w:rsid w:val="00D80ABA"/>
    <w:rsid w:val="00D814C8"/>
    <w:rsid w:val="00D872AB"/>
    <w:rsid w:val="00D909A8"/>
    <w:rsid w:val="00DE3853"/>
    <w:rsid w:val="00E07F29"/>
    <w:rsid w:val="00E10991"/>
    <w:rsid w:val="00E12662"/>
    <w:rsid w:val="00E13405"/>
    <w:rsid w:val="00E14064"/>
    <w:rsid w:val="00E1498F"/>
    <w:rsid w:val="00E25C6F"/>
    <w:rsid w:val="00E64F15"/>
    <w:rsid w:val="00E74B5E"/>
    <w:rsid w:val="00E80E8B"/>
    <w:rsid w:val="00E9114C"/>
    <w:rsid w:val="00E97B2B"/>
    <w:rsid w:val="00EA12BF"/>
    <w:rsid w:val="00EA2057"/>
    <w:rsid w:val="00EA3DD5"/>
    <w:rsid w:val="00EA557A"/>
    <w:rsid w:val="00EB3710"/>
    <w:rsid w:val="00EC1A20"/>
    <w:rsid w:val="00EC6011"/>
    <w:rsid w:val="00ED0D7B"/>
    <w:rsid w:val="00ED6DC9"/>
    <w:rsid w:val="00EE5A5F"/>
    <w:rsid w:val="00EE67D9"/>
    <w:rsid w:val="00EF14BB"/>
    <w:rsid w:val="00EF567C"/>
    <w:rsid w:val="00F068A6"/>
    <w:rsid w:val="00F075D8"/>
    <w:rsid w:val="00F12D73"/>
    <w:rsid w:val="00F22E40"/>
    <w:rsid w:val="00F25969"/>
    <w:rsid w:val="00F25C64"/>
    <w:rsid w:val="00F267E4"/>
    <w:rsid w:val="00F33422"/>
    <w:rsid w:val="00F3530E"/>
    <w:rsid w:val="00F35708"/>
    <w:rsid w:val="00F35CFD"/>
    <w:rsid w:val="00F548E5"/>
    <w:rsid w:val="00F54A26"/>
    <w:rsid w:val="00F6290A"/>
    <w:rsid w:val="00F62F54"/>
    <w:rsid w:val="00F64631"/>
    <w:rsid w:val="00F76ED4"/>
    <w:rsid w:val="00F9298A"/>
    <w:rsid w:val="00FA3A2A"/>
    <w:rsid w:val="00FA5497"/>
    <w:rsid w:val="00FB0C03"/>
    <w:rsid w:val="00FB6544"/>
    <w:rsid w:val="00FC22BC"/>
    <w:rsid w:val="00FD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E7"/>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34C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34CE7"/>
    <w:pPr>
      <w:keepNext/>
      <w:numPr>
        <w:ilvl w:val="1"/>
        <w:numId w:val="3"/>
      </w:numPr>
      <w:spacing w:after="120"/>
      <w:outlineLvl w:val="1"/>
    </w:pPr>
    <w:rPr>
      <w:b/>
    </w:rPr>
  </w:style>
  <w:style w:type="paragraph" w:styleId="Heading3">
    <w:name w:val="heading 3"/>
    <w:aliases w:val="h3"/>
    <w:basedOn w:val="Normal"/>
    <w:next w:val="ParaNum"/>
    <w:link w:val="Heading3Char"/>
    <w:qFormat/>
    <w:rsid w:val="00634CE7"/>
    <w:pPr>
      <w:keepNext/>
      <w:numPr>
        <w:ilvl w:val="2"/>
        <w:numId w:val="3"/>
      </w:numPr>
      <w:tabs>
        <w:tab w:val="left" w:pos="2160"/>
      </w:tabs>
      <w:spacing w:after="120"/>
      <w:outlineLvl w:val="2"/>
    </w:pPr>
    <w:rPr>
      <w:b/>
    </w:rPr>
  </w:style>
  <w:style w:type="paragraph" w:styleId="Heading4">
    <w:name w:val="heading 4"/>
    <w:aliases w:val="h4"/>
    <w:basedOn w:val="Normal"/>
    <w:next w:val="ParaNum"/>
    <w:link w:val="Heading4Char"/>
    <w:qFormat/>
    <w:rsid w:val="00634CE7"/>
    <w:pPr>
      <w:keepNext/>
      <w:numPr>
        <w:ilvl w:val="3"/>
        <w:numId w:val="3"/>
      </w:numPr>
      <w:tabs>
        <w:tab w:val="left" w:pos="2880"/>
      </w:tabs>
      <w:spacing w:after="120"/>
      <w:outlineLvl w:val="3"/>
    </w:pPr>
    <w:rPr>
      <w:b/>
    </w:rPr>
  </w:style>
  <w:style w:type="paragraph" w:styleId="Heading5">
    <w:name w:val="heading 5"/>
    <w:aliases w:val="h5"/>
    <w:basedOn w:val="Normal"/>
    <w:next w:val="ParaNum"/>
    <w:link w:val="Heading5Char"/>
    <w:qFormat/>
    <w:rsid w:val="00634CE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34CE7"/>
    <w:pPr>
      <w:numPr>
        <w:ilvl w:val="5"/>
        <w:numId w:val="3"/>
      </w:numPr>
      <w:tabs>
        <w:tab w:val="left" w:pos="4320"/>
      </w:tabs>
      <w:spacing w:after="120"/>
      <w:outlineLvl w:val="5"/>
    </w:pPr>
    <w:rPr>
      <w:b/>
    </w:rPr>
  </w:style>
  <w:style w:type="paragraph" w:styleId="Heading7">
    <w:name w:val="heading 7"/>
    <w:aliases w:val="h7"/>
    <w:basedOn w:val="Normal"/>
    <w:next w:val="ParaNum"/>
    <w:link w:val="Heading7Char"/>
    <w:qFormat/>
    <w:rsid w:val="00634CE7"/>
    <w:pPr>
      <w:numPr>
        <w:ilvl w:val="6"/>
        <w:numId w:val="3"/>
      </w:numPr>
      <w:tabs>
        <w:tab w:val="left" w:pos="5040"/>
      </w:tabs>
      <w:spacing w:after="120"/>
      <w:ind w:left="5040" w:hanging="720"/>
      <w:outlineLvl w:val="6"/>
    </w:pPr>
    <w:rPr>
      <w:b/>
    </w:rPr>
  </w:style>
  <w:style w:type="paragraph" w:styleId="Heading8">
    <w:name w:val="heading 8"/>
    <w:aliases w:val="h8"/>
    <w:basedOn w:val="Normal"/>
    <w:next w:val="ParaNum"/>
    <w:link w:val="Heading8Char"/>
    <w:qFormat/>
    <w:rsid w:val="00634CE7"/>
    <w:pPr>
      <w:numPr>
        <w:ilvl w:val="7"/>
        <w:numId w:val="3"/>
      </w:numPr>
      <w:tabs>
        <w:tab w:val="clear" w:pos="5400"/>
        <w:tab w:val="left" w:pos="5760"/>
      </w:tabs>
      <w:spacing w:after="120"/>
      <w:ind w:left="5760" w:hanging="720"/>
      <w:outlineLvl w:val="7"/>
    </w:pPr>
    <w:rPr>
      <w:b/>
    </w:rPr>
  </w:style>
  <w:style w:type="paragraph" w:styleId="Heading9">
    <w:name w:val="heading 9"/>
    <w:aliases w:val="h9"/>
    <w:basedOn w:val="Normal"/>
    <w:next w:val="ParaNum"/>
    <w:link w:val="Heading9Char"/>
    <w:qFormat/>
    <w:rsid w:val="00634C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4C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4CE7"/>
  </w:style>
  <w:style w:type="character" w:customStyle="1" w:styleId="Heading1Char">
    <w:name w:val="Heading 1 Char"/>
    <w:basedOn w:val="DefaultParagraphFont"/>
    <w:link w:val="Heading1"/>
    <w:rsid w:val="009C2CA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A2672"/>
    <w:rPr>
      <w:rFonts w:ascii="Times New Roman" w:eastAsia="Times New Roman" w:hAnsi="Times New Roman" w:cs="Times New Roman"/>
      <w:b/>
      <w:snapToGrid w:val="0"/>
      <w:kern w:val="28"/>
      <w:szCs w:val="20"/>
    </w:rPr>
  </w:style>
  <w:style w:type="character" w:customStyle="1" w:styleId="Heading3Char">
    <w:name w:val="Heading 3 Char"/>
    <w:aliases w:val="h3 Char"/>
    <w:basedOn w:val="DefaultParagraphFont"/>
    <w:link w:val="Heading3"/>
    <w:rsid w:val="003A2672"/>
    <w:rPr>
      <w:rFonts w:ascii="Times New Roman" w:eastAsia="Times New Roman" w:hAnsi="Times New Roman" w:cs="Times New Roman"/>
      <w:b/>
      <w:snapToGrid w:val="0"/>
      <w:kern w:val="28"/>
      <w:szCs w:val="20"/>
    </w:rPr>
  </w:style>
  <w:style w:type="character" w:customStyle="1" w:styleId="Heading4Char">
    <w:name w:val="Heading 4 Char"/>
    <w:aliases w:val="h4 Char"/>
    <w:basedOn w:val="DefaultParagraphFont"/>
    <w:link w:val="Heading4"/>
    <w:rsid w:val="003A2672"/>
    <w:rPr>
      <w:rFonts w:ascii="Times New Roman" w:eastAsia="Times New Roman" w:hAnsi="Times New Roman" w:cs="Times New Roman"/>
      <w:b/>
      <w:snapToGrid w:val="0"/>
      <w:kern w:val="28"/>
      <w:szCs w:val="20"/>
    </w:rPr>
  </w:style>
  <w:style w:type="character" w:customStyle="1" w:styleId="Heading5Char">
    <w:name w:val="Heading 5 Char"/>
    <w:aliases w:val="h5 Char"/>
    <w:basedOn w:val="DefaultParagraphFont"/>
    <w:link w:val="Heading5"/>
    <w:rsid w:val="003A2672"/>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3A2672"/>
    <w:rPr>
      <w:rFonts w:ascii="Times New Roman" w:eastAsia="Times New Roman" w:hAnsi="Times New Roman" w:cs="Times New Roman"/>
      <w:b/>
      <w:snapToGrid w:val="0"/>
      <w:kern w:val="28"/>
      <w:szCs w:val="20"/>
    </w:rPr>
  </w:style>
  <w:style w:type="character" w:customStyle="1" w:styleId="Heading7Char">
    <w:name w:val="Heading 7 Char"/>
    <w:aliases w:val="h7 Char"/>
    <w:basedOn w:val="DefaultParagraphFont"/>
    <w:link w:val="Heading7"/>
    <w:rsid w:val="003A2672"/>
    <w:rPr>
      <w:rFonts w:ascii="Times New Roman" w:eastAsia="Times New Roman" w:hAnsi="Times New Roman" w:cs="Times New Roman"/>
      <w:b/>
      <w:snapToGrid w:val="0"/>
      <w:kern w:val="28"/>
      <w:szCs w:val="20"/>
    </w:rPr>
  </w:style>
  <w:style w:type="character" w:customStyle="1" w:styleId="Heading8Char">
    <w:name w:val="Heading 8 Char"/>
    <w:aliases w:val="h8 Char"/>
    <w:basedOn w:val="DefaultParagraphFont"/>
    <w:link w:val="Heading8"/>
    <w:rsid w:val="003A2672"/>
    <w:rPr>
      <w:rFonts w:ascii="Times New Roman" w:eastAsia="Times New Roman" w:hAnsi="Times New Roman" w:cs="Times New Roman"/>
      <w:b/>
      <w:snapToGrid w:val="0"/>
      <w:kern w:val="28"/>
      <w:szCs w:val="20"/>
    </w:rPr>
  </w:style>
  <w:style w:type="character" w:customStyle="1" w:styleId="Heading9Char">
    <w:name w:val="Heading 9 Char"/>
    <w:aliases w:val="h9 Char"/>
    <w:basedOn w:val="DefaultParagraphFont"/>
    <w:link w:val="Heading9"/>
    <w:rsid w:val="003A2672"/>
    <w:rPr>
      <w:rFonts w:ascii="Times New Roman" w:eastAsia="Times New Roman" w:hAnsi="Times New Roman" w:cs="Times New Roman"/>
      <w:b/>
      <w:snapToGrid w:val="0"/>
      <w:kern w:val="28"/>
      <w:szCs w:val="20"/>
    </w:rPr>
  </w:style>
  <w:style w:type="character" w:styleId="FootnoteReference">
    <w:name w:val="footnote reference"/>
    <w:aliases w:val="Style 4,Style 12,(NECG) Footnote Reference,Appel note de bas de p,Style 124,Style 13,o,fr,Style 3,FR,Style 17,Footnote Reference/,Style 6"/>
    <w:rsid w:val="00634CE7"/>
    <w:rPr>
      <w:rFonts w:ascii="Times New Roman" w:hAnsi="Times New Roman"/>
      <w:dstrike w:val="0"/>
      <w:color w:val="auto"/>
      <w:sz w:val="20"/>
      <w:vertAlign w:val="superscript"/>
    </w:rPr>
  </w:style>
  <w:style w:type="paragraph" w:customStyle="1" w:styleId="ParaNum">
    <w:name w:val="ParaNum"/>
    <w:basedOn w:val="Normal"/>
    <w:link w:val="ParaNumChar"/>
    <w:rsid w:val="00634CE7"/>
    <w:pPr>
      <w:numPr>
        <w:numId w:val="2"/>
      </w:numPr>
      <w:tabs>
        <w:tab w:val="clear" w:pos="1080"/>
        <w:tab w:val="num" w:pos="1440"/>
      </w:tabs>
      <w:spacing w:after="120"/>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Footnote Text (WAK)"/>
    <w:link w:val="FootnoteTextChar1"/>
    <w:rsid w:val="00634C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WAK) Char,rrfootnote Char1,Footnote Text Char1 Char Char2,Footnote Text Char Char Char Char2,Style 5 Char Char Char2,Footnote Text Char1 Char Char Char Char2,f Char,Car Char"/>
    <w:basedOn w:val="DefaultParagraphFont"/>
    <w:uiPriority w:val="99"/>
    <w:rsid w:val="003A2672"/>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locked/>
    <w:rsid w:val="003A2672"/>
    <w:rPr>
      <w:rFonts w:ascii="Times New Roman" w:eastAsia="Times New Roman" w:hAnsi="Times New Roman" w:cs="Times New Roman"/>
      <w:sz w:val="20"/>
      <w:szCs w:val="20"/>
    </w:rPr>
  </w:style>
  <w:style w:type="character" w:styleId="Hyperlink">
    <w:name w:val="Hyperlink"/>
    <w:rsid w:val="00634CE7"/>
    <w:rPr>
      <w:color w:val="0000FF"/>
      <w:u w:val="single"/>
    </w:rPr>
  </w:style>
  <w:style w:type="paragraph" w:styleId="Footer">
    <w:name w:val="footer"/>
    <w:basedOn w:val="Normal"/>
    <w:link w:val="FooterChar"/>
    <w:rsid w:val="00634CE7"/>
    <w:pPr>
      <w:tabs>
        <w:tab w:val="center" w:pos="4320"/>
        <w:tab w:val="right" w:pos="8640"/>
      </w:tabs>
    </w:pPr>
  </w:style>
  <w:style w:type="character" w:customStyle="1" w:styleId="FooterChar">
    <w:name w:val="Footer Char"/>
    <w:basedOn w:val="DefaultParagraphFont"/>
    <w:link w:val="Footer"/>
    <w:rsid w:val="003A2672"/>
    <w:rPr>
      <w:rFonts w:ascii="Times New Roman" w:eastAsia="Times New Roman" w:hAnsi="Times New Roman" w:cs="Times New Roman"/>
      <w:snapToGrid w:val="0"/>
      <w:kern w:val="28"/>
      <w:szCs w:val="20"/>
    </w:rPr>
  </w:style>
  <w:style w:type="character" w:styleId="PageNumber">
    <w:name w:val="page number"/>
    <w:basedOn w:val="DefaultParagraphFont"/>
    <w:rsid w:val="00634CE7"/>
  </w:style>
  <w:style w:type="paragraph" w:styleId="Header">
    <w:name w:val="header"/>
    <w:basedOn w:val="Normal"/>
    <w:link w:val="HeaderChar"/>
    <w:autoRedefine/>
    <w:rsid w:val="00634CE7"/>
    <w:pPr>
      <w:tabs>
        <w:tab w:val="center" w:pos="4680"/>
        <w:tab w:val="right" w:pos="9360"/>
      </w:tabs>
    </w:pPr>
    <w:rPr>
      <w:b/>
    </w:rPr>
  </w:style>
  <w:style w:type="character" w:customStyle="1" w:styleId="HeaderChar">
    <w:name w:val="Header Char"/>
    <w:basedOn w:val="DefaultParagraphFont"/>
    <w:link w:val="Header"/>
    <w:rsid w:val="003A2672"/>
    <w:rPr>
      <w:rFonts w:ascii="Times New Roman" w:eastAsia="Times New Roman" w:hAnsi="Times New Roman" w:cs="Times New Roman"/>
      <w:b/>
      <w:snapToGrid w:val="0"/>
      <w:kern w:val="28"/>
      <w:szCs w:val="20"/>
    </w:rPr>
  </w:style>
  <w:style w:type="character" w:customStyle="1" w:styleId="ParaNumChar">
    <w:name w:val="ParaNum Char"/>
    <w:link w:val="ParaNum"/>
    <w:rsid w:val="003A2672"/>
    <w:rPr>
      <w:rFonts w:ascii="Times New Roman" w:eastAsia="Times New Roman" w:hAnsi="Times New Roman" w:cs="Times New Roman"/>
      <w:snapToGrid w:val="0"/>
      <w:kern w:val="28"/>
      <w:szCs w:val="20"/>
    </w:rPr>
  </w:style>
  <w:style w:type="character" w:styleId="Emphasis">
    <w:name w:val="Emphasis"/>
    <w:qFormat/>
    <w:rsid w:val="003A2672"/>
    <w:rPr>
      <w:i/>
      <w:iCs/>
    </w:rPr>
  </w:style>
  <w:style w:type="paragraph" w:customStyle="1" w:styleId="Default">
    <w:name w:val="Default"/>
    <w:rsid w:val="003A26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2672"/>
    <w:rPr>
      <w:rFonts w:ascii="Tahoma" w:hAnsi="Tahoma" w:cs="Tahoma"/>
      <w:sz w:val="16"/>
      <w:szCs w:val="16"/>
    </w:rPr>
  </w:style>
  <w:style w:type="character" w:customStyle="1" w:styleId="BalloonTextChar">
    <w:name w:val="Balloon Text Char"/>
    <w:basedOn w:val="DefaultParagraphFont"/>
    <w:link w:val="BalloonText"/>
    <w:uiPriority w:val="99"/>
    <w:semiHidden/>
    <w:rsid w:val="003A2672"/>
    <w:rPr>
      <w:rFonts w:ascii="Tahoma" w:eastAsia="Times New Roman" w:hAnsi="Tahoma" w:cs="Tahoma"/>
      <w:snapToGrid w:val="0"/>
      <w:kern w:val="28"/>
      <w:sz w:val="16"/>
      <w:szCs w:val="16"/>
    </w:rPr>
  </w:style>
  <w:style w:type="character" w:styleId="CommentReference">
    <w:name w:val="annotation reference"/>
    <w:basedOn w:val="DefaultParagraphFont"/>
    <w:uiPriority w:val="99"/>
    <w:semiHidden/>
    <w:unhideWhenUsed/>
    <w:rsid w:val="00821BC9"/>
    <w:rPr>
      <w:sz w:val="16"/>
      <w:szCs w:val="16"/>
    </w:rPr>
  </w:style>
  <w:style w:type="paragraph" w:styleId="CommentText">
    <w:name w:val="annotation text"/>
    <w:basedOn w:val="Normal"/>
    <w:link w:val="CommentTextChar"/>
    <w:uiPriority w:val="99"/>
    <w:semiHidden/>
    <w:unhideWhenUsed/>
    <w:rsid w:val="00821BC9"/>
    <w:rPr>
      <w:sz w:val="20"/>
    </w:rPr>
  </w:style>
  <w:style w:type="character" w:customStyle="1" w:styleId="CommentTextChar">
    <w:name w:val="Comment Text Char"/>
    <w:basedOn w:val="DefaultParagraphFont"/>
    <w:link w:val="CommentText"/>
    <w:uiPriority w:val="99"/>
    <w:semiHidden/>
    <w:rsid w:val="00821BC9"/>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821BC9"/>
    <w:rPr>
      <w:b/>
      <w:bCs/>
    </w:rPr>
  </w:style>
  <w:style w:type="character" w:customStyle="1" w:styleId="CommentSubjectChar">
    <w:name w:val="Comment Subject Char"/>
    <w:basedOn w:val="CommentTextChar"/>
    <w:link w:val="CommentSubject"/>
    <w:uiPriority w:val="99"/>
    <w:semiHidden/>
    <w:rsid w:val="00821BC9"/>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907167"/>
    <w:pPr>
      <w:ind w:left="720"/>
      <w:contextualSpacing/>
    </w:pPr>
  </w:style>
  <w:style w:type="paragraph" w:styleId="NormalWeb">
    <w:name w:val="Normal (Web)"/>
    <w:basedOn w:val="Normal"/>
    <w:uiPriority w:val="99"/>
    <w:semiHidden/>
    <w:unhideWhenUsed/>
    <w:rsid w:val="006D12B6"/>
    <w:pPr>
      <w:widowControl/>
      <w:spacing w:before="240" w:after="240"/>
    </w:pPr>
    <w:rPr>
      <w:snapToGrid/>
      <w:kern w:val="0"/>
      <w:sz w:val="24"/>
      <w:szCs w:val="24"/>
    </w:rPr>
  </w:style>
  <w:style w:type="paragraph" w:styleId="Revision">
    <w:name w:val="Revision"/>
    <w:hidden/>
    <w:uiPriority w:val="99"/>
    <w:semiHidden/>
    <w:rsid w:val="00C01697"/>
    <w:pPr>
      <w:spacing w:after="0" w:line="240" w:lineRule="auto"/>
    </w:pPr>
    <w:rPr>
      <w:rFonts w:ascii="Times New Roman" w:eastAsia="Times New Roman" w:hAnsi="Times New Roman" w:cs="Times New Roman"/>
      <w:snapToGrid w:val="0"/>
      <w:kern w:val="28"/>
      <w:szCs w:val="20"/>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9150C3"/>
    <w:rPr>
      <w:noProof w:val="0"/>
      <w:lang w:val="en-US" w:eastAsia="en-US" w:bidi="ar-SA"/>
    </w:rPr>
  </w:style>
  <w:style w:type="paragraph" w:customStyle="1" w:styleId="par1">
    <w:name w:val="par1"/>
    <w:basedOn w:val="Normal"/>
    <w:link w:val="par1Char"/>
    <w:rsid w:val="00D71382"/>
    <w:pPr>
      <w:tabs>
        <w:tab w:val="num" w:pos="990"/>
      </w:tabs>
      <w:autoSpaceDE w:val="0"/>
      <w:autoSpaceDN w:val="0"/>
      <w:adjustRightInd w:val="0"/>
      <w:ind w:left="-90" w:firstLine="720"/>
    </w:pPr>
    <w:rPr>
      <w:snapToGrid/>
      <w:kern w:val="0"/>
      <w:szCs w:val="22"/>
    </w:rPr>
  </w:style>
  <w:style w:type="character" w:customStyle="1" w:styleId="par1Char">
    <w:name w:val="par1 Char"/>
    <w:link w:val="par1"/>
    <w:locked/>
    <w:rsid w:val="00D71382"/>
    <w:rPr>
      <w:rFonts w:ascii="Times New Roman" w:eastAsia="Times New Roman" w:hAnsi="Times New Roman" w:cs="Times New Roman"/>
    </w:rPr>
  </w:style>
  <w:style w:type="paragraph" w:customStyle="1" w:styleId="StyleParaNumAfter0pt">
    <w:name w:val="Style ParaNum + After:  0 pt"/>
    <w:basedOn w:val="Normal"/>
    <w:autoRedefine/>
    <w:rsid w:val="0000069D"/>
    <w:pPr>
      <w:numPr>
        <w:numId w:val="1"/>
      </w:numPr>
      <w:tabs>
        <w:tab w:val="clear" w:pos="3960"/>
        <w:tab w:val="left" w:pos="1800"/>
      </w:tabs>
      <w:autoSpaceDE w:val="0"/>
      <w:autoSpaceDN w:val="0"/>
      <w:adjustRightInd w:val="0"/>
      <w:spacing w:after="120"/>
      <w:ind w:left="1886" w:hanging="446"/>
    </w:pPr>
    <w:rPr>
      <w:snapToGrid/>
      <w:kern w:val="0"/>
      <w:szCs w:val="22"/>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F25969"/>
    <w:rPr>
      <w:rFonts w:cs="Times New Roman"/>
      <w:lang w:val="en-US" w:eastAsia="en-US" w:bidi="ar-SA"/>
    </w:rPr>
  </w:style>
  <w:style w:type="character" w:customStyle="1" w:styleId="Normal2">
    <w:name w:val="Normal2"/>
    <w:rsid w:val="007C7BDF"/>
  </w:style>
  <w:style w:type="character" w:styleId="FollowedHyperlink">
    <w:name w:val="FollowedHyperlink"/>
    <w:basedOn w:val="DefaultParagraphFont"/>
    <w:uiPriority w:val="99"/>
    <w:semiHidden/>
    <w:unhideWhenUsed/>
    <w:rsid w:val="00A81766"/>
    <w:rPr>
      <w:color w:val="800080" w:themeColor="followedHyperlink"/>
      <w:u w:val="single"/>
    </w:rPr>
  </w:style>
  <w:style w:type="paragraph" w:styleId="EndnoteText">
    <w:name w:val="endnote text"/>
    <w:basedOn w:val="Normal"/>
    <w:link w:val="EndnoteTextChar"/>
    <w:semiHidden/>
    <w:rsid w:val="00634CE7"/>
    <w:rPr>
      <w:sz w:val="20"/>
    </w:rPr>
  </w:style>
  <w:style w:type="character" w:customStyle="1" w:styleId="EndnoteTextChar">
    <w:name w:val="Endnote Text Char"/>
    <w:basedOn w:val="DefaultParagraphFont"/>
    <w:link w:val="EndnoteText"/>
    <w:semiHidden/>
    <w:rsid w:val="00C251D2"/>
    <w:rPr>
      <w:rFonts w:ascii="Times New Roman" w:eastAsia="Times New Roman" w:hAnsi="Times New Roman" w:cs="Times New Roman"/>
      <w:snapToGrid w:val="0"/>
      <w:kern w:val="28"/>
      <w:sz w:val="20"/>
      <w:szCs w:val="20"/>
    </w:rPr>
  </w:style>
  <w:style w:type="character" w:styleId="EndnoteReference">
    <w:name w:val="endnote reference"/>
    <w:semiHidden/>
    <w:rsid w:val="00634CE7"/>
    <w:rPr>
      <w:vertAlign w:val="superscript"/>
    </w:rPr>
  </w:style>
  <w:style w:type="paragraph" w:styleId="TOC1">
    <w:name w:val="toc 1"/>
    <w:basedOn w:val="Normal"/>
    <w:next w:val="Normal"/>
    <w:semiHidden/>
    <w:rsid w:val="00634C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4CE7"/>
    <w:pPr>
      <w:tabs>
        <w:tab w:val="left" w:pos="720"/>
        <w:tab w:val="right" w:leader="dot" w:pos="9360"/>
      </w:tabs>
      <w:suppressAutoHyphens/>
      <w:ind w:left="720" w:right="720" w:hanging="360"/>
    </w:pPr>
    <w:rPr>
      <w:noProof/>
    </w:rPr>
  </w:style>
  <w:style w:type="paragraph" w:styleId="TOC3">
    <w:name w:val="toc 3"/>
    <w:basedOn w:val="Normal"/>
    <w:next w:val="Normal"/>
    <w:semiHidden/>
    <w:rsid w:val="00634C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4C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4C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4C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4C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4C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4C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4CE7"/>
    <w:pPr>
      <w:tabs>
        <w:tab w:val="right" w:pos="9360"/>
      </w:tabs>
      <w:suppressAutoHyphens/>
    </w:pPr>
  </w:style>
  <w:style w:type="character" w:customStyle="1" w:styleId="EquationCaption">
    <w:name w:val="_Equation Caption"/>
    <w:rsid w:val="00634CE7"/>
  </w:style>
  <w:style w:type="paragraph" w:styleId="BlockText">
    <w:name w:val="Block Text"/>
    <w:basedOn w:val="Normal"/>
    <w:rsid w:val="00634CE7"/>
    <w:pPr>
      <w:spacing w:after="240"/>
      <w:ind w:left="1440" w:right="1440"/>
    </w:pPr>
  </w:style>
  <w:style w:type="paragraph" w:customStyle="1" w:styleId="Paratitle">
    <w:name w:val="Para title"/>
    <w:basedOn w:val="Normal"/>
    <w:rsid w:val="00634CE7"/>
    <w:pPr>
      <w:tabs>
        <w:tab w:val="center" w:pos="9270"/>
      </w:tabs>
      <w:spacing w:after="240"/>
    </w:pPr>
    <w:rPr>
      <w:spacing w:val="-2"/>
    </w:rPr>
  </w:style>
  <w:style w:type="paragraph" w:customStyle="1" w:styleId="Bullet">
    <w:name w:val="Bullet"/>
    <w:basedOn w:val="Normal"/>
    <w:rsid w:val="00634CE7"/>
    <w:pPr>
      <w:tabs>
        <w:tab w:val="left" w:pos="2160"/>
      </w:tabs>
      <w:spacing w:after="220"/>
      <w:ind w:left="2160" w:hanging="720"/>
    </w:pPr>
  </w:style>
  <w:style w:type="paragraph" w:customStyle="1" w:styleId="TableFormat">
    <w:name w:val="TableFormat"/>
    <w:basedOn w:val="Bullet"/>
    <w:rsid w:val="00634CE7"/>
    <w:pPr>
      <w:tabs>
        <w:tab w:val="clear" w:pos="2160"/>
        <w:tab w:val="left" w:pos="5040"/>
      </w:tabs>
      <w:ind w:left="5040" w:hanging="3600"/>
    </w:pPr>
  </w:style>
  <w:style w:type="paragraph" w:customStyle="1" w:styleId="TOCTitle">
    <w:name w:val="TOC Title"/>
    <w:basedOn w:val="Normal"/>
    <w:rsid w:val="00634C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4CE7"/>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E7"/>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34C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34CE7"/>
    <w:pPr>
      <w:keepNext/>
      <w:numPr>
        <w:ilvl w:val="1"/>
        <w:numId w:val="3"/>
      </w:numPr>
      <w:spacing w:after="120"/>
      <w:outlineLvl w:val="1"/>
    </w:pPr>
    <w:rPr>
      <w:b/>
    </w:rPr>
  </w:style>
  <w:style w:type="paragraph" w:styleId="Heading3">
    <w:name w:val="heading 3"/>
    <w:aliases w:val="h3"/>
    <w:basedOn w:val="Normal"/>
    <w:next w:val="ParaNum"/>
    <w:link w:val="Heading3Char"/>
    <w:qFormat/>
    <w:rsid w:val="00634CE7"/>
    <w:pPr>
      <w:keepNext/>
      <w:numPr>
        <w:ilvl w:val="2"/>
        <w:numId w:val="3"/>
      </w:numPr>
      <w:tabs>
        <w:tab w:val="left" w:pos="2160"/>
      </w:tabs>
      <w:spacing w:after="120"/>
      <w:outlineLvl w:val="2"/>
    </w:pPr>
    <w:rPr>
      <w:b/>
    </w:rPr>
  </w:style>
  <w:style w:type="paragraph" w:styleId="Heading4">
    <w:name w:val="heading 4"/>
    <w:aliases w:val="h4"/>
    <w:basedOn w:val="Normal"/>
    <w:next w:val="ParaNum"/>
    <w:link w:val="Heading4Char"/>
    <w:qFormat/>
    <w:rsid w:val="00634CE7"/>
    <w:pPr>
      <w:keepNext/>
      <w:numPr>
        <w:ilvl w:val="3"/>
        <w:numId w:val="3"/>
      </w:numPr>
      <w:tabs>
        <w:tab w:val="left" w:pos="2880"/>
      </w:tabs>
      <w:spacing w:after="120"/>
      <w:outlineLvl w:val="3"/>
    </w:pPr>
    <w:rPr>
      <w:b/>
    </w:rPr>
  </w:style>
  <w:style w:type="paragraph" w:styleId="Heading5">
    <w:name w:val="heading 5"/>
    <w:aliases w:val="h5"/>
    <w:basedOn w:val="Normal"/>
    <w:next w:val="ParaNum"/>
    <w:link w:val="Heading5Char"/>
    <w:qFormat/>
    <w:rsid w:val="00634CE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34CE7"/>
    <w:pPr>
      <w:numPr>
        <w:ilvl w:val="5"/>
        <w:numId w:val="3"/>
      </w:numPr>
      <w:tabs>
        <w:tab w:val="left" w:pos="4320"/>
      </w:tabs>
      <w:spacing w:after="120"/>
      <w:outlineLvl w:val="5"/>
    </w:pPr>
    <w:rPr>
      <w:b/>
    </w:rPr>
  </w:style>
  <w:style w:type="paragraph" w:styleId="Heading7">
    <w:name w:val="heading 7"/>
    <w:aliases w:val="h7"/>
    <w:basedOn w:val="Normal"/>
    <w:next w:val="ParaNum"/>
    <w:link w:val="Heading7Char"/>
    <w:qFormat/>
    <w:rsid w:val="00634CE7"/>
    <w:pPr>
      <w:numPr>
        <w:ilvl w:val="6"/>
        <w:numId w:val="3"/>
      </w:numPr>
      <w:tabs>
        <w:tab w:val="left" w:pos="5040"/>
      </w:tabs>
      <w:spacing w:after="120"/>
      <w:ind w:left="5040" w:hanging="720"/>
      <w:outlineLvl w:val="6"/>
    </w:pPr>
    <w:rPr>
      <w:b/>
    </w:rPr>
  </w:style>
  <w:style w:type="paragraph" w:styleId="Heading8">
    <w:name w:val="heading 8"/>
    <w:aliases w:val="h8"/>
    <w:basedOn w:val="Normal"/>
    <w:next w:val="ParaNum"/>
    <w:link w:val="Heading8Char"/>
    <w:qFormat/>
    <w:rsid w:val="00634CE7"/>
    <w:pPr>
      <w:numPr>
        <w:ilvl w:val="7"/>
        <w:numId w:val="3"/>
      </w:numPr>
      <w:tabs>
        <w:tab w:val="clear" w:pos="5400"/>
        <w:tab w:val="left" w:pos="5760"/>
      </w:tabs>
      <w:spacing w:after="120"/>
      <w:ind w:left="5760" w:hanging="720"/>
      <w:outlineLvl w:val="7"/>
    </w:pPr>
    <w:rPr>
      <w:b/>
    </w:rPr>
  </w:style>
  <w:style w:type="paragraph" w:styleId="Heading9">
    <w:name w:val="heading 9"/>
    <w:aliases w:val="h9"/>
    <w:basedOn w:val="Normal"/>
    <w:next w:val="ParaNum"/>
    <w:link w:val="Heading9Char"/>
    <w:qFormat/>
    <w:rsid w:val="00634C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4C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4CE7"/>
  </w:style>
  <w:style w:type="character" w:customStyle="1" w:styleId="Heading1Char">
    <w:name w:val="Heading 1 Char"/>
    <w:basedOn w:val="DefaultParagraphFont"/>
    <w:link w:val="Heading1"/>
    <w:rsid w:val="009C2CA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A2672"/>
    <w:rPr>
      <w:rFonts w:ascii="Times New Roman" w:eastAsia="Times New Roman" w:hAnsi="Times New Roman" w:cs="Times New Roman"/>
      <w:b/>
      <w:snapToGrid w:val="0"/>
      <w:kern w:val="28"/>
      <w:szCs w:val="20"/>
    </w:rPr>
  </w:style>
  <w:style w:type="character" w:customStyle="1" w:styleId="Heading3Char">
    <w:name w:val="Heading 3 Char"/>
    <w:aliases w:val="h3 Char"/>
    <w:basedOn w:val="DefaultParagraphFont"/>
    <w:link w:val="Heading3"/>
    <w:rsid w:val="003A2672"/>
    <w:rPr>
      <w:rFonts w:ascii="Times New Roman" w:eastAsia="Times New Roman" w:hAnsi="Times New Roman" w:cs="Times New Roman"/>
      <w:b/>
      <w:snapToGrid w:val="0"/>
      <w:kern w:val="28"/>
      <w:szCs w:val="20"/>
    </w:rPr>
  </w:style>
  <w:style w:type="character" w:customStyle="1" w:styleId="Heading4Char">
    <w:name w:val="Heading 4 Char"/>
    <w:aliases w:val="h4 Char"/>
    <w:basedOn w:val="DefaultParagraphFont"/>
    <w:link w:val="Heading4"/>
    <w:rsid w:val="003A2672"/>
    <w:rPr>
      <w:rFonts w:ascii="Times New Roman" w:eastAsia="Times New Roman" w:hAnsi="Times New Roman" w:cs="Times New Roman"/>
      <w:b/>
      <w:snapToGrid w:val="0"/>
      <w:kern w:val="28"/>
      <w:szCs w:val="20"/>
    </w:rPr>
  </w:style>
  <w:style w:type="character" w:customStyle="1" w:styleId="Heading5Char">
    <w:name w:val="Heading 5 Char"/>
    <w:aliases w:val="h5 Char"/>
    <w:basedOn w:val="DefaultParagraphFont"/>
    <w:link w:val="Heading5"/>
    <w:rsid w:val="003A2672"/>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3A2672"/>
    <w:rPr>
      <w:rFonts w:ascii="Times New Roman" w:eastAsia="Times New Roman" w:hAnsi="Times New Roman" w:cs="Times New Roman"/>
      <w:b/>
      <w:snapToGrid w:val="0"/>
      <w:kern w:val="28"/>
      <w:szCs w:val="20"/>
    </w:rPr>
  </w:style>
  <w:style w:type="character" w:customStyle="1" w:styleId="Heading7Char">
    <w:name w:val="Heading 7 Char"/>
    <w:aliases w:val="h7 Char"/>
    <w:basedOn w:val="DefaultParagraphFont"/>
    <w:link w:val="Heading7"/>
    <w:rsid w:val="003A2672"/>
    <w:rPr>
      <w:rFonts w:ascii="Times New Roman" w:eastAsia="Times New Roman" w:hAnsi="Times New Roman" w:cs="Times New Roman"/>
      <w:b/>
      <w:snapToGrid w:val="0"/>
      <w:kern w:val="28"/>
      <w:szCs w:val="20"/>
    </w:rPr>
  </w:style>
  <w:style w:type="character" w:customStyle="1" w:styleId="Heading8Char">
    <w:name w:val="Heading 8 Char"/>
    <w:aliases w:val="h8 Char"/>
    <w:basedOn w:val="DefaultParagraphFont"/>
    <w:link w:val="Heading8"/>
    <w:rsid w:val="003A2672"/>
    <w:rPr>
      <w:rFonts w:ascii="Times New Roman" w:eastAsia="Times New Roman" w:hAnsi="Times New Roman" w:cs="Times New Roman"/>
      <w:b/>
      <w:snapToGrid w:val="0"/>
      <w:kern w:val="28"/>
      <w:szCs w:val="20"/>
    </w:rPr>
  </w:style>
  <w:style w:type="character" w:customStyle="1" w:styleId="Heading9Char">
    <w:name w:val="Heading 9 Char"/>
    <w:aliases w:val="h9 Char"/>
    <w:basedOn w:val="DefaultParagraphFont"/>
    <w:link w:val="Heading9"/>
    <w:rsid w:val="003A2672"/>
    <w:rPr>
      <w:rFonts w:ascii="Times New Roman" w:eastAsia="Times New Roman" w:hAnsi="Times New Roman" w:cs="Times New Roman"/>
      <w:b/>
      <w:snapToGrid w:val="0"/>
      <w:kern w:val="28"/>
      <w:szCs w:val="20"/>
    </w:rPr>
  </w:style>
  <w:style w:type="character" w:styleId="FootnoteReference">
    <w:name w:val="footnote reference"/>
    <w:aliases w:val="Style 4,Style 12,(NECG) Footnote Reference,Appel note de bas de p,Style 124,Style 13,o,fr,Style 3,FR,Style 17,Footnote Reference/,Style 6"/>
    <w:rsid w:val="00634CE7"/>
    <w:rPr>
      <w:rFonts w:ascii="Times New Roman" w:hAnsi="Times New Roman"/>
      <w:dstrike w:val="0"/>
      <w:color w:val="auto"/>
      <w:sz w:val="20"/>
      <w:vertAlign w:val="superscript"/>
    </w:rPr>
  </w:style>
  <w:style w:type="paragraph" w:customStyle="1" w:styleId="ParaNum">
    <w:name w:val="ParaNum"/>
    <w:basedOn w:val="Normal"/>
    <w:link w:val="ParaNumChar"/>
    <w:rsid w:val="00634CE7"/>
    <w:pPr>
      <w:numPr>
        <w:numId w:val="2"/>
      </w:numPr>
      <w:tabs>
        <w:tab w:val="clear" w:pos="1080"/>
        <w:tab w:val="num" w:pos="1440"/>
      </w:tabs>
      <w:spacing w:after="120"/>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Footnote Text (WAK)"/>
    <w:link w:val="FootnoteTextChar1"/>
    <w:rsid w:val="00634C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WAK) Char,rrfootnote Char1,Footnote Text Char1 Char Char2,Footnote Text Char Char Char Char2,Style 5 Char Char Char2,Footnote Text Char1 Char Char Char Char2,f Char,Car Char"/>
    <w:basedOn w:val="DefaultParagraphFont"/>
    <w:uiPriority w:val="99"/>
    <w:rsid w:val="003A2672"/>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locked/>
    <w:rsid w:val="003A2672"/>
    <w:rPr>
      <w:rFonts w:ascii="Times New Roman" w:eastAsia="Times New Roman" w:hAnsi="Times New Roman" w:cs="Times New Roman"/>
      <w:sz w:val="20"/>
      <w:szCs w:val="20"/>
    </w:rPr>
  </w:style>
  <w:style w:type="character" w:styleId="Hyperlink">
    <w:name w:val="Hyperlink"/>
    <w:rsid w:val="00634CE7"/>
    <w:rPr>
      <w:color w:val="0000FF"/>
      <w:u w:val="single"/>
    </w:rPr>
  </w:style>
  <w:style w:type="paragraph" w:styleId="Footer">
    <w:name w:val="footer"/>
    <w:basedOn w:val="Normal"/>
    <w:link w:val="FooterChar"/>
    <w:rsid w:val="00634CE7"/>
    <w:pPr>
      <w:tabs>
        <w:tab w:val="center" w:pos="4320"/>
        <w:tab w:val="right" w:pos="8640"/>
      </w:tabs>
    </w:pPr>
  </w:style>
  <w:style w:type="character" w:customStyle="1" w:styleId="FooterChar">
    <w:name w:val="Footer Char"/>
    <w:basedOn w:val="DefaultParagraphFont"/>
    <w:link w:val="Footer"/>
    <w:rsid w:val="003A2672"/>
    <w:rPr>
      <w:rFonts w:ascii="Times New Roman" w:eastAsia="Times New Roman" w:hAnsi="Times New Roman" w:cs="Times New Roman"/>
      <w:snapToGrid w:val="0"/>
      <w:kern w:val="28"/>
      <w:szCs w:val="20"/>
    </w:rPr>
  </w:style>
  <w:style w:type="character" w:styleId="PageNumber">
    <w:name w:val="page number"/>
    <w:basedOn w:val="DefaultParagraphFont"/>
    <w:rsid w:val="00634CE7"/>
  </w:style>
  <w:style w:type="paragraph" w:styleId="Header">
    <w:name w:val="header"/>
    <w:basedOn w:val="Normal"/>
    <w:link w:val="HeaderChar"/>
    <w:autoRedefine/>
    <w:rsid w:val="00634CE7"/>
    <w:pPr>
      <w:tabs>
        <w:tab w:val="center" w:pos="4680"/>
        <w:tab w:val="right" w:pos="9360"/>
      </w:tabs>
    </w:pPr>
    <w:rPr>
      <w:b/>
    </w:rPr>
  </w:style>
  <w:style w:type="character" w:customStyle="1" w:styleId="HeaderChar">
    <w:name w:val="Header Char"/>
    <w:basedOn w:val="DefaultParagraphFont"/>
    <w:link w:val="Header"/>
    <w:rsid w:val="003A2672"/>
    <w:rPr>
      <w:rFonts w:ascii="Times New Roman" w:eastAsia="Times New Roman" w:hAnsi="Times New Roman" w:cs="Times New Roman"/>
      <w:b/>
      <w:snapToGrid w:val="0"/>
      <w:kern w:val="28"/>
      <w:szCs w:val="20"/>
    </w:rPr>
  </w:style>
  <w:style w:type="character" w:customStyle="1" w:styleId="ParaNumChar">
    <w:name w:val="ParaNum Char"/>
    <w:link w:val="ParaNum"/>
    <w:rsid w:val="003A2672"/>
    <w:rPr>
      <w:rFonts w:ascii="Times New Roman" w:eastAsia="Times New Roman" w:hAnsi="Times New Roman" w:cs="Times New Roman"/>
      <w:snapToGrid w:val="0"/>
      <w:kern w:val="28"/>
      <w:szCs w:val="20"/>
    </w:rPr>
  </w:style>
  <w:style w:type="character" w:styleId="Emphasis">
    <w:name w:val="Emphasis"/>
    <w:qFormat/>
    <w:rsid w:val="003A2672"/>
    <w:rPr>
      <w:i/>
      <w:iCs/>
    </w:rPr>
  </w:style>
  <w:style w:type="paragraph" w:customStyle="1" w:styleId="Default">
    <w:name w:val="Default"/>
    <w:rsid w:val="003A26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2672"/>
    <w:rPr>
      <w:rFonts w:ascii="Tahoma" w:hAnsi="Tahoma" w:cs="Tahoma"/>
      <w:sz w:val="16"/>
      <w:szCs w:val="16"/>
    </w:rPr>
  </w:style>
  <w:style w:type="character" w:customStyle="1" w:styleId="BalloonTextChar">
    <w:name w:val="Balloon Text Char"/>
    <w:basedOn w:val="DefaultParagraphFont"/>
    <w:link w:val="BalloonText"/>
    <w:uiPriority w:val="99"/>
    <w:semiHidden/>
    <w:rsid w:val="003A2672"/>
    <w:rPr>
      <w:rFonts w:ascii="Tahoma" w:eastAsia="Times New Roman" w:hAnsi="Tahoma" w:cs="Tahoma"/>
      <w:snapToGrid w:val="0"/>
      <w:kern w:val="28"/>
      <w:sz w:val="16"/>
      <w:szCs w:val="16"/>
    </w:rPr>
  </w:style>
  <w:style w:type="character" w:styleId="CommentReference">
    <w:name w:val="annotation reference"/>
    <w:basedOn w:val="DefaultParagraphFont"/>
    <w:uiPriority w:val="99"/>
    <w:semiHidden/>
    <w:unhideWhenUsed/>
    <w:rsid w:val="00821BC9"/>
    <w:rPr>
      <w:sz w:val="16"/>
      <w:szCs w:val="16"/>
    </w:rPr>
  </w:style>
  <w:style w:type="paragraph" w:styleId="CommentText">
    <w:name w:val="annotation text"/>
    <w:basedOn w:val="Normal"/>
    <w:link w:val="CommentTextChar"/>
    <w:uiPriority w:val="99"/>
    <w:semiHidden/>
    <w:unhideWhenUsed/>
    <w:rsid w:val="00821BC9"/>
    <w:rPr>
      <w:sz w:val="20"/>
    </w:rPr>
  </w:style>
  <w:style w:type="character" w:customStyle="1" w:styleId="CommentTextChar">
    <w:name w:val="Comment Text Char"/>
    <w:basedOn w:val="DefaultParagraphFont"/>
    <w:link w:val="CommentText"/>
    <w:uiPriority w:val="99"/>
    <w:semiHidden/>
    <w:rsid w:val="00821BC9"/>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821BC9"/>
    <w:rPr>
      <w:b/>
      <w:bCs/>
    </w:rPr>
  </w:style>
  <w:style w:type="character" w:customStyle="1" w:styleId="CommentSubjectChar">
    <w:name w:val="Comment Subject Char"/>
    <w:basedOn w:val="CommentTextChar"/>
    <w:link w:val="CommentSubject"/>
    <w:uiPriority w:val="99"/>
    <w:semiHidden/>
    <w:rsid w:val="00821BC9"/>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907167"/>
    <w:pPr>
      <w:ind w:left="720"/>
      <w:contextualSpacing/>
    </w:pPr>
  </w:style>
  <w:style w:type="paragraph" w:styleId="NormalWeb">
    <w:name w:val="Normal (Web)"/>
    <w:basedOn w:val="Normal"/>
    <w:uiPriority w:val="99"/>
    <w:semiHidden/>
    <w:unhideWhenUsed/>
    <w:rsid w:val="006D12B6"/>
    <w:pPr>
      <w:widowControl/>
      <w:spacing w:before="240" w:after="240"/>
    </w:pPr>
    <w:rPr>
      <w:snapToGrid/>
      <w:kern w:val="0"/>
      <w:sz w:val="24"/>
      <w:szCs w:val="24"/>
    </w:rPr>
  </w:style>
  <w:style w:type="paragraph" w:styleId="Revision">
    <w:name w:val="Revision"/>
    <w:hidden/>
    <w:uiPriority w:val="99"/>
    <w:semiHidden/>
    <w:rsid w:val="00C01697"/>
    <w:pPr>
      <w:spacing w:after="0" w:line="240" w:lineRule="auto"/>
    </w:pPr>
    <w:rPr>
      <w:rFonts w:ascii="Times New Roman" w:eastAsia="Times New Roman" w:hAnsi="Times New Roman" w:cs="Times New Roman"/>
      <w:snapToGrid w:val="0"/>
      <w:kern w:val="28"/>
      <w:szCs w:val="20"/>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9150C3"/>
    <w:rPr>
      <w:noProof w:val="0"/>
      <w:lang w:val="en-US" w:eastAsia="en-US" w:bidi="ar-SA"/>
    </w:rPr>
  </w:style>
  <w:style w:type="paragraph" w:customStyle="1" w:styleId="par1">
    <w:name w:val="par1"/>
    <w:basedOn w:val="Normal"/>
    <w:link w:val="par1Char"/>
    <w:rsid w:val="00D71382"/>
    <w:pPr>
      <w:tabs>
        <w:tab w:val="num" w:pos="990"/>
      </w:tabs>
      <w:autoSpaceDE w:val="0"/>
      <w:autoSpaceDN w:val="0"/>
      <w:adjustRightInd w:val="0"/>
      <w:ind w:left="-90" w:firstLine="720"/>
    </w:pPr>
    <w:rPr>
      <w:snapToGrid/>
      <w:kern w:val="0"/>
      <w:szCs w:val="22"/>
    </w:rPr>
  </w:style>
  <w:style w:type="character" w:customStyle="1" w:styleId="par1Char">
    <w:name w:val="par1 Char"/>
    <w:link w:val="par1"/>
    <w:locked/>
    <w:rsid w:val="00D71382"/>
    <w:rPr>
      <w:rFonts w:ascii="Times New Roman" w:eastAsia="Times New Roman" w:hAnsi="Times New Roman" w:cs="Times New Roman"/>
    </w:rPr>
  </w:style>
  <w:style w:type="paragraph" w:customStyle="1" w:styleId="StyleParaNumAfter0pt">
    <w:name w:val="Style ParaNum + After:  0 pt"/>
    <w:basedOn w:val="Normal"/>
    <w:autoRedefine/>
    <w:rsid w:val="0000069D"/>
    <w:pPr>
      <w:numPr>
        <w:numId w:val="1"/>
      </w:numPr>
      <w:tabs>
        <w:tab w:val="clear" w:pos="3960"/>
        <w:tab w:val="left" w:pos="1800"/>
      </w:tabs>
      <w:autoSpaceDE w:val="0"/>
      <w:autoSpaceDN w:val="0"/>
      <w:adjustRightInd w:val="0"/>
      <w:spacing w:after="120"/>
      <w:ind w:left="1886" w:hanging="446"/>
    </w:pPr>
    <w:rPr>
      <w:snapToGrid/>
      <w:kern w:val="0"/>
      <w:szCs w:val="22"/>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F25969"/>
    <w:rPr>
      <w:rFonts w:cs="Times New Roman"/>
      <w:lang w:val="en-US" w:eastAsia="en-US" w:bidi="ar-SA"/>
    </w:rPr>
  </w:style>
  <w:style w:type="character" w:customStyle="1" w:styleId="Normal2">
    <w:name w:val="Normal2"/>
    <w:rsid w:val="007C7BDF"/>
  </w:style>
  <w:style w:type="character" w:styleId="FollowedHyperlink">
    <w:name w:val="FollowedHyperlink"/>
    <w:basedOn w:val="DefaultParagraphFont"/>
    <w:uiPriority w:val="99"/>
    <w:semiHidden/>
    <w:unhideWhenUsed/>
    <w:rsid w:val="00A81766"/>
    <w:rPr>
      <w:color w:val="800080" w:themeColor="followedHyperlink"/>
      <w:u w:val="single"/>
    </w:rPr>
  </w:style>
  <w:style w:type="paragraph" w:styleId="EndnoteText">
    <w:name w:val="endnote text"/>
    <w:basedOn w:val="Normal"/>
    <w:link w:val="EndnoteTextChar"/>
    <w:semiHidden/>
    <w:rsid w:val="00634CE7"/>
    <w:rPr>
      <w:sz w:val="20"/>
    </w:rPr>
  </w:style>
  <w:style w:type="character" w:customStyle="1" w:styleId="EndnoteTextChar">
    <w:name w:val="Endnote Text Char"/>
    <w:basedOn w:val="DefaultParagraphFont"/>
    <w:link w:val="EndnoteText"/>
    <w:semiHidden/>
    <w:rsid w:val="00C251D2"/>
    <w:rPr>
      <w:rFonts w:ascii="Times New Roman" w:eastAsia="Times New Roman" w:hAnsi="Times New Roman" w:cs="Times New Roman"/>
      <w:snapToGrid w:val="0"/>
      <w:kern w:val="28"/>
      <w:sz w:val="20"/>
      <w:szCs w:val="20"/>
    </w:rPr>
  </w:style>
  <w:style w:type="character" w:styleId="EndnoteReference">
    <w:name w:val="endnote reference"/>
    <w:semiHidden/>
    <w:rsid w:val="00634CE7"/>
    <w:rPr>
      <w:vertAlign w:val="superscript"/>
    </w:rPr>
  </w:style>
  <w:style w:type="paragraph" w:styleId="TOC1">
    <w:name w:val="toc 1"/>
    <w:basedOn w:val="Normal"/>
    <w:next w:val="Normal"/>
    <w:semiHidden/>
    <w:rsid w:val="00634C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4CE7"/>
    <w:pPr>
      <w:tabs>
        <w:tab w:val="left" w:pos="720"/>
        <w:tab w:val="right" w:leader="dot" w:pos="9360"/>
      </w:tabs>
      <w:suppressAutoHyphens/>
      <w:ind w:left="720" w:right="720" w:hanging="360"/>
    </w:pPr>
    <w:rPr>
      <w:noProof/>
    </w:rPr>
  </w:style>
  <w:style w:type="paragraph" w:styleId="TOC3">
    <w:name w:val="toc 3"/>
    <w:basedOn w:val="Normal"/>
    <w:next w:val="Normal"/>
    <w:semiHidden/>
    <w:rsid w:val="00634C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4C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4C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4C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4C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4C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4C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4CE7"/>
    <w:pPr>
      <w:tabs>
        <w:tab w:val="right" w:pos="9360"/>
      </w:tabs>
      <w:suppressAutoHyphens/>
    </w:pPr>
  </w:style>
  <w:style w:type="character" w:customStyle="1" w:styleId="EquationCaption">
    <w:name w:val="_Equation Caption"/>
    <w:rsid w:val="00634CE7"/>
  </w:style>
  <w:style w:type="paragraph" w:styleId="BlockText">
    <w:name w:val="Block Text"/>
    <w:basedOn w:val="Normal"/>
    <w:rsid w:val="00634CE7"/>
    <w:pPr>
      <w:spacing w:after="240"/>
      <w:ind w:left="1440" w:right="1440"/>
    </w:pPr>
  </w:style>
  <w:style w:type="paragraph" w:customStyle="1" w:styleId="Paratitle">
    <w:name w:val="Para title"/>
    <w:basedOn w:val="Normal"/>
    <w:rsid w:val="00634CE7"/>
    <w:pPr>
      <w:tabs>
        <w:tab w:val="center" w:pos="9270"/>
      </w:tabs>
      <w:spacing w:after="240"/>
    </w:pPr>
    <w:rPr>
      <w:spacing w:val="-2"/>
    </w:rPr>
  </w:style>
  <w:style w:type="paragraph" w:customStyle="1" w:styleId="Bullet">
    <w:name w:val="Bullet"/>
    <w:basedOn w:val="Normal"/>
    <w:rsid w:val="00634CE7"/>
    <w:pPr>
      <w:tabs>
        <w:tab w:val="left" w:pos="2160"/>
      </w:tabs>
      <w:spacing w:after="220"/>
      <w:ind w:left="2160" w:hanging="720"/>
    </w:pPr>
  </w:style>
  <w:style w:type="paragraph" w:customStyle="1" w:styleId="TableFormat">
    <w:name w:val="TableFormat"/>
    <w:basedOn w:val="Bullet"/>
    <w:rsid w:val="00634CE7"/>
    <w:pPr>
      <w:tabs>
        <w:tab w:val="clear" w:pos="2160"/>
        <w:tab w:val="left" w:pos="5040"/>
      </w:tabs>
      <w:ind w:left="5040" w:hanging="3600"/>
    </w:pPr>
  </w:style>
  <w:style w:type="paragraph" w:customStyle="1" w:styleId="TOCTitle">
    <w:name w:val="TOC Title"/>
    <w:basedOn w:val="Normal"/>
    <w:rsid w:val="00634C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4CE7"/>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48250">
      <w:bodyDiv w:val="1"/>
      <w:marLeft w:val="0"/>
      <w:marRight w:val="0"/>
      <w:marTop w:val="0"/>
      <w:marBottom w:val="0"/>
      <w:divBdr>
        <w:top w:val="single" w:sz="48" w:space="0" w:color="0A559C"/>
        <w:left w:val="none" w:sz="0" w:space="0" w:color="auto"/>
        <w:bottom w:val="none" w:sz="0" w:space="0" w:color="auto"/>
        <w:right w:val="none" w:sz="0" w:space="0" w:color="auto"/>
      </w:divBdr>
      <w:divsChild>
        <w:div w:id="675037769">
          <w:marLeft w:val="0"/>
          <w:marRight w:val="0"/>
          <w:marTop w:val="0"/>
          <w:marBottom w:val="0"/>
          <w:divBdr>
            <w:top w:val="none" w:sz="0" w:space="0" w:color="auto"/>
            <w:left w:val="none" w:sz="0" w:space="0" w:color="auto"/>
            <w:bottom w:val="none" w:sz="0" w:space="0" w:color="auto"/>
            <w:right w:val="none" w:sz="0" w:space="0" w:color="auto"/>
          </w:divBdr>
          <w:divsChild>
            <w:div w:id="208116817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5125</Words>
  <Characters>28474</Characters>
  <Application>Microsoft Office Word</Application>
  <DocSecurity>0</DocSecurity>
  <PresentationFormat/>
  <Lines>483</Lines>
  <Paragraphs>118</Paragraphs>
  <ScaleCrop>false</ScaleCrop>
  <HeadingPairs>
    <vt:vector size="2" baseType="variant">
      <vt:variant>
        <vt:lpstr>Title</vt:lpstr>
      </vt:variant>
      <vt:variant>
        <vt:i4>1</vt:i4>
      </vt:variant>
    </vt:vector>
  </HeadingPairs>
  <TitlesOfParts>
    <vt:vector size="1" baseType="lpstr">
      <vt:lpstr>REDLINE OF 3 YEAR CONSENT DECREE (00054827).PDF</vt:lpstr>
    </vt:vector>
  </TitlesOfParts>
  <Manager/>
  <Company/>
  <LinksUpToDate>false</LinksUpToDate>
  <CharactersWithSpaces>33642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2014-06-04T19:58:00Z</dcterms:created>
  <dcterms:modified xsi:type="dcterms:W3CDTF">2014-06-04T19:58:00Z</dcterms:modified>
  <cp:category> </cp:category>
  <cp:contentStatus> </cp:contentStatus>
</cp:coreProperties>
</file>