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0EE0" w14:textId="77777777" w:rsidR="00412F12" w:rsidRPr="00DF0B55" w:rsidRDefault="00412F12" w:rsidP="00DF0B55">
      <w:pPr>
        <w:jc w:val="center"/>
        <w:rPr>
          <w:b/>
          <w:sz w:val="22"/>
          <w:szCs w:val="22"/>
        </w:rPr>
      </w:pPr>
      <w:bookmarkStart w:id="0" w:name="OLE_LINK1"/>
      <w:bookmarkStart w:id="1" w:name="OLE_LINK2"/>
      <w:bookmarkStart w:id="2" w:name="_GoBack"/>
      <w:bookmarkEnd w:id="2"/>
      <w:r w:rsidRPr="00DF0B55">
        <w:rPr>
          <w:b/>
          <w:sz w:val="22"/>
          <w:szCs w:val="22"/>
        </w:rPr>
        <w:t>Before the</w:t>
      </w:r>
    </w:p>
    <w:p w14:paraId="4D7580B0" w14:textId="77777777" w:rsidR="00412F12" w:rsidRPr="00041014" w:rsidRDefault="00412F12" w:rsidP="006B6DE1">
      <w:pPr>
        <w:jc w:val="center"/>
        <w:rPr>
          <w:b/>
          <w:sz w:val="22"/>
          <w:szCs w:val="22"/>
        </w:rPr>
      </w:pPr>
      <w:r w:rsidRPr="00041014">
        <w:rPr>
          <w:b/>
          <w:sz w:val="22"/>
          <w:szCs w:val="22"/>
        </w:rPr>
        <w:t>Federal Communications Commission</w:t>
      </w:r>
    </w:p>
    <w:p w14:paraId="2FD6CD8F" w14:textId="77777777" w:rsidR="00412F12" w:rsidRPr="00B352D3" w:rsidRDefault="00412F12" w:rsidP="006B6DE1">
      <w:pPr>
        <w:jc w:val="center"/>
        <w:rPr>
          <w:b/>
          <w:sz w:val="22"/>
        </w:rPr>
      </w:pPr>
      <w:smartTag w:uri="urn:schemas-microsoft-com:office:smarttags" w:element="country-region">
        <w:smartTag w:uri="urn:schemas-microsoft-com:office:smarttags" w:element="place">
          <w:smartTag w:uri="urn:schemas-microsoft-com:office:smarttags" w:element="City">
            <w:r w:rsidRPr="00041014">
              <w:rPr>
                <w:b/>
                <w:sz w:val="22"/>
                <w:szCs w:val="22"/>
              </w:rPr>
              <w:t>Washington</w:t>
            </w:r>
          </w:smartTag>
        </w:smartTag>
        <w:r w:rsidRPr="00041014">
          <w:rPr>
            <w:b/>
            <w:sz w:val="22"/>
            <w:szCs w:val="22"/>
          </w:rPr>
          <w:t xml:space="preserve">, </w:t>
        </w:r>
        <w:smartTag w:uri="urn:schemas-microsoft-com:office:smarttags" w:element="country-region">
          <w:smartTag w:uri="urn:schemas-microsoft-com:office:smarttags" w:element="State">
            <w:r w:rsidRPr="00041014">
              <w:rPr>
                <w:b/>
                <w:sz w:val="22"/>
                <w:szCs w:val="22"/>
              </w:rPr>
              <w:t>D.C.</w:t>
            </w:r>
          </w:smartTag>
        </w:smartTag>
        <w:r w:rsidRPr="00041014">
          <w:rPr>
            <w:b/>
            <w:sz w:val="22"/>
            <w:szCs w:val="22"/>
          </w:rPr>
          <w:t xml:space="preserve"> </w:t>
        </w:r>
        <w:smartTag w:uri="urn:schemas-microsoft-com:office:smarttags" w:element="country-region">
          <w:smartTag w:uri="urn:schemas-microsoft-com:office:smarttags" w:element="PostalCode">
            <w:r w:rsidRPr="00041014">
              <w:rPr>
                <w:b/>
                <w:sz w:val="22"/>
                <w:szCs w:val="22"/>
              </w:rPr>
              <w:t>20554</w:t>
            </w:r>
          </w:smartTag>
        </w:smartTag>
      </w:smartTag>
    </w:p>
    <w:p w14:paraId="5E98B6D2" w14:textId="77777777" w:rsidR="00412F12" w:rsidRPr="00B352D3" w:rsidRDefault="00412F12" w:rsidP="006B6DE1"/>
    <w:tbl>
      <w:tblPr>
        <w:tblW w:w="9576" w:type="dxa"/>
        <w:tblLook w:val="0000" w:firstRow="0" w:lastRow="0" w:firstColumn="0" w:lastColumn="0" w:noHBand="0" w:noVBand="0"/>
      </w:tblPr>
      <w:tblGrid>
        <w:gridCol w:w="4428"/>
        <w:gridCol w:w="1080"/>
        <w:gridCol w:w="4068"/>
      </w:tblGrid>
      <w:tr w:rsidR="00412F12" w:rsidRPr="006D074C" w14:paraId="07FB31B5" w14:textId="77777777" w:rsidTr="00B352D3">
        <w:tc>
          <w:tcPr>
            <w:tcW w:w="4428" w:type="dxa"/>
          </w:tcPr>
          <w:p w14:paraId="23AA8842" w14:textId="77777777" w:rsidR="00412F12" w:rsidRPr="006D074C" w:rsidRDefault="00412F12" w:rsidP="002E09E0">
            <w:pPr>
              <w:keepNext/>
            </w:pPr>
          </w:p>
          <w:p w14:paraId="603A0A04" w14:textId="77777777" w:rsidR="00412F12" w:rsidRPr="00501122" w:rsidRDefault="00412F12" w:rsidP="002E09E0">
            <w:pPr>
              <w:keepNext/>
            </w:pPr>
            <w:r w:rsidRPr="00501122">
              <w:rPr>
                <w:sz w:val="22"/>
                <w:szCs w:val="22"/>
              </w:rPr>
              <w:t>In the Matter of</w:t>
            </w:r>
          </w:p>
          <w:p w14:paraId="2D9F2494" w14:textId="77777777" w:rsidR="00412F12" w:rsidRPr="00501122" w:rsidRDefault="00412F12" w:rsidP="002E09E0">
            <w:pPr>
              <w:keepNext/>
            </w:pPr>
          </w:p>
          <w:p w14:paraId="348C276E" w14:textId="60C02B89" w:rsidR="00412F12" w:rsidRPr="00501122" w:rsidRDefault="00412F12" w:rsidP="002E09E0">
            <w:pPr>
              <w:keepNext/>
            </w:pPr>
            <w:r>
              <w:rPr>
                <w:sz w:val="22"/>
                <w:szCs w:val="22"/>
              </w:rPr>
              <w:t>Intel Corporation</w:t>
            </w:r>
          </w:p>
        </w:tc>
        <w:tc>
          <w:tcPr>
            <w:tcW w:w="1080" w:type="dxa"/>
          </w:tcPr>
          <w:p w14:paraId="7FD17D33" w14:textId="77777777" w:rsidR="00412F12" w:rsidRPr="00501122" w:rsidRDefault="00412F12" w:rsidP="002E09E0">
            <w:pPr>
              <w:keepNext/>
            </w:pPr>
            <w:r>
              <w:rPr>
                <w:sz w:val="22"/>
                <w:szCs w:val="22"/>
              </w:rPr>
              <w:t xml:space="preserve">    </w:t>
            </w:r>
            <w:r w:rsidRPr="00501122">
              <w:rPr>
                <w:sz w:val="22"/>
                <w:szCs w:val="22"/>
              </w:rPr>
              <w:t>)</w:t>
            </w:r>
          </w:p>
          <w:p w14:paraId="22BD105B" w14:textId="77777777" w:rsidR="00412F12" w:rsidRPr="00501122" w:rsidRDefault="00412F12" w:rsidP="002E09E0">
            <w:pPr>
              <w:keepNext/>
            </w:pPr>
            <w:r>
              <w:rPr>
                <w:sz w:val="22"/>
                <w:szCs w:val="22"/>
              </w:rPr>
              <w:t xml:space="preserve">    </w:t>
            </w:r>
            <w:r w:rsidRPr="00501122">
              <w:rPr>
                <w:sz w:val="22"/>
                <w:szCs w:val="22"/>
              </w:rPr>
              <w:t>)</w:t>
            </w:r>
          </w:p>
          <w:p w14:paraId="4A292C3B" w14:textId="77777777" w:rsidR="00412F12" w:rsidRPr="00501122" w:rsidRDefault="00412F12" w:rsidP="002E09E0">
            <w:pPr>
              <w:keepNext/>
            </w:pPr>
            <w:r>
              <w:rPr>
                <w:sz w:val="22"/>
                <w:szCs w:val="22"/>
              </w:rPr>
              <w:t xml:space="preserve">    </w:t>
            </w:r>
            <w:r w:rsidRPr="00501122">
              <w:rPr>
                <w:sz w:val="22"/>
                <w:szCs w:val="22"/>
              </w:rPr>
              <w:t>)</w:t>
            </w:r>
          </w:p>
          <w:p w14:paraId="28929D9D" w14:textId="77777777" w:rsidR="00412F12" w:rsidRPr="00501122" w:rsidRDefault="00412F12" w:rsidP="002E09E0">
            <w:pPr>
              <w:keepNext/>
            </w:pPr>
            <w:r>
              <w:rPr>
                <w:sz w:val="22"/>
                <w:szCs w:val="22"/>
              </w:rPr>
              <w:t xml:space="preserve">    </w:t>
            </w:r>
            <w:r w:rsidRPr="00501122">
              <w:rPr>
                <w:sz w:val="22"/>
                <w:szCs w:val="22"/>
              </w:rPr>
              <w:t>)</w:t>
            </w:r>
          </w:p>
          <w:p w14:paraId="1BB56322" w14:textId="77777777" w:rsidR="00412F12" w:rsidRDefault="00412F12" w:rsidP="002E09E0">
            <w:pPr>
              <w:keepNext/>
            </w:pPr>
            <w:r>
              <w:rPr>
                <w:sz w:val="22"/>
                <w:szCs w:val="22"/>
              </w:rPr>
              <w:t xml:space="preserve">    </w:t>
            </w:r>
            <w:r w:rsidRPr="00501122">
              <w:rPr>
                <w:sz w:val="22"/>
                <w:szCs w:val="22"/>
              </w:rPr>
              <w:t>)</w:t>
            </w:r>
          </w:p>
          <w:p w14:paraId="18A8D3B0" w14:textId="08C6DD9C" w:rsidR="00412F12" w:rsidRPr="00501122" w:rsidRDefault="00412F12" w:rsidP="002E09E0">
            <w:pPr>
              <w:keepNext/>
            </w:pPr>
            <w:r>
              <w:rPr>
                <w:sz w:val="22"/>
                <w:szCs w:val="22"/>
              </w:rPr>
              <w:t xml:space="preserve">    ) </w:t>
            </w:r>
          </w:p>
        </w:tc>
        <w:tc>
          <w:tcPr>
            <w:tcW w:w="4068" w:type="dxa"/>
          </w:tcPr>
          <w:p w14:paraId="1FCDD397" w14:textId="50305188" w:rsidR="00412F12" w:rsidRPr="00501122" w:rsidRDefault="00412F12" w:rsidP="00B352D3">
            <w:pPr>
              <w:ind w:left="-108" w:firstLine="108"/>
              <w:rPr>
                <w:spacing w:val="-2"/>
              </w:rPr>
            </w:pPr>
            <w:r>
              <w:rPr>
                <w:spacing w:val="-2"/>
                <w:sz w:val="22"/>
                <w:szCs w:val="22"/>
              </w:rPr>
              <w:t xml:space="preserve">               File No.:  </w:t>
            </w:r>
            <w:r w:rsidRPr="00501122">
              <w:rPr>
                <w:spacing w:val="-2"/>
                <w:sz w:val="22"/>
                <w:szCs w:val="22"/>
              </w:rPr>
              <w:t>EB-</w:t>
            </w:r>
            <w:r>
              <w:rPr>
                <w:spacing w:val="-2"/>
                <w:sz w:val="22"/>
                <w:szCs w:val="22"/>
              </w:rPr>
              <w:t>SED-13-00007036</w:t>
            </w:r>
            <w:r>
              <w:rPr>
                <w:rStyle w:val="FootnoteReference"/>
                <w:spacing w:val="-2"/>
                <w:szCs w:val="22"/>
              </w:rPr>
              <w:footnoteReference w:id="2"/>
            </w:r>
          </w:p>
          <w:p w14:paraId="363B1ABA" w14:textId="77777777" w:rsidR="00412F12" w:rsidRPr="00B352D3" w:rsidRDefault="00412F12" w:rsidP="00B352D3">
            <w:pPr>
              <w:ind w:left="-108" w:firstLine="108"/>
            </w:pPr>
          </w:p>
          <w:p w14:paraId="147D275E" w14:textId="4753221A" w:rsidR="00412F12" w:rsidRPr="00CD14D8" w:rsidRDefault="00412F12" w:rsidP="002E09E0">
            <w:pPr>
              <w:rPr>
                <w:spacing w:val="-2"/>
              </w:rPr>
            </w:pPr>
            <w:r>
              <w:rPr>
                <w:spacing w:val="-2"/>
                <w:sz w:val="22"/>
                <w:szCs w:val="22"/>
              </w:rPr>
              <w:t xml:space="preserve">               </w:t>
            </w:r>
            <w:r w:rsidRPr="00CD14D8">
              <w:rPr>
                <w:spacing w:val="-2"/>
                <w:sz w:val="22"/>
                <w:szCs w:val="22"/>
              </w:rPr>
              <w:t xml:space="preserve">Acct. No.: </w:t>
            </w:r>
            <w:r w:rsidRPr="007E57F8">
              <w:rPr>
                <w:spacing w:val="-2"/>
                <w:sz w:val="22"/>
                <w:szCs w:val="22"/>
              </w:rPr>
              <w:t>201432100006</w:t>
            </w:r>
            <w:r w:rsidRPr="00CD14D8">
              <w:rPr>
                <w:spacing w:val="-2"/>
                <w:sz w:val="22"/>
                <w:szCs w:val="22"/>
              </w:rPr>
              <w:t xml:space="preserve"> </w:t>
            </w:r>
          </w:p>
          <w:p w14:paraId="205BF3CD" w14:textId="77777777" w:rsidR="00412F12" w:rsidRPr="00CD14D8" w:rsidRDefault="00412F12" w:rsidP="002E09E0">
            <w:pPr>
              <w:rPr>
                <w:spacing w:val="-2"/>
              </w:rPr>
            </w:pPr>
          </w:p>
          <w:p w14:paraId="02A4D139" w14:textId="4161984C" w:rsidR="00412F12" w:rsidRPr="00501122" w:rsidRDefault="00412F12" w:rsidP="00B352D3">
            <w:pPr>
              <w:keepNext/>
            </w:pPr>
            <w:r>
              <w:rPr>
                <w:sz w:val="22"/>
                <w:szCs w:val="22"/>
              </w:rPr>
              <w:t xml:space="preserve">               </w:t>
            </w:r>
            <w:r w:rsidRPr="00BB2208">
              <w:rPr>
                <w:sz w:val="22"/>
                <w:szCs w:val="22"/>
              </w:rPr>
              <w:t xml:space="preserve">FRN:  </w:t>
            </w:r>
            <w:r w:rsidR="00B352D3">
              <w:rPr>
                <w:sz w:val="22"/>
                <w:szCs w:val="22"/>
              </w:rPr>
              <w:t>0007775034</w:t>
            </w:r>
          </w:p>
        </w:tc>
      </w:tr>
    </w:tbl>
    <w:p w14:paraId="3E76768F" w14:textId="77777777" w:rsidR="00412F12" w:rsidRPr="006D074C" w:rsidRDefault="00412F12" w:rsidP="003A16C0">
      <w:pPr>
        <w:tabs>
          <w:tab w:val="left" w:pos="-720"/>
        </w:tabs>
        <w:suppressAutoHyphens/>
        <w:spacing w:line="227" w:lineRule="auto"/>
        <w:jc w:val="both"/>
        <w:rPr>
          <w:spacing w:val="-2"/>
          <w:sz w:val="22"/>
          <w:szCs w:val="22"/>
        </w:rPr>
      </w:pPr>
    </w:p>
    <w:p w14:paraId="61AF12E8" w14:textId="77777777" w:rsidR="00412F12" w:rsidRDefault="00412F12" w:rsidP="003A16C0">
      <w:pPr>
        <w:tabs>
          <w:tab w:val="left" w:pos="-720"/>
        </w:tabs>
        <w:suppressAutoHyphens/>
        <w:spacing w:line="227" w:lineRule="auto"/>
        <w:jc w:val="center"/>
        <w:rPr>
          <w:b/>
          <w:spacing w:val="-2"/>
          <w:sz w:val="22"/>
          <w:szCs w:val="22"/>
        </w:rPr>
      </w:pPr>
      <w:r>
        <w:rPr>
          <w:b/>
          <w:spacing w:val="-2"/>
          <w:sz w:val="22"/>
          <w:szCs w:val="22"/>
        </w:rPr>
        <w:t>ORDER</w:t>
      </w:r>
    </w:p>
    <w:p w14:paraId="147528A6" w14:textId="77777777" w:rsidR="00412F12" w:rsidRPr="00235CE7" w:rsidRDefault="00412F12" w:rsidP="003A16C0">
      <w:pPr>
        <w:tabs>
          <w:tab w:val="left" w:pos="-720"/>
        </w:tabs>
        <w:suppressAutoHyphens/>
        <w:spacing w:line="227" w:lineRule="auto"/>
        <w:jc w:val="center"/>
        <w:rPr>
          <w:b/>
          <w:spacing w:val="-2"/>
          <w:sz w:val="22"/>
          <w:szCs w:val="22"/>
        </w:rPr>
      </w:pPr>
    </w:p>
    <w:p w14:paraId="6DA51E07" w14:textId="638E794A" w:rsidR="00412F12" w:rsidRPr="006D074C" w:rsidRDefault="00412F12" w:rsidP="003A16C0">
      <w:pPr>
        <w:tabs>
          <w:tab w:val="left" w:pos="720"/>
          <w:tab w:val="left" w:pos="5400"/>
        </w:tabs>
        <w:suppressAutoHyphens/>
        <w:spacing w:line="227" w:lineRule="auto"/>
        <w:jc w:val="both"/>
        <w:rPr>
          <w:spacing w:val="-2"/>
          <w:sz w:val="22"/>
          <w:szCs w:val="22"/>
        </w:rPr>
      </w:pPr>
      <w:r w:rsidRPr="006D074C">
        <w:rPr>
          <w:b/>
          <w:spacing w:val="-2"/>
          <w:sz w:val="22"/>
          <w:szCs w:val="22"/>
        </w:rPr>
        <w:t>Adopted:</w:t>
      </w:r>
      <w:r>
        <w:rPr>
          <w:b/>
          <w:spacing w:val="-2"/>
          <w:sz w:val="22"/>
          <w:szCs w:val="22"/>
        </w:rPr>
        <w:t xml:space="preserve">   </w:t>
      </w:r>
      <w:r w:rsidR="00A17158" w:rsidRPr="00A17158">
        <w:rPr>
          <w:b/>
          <w:spacing w:val="-2"/>
          <w:sz w:val="22"/>
          <w:szCs w:val="22"/>
        </w:rPr>
        <w:t>July 2</w:t>
      </w:r>
      <w:r w:rsidRPr="00A17158">
        <w:rPr>
          <w:b/>
          <w:spacing w:val="-2"/>
          <w:sz w:val="22"/>
          <w:szCs w:val="22"/>
        </w:rPr>
        <w:t xml:space="preserve">, 2014  </w:t>
      </w:r>
      <w:r w:rsidRPr="00A17158">
        <w:rPr>
          <w:b/>
          <w:spacing w:val="-2"/>
          <w:sz w:val="22"/>
          <w:szCs w:val="22"/>
        </w:rPr>
        <w:tab/>
      </w:r>
      <w:r w:rsidRPr="00A17158">
        <w:rPr>
          <w:b/>
          <w:spacing w:val="-2"/>
          <w:sz w:val="22"/>
          <w:szCs w:val="22"/>
        </w:rPr>
        <w:tab/>
      </w:r>
      <w:r w:rsidRPr="00A17158">
        <w:rPr>
          <w:b/>
          <w:spacing w:val="-2"/>
          <w:sz w:val="22"/>
          <w:szCs w:val="22"/>
        </w:rPr>
        <w:tab/>
        <w:t xml:space="preserve">   Released: </w:t>
      </w:r>
      <w:r w:rsidR="00A17158" w:rsidRPr="00A17158">
        <w:rPr>
          <w:b/>
          <w:spacing w:val="-2"/>
          <w:sz w:val="22"/>
          <w:szCs w:val="22"/>
        </w:rPr>
        <w:t>July 2</w:t>
      </w:r>
      <w:r w:rsidRPr="00A17158">
        <w:rPr>
          <w:b/>
          <w:spacing w:val="-2"/>
          <w:sz w:val="22"/>
          <w:szCs w:val="22"/>
        </w:rPr>
        <w:t>, 2014</w:t>
      </w:r>
      <w:r>
        <w:rPr>
          <w:b/>
          <w:spacing w:val="-2"/>
          <w:sz w:val="22"/>
          <w:szCs w:val="22"/>
        </w:rPr>
        <w:t xml:space="preserve"> </w:t>
      </w:r>
    </w:p>
    <w:p w14:paraId="727DD572" w14:textId="77777777" w:rsidR="00412F12" w:rsidRPr="006D074C" w:rsidRDefault="00412F12" w:rsidP="003A16C0">
      <w:pPr>
        <w:jc w:val="both"/>
        <w:rPr>
          <w:sz w:val="22"/>
          <w:szCs w:val="22"/>
        </w:rPr>
      </w:pPr>
    </w:p>
    <w:p w14:paraId="60726DA0" w14:textId="5B204EC9" w:rsidR="00412F12" w:rsidRPr="00F73616" w:rsidRDefault="00412F12" w:rsidP="003A16C0">
      <w:pPr>
        <w:jc w:val="both"/>
        <w:rPr>
          <w:sz w:val="22"/>
          <w:szCs w:val="22"/>
        </w:rPr>
      </w:pPr>
      <w:r w:rsidRPr="00F73616">
        <w:rPr>
          <w:sz w:val="22"/>
          <w:szCs w:val="22"/>
        </w:rPr>
        <w:t xml:space="preserve">By the </w:t>
      </w:r>
      <w:r w:rsidR="007950DD">
        <w:rPr>
          <w:sz w:val="22"/>
          <w:szCs w:val="22"/>
        </w:rPr>
        <w:t>Acting</w:t>
      </w:r>
      <w:r>
        <w:rPr>
          <w:sz w:val="22"/>
          <w:szCs w:val="22"/>
        </w:rPr>
        <w:t xml:space="preserve"> </w:t>
      </w:r>
      <w:r w:rsidRPr="00F73616">
        <w:rPr>
          <w:sz w:val="22"/>
          <w:szCs w:val="22"/>
        </w:rPr>
        <w:t xml:space="preserve">Chief, Enforcement Bureau: </w:t>
      </w:r>
    </w:p>
    <w:p w14:paraId="20E46CAB" w14:textId="77777777" w:rsidR="00412F12" w:rsidRPr="00F73616" w:rsidRDefault="00412F12" w:rsidP="003A16C0">
      <w:pPr>
        <w:jc w:val="both"/>
        <w:rPr>
          <w:sz w:val="22"/>
          <w:szCs w:val="22"/>
        </w:rPr>
      </w:pPr>
    </w:p>
    <w:p w14:paraId="762991EB" w14:textId="04A04D74" w:rsidR="00412F12" w:rsidRDefault="00412F12" w:rsidP="00F03979">
      <w:pPr>
        <w:pStyle w:val="Paranum0"/>
        <w:tabs>
          <w:tab w:val="clear" w:pos="1080"/>
          <w:tab w:val="num" w:pos="1440"/>
        </w:tabs>
        <w:spacing w:after="120"/>
        <w:jc w:val="left"/>
        <w:rPr>
          <w:szCs w:val="22"/>
        </w:rPr>
      </w:pPr>
      <w:r>
        <w:rPr>
          <w:szCs w:val="22"/>
        </w:rPr>
        <w:t xml:space="preserve">The Enforcement Bureau (Bureau) of the Federal Communications Commission (Commission) has resolved its investigation into whether Intel Corporation (Intel) complied with certain rules governing the importation, operation, and advertisement of prototype smartphones and tablets.  Intel manufactured and imported functioning prototypes of smartphones and tablets that its business customers could use to develop their own devices for potential sale to the general public.  Intel </w:t>
      </w:r>
      <w:r w:rsidR="00EF0C70">
        <w:rPr>
          <w:szCs w:val="22"/>
        </w:rPr>
        <w:t xml:space="preserve">admitted </w:t>
      </w:r>
      <w:r>
        <w:rPr>
          <w:szCs w:val="22"/>
        </w:rPr>
        <w:t xml:space="preserve">that its employees operated the prototypes under investigation before the company had obtained equipment authorization for these devices.  In addition, Intel </w:t>
      </w:r>
      <w:r w:rsidR="00602ED2">
        <w:rPr>
          <w:szCs w:val="22"/>
        </w:rPr>
        <w:t xml:space="preserve">admitted </w:t>
      </w:r>
      <w:r>
        <w:rPr>
          <w:szCs w:val="22"/>
        </w:rPr>
        <w:t xml:space="preserve">that it exceeded the importation limits in effect during the relevant period and that it displayed at a trade show a digital device model without the required notice to potential customers and the general public that the device had not yet been authorized by the Commission.  The Commission’s rules impose restrictions and conditions on these activities to ensure that unauthorized devices are not prematurely distributed to retailers and then sold to the general public; these devices, if not in full compliance with the Commission’s technical requirements, could cause harmful interference to other electronics and radio communications devices.  To resolve the investigation, Intel </w:t>
      </w:r>
      <w:r w:rsidR="007B60E0">
        <w:rPr>
          <w:szCs w:val="22"/>
        </w:rPr>
        <w:t xml:space="preserve">will </w:t>
      </w:r>
      <w:r>
        <w:rPr>
          <w:szCs w:val="22"/>
        </w:rPr>
        <w:t xml:space="preserve">pay $144,000 and implement a three-year compliance plan to ensure future compliance with these important requirements.  </w:t>
      </w:r>
    </w:p>
    <w:p w14:paraId="33CFCE3F" w14:textId="73647D94" w:rsidR="00412F12" w:rsidRDefault="00412F12" w:rsidP="00F03979">
      <w:pPr>
        <w:pStyle w:val="Paranum0"/>
        <w:tabs>
          <w:tab w:val="clear" w:pos="1080"/>
          <w:tab w:val="num" w:pos="1440"/>
        </w:tabs>
        <w:spacing w:after="120"/>
        <w:jc w:val="left"/>
        <w:rPr>
          <w:szCs w:val="22"/>
        </w:rPr>
      </w:pPr>
      <w:r w:rsidRPr="00F73616">
        <w:rPr>
          <w:szCs w:val="22"/>
        </w:rPr>
        <w:t xml:space="preserve">In this Order, we adopt the attached Consent Decree entered into between the </w:t>
      </w:r>
      <w:r w:rsidRPr="00F73616">
        <w:rPr>
          <w:bCs/>
          <w:szCs w:val="22"/>
        </w:rPr>
        <w:t>Bureau</w:t>
      </w:r>
      <w:r w:rsidRPr="00F73616">
        <w:rPr>
          <w:szCs w:val="22"/>
        </w:rPr>
        <w:t xml:space="preserve"> and </w:t>
      </w:r>
      <w:r>
        <w:rPr>
          <w:szCs w:val="22"/>
        </w:rPr>
        <w:t>Intel</w:t>
      </w:r>
      <w:r w:rsidRPr="00F73616">
        <w:rPr>
          <w:color w:val="000000"/>
          <w:szCs w:val="22"/>
        </w:rPr>
        <w:t xml:space="preserve">.  </w:t>
      </w:r>
      <w:r w:rsidRPr="00F73616">
        <w:rPr>
          <w:szCs w:val="22"/>
        </w:rPr>
        <w:t xml:space="preserve">The Consent Decree resolves and terminates the Bureau’s investigation into </w:t>
      </w:r>
      <w:r w:rsidRPr="004B0364">
        <w:rPr>
          <w:szCs w:val="22"/>
        </w:rPr>
        <w:t xml:space="preserve">possible violations of </w:t>
      </w:r>
      <w:r w:rsidRPr="00F73616">
        <w:rPr>
          <w:color w:val="000000"/>
          <w:szCs w:val="22"/>
        </w:rPr>
        <w:t>Section 302(b) of the Communications Act of 1934, as amended (Act)</w:t>
      </w:r>
      <w:r>
        <w:rPr>
          <w:color w:val="000000"/>
          <w:szCs w:val="22"/>
        </w:rPr>
        <w:t>,</w:t>
      </w:r>
      <w:r w:rsidRPr="00F73616">
        <w:rPr>
          <w:rStyle w:val="FootnoteReference"/>
          <w:szCs w:val="22"/>
        </w:rPr>
        <w:footnoteReference w:id="3"/>
      </w:r>
      <w:r w:rsidRPr="00F73616">
        <w:rPr>
          <w:color w:val="000000"/>
          <w:szCs w:val="22"/>
        </w:rPr>
        <w:t xml:space="preserve"> </w:t>
      </w:r>
      <w:r>
        <w:rPr>
          <w:color w:val="000000"/>
          <w:szCs w:val="22"/>
        </w:rPr>
        <w:t xml:space="preserve">and </w:t>
      </w:r>
      <w:r w:rsidRPr="004B0364">
        <w:rPr>
          <w:color w:val="000000"/>
          <w:szCs w:val="22"/>
        </w:rPr>
        <w:t>former Sections 2.803(c),</w:t>
      </w:r>
      <w:r w:rsidRPr="004B0364">
        <w:rPr>
          <w:color w:val="000000"/>
          <w:szCs w:val="22"/>
          <w:vertAlign w:val="superscript"/>
        </w:rPr>
        <w:footnoteReference w:id="4"/>
      </w:r>
      <w:r w:rsidRPr="004B0364">
        <w:rPr>
          <w:color w:val="000000"/>
          <w:szCs w:val="22"/>
        </w:rPr>
        <w:t xml:space="preserve"> 2.803(e),</w:t>
      </w:r>
      <w:r w:rsidRPr="004B0364">
        <w:rPr>
          <w:color w:val="000000"/>
          <w:szCs w:val="22"/>
          <w:vertAlign w:val="superscript"/>
        </w:rPr>
        <w:footnoteReference w:id="5"/>
      </w:r>
      <w:r w:rsidRPr="004B0364">
        <w:rPr>
          <w:color w:val="000000"/>
          <w:szCs w:val="22"/>
        </w:rPr>
        <w:t xml:space="preserve"> and 2.1204</w:t>
      </w:r>
      <w:r w:rsidRPr="004B0364">
        <w:rPr>
          <w:color w:val="000000"/>
          <w:szCs w:val="22"/>
          <w:vertAlign w:val="superscript"/>
        </w:rPr>
        <w:footnoteReference w:id="6"/>
      </w:r>
      <w:r>
        <w:rPr>
          <w:color w:val="000000"/>
          <w:szCs w:val="22"/>
        </w:rPr>
        <w:t xml:space="preserve"> </w:t>
      </w:r>
      <w:r w:rsidRPr="00C725BD">
        <w:rPr>
          <w:color w:val="000000"/>
          <w:szCs w:val="22"/>
        </w:rPr>
        <w:t>of the</w:t>
      </w:r>
      <w:r w:rsidRPr="00F73616">
        <w:rPr>
          <w:color w:val="000000"/>
          <w:szCs w:val="22"/>
        </w:rPr>
        <w:t xml:space="preserve"> </w:t>
      </w:r>
      <w:r w:rsidRPr="00F73616">
        <w:rPr>
          <w:szCs w:val="22"/>
        </w:rPr>
        <w:t xml:space="preserve">Commission’s rules (Rules) pertaining to the </w:t>
      </w:r>
      <w:r>
        <w:rPr>
          <w:szCs w:val="22"/>
        </w:rPr>
        <w:t xml:space="preserve">importation, operation, and advertisement or display of certain radio frequency devices prior to equipment authorization. </w:t>
      </w:r>
    </w:p>
    <w:p w14:paraId="462813B0" w14:textId="20DCFCCD" w:rsidR="00412F12" w:rsidRDefault="00412F12" w:rsidP="00F03979">
      <w:pPr>
        <w:pStyle w:val="Paranum0"/>
        <w:tabs>
          <w:tab w:val="clear" w:pos="1080"/>
          <w:tab w:val="num" w:pos="1440"/>
        </w:tabs>
        <w:spacing w:after="120"/>
        <w:jc w:val="left"/>
        <w:rPr>
          <w:szCs w:val="22"/>
        </w:rPr>
      </w:pPr>
      <w:r w:rsidRPr="00F73616">
        <w:rPr>
          <w:szCs w:val="22"/>
        </w:rPr>
        <w:t xml:space="preserve">The Bureau and </w:t>
      </w:r>
      <w:r>
        <w:rPr>
          <w:szCs w:val="22"/>
        </w:rPr>
        <w:t>Intel</w:t>
      </w:r>
      <w:r w:rsidRPr="00F73616">
        <w:rPr>
          <w:szCs w:val="22"/>
        </w:rPr>
        <w:t xml:space="preserve"> have negotiated the Consent Decree that resolves this matter</w:t>
      </w:r>
      <w:r w:rsidRPr="00CA5272">
        <w:rPr>
          <w:szCs w:val="22"/>
        </w:rPr>
        <w:t xml:space="preserve">.  </w:t>
      </w:r>
      <w:r w:rsidR="00CA5272">
        <w:rPr>
          <w:szCs w:val="22"/>
        </w:rPr>
        <w:t xml:space="preserve">       </w:t>
      </w:r>
      <w:r w:rsidRPr="00CA5272">
        <w:rPr>
          <w:szCs w:val="22"/>
        </w:rPr>
        <w:t>A</w:t>
      </w:r>
      <w:r w:rsidRPr="00F73616">
        <w:rPr>
          <w:szCs w:val="22"/>
        </w:rPr>
        <w:t xml:space="preserve"> copy of the Consent Decree is attached hereto and incorporated herein by reference.  </w:t>
      </w:r>
    </w:p>
    <w:p w14:paraId="0A8827C0" w14:textId="77777777" w:rsidR="00412F12" w:rsidRDefault="00412F12" w:rsidP="00F03979">
      <w:pPr>
        <w:pStyle w:val="Paranum0"/>
        <w:tabs>
          <w:tab w:val="clear" w:pos="1080"/>
          <w:tab w:val="num" w:pos="1440"/>
        </w:tabs>
        <w:spacing w:after="120"/>
        <w:jc w:val="left"/>
        <w:rPr>
          <w:szCs w:val="22"/>
        </w:rPr>
      </w:pPr>
      <w:r w:rsidRPr="00F73616">
        <w:rPr>
          <w:szCs w:val="22"/>
        </w:rPr>
        <w:lastRenderedPageBreak/>
        <w:t>After reviewing the terms of the Consent Decree and evaluating the facts before us, we find that the public interest would be served by adopting the Consent Decree and terminating the investigation.</w:t>
      </w:r>
    </w:p>
    <w:p w14:paraId="246997F1" w14:textId="77777777" w:rsidR="00412F12" w:rsidRDefault="00412F12" w:rsidP="00F03979">
      <w:pPr>
        <w:pStyle w:val="Paranum0"/>
        <w:tabs>
          <w:tab w:val="clear" w:pos="1080"/>
          <w:tab w:val="num" w:pos="1440"/>
        </w:tabs>
        <w:spacing w:after="120"/>
        <w:jc w:val="left"/>
        <w:rPr>
          <w:szCs w:val="22"/>
        </w:rPr>
      </w:pPr>
      <w:r w:rsidRPr="00F73616">
        <w:rPr>
          <w:szCs w:val="22"/>
        </w:rPr>
        <w:t xml:space="preserve">In the absence of material new evidence relating to this matter, we conclude that our investigation raises no substantial or material questions of fact as to whether </w:t>
      </w:r>
      <w:r>
        <w:rPr>
          <w:szCs w:val="22"/>
        </w:rPr>
        <w:t>Intel</w:t>
      </w:r>
      <w:r w:rsidRPr="00F73616">
        <w:rPr>
          <w:szCs w:val="22"/>
        </w:rPr>
        <w:t xml:space="preserve"> possesses the basic qualifications, including those related to character, to hold or obtain any Commission license or authorization.    </w:t>
      </w:r>
    </w:p>
    <w:p w14:paraId="01F6ABF5" w14:textId="77777777" w:rsidR="00412F12" w:rsidRDefault="00412F12" w:rsidP="00F03979">
      <w:pPr>
        <w:pStyle w:val="Paranum0"/>
        <w:tabs>
          <w:tab w:val="clear" w:pos="1080"/>
          <w:tab w:val="num" w:pos="1440"/>
        </w:tabs>
        <w:spacing w:after="120"/>
        <w:jc w:val="left"/>
        <w:rPr>
          <w:szCs w:val="22"/>
        </w:rPr>
      </w:pPr>
      <w:r w:rsidRPr="000B164F">
        <w:rPr>
          <w:szCs w:val="22"/>
        </w:rPr>
        <w:t xml:space="preserve">Accordingly, </w:t>
      </w:r>
      <w:r w:rsidRPr="000B164F">
        <w:rPr>
          <w:b/>
          <w:szCs w:val="22"/>
        </w:rPr>
        <w:t>IT IS ORDERED</w:t>
      </w:r>
      <w:r w:rsidRPr="000B164F">
        <w:rPr>
          <w:szCs w:val="22"/>
        </w:rPr>
        <w:t xml:space="preserve"> that, pursuant to Sections 4(i), 4(j), and 503(b) of the Act,</w:t>
      </w:r>
      <w:r w:rsidRPr="00F73616">
        <w:rPr>
          <w:rStyle w:val="FootnoteReference"/>
          <w:szCs w:val="22"/>
        </w:rPr>
        <w:footnoteReference w:id="7"/>
      </w:r>
      <w:r w:rsidRPr="000B164F">
        <w:rPr>
          <w:szCs w:val="22"/>
        </w:rPr>
        <w:t xml:space="preserve"> </w:t>
      </w:r>
      <w:r w:rsidRPr="000B164F">
        <w:rPr>
          <w:bCs/>
          <w:szCs w:val="22"/>
        </w:rPr>
        <w:t>and Sections 0.111 and 0.311 of the Rules,</w:t>
      </w:r>
      <w:r w:rsidRPr="00F73616">
        <w:rPr>
          <w:rStyle w:val="FootnoteReference"/>
          <w:bCs/>
          <w:szCs w:val="22"/>
        </w:rPr>
        <w:footnoteReference w:id="8"/>
      </w:r>
      <w:r w:rsidRPr="000B164F">
        <w:rPr>
          <w:bCs/>
          <w:szCs w:val="22"/>
        </w:rPr>
        <w:t xml:space="preserve"> the</w:t>
      </w:r>
      <w:r w:rsidRPr="000B164F">
        <w:rPr>
          <w:szCs w:val="22"/>
        </w:rPr>
        <w:t xml:space="preserve"> Consent Decree attached to this Order </w:t>
      </w:r>
      <w:r w:rsidRPr="000B164F">
        <w:rPr>
          <w:b/>
          <w:szCs w:val="22"/>
        </w:rPr>
        <w:t>IS ADOPTED</w:t>
      </w:r>
      <w:r w:rsidRPr="000B164F">
        <w:rPr>
          <w:szCs w:val="22"/>
        </w:rPr>
        <w:t>.</w:t>
      </w:r>
    </w:p>
    <w:p w14:paraId="6F2F7A57" w14:textId="77777777" w:rsidR="00412F12" w:rsidRDefault="00412F12" w:rsidP="00F03979">
      <w:pPr>
        <w:pStyle w:val="Paranum0"/>
        <w:tabs>
          <w:tab w:val="clear" w:pos="1080"/>
          <w:tab w:val="num" w:pos="1440"/>
        </w:tabs>
        <w:spacing w:after="120"/>
        <w:jc w:val="left"/>
        <w:rPr>
          <w:szCs w:val="22"/>
        </w:rPr>
      </w:pPr>
      <w:r w:rsidRPr="000B164F">
        <w:rPr>
          <w:b/>
          <w:szCs w:val="22"/>
        </w:rPr>
        <w:t xml:space="preserve">IT IS FURTHER ORDERED </w:t>
      </w:r>
      <w:r w:rsidRPr="000B164F">
        <w:rPr>
          <w:szCs w:val="22"/>
        </w:rPr>
        <w:t>that the above-captioned investigation</w:t>
      </w:r>
      <w:r w:rsidRPr="000B164F">
        <w:rPr>
          <w:b/>
          <w:szCs w:val="22"/>
        </w:rPr>
        <w:t xml:space="preserve"> IS TERMINATED</w:t>
      </w:r>
      <w:r w:rsidRPr="000B164F">
        <w:rPr>
          <w:szCs w:val="22"/>
        </w:rPr>
        <w:t>.</w:t>
      </w:r>
    </w:p>
    <w:p w14:paraId="0B755F7C" w14:textId="66D10281" w:rsidR="00412F12" w:rsidRDefault="00412F12" w:rsidP="00F03979">
      <w:pPr>
        <w:pStyle w:val="Paranum0"/>
        <w:tabs>
          <w:tab w:val="clear" w:pos="1080"/>
          <w:tab w:val="num" w:pos="1440"/>
        </w:tabs>
        <w:spacing w:after="120"/>
        <w:jc w:val="left"/>
        <w:rPr>
          <w:szCs w:val="22"/>
        </w:rPr>
      </w:pPr>
      <w:r w:rsidRPr="00F73616">
        <w:rPr>
          <w:b/>
          <w:szCs w:val="22"/>
        </w:rPr>
        <w:t xml:space="preserve">IT IS FURTHER ORDERED </w:t>
      </w:r>
      <w:r w:rsidRPr="00F73616">
        <w:rPr>
          <w:szCs w:val="22"/>
        </w:rPr>
        <w:t>that a copy of this Order and Consent Decree shall be sent by first class mail and certified mail, return receipt requested, to</w:t>
      </w:r>
      <w:r>
        <w:rPr>
          <w:szCs w:val="22"/>
        </w:rPr>
        <w:t xml:space="preserve"> </w:t>
      </w:r>
      <w:r w:rsidR="00EF0C70" w:rsidRPr="00D506C6">
        <w:rPr>
          <w:rFonts w:eastAsia="Arial"/>
          <w:bCs/>
          <w:szCs w:val="22"/>
        </w:rPr>
        <w:t>Jo S. Levy</w:t>
      </w:r>
      <w:r w:rsidR="00EF0C70">
        <w:rPr>
          <w:szCs w:val="22"/>
        </w:rPr>
        <w:t>,</w:t>
      </w:r>
      <w:r w:rsidR="00FE01AC">
        <w:rPr>
          <w:szCs w:val="22"/>
        </w:rPr>
        <w:t xml:space="preserve"> </w:t>
      </w:r>
      <w:r w:rsidR="00EF0C70" w:rsidRPr="00D506C6">
        <w:rPr>
          <w:rFonts w:eastAsia="Arial"/>
          <w:szCs w:val="22"/>
        </w:rPr>
        <w:t>Vice President, Legal and Corporate Affairs</w:t>
      </w:r>
      <w:r w:rsidR="00EF0C70">
        <w:rPr>
          <w:rFonts w:eastAsia="Arial"/>
          <w:szCs w:val="22"/>
        </w:rPr>
        <w:t>,</w:t>
      </w:r>
      <w:r w:rsidR="00EF0C70" w:rsidRPr="00EF0C70">
        <w:rPr>
          <w:i/>
          <w:iCs/>
          <w:sz w:val="24"/>
          <w:szCs w:val="24"/>
        </w:rPr>
        <w:t xml:space="preserve"> </w:t>
      </w:r>
      <w:r w:rsidR="00EF0C70" w:rsidRPr="00292C95">
        <w:rPr>
          <w:rFonts w:eastAsia="Arial"/>
          <w:iCs/>
          <w:szCs w:val="22"/>
        </w:rPr>
        <w:t>2111 NE 25Th Avenue</w:t>
      </w:r>
      <w:r w:rsidR="00EF0C70">
        <w:rPr>
          <w:rFonts w:eastAsia="Arial"/>
          <w:iCs/>
          <w:szCs w:val="22"/>
        </w:rPr>
        <w:t xml:space="preserve">, </w:t>
      </w:r>
      <w:r w:rsidR="00EF0C70" w:rsidRPr="00292C95">
        <w:rPr>
          <w:rFonts w:eastAsia="Arial"/>
          <w:iCs/>
          <w:szCs w:val="22"/>
        </w:rPr>
        <w:t>Hillsboro, Oregon 97124</w:t>
      </w:r>
      <w:r w:rsidR="00797259">
        <w:rPr>
          <w:rFonts w:eastAsia="Arial"/>
          <w:iCs/>
          <w:szCs w:val="22"/>
        </w:rPr>
        <w:t>;</w:t>
      </w:r>
      <w:r w:rsidR="00EF0C70">
        <w:rPr>
          <w:rFonts w:eastAsia="Arial"/>
          <w:iCs/>
          <w:szCs w:val="22"/>
        </w:rPr>
        <w:t xml:space="preserve"> </w:t>
      </w:r>
      <w:r>
        <w:rPr>
          <w:szCs w:val="22"/>
        </w:rPr>
        <w:t>and to David Solomon, Esq., Wilkinson Barker Knauer, LLP, Counsel for Intel Corporation, 2300 N Street N.W., Suite 700, Washington, DC 20037.</w:t>
      </w:r>
    </w:p>
    <w:p w14:paraId="30DCD69D" w14:textId="77777777" w:rsidR="00412F12" w:rsidRDefault="00412F12" w:rsidP="003A16C0">
      <w:pPr>
        <w:tabs>
          <w:tab w:val="left" w:pos="0"/>
        </w:tabs>
        <w:suppressAutoHyphens/>
        <w:spacing w:line="240" w:lineRule="atLeast"/>
        <w:jc w:val="both"/>
        <w:rPr>
          <w:sz w:val="22"/>
          <w:szCs w:val="22"/>
        </w:rPr>
      </w:pP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p>
    <w:p w14:paraId="23221237" w14:textId="77777777" w:rsidR="00412F12" w:rsidRPr="00F73616" w:rsidRDefault="00412F12" w:rsidP="003A16C0">
      <w:pPr>
        <w:tabs>
          <w:tab w:val="left" w:pos="0"/>
        </w:tabs>
        <w:suppressAutoHyphens/>
        <w:spacing w:line="240" w:lineRule="atLeast"/>
        <w:jc w:val="both"/>
        <w:rPr>
          <w:sz w:val="22"/>
          <w:szCs w:val="22"/>
        </w:rPr>
      </w:pPr>
    </w:p>
    <w:p w14:paraId="6D217EE7" w14:textId="77777777" w:rsidR="00412F12" w:rsidRPr="00F73616" w:rsidRDefault="00412F12" w:rsidP="003A16C0">
      <w:pPr>
        <w:tabs>
          <w:tab w:val="left" w:pos="0"/>
        </w:tabs>
        <w:suppressAutoHyphens/>
        <w:spacing w:line="240" w:lineRule="atLeast"/>
        <w:jc w:val="both"/>
        <w:rPr>
          <w:spacing w:val="-2"/>
          <w:sz w:val="22"/>
          <w:szCs w:val="22"/>
        </w:rPr>
      </w:pP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pacing w:val="-2"/>
          <w:sz w:val="22"/>
          <w:szCs w:val="22"/>
        </w:rPr>
        <w:t>FEDERAL COMMUNICATIONS COMMISSION</w:t>
      </w:r>
    </w:p>
    <w:p w14:paraId="390E433A" w14:textId="77777777" w:rsidR="00412F12" w:rsidRPr="00F73616" w:rsidRDefault="00412F12" w:rsidP="003A16C0">
      <w:pPr>
        <w:tabs>
          <w:tab w:val="left" w:pos="0"/>
        </w:tabs>
        <w:suppressAutoHyphens/>
        <w:spacing w:line="240" w:lineRule="atLeast"/>
        <w:jc w:val="both"/>
        <w:rPr>
          <w:spacing w:val="-2"/>
          <w:sz w:val="22"/>
          <w:szCs w:val="22"/>
        </w:rPr>
      </w:pPr>
    </w:p>
    <w:p w14:paraId="7335E3B4" w14:textId="77777777" w:rsidR="00412F12" w:rsidRPr="00F73616" w:rsidRDefault="00412F12" w:rsidP="003A16C0">
      <w:pPr>
        <w:tabs>
          <w:tab w:val="left" w:pos="0"/>
        </w:tabs>
        <w:suppressAutoHyphens/>
        <w:spacing w:line="240" w:lineRule="atLeast"/>
        <w:jc w:val="both"/>
        <w:rPr>
          <w:spacing w:val="-2"/>
          <w:sz w:val="22"/>
          <w:szCs w:val="22"/>
        </w:rPr>
      </w:pPr>
    </w:p>
    <w:p w14:paraId="756D7636" w14:textId="77777777" w:rsidR="00412F12" w:rsidRPr="00F73616" w:rsidRDefault="00412F12" w:rsidP="003A16C0">
      <w:pPr>
        <w:tabs>
          <w:tab w:val="left" w:pos="0"/>
        </w:tabs>
        <w:suppressAutoHyphens/>
        <w:spacing w:line="240" w:lineRule="atLeast"/>
        <w:jc w:val="both"/>
        <w:rPr>
          <w:spacing w:val="-2"/>
          <w:sz w:val="22"/>
          <w:szCs w:val="22"/>
        </w:rPr>
      </w:pPr>
    </w:p>
    <w:p w14:paraId="035CDF58" w14:textId="77777777" w:rsidR="00412F12" w:rsidRPr="00F73616" w:rsidRDefault="00412F12" w:rsidP="003A16C0">
      <w:pPr>
        <w:tabs>
          <w:tab w:val="left" w:pos="0"/>
        </w:tabs>
        <w:suppressAutoHyphens/>
        <w:spacing w:line="240" w:lineRule="atLeast"/>
        <w:jc w:val="both"/>
        <w:rPr>
          <w:spacing w:val="-2"/>
          <w:sz w:val="22"/>
          <w:szCs w:val="22"/>
        </w:rPr>
      </w:pPr>
    </w:p>
    <w:p w14:paraId="1CF0F1D6" w14:textId="783B1539" w:rsidR="00412F12" w:rsidRPr="00F73616" w:rsidRDefault="00412F12" w:rsidP="003A16C0">
      <w:pPr>
        <w:keepLines/>
        <w:tabs>
          <w:tab w:val="left" w:pos="450"/>
        </w:tabs>
        <w:jc w:val="both"/>
        <w:rPr>
          <w:color w:val="000000"/>
          <w:sz w:val="22"/>
          <w:szCs w:val="22"/>
        </w:rPr>
      </w:pPr>
      <w:r w:rsidRPr="00F73616">
        <w:rPr>
          <w:spacing w:val="-2"/>
          <w:sz w:val="22"/>
          <w:szCs w:val="22"/>
        </w:rPr>
        <w:tab/>
      </w:r>
      <w:r w:rsidRPr="00F73616">
        <w:rPr>
          <w:spacing w:val="-2"/>
          <w:sz w:val="22"/>
          <w:szCs w:val="22"/>
        </w:rPr>
        <w:tab/>
      </w:r>
      <w:r w:rsidRPr="00F73616">
        <w:rPr>
          <w:spacing w:val="-2"/>
          <w:sz w:val="22"/>
          <w:szCs w:val="22"/>
        </w:rPr>
        <w:tab/>
      </w:r>
      <w:r w:rsidRPr="00F73616">
        <w:rPr>
          <w:spacing w:val="-2"/>
          <w:sz w:val="22"/>
          <w:szCs w:val="22"/>
        </w:rPr>
        <w:tab/>
      </w:r>
      <w:r w:rsidRPr="00F73616">
        <w:rPr>
          <w:spacing w:val="-2"/>
          <w:sz w:val="22"/>
          <w:szCs w:val="22"/>
        </w:rPr>
        <w:tab/>
      </w:r>
      <w:r w:rsidRPr="00F73616">
        <w:rPr>
          <w:spacing w:val="-2"/>
          <w:sz w:val="22"/>
          <w:szCs w:val="22"/>
        </w:rPr>
        <w:tab/>
      </w:r>
      <w:r w:rsidRPr="00F73616">
        <w:rPr>
          <w:spacing w:val="-2"/>
          <w:sz w:val="22"/>
          <w:szCs w:val="22"/>
        </w:rPr>
        <w:tab/>
      </w:r>
      <w:r w:rsidR="007950DD">
        <w:rPr>
          <w:spacing w:val="-2"/>
          <w:sz w:val="22"/>
          <w:szCs w:val="22"/>
        </w:rPr>
        <w:t>Travis LeBlanc</w:t>
      </w:r>
    </w:p>
    <w:p w14:paraId="0770C6CD" w14:textId="77777777" w:rsidR="00C07B09" w:rsidRDefault="007950DD" w:rsidP="003A16C0">
      <w:pPr>
        <w:ind w:left="3600" w:firstLine="720"/>
        <w:rPr>
          <w:color w:val="000000"/>
          <w:sz w:val="22"/>
          <w:szCs w:val="22"/>
        </w:rPr>
      </w:pPr>
      <w:r>
        <w:rPr>
          <w:color w:val="000000"/>
          <w:sz w:val="22"/>
          <w:szCs w:val="22"/>
        </w:rPr>
        <w:t>Acting</w:t>
      </w:r>
      <w:r w:rsidR="00412F12" w:rsidRPr="00F73616">
        <w:rPr>
          <w:color w:val="000000"/>
          <w:sz w:val="22"/>
          <w:szCs w:val="22"/>
        </w:rPr>
        <w:t xml:space="preserve">Chief </w:t>
      </w:r>
    </w:p>
    <w:p w14:paraId="173710F5" w14:textId="0C87595A" w:rsidR="007B60E0" w:rsidRDefault="00412F12" w:rsidP="003A16C0">
      <w:pPr>
        <w:ind w:left="3600" w:firstLine="720"/>
        <w:rPr>
          <w:color w:val="000000"/>
          <w:sz w:val="22"/>
          <w:szCs w:val="22"/>
        </w:rPr>
        <w:sectPr w:rsidR="007B60E0" w:rsidSect="003A16C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r w:rsidRPr="00F73616">
        <w:rPr>
          <w:color w:val="000000"/>
          <w:sz w:val="22"/>
          <w:szCs w:val="22"/>
        </w:rPr>
        <w:t>Enforcement Bur</w:t>
      </w:r>
      <w:bookmarkEnd w:id="0"/>
      <w:bookmarkEnd w:id="1"/>
      <w:r>
        <w:rPr>
          <w:color w:val="000000"/>
          <w:sz w:val="22"/>
          <w:szCs w:val="22"/>
        </w:rPr>
        <w:t>eau</w:t>
      </w:r>
    </w:p>
    <w:p w14:paraId="627A616D" w14:textId="353D9983" w:rsidR="00412F12" w:rsidRDefault="00412F12" w:rsidP="003A16C0">
      <w:pPr>
        <w:ind w:left="3600" w:firstLine="720"/>
      </w:pPr>
    </w:p>
    <w:p w14:paraId="58306AA5" w14:textId="77777777" w:rsidR="00412F12" w:rsidRPr="00041014" w:rsidRDefault="00412F12" w:rsidP="006B6DE1">
      <w:pPr>
        <w:jc w:val="center"/>
        <w:rPr>
          <w:b/>
          <w:sz w:val="22"/>
          <w:szCs w:val="22"/>
        </w:rPr>
      </w:pPr>
      <w:r w:rsidRPr="00041014">
        <w:rPr>
          <w:b/>
          <w:sz w:val="22"/>
          <w:szCs w:val="22"/>
        </w:rPr>
        <w:t>Before the</w:t>
      </w:r>
    </w:p>
    <w:p w14:paraId="54782FDB" w14:textId="77777777" w:rsidR="00412F12" w:rsidRPr="00041014" w:rsidRDefault="00412F12" w:rsidP="006B6DE1">
      <w:pPr>
        <w:jc w:val="center"/>
        <w:rPr>
          <w:b/>
          <w:sz w:val="22"/>
          <w:szCs w:val="22"/>
        </w:rPr>
      </w:pPr>
      <w:r w:rsidRPr="00041014">
        <w:rPr>
          <w:b/>
          <w:sz w:val="22"/>
          <w:szCs w:val="22"/>
        </w:rPr>
        <w:t>Federal Communications Commission</w:t>
      </w:r>
    </w:p>
    <w:p w14:paraId="21D0BE53" w14:textId="77777777" w:rsidR="00412F12" w:rsidRPr="006D074C" w:rsidRDefault="00412F12" w:rsidP="006B6DE1">
      <w:pPr>
        <w:jc w:val="center"/>
        <w:rPr>
          <w:szCs w:val="22"/>
        </w:rPr>
      </w:pPr>
      <w:r w:rsidRPr="00041014">
        <w:rPr>
          <w:b/>
          <w:sz w:val="22"/>
          <w:szCs w:val="22"/>
        </w:rPr>
        <w:t>Washington, D.C. 20554</w:t>
      </w:r>
    </w:p>
    <w:p w14:paraId="602240DB" w14:textId="77777777" w:rsidR="00412F12" w:rsidRPr="006D074C" w:rsidRDefault="00412F12" w:rsidP="006B6DE1">
      <w:pPr>
        <w:rPr>
          <w:sz w:val="22"/>
          <w:szCs w:val="22"/>
        </w:rPr>
      </w:pPr>
    </w:p>
    <w:tbl>
      <w:tblPr>
        <w:tblW w:w="0" w:type="auto"/>
        <w:tblLook w:val="0000" w:firstRow="0" w:lastRow="0" w:firstColumn="0" w:lastColumn="0" w:noHBand="0" w:noVBand="0"/>
      </w:tblPr>
      <w:tblGrid>
        <w:gridCol w:w="4428"/>
        <w:gridCol w:w="1080"/>
        <w:gridCol w:w="4068"/>
      </w:tblGrid>
      <w:tr w:rsidR="00412F12" w:rsidRPr="006D074C" w14:paraId="6B054F30" w14:textId="77777777" w:rsidTr="002E09E0">
        <w:tc>
          <w:tcPr>
            <w:tcW w:w="4428" w:type="dxa"/>
          </w:tcPr>
          <w:p w14:paraId="1D1EEF12" w14:textId="77777777" w:rsidR="00412F12" w:rsidRPr="006D074C" w:rsidRDefault="00412F12" w:rsidP="002E09E0">
            <w:pPr>
              <w:keepNext/>
            </w:pPr>
          </w:p>
          <w:p w14:paraId="46C65364" w14:textId="77777777" w:rsidR="00412F12" w:rsidRPr="00501122" w:rsidRDefault="00412F12" w:rsidP="002E09E0">
            <w:pPr>
              <w:keepNext/>
            </w:pPr>
            <w:r w:rsidRPr="00501122">
              <w:rPr>
                <w:sz w:val="22"/>
                <w:szCs w:val="22"/>
              </w:rPr>
              <w:t>In the Matter of</w:t>
            </w:r>
          </w:p>
          <w:p w14:paraId="4179F29A" w14:textId="77777777" w:rsidR="00412F12" w:rsidRPr="00501122" w:rsidRDefault="00412F12" w:rsidP="002E09E0">
            <w:pPr>
              <w:keepNext/>
            </w:pPr>
          </w:p>
          <w:p w14:paraId="7E5CDE86" w14:textId="77777777" w:rsidR="00412F12" w:rsidRDefault="00412F12" w:rsidP="002E09E0">
            <w:r>
              <w:rPr>
                <w:sz w:val="22"/>
                <w:szCs w:val="22"/>
              </w:rPr>
              <w:t>Intel Corporation</w:t>
            </w:r>
          </w:p>
          <w:p w14:paraId="4BD1C00D" w14:textId="77777777" w:rsidR="00412F12" w:rsidRDefault="00412F12" w:rsidP="002E09E0"/>
          <w:p w14:paraId="48C198DA" w14:textId="77777777" w:rsidR="00412F12" w:rsidRPr="00501122" w:rsidRDefault="00412F12" w:rsidP="002E09E0">
            <w:pPr>
              <w:keepNext/>
            </w:pPr>
          </w:p>
        </w:tc>
        <w:tc>
          <w:tcPr>
            <w:tcW w:w="1080" w:type="dxa"/>
          </w:tcPr>
          <w:p w14:paraId="4611ACC6" w14:textId="77777777" w:rsidR="00412F12" w:rsidRPr="00501122" w:rsidRDefault="00412F12" w:rsidP="002E09E0">
            <w:pPr>
              <w:keepNext/>
            </w:pPr>
            <w:r>
              <w:rPr>
                <w:sz w:val="22"/>
                <w:szCs w:val="22"/>
              </w:rPr>
              <w:t xml:space="preserve">    </w:t>
            </w:r>
            <w:r w:rsidRPr="00501122">
              <w:rPr>
                <w:sz w:val="22"/>
                <w:szCs w:val="22"/>
              </w:rPr>
              <w:t>)</w:t>
            </w:r>
          </w:p>
          <w:p w14:paraId="2F1E1002" w14:textId="77777777" w:rsidR="00412F12" w:rsidRPr="00501122" w:rsidRDefault="00412F12" w:rsidP="002E09E0">
            <w:pPr>
              <w:keepNext/>
            </w:pPr>
            <w:r>
              <w:rPr>
                <w:sz w:val="22"/>
                <w:szCs w:val="22"/>
              </w:rPr>
              <w:t xml:space="preserve">    </w:t>
            </w:r>
            <w:r w:rsidRPr="00501122">
              <w:rPr>
                <w:sz w:val="22"/>
                <w:szCs w:val="22"/>
              </w:rPr>
              <w:t>)</w:t>
            </w:r>
          </w:p>
          <w:p w14:paraId="2F58DBAB" w14:textId="77777777" w:rsidR="00412F12" w:rsidRPr="00501122" w:rsidRDefault="00412F12" w:rsidP="002E09E0">
            <w:pPr>
              <w:keepNext/>
            </w:pPr>
            <w:r>
              <w:rPr>
                <w:sz w:val="22"/>
                <w:szCs w:val="22"/>
              </w:rPr>
              <w:t xml:space="preserve">    </w:t>
            </w:r>
            <w:r w:rsidRPr="00501122">
              <w:rPr>
                <w:sz w:val="22"/>
                <w:szCs w:val="22"/>
              </w:rPr>
              <w:t>)</w:t>
            </w:r>
          </w:p>
          <w:p w14:paraId="7EEFF8C6" w14:textId="77777777" w:rsidR="00412F12" w:rsidRPr="00501122" w:rsidRDefault="00412F12" w:rsidP="002E09E0">
            <w:pPr>
              <w:keepNext/>
            </w:pPr>
            <w:r>
              <w:rPr>
                <w:sz w:val="22"/>
                <w:szCs w:val="22"/>
              </w:rPr>
              <w:t xml:space="preserve">    </w:t>
            </w:r>
            <w:r w:rsidRPr="00501122">
              <w:rPr>
                <w:sz w:val="22"/>
                <w:szCs w:val="22"/>
              </w:rPr>
              <w:t>)</w:t>
            </w:r>
          </w:p>
          <w:p w14:paraId="5727B2F9" w14:textId="77777777" w:rsidR="00412F12" w:rsidRDefault="00412F12" w:rsidP="002E09E0">
            <w:pPr>
              <w:keepNext/>
            </w:pPr>
            <w:r>
              <w:rPr>
                <w:sz w:val="22"/>
                <w:szCs w:val="22"/>
              </w:rPr>
              <w:t xml:space="preserve">    </w:t>
            </w:r>
            <w:r w:rsidRPr="00501122">
              <w:rPr>
                <w:sz w:val="22"/>
                <w:szCs w:val="22"/>
              </w:rPr>
              <w:t>)</w:t>
            </w:r>
          </w:p>
          <w:p w14:paraId="2909DBCA" w14:textId="77777777" w:rsidR="00412F12" w:rsidRPr="00501122" w:rsidRDefault="00412F12" w:rsidP="002E09E0">
            <w:pPr>
              <w:keepNext/>
            </w:pPr>
            <w:r>
              <w:rPr>
                <w:sz w:val="22"/>
                <w:szCs w:val="22"/>
              </w:rPr>
              <w:t xml:space="preserve">    )</w:t>
            </w:r>
          </w:p>
        </w:tc>
        <w:tc>
          <w:tcPr>
            <w:tcW w:w="4068" w:type="dxa"/>
          </w:tcPr>
          <w:p w14:paraId="7A41AC58" w14:textId="77777777" w:rsidR="00412F12" w:rsidRPr="00501122" w:rsidRDefault="00412F12" w:rsidP="002E09E0">
            <w:pPr>
              <w:rPr>
                <w:spacing w:val="-2"/>
              </w:rPr>
            </w:pPr>
            <w:r>
              <w:rPr>
                <w:spacing w:val="-2"/>
                <w:sz w:val="22"/>
                <w:szCs w:val="22"/>
              </w:rPr>
              <w:t xml:space="preserve">        File No.:  </w:t>
            </w:r>
            <w:r w:rsidRPr="00501122">
              <w:rPr>
                <w:spacing w:val="-2"/>
                <w:sz w:val="22"/>
                <w:szCs w:val="22"/>
              </w:rPr>
              <w:t>EB-</w:t>
            </w:r>
            <w:r>
              <w:rPr>
                <w:spacing w:val="-2"/>
                <w:sz w:val="22"/>
                <w:szCs w:val="22"/>
              </w:rPr>
              <w:t>SED-13-00007036</w:t>
            </w:r>
            <w:r>
              <w:rPr>
                <w:rStyle w:val="FootnoteReference"/>
                <w:spacing w:val="-2"/>
                <w:szCs w:val="22"/>
              </w:rPr>
              <w:footnoteReference w:id="9"/>
            </w:r>
          </w:p>
          <w:p w14:paraId="447DB59D" w14:textId="77777777" w:rsidR="00412F12" w:rsidRDefault="00412F12" w:rsidP="002E09E0">
            <w:pPr>
              <w:rPr>
                <w:spacing w:val="-2"/>
              </w:rPr>
            </w:pPr>
          </w:p>
          <w:p w14:paraId="25AD1570" w14:textId="77777777" w:rsidR="00412F12" w:rsidRPr="00CD14D8" w:rsidRDefault="00412F12" w:rsidP="002E09E0">
            <w:pPr>
              <w:rPr>
                <w:spacing w:val="-2"/>
              </w:rPr>
            </w:pPr>
            <w:r>
              <w:rPr>
                <w:spacing w:val="-2"/>
                <w:sz w:val="22"/>
                <w:szCs w:val="22"/>
              </w:rPr>
              <w:t xml:space="preserve">         </w:t>
            </w:r>
            <w:r w:rsidRPr="00CD14D8">
              <w:rPr>
                <w:spacing w:val="-2"/>
                <w:sz w:val="22"/>
                <w:szCs w:val="22"/>
              </w:rPr>
              <w:t xml:space="preserve">Acct. No.:  </w:t>
            </w:r>
            <w:r w:rsidRPr="007E57F8">
              <w:rPr>
                <w:spacing w:val="-2"/>
                <w:sz w:val="22"/>
                <w:szCs w:val="22"/>
              </w:rPr>
              <w:t>201432100006</w:t>
            </w:r>
          </w:p>
          <w:p w14:paraId="7C1C3583" w14:textId="77777777" w:rsidR="00412F12" w:rsidRPr="00CD14D8" w:rsidRDefault="00412F12" w:rsidP="002E09E0">
            <w:pPr>
              <w:rPr>
                <w:spacing w:val="-2"/>
              </w:rPr>
            </w:pPr>
          </w:p>
          <w:p w14:paraId="613DDBE6" w14:textId="1F5DCB4B" w:rsidR="00412F12" w:rsidRPr="00762169" w:rsidRDefault="00412F12" w:rsidP="002E09E0">
            <w:r>
              <w:rPr>
                <w:sz w:val="22"/>
                <w:szCs w:val="22"/>
              </w:rPr>
              <w:t xml:space="preserve">        </w:t>
            </w:r>
            <w:r w:rsidRPr="00762169">
              <w:rPr>
                <w:sz w:val="22"/>
                <w:szCs w:val="22"/>
              </w:rPr>
              <w:t>FRN:</w:t>
            </w:r>
            <w:r>
              <w:rPr>
                <w:sz w:val="22"/>
                <w:szCs w:val="22"/>
              </w:rPr>
              <w:t xml:space="preserve">  </w:t>
            </w:r>
            <w:r w:rsidR="00B352D3">
              <w:rPr>
                <w:sz w:val="22"/>
                <w:szCs w:val="22"/>
              </w:rPr>
              <w:t>0007775034</w:t>
            </w:r>
          </w:p>
          <w:p w14:paraId="1D29E365" w14:textId="77777777" w:rsidR="00412F12" w:rsidRPr="00501122" w:rsidRDefault="00412F12" w:rsidP="002E09E0">
            <w:pPr>
              <w:keepNext/>
            </w:pPr>
          </w:p>
        </w:tc>
      </w:tr>
    </w:tbl>
    <w:p w14:paraId="4AAE907F" w14:textId="77777777" w:rsidR="00412F12" w:rsidRPr="006D074C" w:rsidRDefault="00412F12" w:rsidP="006B6DE1">
      <w:pPr>
        <w:keepNext/>
        <w:rPr>
          <w:sz w:val="22"/>
          <w:szCs w:val="22"/>
        </w:rPr>
      </w:pPr>
    </w:p>
    <w:p w14:paraId="25EA3B42" w14:textId="77777777" w:rsidR="00412F12" w:rsidRPr="006D074C" w:rsidRDefault="00412F12" w:rsidP="006B6DE1">
      <w:pPr>
        <w:keepNext/>
        <w:jc w:val="center"/>
        <w:rPr>
          <w:b/>
          <w:sz w:val="22"/>
          <w:szCs w:val="22"/>
        </w:rPr>
      </w:pPr>
      <w:r w:rsidRPr="006D074C">
        <w:rPr>
          <w:b/>
          <w:sz w:val="22"/>
          <w:szCs w:val="22"/>
        </w:rPr>
        <w:t>CONSENT DECREE</w:t>
      </w:r>
    </w:p>
    <w:p w14:paraId="25F02972" w14:textId="77777777" w:rsidR="00412F12" w:rsidRDefault="00412F12" w:rsidP="004A5FD9">
      <w:pPr>
        <w:keepNext/>
        <w:jc w:val="center"/>
        <w:rPr>
          <w:sz w:val="22"/>
          <w:szCs w:val="22"/>
        </w:rPr>
      </w:pPr>
    </w:p>
    <w:p w14:paraId="0972C56C" w14:textId="77777777" w:rsidR="00412F12" w:rsidRPr="006D074C" w:rsidRDefault="00412F12" w:rsidP="000D3EBD">
      <w:pPr>
        <w:spacing w:after="120"/>
        <w:ind w:firstLine="720"/>
      </w:pPr>
      <w:r w:rsidRPr="00A85A67">
        <w:rPr>
          <w:sz w:val="22"/>
          <w:szCs w:val="22"/>
        </w:rPr>
        <w:t xml:space="preserve">The </w:t>
      </w:r>
      <w:r w:rsidRPr="00A85A67">
        <w:rPr>
          <w:bCs/>
          <w:sz w:val="22"/>
          <w:szCs w:val="22"/>
        </w:rPr>
        <w:t xml:space="preserve">Enforcement Bureau </w:t>
      </w:r>
      <w:r w:rsidRPr="00A85A67">
        <w:rPr>
          <w:sz w:val="22"/>
          <w:szCs w:val="22"/>
        </w:rPr>
        <w:t xml:space="preserve">of the Federal Communications Commission and Intel Corporation, by their authorized representatives, hereby enter into this Consent Decree for the purpose of terminating the Enforcement </w:t>
      </w:r>
      <w:r w:rsidRPr="00A85A67">
        <w:rPr>
          <w:bCs/>
          <w:sz w:val="22"/>
          <w:szCs w:val="22"/>
        </w:rPr>
        <w:t>Bureau’s investigation</w:t>
      </w:r>
      <w:r w:rsidRPr="00A85A67">
        <w:rPr>
          <w:sz w:val="22"/>
          <w:szCs w:val="22"/>
        </w:rPr>
        <w:t xml:space="preserve"> into possible violations of Section 302(b) of the Communications Act of 1934, as amended,</w:t>
      </w:r>
      <w:r w:rsidRPr="00A85A67">
        <w:rPr>
          <w:rStyle w:val="FootnoteReference"/>
          <w:szCs w:val="22"/>
        </w:rPr>
        <w:footnoteReference w:id="10"/>
      </w:r>
      <w:r w:rsidRPr="00A85A67">
        <w:rPr>
          <w:sz w:val="22"/>
          <w:szCs w:val="22"/>
        </w:rPr>
        <w:t xml:space="preserve"> and </w:t>
      </w:r>
      <w:r>
        <w:rPr>
          <w:sz w:val="22"/>
          <w:szCs w:val="22"/>
        </w:rPr>
        <w:t xml:space="preserve">former </w:t>
      </w:r>
      <w:r w:rsidRPr="00A85A67">
        <w:rPr>
          <w:sz w:val="22"/>
          <w:szCs w:val="22"/>
        </w:rPr>
        <w:t xml:space="preserve">Sections </w:t>
      </w:r>
      <w:r w:rsidRPr="00A85A67">
        <w:rPr>
          <w:color w:val="000000"/>
          <w:sz w:val="22"/>
          <w:szCs w:val="22"/>
        </w:rPr>
        <w:t>2.803</w:t>
      </w:r>
      <w:r>
        <w:rPr>
          <w:color w:val="000000"/>
          <w:sz w:val="22"/>
          <w:szCs w:val="22"/>
        </w:rPr>
        <w:t>(c),</w:t>
      </w:r>
      <w:r w:rsidRPr="00A85A67">
        <w:rPr>
          <w:rStyle w:val="FootnoteReference"/>
          <w:szCs w:val="22"/>
        </w:rPr>
        <w:footnoteReference w:id="11"/>
      </w:r>
      <w:r>
        <w:rPr>
          <w:color w:val="000000"/>
          <w:sz w:val="22"/>
          <w:szCs w:val="22"/>
        </w:rPr>
        <w:t xml:space="preserve"> 2.803(e),</w:t>
      </w:r>
      <w:r>
        <w:rPr>
          <w:rStyle w:val="FootnoteReference"/>
          <w:szCs w:val="22"/>
        </w:rPr>
        <w:footnoteReference w:id="12"/>
      </w:r>
      <w:r w:rsidRPr="00A85A67">
        <w:rPr>
          <w:color w:val="000000"/>
          <w:sz w:val="22"/>
          <w:szCs w:val="22"/>
        </w:rPr>
        <w:t xml:space="preserve"> and 2.1204</w:t>
      </w:r>
      <w:r>
        <w:rPr>
          <w:rStyle w:val="FootnoteReference"/>
          <w:szCs w:val="22"/>
        </w:rPr>
        <w:footnoteReference w:id="13"/>
      </w:r>
      <w:r w:rsidRPr="00A85A67">
        <w:rPr>
          <w:sz w:val="22"/>
          <w:szCs w:val="22"/>
        </w:rPr>
        <w:t xml:space="preserve"> of the Commission’s rules pertaining to the importation, operation</w:t>
      </w:r>
      <w:r>
        <w:rPr>
          <w:sz w:val="22"/>
          <w:szCs w:val="22"/>
        </w:rPr>
        <w:t xml:space="preserve">, and advertisement or display </w:t>
      </w:r>
      <w:r w:rsidRPr="00A85A67">
        <w:rPr>
          <w:sz w:val="22"/>
          <w:szCs w:val="22"/>
        </w:rPr>
        <w:t>of certain</w:t>
      </w:r>
      <w:r>
        <w:rPr>
          <w:sz w:val="22"/>
          <w:szCs w:val="22"/>
        </w:rPr>
        <w:t xml:space="preserve"> prototype</w:t>
      </w:r>
      <w:r w:rsidRPr="00A85A67">
        <w:rPr>
          <w:sz w:val="22"/>
          <w:szCs w:val="22"/>
        </w:rPr>
        <w:t xml:space="preserve"> radio frequency device</w:t>
      </w:r>
      <w:r>
        <w:rPr>
          <w:sz w:val="22"/>
          <w:szCs w:val="22"/>
        </w:rPr>
        <w:t>s</w:t>
      </w:r>
      <w:r w:rsidRPr="00A85A67">
        <w:rPr>
          <w:sz w:val="22"/>
          <w:szCs w:val="22"/>
        </w:rPr>
        <w:t xml:space="preserve"> </w:t>
      </w:r>
      <w:r>
        <w:rPr>
          <w:sz w:val="22"/>
          <w:szCs w:val="22"/>
        </w:rPr>
        <w:t>prior to equipment authorization</w:t>
      </w:r>
      <w:r w:rsidRPr="00A85A67">
        <w:rPr>
          <w:sz w:val="22"/>
          <w:szCs w:val="22"/>
        </w:rPr>
        <w:t>.</w:t>
      </w:r>
    </w:p>
    <w:p w14:paraId="130C6CE5" w14:textId="77777777" w:rsidR="00412F12" w:rsidRPr="006D074C" w:rsidRDefault="00412F12" w:rsidP="000D3EBD">
      <w:pPr>
        <w:pStyle w:val="par1"/>
        <w:numPr>
          <w:ilvl w:val="0"/>
          <w:numId w:val="0"/>
        </w:numPr>
        <w:tabs>
          <w:tab w:val="left" w:pos="720"/>
          <w:tab w:val="num" w:pos="1440"/>
        </w:tabs>
        <w:spacing w:after="120"/>
        <w:rPr>
          <w:b/>
          <w:szCs w:val="22"/>
        </w:rPr>
      </w:pPr>
      <w:r w:rsidRPr="006D074C">
        <w:rPr>
          <w:b/>
          <w:szCs w:val="22"/>
        </w:rPr>
        <w:t>I.</w:t>
      </w:r>
      <w:r w:rsidRPr="006D074C">
        <w:rPr>
          <w:b/>
          <w:szCs w:val="22"/>
        </w:rPr>
        <w:tab/>
        <w:t>DEFINITIONS</w:t>
      </w:r>
    </w:p>
    <w:p w14:paraId="5EBA4A8E" w14:textId="77777777" w:rsidR="00412F12" w:rsidRPr="00A85A67" w:rsidRDefault="00412F12" w:rsidP="000D3EBD">
      <w:pPr>
        <w:pStyle w:val="par1"/>
        <w:spacing w:after="120"/>
        <w:rPr>
          <w:szCs w:val="22"/>
        </w:rPr>
      </w:pPr>
      <w:r w:rsidRPr="00501122">
        <w:tab/>
      </w:r>
      <w:r w:rsidRPr="00A85A67">
        <w:rPr>
          <w:szCs w:val="22"/>
        </w:rPr>
        <w:t>For the purposes of this Consent Decree, the following definitions shall apply:</w:t>
      </w:r>
    </w:p>
    <w:p w14:paraId="2BCB20B9"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 xml:space="preserve">“Act” means the Communications Act of 1934, as amended, 47 U.S.C. § 151 </w:t>
      </w:r>
      <w:r w:rsidRPr="00A85A67">
        <w:rPr>
          <w:i/>
          <w:sz w:val="22"/>
          <w:szCs w:val="22"/>
        </w:rPr>
        <w:t>et seq.</w:t>
      </w:r>
    </w:p>
    <w:p w14:paraId="2AB32BB4"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“Adopting Order” means an order of the Bureau adopting the terms of this Consent Decree without change, addition, deletion, or modification.</w:t>
      </w:r>
    </w:p>
    <w:p w14:paraId="36A071B5"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“Bureau” means the Enforcement Bureau of the Federal Communications Commission.</w:t>
      </w:r>
    </w:p>
    <w:p w14:paraId="4436F403"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“Commission” and “FCC” mean the Federal Communications Commission and all of its bureaus and offices</w:t>
      </w:r>
      <w:r>
        <w:rPr>
          <w:sz w:val="22"/>
          <w:szCs w:val="22"/>
        </w:rPr>
        <w:t>.</w:t>
      </w:r>
    </w:p>
    <w:p w14:paraId="0B3BE6F8" w14:textId="77777777" w:rsidR="00412F12" w:rsidRPr="00A85A67" w:rsidRDefault="00412F12" w:rsidP="000D3EBD">
      <w:pPr>
        <w:numPr>
          <w:ilvl w:val="0"/>
          <w:numId w:val="7"/>
        </w:numPr>
        <w:tabs>
          <w:tab w:val="clear" w:pos="3960"/>
          <w:tab w:val="left" w:pos="720"/>
          <w:tab w:val="left" w:pos="1440"/>
        </w:tabs>
        <w:spacing w:after="120"/>
        <w:ind w:left="1872"/>
        <w:rPr>
          <w:sz w:val="22"/>
          <w:szCs w:val="22"/>
        </w:rPr>
      </w:pPr>
      <w:r w:rsidRPr="00A85A67">
        <w:rPr>
          <w:sz w:val="22"/>
          <w:szCs w:val="22"/>
        </w:rPr>
        <w:t>“Communications Laws” means</w:t>
      </w:r>
      <w:r>
        <w:rPr>
          <w:sz w:val="22"/>
          <w:szCs w:val="22"/>
        </w:rPr>
        <w:t>,</w:t>
      </w:r>
      <w:r w:rsidRPr="00A85A67">
        <w:rPr>
          <w:sz w:val="22"/>
          <w:szCs w:val="22"/>
        </w:rPr>
        <w:t xml:space="preserve"> collectively, the Act, the Rules, and the published and promulgated orders and decisions of the Commission to which Intel is subject by virtue of its business activities, including but not limited to, the </w:t>
      </w:r>
      <w:r>
        <w:rPr>
          <w:sz w:val="22"/>
          <w:szCs w:val="22"/>
        </w:rPr>
        <w:t>Radio Frequency Device</w:t>
      </w:r>
      <w:r w:rsidRPr="00A85A67">
        <w:rPr>
          <w:sz w:val="22"/>
          <w:szCs w:val="22"/>
        </w:rPr>
        <w:t xml:space="preserve"> Importation and Product Evaluation Rules. </w:t>
      </w:r>
    </w:p>
    <w:p w14:paraId="14185D56"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 xml:space="preserve">“Compliance Plan” means the compliance obligations, program, and procedures described in this Consent Decree at paragraph </w:t>
      </w:r>
      <w:r>
        <w:rPr>
          <w:sz w:val="22"/>
          <w:szCs w:val="22"/>
        </w:rPr>
        <w:t>12</w:t>
      </w:r>
      <w:r w:rsidRPr="00A85A67">
        <w:rPr>
          <w:sz w:val="22"/>
          <w:szCs w:val="22"/>
        </w:rPr>
        <w:t>.</w:t>
      </w:r>
    </w:p>
    <w:p w14:paraId="05C16A49"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 xml:space="preserve">“Covered Employees” means all employees of Intel who supervise, oversee, or manage the performance of </w:t>
      </w:r>
      <w:r>
        <w:rPr>
          <w:sz w:val="22"/>
          <w:szCs w:val="22"/>
        </w:rPr>
        <w:t xml:space="preserve">the following </w:t>
      </w:r>
      <w:r w:rsidRPr="00A85A67">
        <w:rPr>
          <w:sz w:val="22"/>
          <w:szCs w:val="22"/>
        </w:rPr>
        <w:t xml:space="preserve">duties that </w:t>
      </w:r>
      <w:r>
        <w:rPr>
          <w:sz w:val="22"/>
          <w:szCs w:val="22"/>
        </w:rPr>
        <w:t xml:space="preserve">directly </w:t>
      </w:r>
      <w:r w:rsidRPr="00A85A67">
        <w:rPr>
          <w:sz w:val="22"/>
          <w:szCs w:val="22"/>
        </w:rPr>
        <w:t xml:space="preserve">relate to Intel’s responsibilities under the </w:t>
      </w:r>
      <w:r>
        <w:rPr>
          <w:sz w:val="22"/>
          <w:szCs w:val="22"/>
        </w:rPr>
        <w:t xml:space="preserve">Radio Frequency </w:t>
      </w:r>
      <w:r w:rsidRPr="00A85A67">
        <w:rPr>
          <w:sz w:val="22"/>
          <w:szCs w:val="22"/>
        </w:rPr>
        <w:t>Device Importation and Product Evaluation Rules</w:t>
      </w:r>
      <w:r>
        <w:rPr>
          <w:sz w:val="22"/>
          <w:szCs w:val="22"/>
        </w:rPr>
        <w:t>:  distributing radio frequency devices within the United States and its territories to Intel employees or others prior to equipment authorization; advertising or displaying radio frequency devices within the United States and its territories prior to equipment authorization; and approving for importation into the United States and its territories radio frequency devices prior to equipment authorization, including those who supervise, oversee, or manage third-party brokers who execute FCC Form 740s in connection with Intel’s importation of such devices into the United States and its territories</w:t>
      </w:r>
      <w:r w:rsidRPr="00A85A67">
        <w:rPr>
          <w:sz w:val="22"/>
          <w:szCs w:val="22"/>
        </w:rPr>
        <w:t>.</w:t>
      </w:r>
      <w:r>
        <w:rPr>
          <w:rStyle w:val="FootnoteReference"/>
          <w:szCs w:val="22"/>
        </w:rPr>
        <w:footnoteReference w:id="14"/>
      </w:r>
      <w:r w:rsidRPr="007551D9">
        <w:rPr>
          <w:sz w:val="22"/>
          <w:szCs w:val="22"/>
        </w:rPr>
        <w:t xml:space="preserve"> </w:t>
      </w:r>
    </w:p>
    <w:p w14:paraId="68173547" w14:textId="77777777" w:rsidR="00412F12" w:rsidRPr="00A85A67" w:rsidRDefault="00412F12" w:rsidP="000D3EBD">
      <w:pPr>
        <w:numPr>
          <w:ilvl w:val="0"/>
          <w:numId w:val="7"/>
        </w:numPr>
        <w:tabs>
          <w:tab w:val="clear" w:pos="3960"/>
          <w:tab w:val="left" w:pos="720"/>
          <w:tab w:val="left" w:pos="1440"/>
        </w:tabs>
        <w:spacing w:after="120"/>
        <w:ind w:left="1872"/>
        <w:rPr>
          <w:sz w:val="22"/>
          <w:szCs w:val="22"/>
        </w:rPr>
      </w:pPr>
      <w:r w:rsidRPr="00A85A67">
        <w:rPr>
          <w:sz w:val="22"/>
          <w:szCs w:val="22"/>
        </w:rPr>
        <w:t>“Effective Date” means the date on which the Bureau releases the Adopting Order.</w:t>
      </w:r>
    </w:p>
    <w:p w14:paraId="5D63DEED" w14:textId="77777777" w:rsidR="00412F12" w:rsidRDefault="00412F12" w:rsidP="00F03979">
      <w:pPr>
        <w:numPr>
          <w:ilvl w:val="0"/>
          <w:numId w:val="7"/>
        </w:numPr>
        <w:tabs>
          <w:tab w:val="clear" w:pos="3960"/>
          <w:tab w:val="left" w:pos="720"/>
          <w:tab w:val="left" w:pos="1440"/>
        </w:tabs>
        <w:spacing w:after="120"/>
        <w:ind w:left="1872"/>
      </w:pPr>
      <w:r w:rsidRPr="00A85A67">
        <w:rPr>
          <w:sz w:val="22"/>
          <w:szCs w:val="22"/>
        </w:rPr>
        <w:t xml:space="preserve">“Intel” means Intel Corporation and its predecessors-in-interest and its successors-in-interest. </w:t>
      </w:r>
    </w:p>
    <w:p w14:paraId="5B6C06C8" w14:textId="77777777" w:rsidR="00412F12" w:rsidRDefault="00412F12" w:rsidP="00F03979">
      <w:pPr>
        <w:numPr>
          <w:ilvl w:val="0"/>
          <w:numId w:val="7"/>
        </w:numPr>
        <w:tabs>
          <w:tab w:val="clear" w:pos="3960"/>
          <w:tab w:val="left" w:pos="720"/>
          <w:tab w:val="left" w:pos="1440"/>
        </w:tabs>
        <w:spacing w:after="120"/>
        <w:ind w:left="1872"/>
        <w:rPr>
          <w:sz w:val="22"/>
          <w:szCs w:val="22"/>
        </w:rPr>
      </w:pPr>
      <w:r w:rsidRPr="00A85A67">
        <w:rPr>
          <w:sz w:val="22"/>
          <w:szCs w:val="22"/>
        </w:rPr>
        <w:t>“Investigation” means the investigation commenced by the Bureau</w:t>
      </w:r>
      <w:r>
        <w:rPr>
          <w:sz w:val="22"/>
          <w:szCs w:val="22"/>
        </w:rPr>
        <w:t xml:space="preserve"> following Intel</w:t>
      </w:r>
      <w:r w:rsidRPr="00A85A67">
        <w:rPr>
          <w:sz w:val="22"/>
          <w:szCs w:val="22"/>
        </w:rPr>
        <w:t xml:space="preserve">’s </w:t>
      </w:r>
      <w:r>
        <w:rPr>
          <w:sz w:val="22"/>
          <w:szCs w:val="22"/>
        </w:rPr>
        <w:t>voluntary disclosure to the Bureau of possible violations of Section 302(b) of the Act and former Sections 2.803(c), 2.803(e), and 2.1204 of the Rules pertaining to the importation, operation, and advertisement or display of certain prototype radio frequency devices within the United States and its territories prior to equipment authorization</w:t>
      </w:r>
      <w:r w:rsidRPr="00A85A67">
        <w:rPr>
          <w:sz w:val="22"/>
          <w:szCs w:val="22"/>
        </w:rPr>
        <w:t>.</w:t>
      </w:r>
    </w:p>
    <w:p w14:paraId="5A4D1AF2" w14:textId="77777777" w:rsidR="00412F12" w:rsidRPr="00A85A67" w:rsidRDefault="00412F12" w:rsidP="000D3EBD">
      <w:pPr>
        <w:numPr>
          <w:ilvl w:val="0"/>
          <w:numId w:val="7"/>
        </w:numPr>
        <w:tabs>
          <w:tab w:val="clear" w:pos="3960"/>
          <w:tab w:val="left" w:pos="720"/>
          <w:tab w:val="left" w:pos="1440"/>
        </w:tabs>
        <w:spacing w:after="120"/>
        <w:ind w:left="1872"/>
        <w:rPr>
          <w:sz w:val="22"/>
          <w:szCs w:val="22"/>
        </w:rPr>
      </w:pPr>
      <w:r w:rsidRPr="00A85A67">
        <w:rPr>
          <w:sz w:val="22"/>
          <w:szCs w:val="22"/>
        </w:rPr>
        <w:t>“Operating Procedures” means the internal operating procedures and compliance policies established by Intel to implement the Compliance Plan.</w:t>
      </w:r>
    </w:p>
    <w:p w14:paraId="5B0F8C28" w14:textId="77777777" w:rsidR="00412F12" w:rsidRPr="00A85A67" w:rsidRDefault="00412F12" w:rsidP="000D3EBD">
      <w:pPr>
        <w:numPr>
          <w:ilvl w:val="0"/>
          <w:numId w:val="7"/>
        </w:numPr>
        <w:tabs>
          <w:tab w:val="clear" w:pos="3960"/>
          <w:tab w:val="left" w:pos="720"/>
          <w:tab w:val="left" w:pos="1440"/>
        </w:tabs>
        <w:spacing w:after="120"/>
        <w:ind w:left="1872"/>
        <w:rPr>
          <w:sz w:val="22"/>
          <w:szCs w:val="22"/>
        </w:rPr>
      </w:pPr>
      <w:r w:rsidRPr="00A85A67">
        <w:rPr>
          <w:sz w:val="22"/>
          <w:szCs w:val="22"/>
        </w:rPr>
        <w:t>“Parties” means Intel and the Bureau, each of which is a “Party.”</w:t>
      </w:r>
    </w:p>
    <w:p w14:paraId="7E80B6FD" w14:textId="69E4F272" w:rsidR="001F735E" w:rsidRDefault="001F735E" w:rsidP="000D3EBD">
      <w:pPr>
        <w:numPr>
          <w:ilvl w:val="0"/>
          <w:numId w:val="7"/>
        </w:numPr>
        <w:tabs>
          <w:tab w:val="clear" w:pos="3960"/>
          <w:tab w:val="left" w:pos="720"/>
          <w:tab w:val="left" w:pos="1440"/>
        </w:tabs>
        <w:spacing w:after="120"/>
        <w:ind w:left="1872"/>
        <w:rPr>
          <w:sz w:val="22"/>
          <w:szCs w:val="22"/>
        </w:rPr>
      </w:pPr>
      <w:r>
        <w:rPr>
          <w:sz w:val="22"/>
          <w:szCs w:val="22"/>
        </w:rPr>
        <w:t xml:space="preserve"> “Radio </w:t>
      </w:r>
      <w:r w:rsidR="00800F82">
        <w:rPr>
          <w:sz w:val="22"/>
          <w:szCs w:val="22"/>
        </w:rPr>
        <w:t>F</w:t>
      </w:r>
      <w:r>
        <w:rPr>
          <w:sz w:val="22"/>
          <w:szCs w:val="22"/>
        </w:rPr>
        <w:t xml:space="preserve">requency </w:t>
      </w:r>
      <w:r w:rsidR="00800F82">
        <w:rPr>
          <w:sz w:val="22"/>
          <w:szCs w:val="22"/>
        </w:rPr>
        <w:t>D</w:t>
      </w:r>
      <w:r>
        <w:rPr>
          <w:sz w:val="22"/>
          <w:szCs w:val="22"/>
        </w:rPr>
        <w:t>evice” means</w:t>
      </w:r>
      <w:r w:rsidR="00813934">
        <w:rPr>
          <w:sz w:val="22"/>
          <w:szCs w:val="22"/>
        </w:rPr>
        <w:t>, for purposes of Section III hereof,</w:t>
      </w:r>
      <w:r>
        <w:rPr>
          <w:sz w:val="22"/>
          <w:szCs w:val="22"/>
        </w:rPr>
        <w:t xml:space="preserve"> a “radiofrequency device” as defined by Section 2.801 of the Rules that requires but has not yet received authorization in accordance with the Rules. </w:t>
      </w:r>
    </w:p>
    <w:p w14:paraId="2AF90DA9" w14:textId="77777777" w:rsidR="00412F12" w:rsidRDefault="00412F12" w:rsidP="000D3EBD">
      <w:pPr>
        <w:numPr>
          <w:ilvl w:val="0"/>
          <w:numId w:val="7"/>
        </w:numPr>
        <w:tabs>
          <w:tab w:val="clear" w:pos="3960"/>
          <w:tab w:val="left" w:pos="720"/>
          <w:tab w:val="left" w:pos="1440"/>
        </w:tabs>
        <w:spacing w:after="120"/>
        <w:ind w:left="1872"/>
        <w:rPr>
          <w:sz w:val="22"/>
          <w:szCs w:val="22"/>
        </w:rPr>
      </w:pPr>
      <w:r w:rsidRPr="00A85A67">
        <w:rPr>
          <w:sz w:val="22"/>
          <w:szCs w:val="22"/>
        </w:rPr>
        <w:t>“</w:t>
      </w:r>
      <w:r>
        <w:rPr>
          <w:sz w:val="22"/>
          <w:szCs w:val="22"/>
        </w:rPr>
        <w:t>Radio Frequency</w:t>
      </w:r>
      <w:r w:rsidRPr="00A85A67">
        <w:rPr>
          <w:sz w:val="22"/>
          <w:szCs w:val="22"/>
        </w:rPr>
        <w:t xml:space="preserve"> Device Importation and Product Evaluation Rules” means Section 302(b) of the Act</w:t>
      </w:r>
      <w:r w:rsidRPr="00A85A67">
        <w:rPr>
          <w:rStyle w:val="FootnoteReference"/>
          <w:szCs w:val="22"/>
        </w:rPr>
        <w:footnoteReference w:id="15"/>
      </w:r>
      <w:r w:rsidRPr="00A85A67">
        <w:rPr>
          <w:sz w:val="22"/>
          <w:szCs w:val="22"/>
        </w:rPr>
        <w:t xml:space="preserve"> </w:t>
      </w:r>
      <w:r>
        <w:rPr>
          <w:sz w:val="22"/>
          <w:szCs w:val="22"/>
        </w:rPr>
        <w:t xml:space="preserve">and </w:t>
      </w:r>
      <w:r w:rsidRPr="00A85A67">
        <w:rPr>
          <w:sz w:val="22"/>
          <w:szCs w:val="22"/>
        </w:rPr>
        <w:t>Sections 2.803</w:t>
      </w:r>
      <w:r>
        <w:rPr>
          <w:sz w:val="22"/>
          <w:szCs w:val="22"/>
        </w:rPr>
        <w:t>, 2.805</w:t>
      </w:r>
      <w:r w:rsidRPr="00C12461">
        <w:rPr>
          <w:sz w:val="22"/>
          <w:szCs w:val="22"/>
        </w:rPr>
        <w:t xml:space="preserve">, </w:t>
      </w:r>
      <w:r w:rsidRPr="004A5FD9">
        <w:rPr>
          <w:sz w:val="22"/>
          <w:szCs w:val="22"/>
        </w:rPr>
        <w:t>2.1203, 2.1204, and 2.1205</w:t>
      </w:r>
      <w:r w:rsidRPr="00C12461">
        <w:rPr>
          <w:sz w:val="22"/>
          <w:szCs w:val="22"/>
        </w:rPr>
        <w:t xml:space="preserve"> of</w:t>
      </w:r>
      <w:r w:rsidRPr="00A85A67">
        <w:rPr>
          <w:sz w:val="22"/>
          <w:szCs w:val="22"/>
        </w:rPr>
        <w:t xml:space="preserve"> the Rules</w:t>
      </w:r>
      <w:r>
        <w:rPr>
          <w:sz w:val="22"/>
          <w:szCs w:val="22"/>
        </w:rPr>
        <w:t xml:space="preserve"> as they govern the </w:t>
      </w:r>
      <w:r w:rsidRPr="00A85A67">
        <w:rPr>
          <w:sz w:val="22"/>
          <w:szCs w:val="22"/>
        </w:rPr>
        <w:t>importation, operation</w:t>
      </w:r>
      <w:r>
        <w:rPr>
          <w:sz w:val="22"/>
          <w:szCs w:val="22"/>
        </w:rPr>
        <w:t xml:space="preserve">, and advertisement or display of radio frequency devices </w:t>
      </w:r>
      <w:r w:rsidRPr="00A85A67">
        <w:rPr>
          <w:sz w:val="22"/>
          <w:szCs w:val="22"/>
        </w:rPr>
        <w:t>within the United States and its territories</w:t>
      </w:r>
      <w:r>
        <w:rPr>
          <w:sz w:val="22"/>
          <w:szCs w:val="22"/>
        </w:rPr>
        <w:t xml:space="preserve"> prior to equipment authorization,</w:t>
      </w:r>
      <w:r>
        <w:rPr>
          <w:rStyle w:val="FootnoteReference"/>
          <w:szCs w:val="22"/>
        </w:rPr>
        <w:footnoteReference w:id="16"/>
      </w:r>
      <w:r w:rsidRPr="00A85A67">
        <w:rPr>
          <w:sz w:val="22"/>
          <w:szCs w:val="22"/>
        </w:rPr>
        <w:t xml:space="preserve"> and </w:t>
      </w:r>
      <w:r>
        <w:rPr>
          <w:sz w:val="22"/>
          <w:szCs w:val="22"/>
        </w:rPr>
        <w:t xml:space="preserve">the published and promulgated orders and decisions of the Commission regarding those provisions as they </w:t>
      </w:r>
      <w:r w:rsidRPr="00A85A67">
        <w:rPr>
          <w:sz w:val="22"/>
          <w:szCs w:val="22"/>
        </w:rPr>
        <w:t>govern the importation, operation</w:t>
      </w:r>
      <w:r>
        <w:rPr>
          <w:sz w:val="22"/>
          <w:szCs w:val="22"/>
        </w:rPr>
        <w:t xml:space="preserve">, and advertisement or display of radio frequency devices </w:t>
      </w:r>
      <w:r w:rsidRPr="00A85A67">
        <w:rPr>
          <w:sz w:val="22"/>
          <w:szCs w:val="22"/>
        </w:rPr>
        <w:t>within the United States and its territories</w:t>
      </w:r>
      <w:r>
        <w:rPr>
          <w:sz w:val="22"/>
          <w:szCs w:val="22"/>
        </w:rPr>
        <w:t xml:space="preserve"> prior to equipment authorization</w:t>
      </w:r>
      <w:r w:rsidRPr="00A85A67">
        <w:rPr>
          <w:sz w:val="22"/>
          <w:szCs w:val="22"/>
        </w:rPr>
        <w:t>.</w:t>
      </w:r>
    </w:p>
    <w:p w14:paraId="74016830" w14:textId="7025325A" w:rsidR="00565FD6" w:rsidRPr="00E25863" w:rsidRDefault="00412F12" w:rsidP="00E25863">
      <w:pPr>
        <w:numPr>
          <w:ilvl w:val="0"/>
          <w:numId w:val="7"/>
        </w:numPr>
        <w:tabs>
          <w:tab w:val="clear" w:pos="3960"/>
          <w:tab w:val="left" w:pos="720"/>
          <w:tab w:val="left" w:pos="1440"/>
        </w:tabs>
        <w:spacing w:after="120"/>
        <w:ind w:left="1872"/>
        <w:rPr>
          <w:sz w:val="22"/>
          <w:szCs w:val="22"/>
        </w:rPr>
      </w:pPr>
      <w:r w:rsidRPr="00A85A67">
        <w:rPr>
          <w:sz w:val="22"/>
          <w:szCs w:val="22"/>
        </w:rPr>
        <w:t>“Rules” means the Commission’s regulations found in Title 47 of the Code of Federal Regulations.</w:t>
      </w:r>
    </w:p>
    <w:p w14:paraId="6D59D06C" w14:textId="77777777" w:rsidR="00412F12" w:rsidRDefault="00412F12" w:rsidP="00F03979">
      <w:pPr>
        <w:pStyle w:val="Heading1"/>
        <w:keepLines/>
        <w:suppressAutoHyphens w:val="0"/>
        <w:rPr>
          <w:rFonts w:ascii="Times New Roman" w:hAnsi="Times New Roman"/>
          <w:caps w:val="0"/>
          <w:sz w:val="22"/>
          <w:szCs w:val="22"/>
        </w:rPr>
      </w:pPr>
      <w:r w:rsidRPr="00A85A67">
        <w:rPr>
          <w:rFonts w:ascii="Times New Roman" w:hAnsi="Times New Roman"/>
          <w:caps w:val="0"/>
          <w:sz w:val="22"/>
          <w:szCs w:val="22"/>
        </w:rPr>
        <w:t>II.</w:t>
      </w:r>
      <w:r w:rsidRPr="00A85A67">
        <w:rPr>
          <w:rFonts w:ascii="Times New Roman" w:hAnsi="Times New Roman"/>
          <w:caps w:val="0"/>
          <w:sz w:val="22"/>
          <w:szCs w:val="22"/>
        </w:rPr>
        <w:tab/>
      </w:r>
      <w:r>
        <w:rPr>
          <w:rFonts w:ascii="Times New Roman" w:hAnsi="Times New Roman"/>
          <w:caps w:val="0"/>
          <w:sz w:val="22"/>
          <w:szCs w:val="22"/>
        </w:rPr>
        <w:t>BACKGROUND</w:t>
      </w:r>
    </w:p>
    <w:p w14:paraId="299DA510" w14:textId="77777777" w:rsidR="00412F12" w:rsidRDefault="00412F12" w:rsidP="00F03979">
      <w:pPr>
        <w:pStyle w:val="par1"/>
        <w:spacing w:after="120"/>
        <w:rPr>
          <w:szCs w:val="22"/>
        </w:rPr>
      </w:pPr>
      <w:r w:rsidRPr="00A85A67">
        <w:rPr>
          <w:szCs w:val="22"/>
        </w:rPr>
        <w:tab/>
      </w:r>
      <w:r w:rsidRPr="00B6422D">
        <w:rPr>
          <w:szCs w:val="22"/>
        </w:rPr>
        <w:t>Pursuant to Section 302(b) of the Act</w:t>
      </w:r>
      <w:r w:rsidRPr="00B6422D">
        <w:rPr>
          <w:szCs w:val="22"/>
          <w:vertAlign w:val="superscript"/>
        </w:rPr>
        <w:footnoteReference w:id="17"/>
      </w:r>
      <w:r w:rsidRPr="00B6422D">
        <w:rPr>
          <w:szCs w:val="22"/>
        </w:rPr>
        <w:t xml:space="preserve"> and Section 2.803</w:t>
      </w:r>
      <w:r>
        <w:rPr>
          <w:szCs w:val="22"/>
        </w:rPr>
        <w:t xml:space="preserve"> of the Rules,</w:t>
      </w:r>
      <w:r w:rsidRPr="00B6422D">
        <w:rPr>
          <w:szCs w:val="22"/>
          <w:vertAlign w:val="superscript"/>
        </w:rPr>
        <w:footnoteReference w:id="18"/>
      </w:r>
      <w:r w:rsidRPr="00B6422D">
        <w:rPr>
          <w:szCs w:val="22"/>
        </w:rPr>
        <w:t xml:space="preserve"> </w:t>
      </w:r>
      <w:r>
        <w:rPr>
          <w:szCs w:val="22"/>
        </w:rPr>
        <w:t xml:space="preserve">radio frequency devices </w:t>
      </w:r>
      <w:r w:rsidRPr="00B6422D">
        <w:rPr>
          <w:szCs w:val="22"/>
        </w:rPr>
        <w:t xml:space="preserve">may not be marketed in the </w:t>
      </w:r>
      <w:smartTag w:uri="urn:schemas-microsoft-com:office:smarttags" w:element="place">
        <w:smartTag w:uri="urn:schemas-microsoft-com:office:smarttags" w:element="country-region">
          <w:r w:rsidRPr="00B6422D">
            <w:rPr>
              <w:szCs w:val="22"/>
            </w:rPr>
            <w:t>United States</w:t>
          </w:r>
        </w:smartTag>
      </w:smartTag>
      <w:r w:rsidRPr="00B6422D">
        <w:rPr>
          <w:szCs w:val="22"/>
        </w:rPr>
        <w:t xml:space="preserve"> unless the devices </w:t>
      </w:r>
      <w:r>
        <w:rPr>
          <w:szCs w:val="22"/>
        </w:rPr>
        <w:t xml:space="preserve">have been </w:t>
      </w:r>
      <w:r w:rsidRPr="00D34BD3">
        <w:rPr>
          <w:szCs w:val="22"/>
        </w:rPr>
        <w:t>tested for compliance with the applicable technical requirements prior to the initiation of marketing in accordance with one of three authorization procedures</w:t>
      </w:r>
      <w:r>
        <w:rPr>
          <w:szCs w:val="22"/>
        </w:rPr>
        <w:t xml:space="preserve"> (i.e., </w:t>
      </w:r>
      <w:r w:rsidRPr="00D34BD3">
        <w:rPr>
          <w:szCs w:val="22"/>
        </w:rPr>
        <w:t>certification, Declaration of Conformity, or verification</w:t>
      </w:r>
      <w:r>
        <w:rPr>
          <w:szCs w:val="22"/>
        </w:rPr>
        <w:t>).</w:t>
      </w:r>
      <w:r w:rsidRPr="00D34BD3">
        <w:rPr>
          <w:szCs w:val="22"/>
          <w:vertAlign w:val="superscript"/>
        </w:rPr>
        <w:footnoteReference w:id="19"/>
      </w:r>
      <w:r>
        <w:rPr>
          <w:szCs w:val="22"/>
        </w:rPr>
        <w:t xml:space="preserve">  </w:t>
      </w:r>
      <w:r w:rsidRPr="00B6422D">
        <w:rPr>
          <w:szCs w:val="22"/>
        </w:rPr>
        <w:t>Section 2.803(</w:t>
      </w:r>
      <w:r>
        <w:rPr>
          <w:szCs w:val="22"/>
        </w:rPr>
        <w:t>a</w:t>
      </w:r>
      <w:r w:rsidRPr="00B6422D">
        <w:rPr>
          <w:szCs w:val="22"/>
        </w:rPr>
        <w:t>) of the Rules defines “marketing” as the “sale or lease, or offering for sale or lease, including advertising for sale or lease, or importation, shipment, or distribution for the purpose of selling or leasing or offering for sale or lease.”</w:t>
      </w:r>
      <w:r w:rsidRPr="00B6422D">
        <w:rPr>
          <w:szCs w:val="22"/>
          <w:vertAlign w:val="superscript"/>
        </w:rPr>
        <w:footnoteReference w:id="20"/>
      </w:r>
      <w:r>
        <w:rPr>
          <w:szCs w:val="22"/>
        </w:rPr>
        <w:t xml:space="preserve">  </w:t>
      </w:r>
    </w:p>
    <w:p w14:paraId="1FD22AF6" w14:textId="77777777" w:rsidR="00412F12" w:rsidRDefault="00412F12" w:rsidP="00F03979">
      <w:pPr>
        <w:pStyle w:val="par1"/>
        <w:tabs>
          <w:tab w:val="clear" w:pos="1080"/>
          <w:tab w:val="num" w:pos="1440"/>
        </w:tabs>
        <w:spacing w:after="120"/>
        <w:rPr>
          <w:szCs w:val="22"/>
        </w:rPr>
      </w:pPr>
      <w:r>
        <w:rPr>
          <w:szCs w:val="22"/>
        </w:rPr>
        <w:t>Former Section 2.803(e)(1)(iv) of the Rules permitted a manufacturer to operate, but not market, radio frequency devices prior to equipment authorization to evaluate product performance and to determine customer acceptability, provided such operation took place at the manufacturer’s facilities during the developmental, design, or pre-production stages.</w:t>
      </w:r>
      <w:r>
        <w:rPr>
          <w:rStyle w:val="FootnoteReference"/>
          <w:szCs w:val="22"/>
        </w:rPr>
        <w:footnoteReference w:id="21"/>
      </w:r>
      <w:r>
        <w:rPr>
          <w:szCs w:val="22"/>
        </w:rPr>
        <w:t xml:space="preserve">   In addition, pursuant to </w:t>
      </w:r>
      <w:r w:rsidRPr="00E04959">
        <w:rPr>
          <w:szCs w:val="22"/>
        </w:rPr>
        <w:t>former Section 2.803(e)(3)(ii) of the Rules</w:t>
      </w:r>
      <w:r>
        <w:rPr>
          <w:szCs w:val="22"/>
        </w:rPr>
        <w:t xml:space="preserve">, a </w:t>
      </w:r>
      <w:r w:rsidRPr="00E04959">
        <w:rPr>
          <w:szCs w:val="22"/>
        </w:rPr>
        <w:t xml:space="preserve">manufacturer </w:t>
      </w:r>
      <w:r>
        <w:rPr>
          <w:szCs w:val="22"/>
        </w:rPr>
        <w:t xml:space="preserve">could </w:t>
      </w:r>
      <w:r w:rsidRPr="00E04959">
        <w:rPr>
          <w:szCs w:val="22"/>
        </w:rPr>
        <w:t xml:space="preserve">operate radio frequency devices prior to equipment authorization for demonstration or evaluation purposes pursuant to a grant of special temporary authority </w:t>
      </w:r>
      <w:r>
        <w:rPr>
          <w:szCs w:val="22"/>
        </w:rPr>
        <w:t xml:space="preserve">(STA) </w:t>
      </w:r>
      <w:r w:rsidRPr="00E04959">
        <w:rPr>
          <w:szCs w:val="22"/>
        </w:rPr>
        <w:t>or an experimental license, or under the authority and with the consent of the local FCC licensed service provider.</w:t>
      </w:r>
      <w:r>
        <w:rPr>
          <w:rStyle w:val="FootnoteReference"/>
          <w:szCs w:val="22"/>
        </w:rPr>
        <w:footnoteReference w:id="22"/>
      </w:r>
      <w:r w:rsidRPr="00E04959">
        <w:rPr>
          <w:szCs w:val="22"/>
        </w:rPr>
        <w:t xml:space="preserve"> </w:t>
      </w:r>
      <w:r>
        <w:rPr>
          <w:sz w:val="20"/>
        </w:rPr>
        <w:t xml:space="preserve"> </w:t>
      </w:r>
    </w:p>
    <w:p w14:paraId="5CC6D22B" w14:textId="77777777" w:rsidR="00412F12" w:rsidRDefault="00412F12" w:rsidP="00F03979">
      <w:pPr>
        <w:pStyle w:val="par1"/>
        <w:tabs>
          <w:tab w:val="clear" w:pos="1080"/>
          <w:tab w:val="num" w:pos="1440"/>
        </w:tabs>
        <w:spacing w:after="120"/>
        <w:rPr>
          <w:szCs w:val="22"/>
        </w:rPr>
      </w:pPr>
      <w:r w:rsidRPr="008A552E">
        <w:rPr>
          <w:szCs w:val="22"/>
        </w:rPr>
        <w:t>Pursuant to Sections 2.1203, 2.1204, and 2.1205 of the Rules,</w:t>
      </w:r>
      <w:r w:rsidRPr="008A552E">
        <w:rPr>
          <w:szCs w:val="22"/>
          <w:vertAlign w:val="superscript"/>
        </w:rPr>
        <w:footnoteReference w:id="23"/>
      </w:r>
      <w:r w:rsidRPr="008A552E">
        <w:rPr>
          <w:szCs w:val="22"/>
        </w:rPr>
        <w:t xml:space="preserve"> </w:t>
      </w:r>
      <w:r>
        <w:rPr>
          <w:szCs w:val="22"/>
        </w:rPr>
        <w:t xml:space="preserve">radio frequency devices </w:t>
      </w:r>
      <w:r w:rsidRPr="008A552E">
        <w:rPr>
          <w:szCs w:val="22"/>
        </w:rPr>
        <w:t>may not be imported into the United States unless the importer, ultimate consignee, or customs broker files with the United States Customs and Border Protection (CBP) an FCC Form 740 (or the electronic equivalent thereof) declaring that the device meets one of the import conditions set forth in Section 2.1204 of the Rules.</w:t>
      </w:r>
      <w:r w:rsidRPr="008A552E">
        <w:rPr>
          <w:szCs w:val="22"/>
          <w:vertAlign w:val="superscript"/>
        </w:rPr>
        <w:footnoteReference w:id="24"/>
      </w:r>
      <w:r>
        <w:rPr>
          <w:szCs w:val="22"/>
        </w:rPr>
        <w:t xml:space="preserve">  Former Section </w:t>
      </w:r>
      <w:r w:rsidRPr="00A85A67">
        <w:rPr>
          <w:szCs w:val="22"/>
        </w:rPr>
        <w:t>2.1204 of the Rules</w:t>
      </w:r>
      <w:r>
        <w:rPr>
          <w:szCs w:val="22"/>
        </w:rPr>
        <w:t xml:space="preserve"> also permitted the importation of “limited quantities” of radio frequency devices prior to equipment authorization for testing and evaluation of compliance with the Rules or suitability for marketing, provided such devices were not offered for sale or marketed.</w:t>
      </w:r>
      <w:r w:rsidRPr="00A85A67">
        <w:rPr>
          <w:rStyle w:val="FootnoteReference"/>
          <w:szCs w:val="22"/>
        </w:rPr>
        <w:footnoteReference w:id="25"/>
      </w:r>
      <w:r>
        <w:rPr>
          <w:szCs w:val="22"/>
        </w:rPr>
        <w:t xml:space="preserve">  The importation of a greater number of units than permitted required prior written approval from the Commission’s Office of Engineering and Technology.</w:t>
      </w:r>
      <w:r>
        <w:rPr>
          <w:rStyle w:val="FootnoteReference"/>
          <w:szCs w:val="22"/>
        </w:rPr>
        <w:footnoteReference w:id="26"/>
      </w:r>
      <w:r>
        <w:rPr>
          <w:szCs w:val="22"/>
        </w:rPr>
        <w:t xml:space="preserve">  </w:t>
      </w:r>
    </w:p>
    <w:p w14:paraId="52799B4E" w14:textId="77777777" w:rsidR="00412F12" w:rsidRDefault="00412F12" w:rsidP="00F03979">
      <w:pPr>
        <w:pStyle w:val="par1"/>
        <w:tabs>
          <w:tab w:val="clear" w:pos="1080"/>
          <w:tab w:val="num" w:pos="1440"/>
        </w:tabs>
        <w:spacing w:after="120"/>
        <w:rPr>
          <w:szCs w:val="22"/>
        </w:rPr>
      </w:pPr>
      <w:r>
        <w:rPr>
          <w:szCs w:val="22"/>
        </w:rPr>
        <w:t>Finally, radio frequency devices may be advertised or displayed (e.g., at a trade show or exhibition) prior to equipment authorization, provided that the advertisement or display is accompanied by the following conspicuous notice:  “</w:t>
      </w:r>
      <w:r w:rsidRPr="008A552E">
        <w:rPr>
          <w:szCs w:val="22"/>
        </w:rPr>
        <w:t>This device has not been authorized as required by the rules of the Federal Communications Commission.  This device is not, and may not be, offered for sale or lease, or sold or leased, until authorization is obtained</w:t>
      </w:r>
      <w:r>
        <w:rPr>
          <w:szCs w:val="22"/>
        </w:rPr>
        <w:t>.”</w:t>
      </w:r>
      <w:r w:rsidRPr="0031039A">
        <w:rPr>
          <w:szCs w:val="22"/>
          <w:vertAlign w:val="superscript"/>
        </w:rPr>
        <w:footnoteReference w:id="27"/>
      </w:r>
    </w:p>
    <w:p w14:paraId="1E47D774" w14:textId="0E940522" w:rsidR="00412F12" w:rsidRPr="00A85A67" w:rsidRDefault="00412F12" w:rsidP="001A32C1">
      <w:pPr>
        <w:pStyle w:val="par1"/>
        <w:spacing w:after="120"/>
        <w:rPr>
          <w:szCs w:val="22"/>
        </w:rPr>
      </w:pPr>
      <w:r w:rsidRPr="00A85A67">
        <w:tab/>
        <w:t>Intel design</w:t>
      </w:r>
      <w:r>
        <w:t>s</w:t>
      </w:r>
      <w:r w:rsidRPr="00A85A67">
        <w:t>, manufacturer</w:t>
      </w:r>
      <w:r>
        <w:t>s</w:t>
      </w:r>
      <w:r w:rsidRPr="00A85A67">
        <w:t>, and distribut</w:t>
      </w:r>
      <w:r>
        <w:t>es</w:t>
      </w:r>
      <w:r w:rsidRPr="00A85A67">
        <w:t xml:space="preserve"> semiconductor chips and other </w:t>
      </w:r>
      <w:r>
        <w:t xml:space="preserve">communication and computer </w:t>
      </w:r>
      <w:r w:rsidRPr="00A85A67">
        <w:t xml:space="preserve">devices that </w:t>
      </w:r>
      <w:r>
        <w:t xml:space="preserve">must be </w:t>
      </w:r>
      <w:r w:rsidRPr="00A85A67">
        <w:t>authoriz</w:t>
      </w:r>
      <w:r>
        <w:t>ed</w:t>
      </w:r>
      <w:r w:rsidRPr="00A85A67">
        <w:t xml:space="preserve"> via the Commission’s equipment verification procedures.</w:t>
      </w:r>
      <w:r>
        <w:t xml:space="preserve">  </w:t>
      </w:r>
      <w:r w:rsidRPr="00A85A67">
        <w:t xml:space="preserve">On August 17, 2012, counsel to Intel </w:t>
      </w:r>
      <w:r>
        <w:t xml:space="preserve">orally </w:t>
      </w:r>
      <w:r w:rsidRPr="00A85A67">
        <w:t xml:space="preserve">disclosed to the Bureau’s Spectrum Enforcement Division (Division) </w:t>
      </w:r>
      <w:r w:rsidR="00A42C95">
        <w:t xml:space="preserve">possible </w:t>
      </w:r>
      <w:r w:rsidRPr="00A85A67">
        <w:t xml:space="preserve">violations of the </w:t>
      </w:r>
      <w:r>
        <w:t xml:space="preserve">Rules relating to the </w:t>
      </w:r>
      <w:r w:rsidRPr="00A85A67">
        <w:t>importation, operation</w:t>
      </w:r>
      <w:r>
        <w:t>, and advertisement or display of prototype radio frequency devices (specifically, smartphones and tablets) prior to equipment authorization</w:t>
      </w:r>
      <w:r w:rsidRPr="00A85A67">
        <w:t>.</w:t>
      </w:r>
      <w:r>
        <w:t xml:space="preserve">  </w:t>
      </w:r>
      <w:r w:rsidRPr="00A85A67">
        <w:rPr>
          <w:rFonts w:eastAsia="MS ??"/>
          <w:kern w:val="28"/>
          <w:szCs w:val="22"/>
        </w:rPr>
        <w:t xml:space="preserve">Intel </w:t>
      </w:r>
      <w:r>
        <w:rPr>
          <w:rFonts w:eastAsia="MS ??"/>
          <w:kern w:val="28"/>
          <w:szCs w:val="22"/>
        </w:rPr>
        <w:t xml:space="preserve">supplemented its disclosure </w:t>
      </w:r>
      <w:r w:rsidRPr="00A85A67">
        <w:rPr>
          <w:rFonts w:eastAsia="MS ??"/>
          <w:kern w:val="28"/>
          <w:szCs w:val="22"/>
        </w:rPr>
        <w:t>on December 19, 2012.</w:t>
      </w:r>
      <w:r w:rsidRPr="00A85A67">
        <w:rPr>
          <w:rStyle w:val="FootnoteReference"/>
          <w:rFonts w:eastAsia="MS ??"/>
          <w:kern w:val="28"/>
          <w:szCs w:val="22"/>
        </w:rPr>
        <w:footnoteReference w:id="28"/>
      </w:r>
      <w:r w:rsidRPr="00A85A67">
        <w:rPr>
          <w:rFonts w:eastAsia="MS ??"/>
          <w:kern w:val="28"/>
          <w:szCs w:val="22"/>
        </w:rPr>
        <w:t xml:space="preserve">  </w:t>
      </w:r>
      <w:r w:rsidRPr="00A85A67">
        <w:rPr>
          <w:szCs w:val="22"/>
        </w:rPr>
        <w:t xml:space="preserve">On March 19, 2013, the Division </w:t>
      </w:r>
      <w:r>
        <w:rPr>
          <w:szCs w:val="22"/>
        </w:rPr>
        <w:t xml:space="preserve">directed Intel to </w:t>
      </w:r>
      <w:r w:rsidRPr="00A85A67">
        <w:rPr>
          <w:szCs w:val="22"/>
        </w:rPr>
        <w:t xml:space="preserve">submit a sworn written response to a series of questions relating </w:t>
      </w:r>
      <w:r>
        <w:rPr>
          <w:szCs w:val="22"/>
        </w:rPr>
        <w:t>Intel’s compliance with former Sections 2.803(c), 2.803(e), and 2.1204 of the Rules.</w:t>
      </w:r>
      <w:r>
        <w:rPr>
          <w:rStyle w:val="FootnoteReference"/>
          <w:szCs w:val="22"/>
        </w:rPr>
        <w:footnoteReference w:id="29"/>
      </w:r>
      <w:r w:rsidRPr="00A85A67">
        <w:rPr>
          <w:szCs w:val="22"/>
        </w:rPr>
        <w:t xml:space="preserve">  Intel responded to the </w:t>
      </w:r>
      <w:r>
        <w:rPr>
          <w:szCs w:val="22"/>
        </w:rPr>
        <w:t xml:space="preserve">Division’s </w:t>
      </w:r>
      <w:r w:rsidRPr="00A85A67">
        <w:rPr>
          <w:szCs w:val="22"/>
        </w:rPr>
        <w:t>inquiry on April 18, 2013.</w:t>
      </w:r>
      <w:r w:rsidRPr="00A85A67">
        <w:rPr>
          <w:rStyle w:val="FootnoteReference"/>
          <w:szCs w:val="22"/>
        </w:rPr>
        <w:footnoteReference w:id="30"/>
      </w:r>
      <w:r w:rsidRPr="00A85A67">
        <w:rPr>
          <w:szCs w:val="22"/>
        </w:rPr>
        <w:t xml:space="preserve">  </w:t>
      </w:r>
      <w:r w:rsidRPr="00D001CF">
        <w:rPr>
          <w:szCs w:val="22"/>
        </w:rPr>
        <w:t xml:space="preserve">In its Response, Intel identified certain </w:t>
      </w:r>
      <w:r>
        <w:rPr>
          <w:szCs w:val="22"/>
        </w:rPr>
        <w:t xml:space="preserve">prototype </w:t>
      </w:r>
      <w:r w:rsidRPr="00D001CF">
        <w:rPr>
          <w:szCs w:val="22"/>
        </w:rPr>
        <w:t>digital device models that were operated in residential areas for testing and evaluation purposes without an equipment authorization prior to receipt of an STA, or that were operated on licensed spectrum without the prior approval of the underlying FCC licensee.</w:t>
      </w:r>
      <w:r w:rsidRPr="00D001CF">
        <w:rPr>
          <w:rStyle w:val="FootnoteReference"/>
          <w:szCs w:val="22"/>
        </w:rPr>
        <w:footnoteReference w:id="31"/>
      </w:r>
      <w:r w:rsidRPr="00D001CF">
        <w:rPr>
          <w:szCs w:val="22"/>
        </w:rPr>
        <w:t xml:space="preserve">  In addition, Intel acknowledged that</w:t>
      </w:r>
      <w:r>
        <w:rPr>
          <w:szCs w:val="22"/>
        </w:rPr>
        <w:t>, under former Section 2.1204 of the Rules,</w:t>
      </w:r>
      <w:r w:rsidRPr="00D001CF">
        <w:rPr>
          <w:szCs w:val="22"/>
        </w:rPr>
        <w:t xml:space="preserve"> it import</w:t>
      </w:r>
      <w:r>
        <w:rPr>
          <w:szCs w:val="22"/>
        </w:rPr>
        <w:t>ed</w:t>
      </w:r>
      <w:r w:rsidRPr="00D001CF">
        <w:rPr>
          <w:szCs w:val="22"/>
        </w:rPr>
        <w:t xml:space="preserve"> </w:t>
      </w:r>
      <w:r>
        <w:rPr>
          <w:szCs w:val="22"/>
        </w:rPr>
        <w:t xml:space="preserve">more than “limited quantities” </w:t>
      </w:r>
      <w:r w:rsidRPr="00D001CF">
        <w:rPr>
          <w:szCs w:val="22"/>
        </w:rPr>
        <w:t xml:space="preserve">of certain </w:t>
      </w:r>
      <w:r>
        <w:rPr>
          <w:szCs w:val="22"/>
        </w:rPr>
        <w:t xml:space="preserve">prototype </w:t>
      </w:r>
      <w:r w:rsidRPr="00D001CF">
        <w:rPr>
          <w:szCs w:val="22"/>
        </w:rPr>
        <w:t>digital device models prior to equipment authorization,</w:t>
      </w:r>
      <w:r w:rsidRPr="00D001CF">
        <w:rPr>
          <w:rStyle w:val="FootnoteReference"/>
          <w:szCs w:val="22"/>
        </w:rPr>
        <w:footnoteReference w:id="32"/>
      </w:r>
      <w:r w:rsidRPr="00D001CF">
        <w:rPr>
          <w:szCs w:val="22"/>
        </w:rPr>
        <w:t xml:space="preserve"> and that it had displayed at a trade show one </w:t>
      </w:r>
      <w:r>
        <w:rPr>
          <w:szCs w:val="22"/>
        </w:rPr>
        <w:t xml:space="preserve">prototype </w:t>
      </w:r>
      <w:r w:rsidRPr="00D001CF">
        <w:rPr>
          <w:szCs w:val="22"/>
        </w:rPr>
        <w:t xml:space="preserve">digital device model prior to equipment authorization with </w:t>
      </w:r>
      <w:r>
        <w:rPr>
          <w:szCs w:val="22"/>
        </w:rPr>
        <w:t xml:space="preserve">a </w:t>
      </w:r>
      <w:r w:rsidRPr="00D001CF">
        <w:rPr>
          <w:szCs w:val="22"/>
        </w:rPr>
        <w:t xml:space="preserve">notice </w:t>
      </w:r>
      <w:r>
        <w:rPr>
          <w:szCs w:val="22"/>
        </w:rPr>
        <w:t xml:space="preserve">that it believes stated </w:t>
      </w:r>
      <w:r w:rsidRPr="00B57E3B">
        <w:rPr>
          <w:szCs w:val="22"/>
        </w:rPr>
        <w:t>only</w:t>
      </w:r>
      <w:r>
        <w:rPr>
          <w:szCs w:val="22"/>
        </w:rPr>
        <w:t xml:space="preserve"> that</w:t>
      </w:r>
      <w:r>
        <w:t>:  “CONFIDENTIAL INTEL RESTRICTED PROPERTY: NOT FOR SALE.”</w:t>
      </w:r>
      <w:r w:rsidRPr="00B57E3B">
        <w:rPr>
          <w:rStyle w:val="FootnoteReference"/>
          <w:szCs w:val="22"/>
        </w:rPr>
        <w:footnoteReference w:id="33"/>
      </w:r>
    </w:p>
    <w:p w14:paraId="452147FE" w14:textId="77777777" w:rsidR="00412F12" w:rsidRPr="00A85A67" w:rsidRDefault="00412F12" w:rsidP="001A32C1">
      <w:pPr>
        <w:keepNext/>
        <w:tabs>
          <w:tab w:val="left" w:pos="0"/>
        </w:tabs>
        <w:spacing w:after="120"/>
        <w:rPr>
          <w:b/>
          <w:sz w:val="22"/>
          <w:szCs w:val="22"/>
          <w:u w:val="single"/>
        </w:rPr>
      </w:pPr>
      <w:r w:rsidRPr="00A85A67">
        <w:rPr>
          <w:b/>
          <w:sz w:val="22"/>
          <w:szCs w:val="22"/>
        </w:rPr>
        <w:t>III.</w:t>
      </w:r>
      <w:r w:rsidRPr="00A85A67">
        <w:rPr>
          <w:b/>
          <w:sz w:val="22"/>
          <w:szCs w:val="22"/>
        </w:rPr>
        <w:tab/>
        <w:t>TERMS OF AGREEMENT</w:t>
      </w:r>
    </w:p>
    <w:p w14:paraId="28D3C6B9" w14:textId="77777777" w:rsidR="00412F12" w:rsidRPr="00A85A67" w:rsidRDefault="00412F12" w:rsidP="001A32C1">
      <w:pPr>
        <w:pStyle w:val="par1"/>
        <w:tabs>
          <w:tab w:val="left" w:pos="1080"/>
        </w:tabs>
        <w:spacing w:after="120"/>
        <w:rPr>
          <w:b/>
          <w:szCs w:val="22"/>
          <w:u w:val="single"/>
        </w:rPr>
      </w:pPr>
      <w:r w:rsidRPr="00A85A67">
        <w:rPr>
          <w:bCs/>
          <w:szCs w:val="22"/>
        </w:rPr>
        <w:tab/>
      </w:r>
      <w:r w:rsidRPr="00A85A67">
        <w:rPr>
          <w:b/>
          <w:szCs w:val="22"/>
          <w:u w:val="single"/>
        </w:rPr>
        <w:t>Adopting Order</w:t>
      </w:r>
      <w:r w:rsidRPr="00A85A67">
        <w:rPr>
          <w:szCs w:val="22"/>
        </w:rPr>
        <w:t>.</w:t>
      </w:r>
      <w:r w:rsidRPr="00A85A67">
        <w:rPr>
          <w:b/>
          <w:szCs w:val="22"/>
        </w:rPr>
        <w:t xml:space="preserve">  </w:t>
      </w:r>
      <w:r w:rsidRPr="00A85A67">
        <w:rPr>
          <w:szCs w:val="22"/>
        </w:rPr>
        <w:t xml:space="preserve">The Parties agree that the provisions of this Consent Decree shall be subject to final approval by the </w:t>
      </w:r>
      <w:r w:rsidRPr="00A85A67">
        <w:rPr>
          <w:bCs/>
          <w:szCs w:val="22"/>
        </w:rPr>
        <w:t xml:space="preserve">Bureau </w:t>
      </w:r>
      <w:r w:rsidRPr="00A85A67">
        <w:rPr>
          <w:szCs w:val="22"/>
        </w:rPr>
        <w:t>by incorporation of such provisions by reference in the Adopting Order.</w:t>
      </w:r>
      <w:r w:rsidRPr="00A85A67">
        <w:rPr>
          <w:b/>
          <w:szCs w:val="22"/>
          <w:u w:val="single"/>
        </w:rPr>
        <w:t xml:space="preserve"> </w:t>
      </w:r>
    </w:p>
    <w:p w14:paraId="5F7B6CD0" w14:textId="77777777" w:rsidR="00412F12" w:rsidRPr="00A85A67" w:rsidRDefault="00412F12" w:rsidP="001A32C1">
      <w:pPr>
        <w:pStyle w:val="par1"/>
        <w:tabs>
          <w:tab w:val="left" w:pos="1080"/>
        </w:tabs>
        <w:spacing w:after="120"/>
      </w:pPr>
      <w:r w:rsidRPr="00A85A67">
        <w:rPr>
          <w:bCs/>
          <w:szCs w:val="22"/>
        </w:rPr>
        <w:tab/>
      </w:r>
      <w:r w:rsidRPr="00A85A67">
        <w:rPr>
          <w:b/>
          <w:szCs w:val="22"/>
          <w:u w:val="single"/>
        </w:rPr>
        <w:t>Jurisdiction</w:t>
      </w:r>
      <w:r w:rsidRPr="00A85A67">
        <w:rPr>
          <w:szCs w:val="22"/>
        </w:rPr>
        <w:t xml:space="preserve">.  Intel agrees that the </w:t>
      </w:r>
      <w:r w:rsidRPr="00A85A67">
        <w:rPr>
          <w:bCs/>
          <w:szCs w:val="22"/>
        </w:rPr>
        <w:t>Bureau</w:t>
      </w:r>
      <w:r w:rsidRPr="00A85A67">
        <w:rPr>
          <w:szCs w:val="22"/>
        </w:rPr>
        <w:t xml:space="preserve"> has jurisdiction over it and the matters contained in this Consent Decree and that the Bureau has the authority to enter into and adopt this Consent Decree.</w:t>
      </w:r>
    </w:p>
    <w:p w14:paraId="1D0A5DF4" w14:textId="77777777" w:rsidR="00412F12" w:rsidRPr="00A85A67" w:rsidRDefault="00412F12" w:rsidP="001A32C1">
      <w:pPr>
        <w:pStyle w:val="par1"/>
        <w:tabs>
          <w:tab w:val="left" w:pos="1080"/>
        </w:tabs>
        <w:spacing w:after="120"/>
        <w:rPr>
          <w:szCs w:val="22"/>
        </w:rPr>
      </w:pPr>
      <w:r w:rsidRPr="00A85A67">
        <w:rPr>
          <w:bCs/>
          <w:szCs w:val="22"/>
        </w:rPr>
        <w:tab/>
      </w:r>
      <w:r w:rsidRPr="00A85A67">
        <w:rPr>
          <w:b/>
          <w:szCs w:val="22"/>
          <w:u w:val="single"/>
        </w:rPr>
        <w:t>Effective Date; Violations</w:t>
      </w:r>
      <w:r w:rsidRPr="00A85A67">
        <w:rPr>
          <w:szCs w:val="22"/>
        </w:rPr>
        <w:t>.</w:t>
      </w:r>
      <w:r w:rsidRPr="00A85A67">
        <w:rPr>
          <w:b/>
          <w:szCs w:val="22"/>
        </w:rPr>
        <w:t xml:space="preserve">  </w:t>
      </w:r>
      <w:r w:rsidRPr="00A85A67">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31C30CD1" w14:textId="77777777" w:rsidR="00412F12" w:rsidRPr="00A85A67" w:rsidRDefault="00412F12" w:rsidP="001A32C1">
      <w:pPr>
        <w:pStyle w:val="par1"/>
        <w:tabs>
          <w:tab w:val="clear" w:pos="1080"/>
          <w:tab w:val="num" w:pos="1440"/>
        </w:tabs>
        <w:spacing w:after="120"/>
        <w:rPr>
          <w:szCs w:val="22"/>
        </w:rPr>
      </w:pPr>
      <w:r w:rsidRPr="00A85A67">
        <w:rPr>
          <w:b/>
          <w:szCs w:val="22"/>
          <w:u w:val="single"/>
        </w:rPr>
        <w:t>Termination of Investigation</w:t>
      </w:r>
      <w:r w:rsidRPr="00A85A67">
        <w:rPr>
          <w:szCs w:val="22"/>
        </w:rPr>
        <w:t>.</w:t>
      </w:r>
      <w:r w:rsidRPr="00A85A67">
        <w:rPr>
          <w:b/>
          <w:szCs w:val="22"/>
        </w:rPr>
        <w:t xml:space="preserve">  </w:t>
      </w:r>
      <w:r w:rsidRPr="00A85A67">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Intel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Intel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Intel with respect to Intel’s basic qualifications, including its character qualifications, to be a Commission licensee or to hold Commission licenses or authorizations. </w:t>
      </w:r>
    </w:p>
    <w:p w14:paraId="22CF8A17" w14:textId="77777777" w:rsidR="00412F12" w:rsidRPr="00A85A67" w:rsidRDefault="00412F12" w:rsidP="001A32C1">
      <w:pPr>
        <w:pStyle w:val="par1"/>
        <w:tabs>
          <w:tab w:val="clear" w:pos="1080"/>
          <w:tab w:val="num" w:pos="1440"/>
        </w:tabs>
        <w:spacing w:after="120"/>
        <w:rPr>
          <w:szCs w:val="22"/>
        </w:rPr>
      </w:pPr>
      <w:r w:rsidRPr="00A85A67">
        <w:rPr>
          <w:b/>
          <w:szCs w:val="22"/>
          <w:u w:val="single"/>
        </w:rPr>
        <w:t>Compliance Officer</w:t>
      </w:r>
      <w:r w:rsidRPr="00A85A67">
        <w:rPr>
          <w:szCs w:val="22"/>
        </w:rPr>
        <w:t>.</w:t>
      </w:r>
      <w:r w:rsidRPr="00A85A67">
        <w:rPr>
          <w:b/>
          <w:szCs w:val="22"/>
        </w:rPr>
        <w:t xml:space="preserve">  </w:t>
      </w:r>
      <w:r w:rsidRPr="00A85A67">
        <w:rPr>
          <w:szCs w:val="22"/>
        </w:rPr>
        <w:t xml:space="preserve">Within thirty (30) calendar days after the Effective Date, Intel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Intel complies with the terms and conditions of the Compliance Plan and this Consent Decree.  In addition to the general knowledge of the Communications Laws necessary to discharge his/her duties under this Consent Decree, the Compliance Officer shall have specific knowledge of the </w:t>
      </w:r>
      <w:r>
        <w:rPr>
          <w:szCs w:val="22"/>
        </w:rPr>
        <w:t>Radio Frequency</w:t>
      </w:r>
      <w:r w:rsidRPr="00A85A67">
        <w:rPr>
          <w:szCs w:val="22"/>
        </w:rPr>
        <w:t xml:space="preserve"> Device Importation and Product Evaluation Rules</w:t>
      </w:r>
      <w:r w:rsidRPr="00A85A67" w:rsidDel="005C62F6">
        <w:rPr>
          <w:szCs w:val="22"/>
        </w:rPr>
        <w:t xml:space="preserve"> </w:t>
      </w:r>
      <w:r w:rsidRPr="00A85A67">
        <w:rPr>
          <w:szCs w:val="22"/>
        </w:rPr>
        <w:t>prior to assuming his/her duties.</w:t>
      </w:r>
    </w:p>
    <w:p w14:paraId="0EF157DF" w14:textId="6A0BA8FF" w:rsidR="00412F12" w:rsidRPr="00A85A67" w:rsidRDefault="00412F12" w:rsidP="001A32C1">
      <w:pPr>
        <w:pStyle w:val="par1"/>
        <w:tabs>
          <w:tab w:val="clear" w:pos="1080"/>
          <w:tab w:val="num" w:pos="1440"/>
        </w:tabs>
        <w:spacing w:after="120"/>
      </w:pPr>
      <w:r w:rsidRPr="00A85A67">
        <w:rPr>
          <w:b/>
          <w:szCs w:val="22"/>
          <w:u w:val="single"/>
        </w:rPr>
        <w:t>Compliance Plan</w:t>
      </w:r>
      <w:r w:rsidRPr="00A85A67">
        <w:rPr>
          <w:szCs w:val="22"/>
        </w:rPr>
        <w:t>.  For purposes of settling the matters set forth herein, Intel agrees that</w:t>
      </w:r>
      <w:r>
        <w:rPr>
          <w:szCs w:val="22"/>
        </w:rPr>
        <w:t>,</w:t>
      </w:r>
      <w:r w:rsidRPr="00A85A67">
        <w:rPr>
          <w:szCs w:val="22"/>
        </w:rPr>
        <w:t xml:space="preserve"> </w:t>
      </w:r>
      <w:r>
        <w:rPr>
          <w:szCs w:val="22"/>
        </w:rPr>
        <w:t xml:space="preserve">consistent with its overall efforts to ensure future compliance with the Communications Laws, </w:t>
      </w:r>
      <w:r w:rsidRPr="00A85A67">
        <w:rPr>
          <w:szCs w:val="22"/>
        </w:rPr>
        <w:t xml:space="preserve">it shall within sixty (60) calendar days after the Effective Date, develop and implement a Compliance Plan to help ensure future compliance with the </w:t>
      </w:r>
      <w:r>
        <w:rPr>
          <w:szCs w:val="22"/>
        </w:rPr>
        <w:t>Radio Frequency</w:t>
      </w:r>
      <w:r w:rsidRPr="00A85A67">
        <w:rPr>
          <w:szCs w:val="22"/>
        </w:rPr>
        <w:t xml:space="preserve"> Device Importation and Product Evaluation Rules</w:t>
      </w:r>
      <w:r w:rsidRPr="00A85A67" w:rsidDel="00073A79">
        <w:rPr>
          <w:szCs w:val="22"/>
        </w:rPr>
        <w:t xml:space="preserve"> </w:t>
      </w:r>
      <w:r>
        <w:rPr>
          <w:szCs w:val="22"/>
        </w:rPr>
        <w:t xml:space="preserve">and with the </w:t>
      </w:r>
      <w:r w:rsidRPr="00A85A67">
        <w:rPr>
          <w:szCs w:val="22"/>
        </w:rPr>
        <w:t>terms and conditions of this Consent Decree.</w:t>
      </w:r>
      <w:r>
        <w:rPr>
          <w:szCs w:val="22"/>
        </w:rPr>
        <w:t xml:space="preserve">  </w:t>
      </w:r>
      <w:r w:rsidRPr="009430C2">
        <w:rPr>
          <w:szCs w:val="22"/>
        </w:rPr>
        <w:t>Intel represents that it has one or more employees</w:t>
      </w:r>
      <w:r w:rsidR="00142736">
        <w:rPr>
          <w:szCs w:val="22"/>
        </w:rPr>
        <w:t xml:space="preserve"> covering</w:t>
      </w:r>
      <w:r w:rsidRPr="009430C2">
        <w:rPr>
          <w:szCs w:val="22"/>
        </w:rPr>
        <w:t xml:space="preserve"> each </w:t>
      </w:r>
      <w:r w:rsidR="00800F82">
        <w:rPr>
          <w:szCs w:val="22"/>
        </w:rPr>
        <w:t>relevant</w:t>
      </w:r>
      <w:r w:rsidRPr="009430C2">
        <w:rPr>
          <w:szCs w:val="22"/>
        </w:rPr>
        <w:t xml:space="preserve"> business unit who ha</w:t>
      </w:r>
      <w:r w:rsidR="004C5DE4">
        <w:rPr>
          <w:szCs w:val="22"/>
        </w:rPr>
        <w:t>ve</w:t>
      </w:r>
      <w:r w:rsidRPr="009430C2">
        <w:rPr>
          <w:szCs w:val="22"/>
        </w:rPr>
        <w:t xml:space="preserve"> responsibility for compliance with each of the Communications Laws that are relevant to its operations, </w:t>
      </w:r>
      <w:r w:rsidR="004C5DE4">
        <w:rPr>
          <w:szCs w:val="22"/>
        </w:rPr>
        <w:t xml:space="preserve">and </w:t>
      </w:r>
      <w:r w:rsidRPr="009430C2">
        <w:rPr>
          <w:szCs w:val="22"/>
        </w:rPr>
        <w:t xml:space="preserve">that there are at least twenty (20) such employees, </w:t>
      </w:r>
      <w:r w:rsidR="00800F82">
        <w:rPr>
          <w:szCs w:val="22"/>
        </w:rPr>
        <w:t>including</w:t>
      </w:r>
      <w:r w:rsidRPr="009430C2">
        <w:rPr>
          <w:szCs w:val="22"/>
        </w:rPr>
        <w:t xml:space="preserve"> </w:t>
      </w:r>
      <w:r>
        <w:rPr>
          <w:szCs w:val="22"/>
        </w:rPr>
        <w:t xml:space="preserve">management personnel in </w:t>
      </w:r>
      <w:r w:rsidRPr="009430C2">
        <w:rPr>
          <w:szCs w:val="22"/>
        </w:rPr>
        <w:t xml:space="preserve">Intel’s Corporate Product Regulations &amp; Standards Group, </w:t>
      </w:r>
      <w:r w:rsidR="00800F82">
        <w:rPr>
          <w:szCs w:val="22"/>
        </w:rPr>
        <w:t xml:space="preserve">who </w:t>
      </w:r>
      <w:r w:rsidR="000F1C35">
        <w:rPr>
          <w:szCs w:val="22"/>
        </w:rPr>
        <w:t xml:space="preserve">collectively </w:t>
      </w:r>
      <w:r w:rsidRPr="009430C2">
        <w:rPr>
          <w:szCs w:val="22"/>
        </w:rPr>
        <w:t xml:space="preserve">exercise responsibility for Intel’s compliance with all of the Communications Laws that are relevant to its operations. </w:t>
      </w:r>
      <w:r>
        <w:rPr>
          <w:szCs w:val="22"/>
        </w:rPr>
        <w:t xml:space="preserve"> Intel </w:t>
      </w:r>
      <w:r w:rsidRPr="009430C2">
        <w:rPr>
          <w:szCs w:val="22"/>
        </w:rPr>
        <w:t>agrees that it will either maintain this compliance structure, or, if it makes changes, shall ensure that it maintains equivalent oversight over compliance with all Communications Laws that are applicable to its operations.</w:t>
      </w:r>
      <w:r w:rsidRPr="00A85A67">
        <w:rPr>
          <w:szCs w:val="22"/>
        </w:rPr>
        <w:t xml:space="preserve">  </w:t>
      </w:r>
      <w:r>
        <w:rPr>
          <w:szCs w:val="22"/>
        </w:rPr>
        <w:t>With respect to the Radio Frequency</w:t>
      </w:r>
      <w:r w:rsidRPr="00A85A67">
        <w:rPr>
          <w:szCs w:val="22"/>
        </w:rPr>
        <w:t xml:space="preserve"> Device Importation and Product Evaluation Rules</w:t>
      </w:r>
      <w:r>
        <w:rPr>
          <w:szCs w:val="22"/>
        </w:rPr>
        <w:t>,</w:t>
      </w:r>
      <w:r w:rsidRPr="00A85A67" w:rsidDel="005C62F6">
        <w:rPr>
          <w:szCs w:val="22"/>
        </w:rPr>
        <w:t xml:space="preserve"> </w:t>
      </w:r>
      <w:r>
        <w:rPr>
          <w:szCs w:val="22"/>
        </w:rPr>
        <w:t>Intel shall implement the following procedures</w:t>
      </w:r>
      <w:r w:rsidRPr="00A85A67">
        <w:rPr>
          <w:szCs w:val="22"/>
        </w:rPr>
        <w:t>:</w:t>
      </w:r>
    </w:p>
    <w:p w14:paraId="5BC4AC60" w14:textId="5A2C9FFE" w:rsidR="00412F12" w:rsidRDefault="00412F12" w:rsidP="00F03979">
      <w:pPr>
        <w:numPr>
          <w:ilvl w:val="1"/>
          <w:numId w:val="9"/>
        </w:numPr>
        <w:tabs>
          <w:tab w:val="clear" w:pos="1800"/>
          <w:tab w:val="num" w:pos="1440"/>
          <w:tab w:val="num" w:pos="2160"/>
        </w:tabs>
        <w:spacing w:after="120"/>
        <w:ind w:left="2160" w:hanging="720"/>
        <w:rPr>
          <w:sz w:val="22"/>
          <w:szCs w:val="22"/>
        </w:rPr>
      </w:pPr>
      <w:r w:rsidRPr="00A85A67">
        <w:rPr>
          <w:b/>
          <w:sz w:val="22"/>
          <w:szCs w:val="22"/>
          <w:u w:val="single"/>
        </w:rPr>
        <w:t>Operating Procedures on Device Development</w:t>
      </w:r>
      <w:r w:rsidRPr="00A85A67">
        <w:rPr>
          <w:sz w:val="22"/>
          <w:szCs w:val="22"/>
        </w:rPr>
        <w:t xml:space="preserve">.  Within sixty (60) calendar days after the Effective Date, Intel shall establish Operating Procedures that all Covered Employees must follow to help ensure Intel’s compliance with the </w:t>
      </w:r>
      <w:r>
        <w:rPr>
          <w:sz w:val="22"/>
          <w:szCs w:val="22"/>
        </w:rPr>
        <w:t>Radio Frequency</w:t>
      </w:r>
      <w:r w:rsidRPr="00A85A67">
        <w:rPr>
          <w:sz w:val="22"/>
          <w:szCs w:val="22"/>
        </w:rPr>
        <w:t xml:space="preserve"> Device Importation and Product Evaluation Rules.  Intel’s Operating Procedures shall include internal procedures and policies specifically designed to ensure that (i) </w:t>
      </w:r>
      <w:r>
        <w:rPr>
          <w:sz w:val="22"/>
          <w:szCs w:val="22"/>
        </w:rPr>
        <w:t xml:space="preserve">Intel’s operation of </w:t>
      </w:r>
      <w:r w:rsidR="00800F82">
        <w:rPr>
          <w:sz w:val="22"/>
          <w:szCs w:val="22"/>
        </w:rPr>
        <w:t>R</w:t>
      </w:r>
      <w:r>
        <w:rPr>
          <w:sz w:val="22"/>
          <w:szCs w:val="22"/>
        </w:rPr>
        <w:t xml:space="preserve">adio </w:t>
      </w:r>
      <w:r w:rsidR="00800F82">
        <w:rPr>
          <w:sz w:val="22"/>
          <w:szCs w:val="22"/>
        </w:rPr>
        <w:t>F</w:t>
      </w:r>
      <w:r>
        <w:rPr>
          <w:sz w:val="22"/>
          <w:szCs w:val="22"/>
        </w:rPr>
        <w:t xml:space="preserve">requency </w:t>
      </w:r>
      <w:r w:rsidR="00800F82">
        <w:rPr>
          <w:sz w:val="22"/>
          <w:szCs w:val="22"/>
        </w:rPr>
        <w:t>D</w:t>
      </w:r>
      <w:r>
        <w:rPr>
          <w:sz w:val="22"/>
          <w:szCs w:val="22"/>
        </w:rPr>
        <w:t>evices prior to equipment authorization, including operation for the purpose of performance evaluation and determination of customer acceptability, complies with Section 2.805 of the Rules;</w:t>
      </w:r>
      <w:r>
        <w:rPr>
          <w:rStyle w:val="FootnoteReference"/>
          <w:szCs w:val="22"/>
        </w:rPr>
        <w:footnoteReference w:id="34"/>
      </w:r>
      <w:r>
        <w:rPr>
          <w:sz w:val="22"/>
          <w:szCs w:val="22"/>
        </w:rPr>
        <w:t xml:space="preserve"> </w:t>
      </w:r>
      <w:r w:rsidRPr="00A85A67">
        <w:rPr>
          <w:sz w:val="22"/>
          <w:szCs w:val="22"/>
        </w:rPr>
        <w:t xml:space="preserve">(ii) </w:t>
      </w:r>
      <w:r>
        <w:rPr>
          <w:sz w:val="22"/>
          <w:szCs w:val="22"/>
        </w:rPr>
        <w:t xml:space="preserve">Intel’s advertising and display of </w:t>
      </w:r>
      <w:r w:rsidR="00800F82">
        <w:rPr>
          <w:sz w:val="22"/>
          <w:szCs w:val="22"/>
        </w:rPr>
        <w:t>R</w:t>
      </w:r>
      <w:r>
        <w:rPr>
          <w:sz w:val="22"/>
          <w:szCs w:val="22"/>
        </w:rPr>
        <w:t xml:space="preserve">adio </w:t>
      </w:r>
      <w:r w:rsidR="00800F82">
        <w:rPr>
          <w:sz w:val="22"/>
          <w:szCs w:val="22"/>
        </w:rPr>
        <w:t>F</w:t>
      </w:r>
      <w:r>
        <w:rPr>
          <w:sz w:val="22"/>
          <w:szCs w:val="22"/>
        </w:rPr>
        <w:t xml:space="preserve">requency </w:t>
      </w:r>
      <w:r w:rsidR="00800F82">
        <w:rPr>
          <w:sz w:val="22"/>
          <w:szCs w:val="22"/>
        </w:rPr>
        <w:t>D</w:t>
      </w:r>
      <w:r>
        <w:rPr>
          <w:sz w:val="22"/>
          <w:szCs w:val="22"/>
        </w:rPr>
        <w:t>evices prior to equipment authorization, including the advertisement or display of such devices at trade shows or exhibitions, complies with Section 2.803 of the Rules</w:t>
      </w:r>
      <w:r w:rsidRPr="00A85A67">
        <w:rPr>
          <w:sz w:val="22"/>
          <w:szCs w:val="22"/>
        </w:rPr>
        <w:t>;</w:t>
      </w:r>
      <w:r>
        <w:rPr>
          <w:rStyle w:val="FootnoteReference"/>
          <w:szCs w:val="22"/>
        </w:rPr>
        <w:footnoteReference w:id="35"/>
      </w:r>
      <w:r w:rsidRPr="00A85A67">
        <w:rPr>
          <w:sz w:val="22"/>
          <w:szCs w:val="22"/>
        </w:rPr>
        <w:t xml:space="preserve"> and (iii) </w:t>
      </w:r>
      <w:r>
        <w:rPr>
          <w:sz w:val="22"/>
          <w:szCs w:val="22"/>
        </w:rPr>
        <w:t xml:space="preserve">Intel </w:t>
      </w:r>
      <w:r w:rsidRPr="00B6358F">
        <w:rPr>
          <w:sz w:val="22"/>
          <w:szCs w:val="22"/>
        </w:rPr>
        <w:t xml:space="preserve">complies with the requirements of Sections 2.1203, 2.1204, and 2.1205 of the Rules relating to the importation and entry of </w:t>
      </w:r>
      <w:r w:rsidR="00800F82">
        <w:rPr>
          <w:sz w:val="22"/>
          <w:szCs w:val="22"/>
        </w:rPr>
        <w:t>R</w:t>
      </w:r>
      <w:r>
        <w:rPr>
          <w:sz w:val="22"/>
          <w:szCs w:val="22"/>
        </w:rPr>
        <w:t xml:space="preserve">adio </w:t>
      </w:r>
      <w:r w:rsidR="00800F82">
        <w:rPr>
          <w:sz w:val="22"/>
          <w:szCs w:val="22"/>
        </w:rPr>
        <w:t>F</w:t>
      </w:r>
      <w:r>
        <w:rPr>
          <w:sz w:val="22"/>
          <w:szCs w:val="22"/>
        </w:rPr>
        <w:t xml:space="preserve">requency </w:t>
      </w:r>
      <w:r w:rsidR="00800F82">
        <w:rPr>
          <w:sz w:val="22"/>
          <w:szCs w:val="22"/>
        </w:rPr>
        <w:t>D</w:t>
      </w:r>
      <w:r>
        <w:rPr>
          <w:sz w:val="22"/>
          <w:szCs w:val="22"/>
        </w:rPr>
        <w:t>evices</w:t>
      </w:r>
      <w:r w:rsidRPr="00B6358F">
        <w:rPr>
          <w:sz w:val="22"/>
          <w:szCs w:val="22"/>
        </w:rPr>
        <w:t xml:space="preserve"> into the United States</w:t>
      </w:r>
      <w:r>
        <w:rPr>
          <w:sz w:val="22"/>
          <w:szCs w:val="22"/>
        </w:rPr>
        <w:t xml:space="preserve"> prior to equipment authorization</w:t>
      </w:r>
      <w:r w:rsidRPr="00B6358F">
        <w:rPr>
          <w:sz w:val="22"/>
          <w:szCs w:val="22"/>
        </w:rPr>
        <w:t xml:space="preserve">, including the </w:t>
      </w:r>
      <w:r>
        <w:rPr>
          <w:sz w:val="22"/>
          <w:szCs w:val="22"/>
        </w:rPr>
        <w:t xml:space="preserve">importation limits set forth in Section 2.1204(a) and the </w:t>
      </w:r>
      <w:r w:rsidRPr="00B6358F">
        <w:rPr>
          <w:sz w:val="22"/>
          <w:szCs w:val="22"/>
        </w:rPr>
        <w:t>filing with the United States Customs and Border Protection of an FCC Form 740 (or the electronic equivalent thereof) that accurately identifies the importation condition(s) satisfied for each such importation</w:t>
      </w:r>
      <w:r>
        <w:rPr>
          <w:sz w:val="22"/>
          <w:szCs w:val="22"/>
        </w:rPr>
        <w:t>.</w:t>
      </w:r>
      <w:r w:rsidRPr="00B6358F">
        <w:rPr>
          <w:sz w:val="22"/>
          <w:szCs w:val="22"/>
          <w:vertAlign w:val="superscript"/>
        </w:rPr>
        <w:footnoteReference w:id="36"/>
      </w:r>
      <w:r w:rsidRPr="009430C2">
        <w:rPr>
          <w:sz w:val="22"/>
          <w:szCs w:val="22"/>
        </w:rPr>
        <w:t xml:space="preserve">  </w:t>
      </w:r>
      <w:r>
        <w:rPr>
          <w:sz w:val="22"/>
          <w:szCs w:val="22"/>
        </w:rPr>
        <w:t xml:space="preserve">  </w:t>
      </w:r>
    </w:p>
    <w:p w14:paraId="2315B8B7" w14:textId="77777777" w:rsidR="00412F12" w:rsidRDefault="00412F12" w:rsidP="00F03979">
      <w:pPr>
        <w:numPr>
          <w:ilvl w:val="1"/>
          <w:numId w:val="9"/>
        </w:numPr>
        <w:tabs>
          <w:tab w:val="clear" w:pos="1800"/>
          <w:tab w:val="num" w:pos="2160"/>
        </w:tabs>
        <w:spacing w:after="120"/>
        <w:ind w:left="2160" w:hanging="720"/>
        <w:rPr>
          <w:b/>
          <w:sz w:val="22"/>
          <w:szCs w:val="22"/>
          <w:u w:val="single"/>
        </w:rPr>
      </w:pPr>
      <w:r w:rsidRPr="00A85A67">
        <w:rPr>
          <w:b/>
          <w:sz w:val="22"/>
          <w:szCs w:val="22"/>
          <w:u w:val="single"/>
        </w:rPr>
        <w:t>Compliance Manual</w:t>
      </w:r>
      <w:r w:rsidRPr="00A85A67">
        <w:rPr>
          <w:sz w:val="22"/>
          <w:szCs w:val="22"/>
        </w:rPr>
        <w:t xml:space="preserve">.  Within sixty (60) calendar days after the Effective Date, the Compliance Officer shall develop and distribute a Compliance Manual to all Covered Employees.  </w:t>
      </w:r>
      <w:r>
        <w:rPr>
          <w:sz w:val="22"/>
          <w:szCs w:val="22"/>
        </w:rPr>
        <w:t xml:space="preserve">Distribution by e-mail or by an e-mail link to an internal Intel intranet site shall be deemed to comply with this requirement.  </w:t>
      </w:r>
      <w:r w:rsidRPr="00A85A67">
        <w:rPr>
          <w:sz w:val="22"/>
          <w:szCs w:val="22"/>
        </w:rPr>
        <w:t xml:space="preserve">The Compliance Manual shall explain the </w:t>
      </w:r>
      <w:r>
        <w:rPr>
          <w:sz w:val="22"/>
          <w:szCs w:val="22"/>
        </w:rPr>
        <w:t>Radio Frequency</w:t>
      </w:r>
      <w:r w:rsidRPr="00A85A67">
        <w:rPr>
          <w:sz w:val="22"/>
          <w:szCs w:val="22"/>
        </w:rPr>
        <w:t xml:space="preserve"> Device Importation and Product Evaluation Rules and set forth the Operating Procedures that Covered Employees shall follow to help ensure Intel’s compliance with the </w:t>
      </w:r>
      <w:r>
        <w:rPr>
          <w:sz w:val="22"/>
          <w:szCs w:val="22"/>
        </w:rPr>
        <w:t>Radio Frequency</w:t>
      </w:r>
      <w:r w:rsidRPr="00A85A67">
        <w:rPr>
          <w:sz w:val="22"/>
          <w:szCs w:val="22"/>
        </w:rPr>
        <w:t xml:space="preserve"> Device Importation and Product Evaluation Rules.  Intel shall periodically review and revise the Compliance Manual as necessary to ensure that the information set forth therein remains current and complete.  Intel shall distribute any revisions to the Compliance Manual promptly to all Covered Employees.  </w:t>
      </w:r>
    </w:p>
    <w:p w14:paraId="135C1628" w14:textId="1A4AFA62" w:rsidR="00A92327" w:rsidRDefault="00412F12" w:rsidP="006F66F0">
      <w:pPr>
        <w:numPr>
          <w:ilvl w:val="1"/>
          <w:numId w:val="9"/>
        </w:numPr>
        <w:tabs>
          <w:tab w:val="clear" w:pos="1800"/>
          <w:tab w:val="num" w:pos="2160"/>
        </w:tabs>
        <w:ind w:left="2160" w:hanging="720"/>
      </w:pPr>
      <w:r w:rsidRPr="00A85A67">
        <w:rPr>
          <w:b/>
          <w:sz w:val="22"/>
          <w:szCs w:val="22"/>
          <w:u w:val="single"/>
        </w:rPr>
        <w:t>Compliance Training Program</w:t>
      </w:r>
      <w:r w:rsidRPr="00A85A67">
        <w:rPr>
          <w:sz w:val="22"/>
          <w:szCs w:val="22"/>
        </w:rPr>
        <w:t xml:space="preserve">.  Intel shall establish and implement a Compliance Training Program on compliance with the </w:t>
      </w:r>
      <w:r>
        <w:rPr>
          <w:sz w:val="22"/>
          <w:szCs w:val="22"/>
        </w:rPr>
        <w:t>Radio Frequency</w:t>
      </w:r>
      <w:r w:rsidRPr="00A85A67">
        <w:rPr>
          <w:sz w:val="22"/>
          <w:szCs w:val="22"/>
        </w:rPr>
        <w:t xml:space="preserve"> Device Importation and Product Evaluation Rules</w:t>
      </w:r>
      <w:r>
        <w:rPr>
          <w:sz w:val="22"/>
          <w:szCs w:val="22"/>
        </w:rPr>
        <w:t xml:space="preserve"> </w:t>
      </w:r>
      <w:r w:rsidRPr="00A85A67">
        <w:rPr>
          <w:sz w:val="22"/>
          <w:szCs w:val="22"/>
        </w:rPr>
        <w:t xml:space="preserve">and the Operating Procedures.  As part of the Compliance Training Program, Covered Employees shall be advised of Intel’s obligation to report any </w:t>
      </w:r>
      <w:r>
        <w:rPr>
          <w:sz w:val="22"/>
          <w:szCs w:val="22"/>
        </w:rPr>
        <w:t>noncompliance</w:t>
      </w:r>
      <w:r w:rsidRPr="00A85A67">
        <w:rPr>
          <w:sz w:val="22"/>
          <w:szCs w:val="22"/>
        </w:rPr>
        <w:t xml:space="preserve"> with the </w:t>
      </w:r>
      <w:r>
        <w:rPr>
          <w:sz w:val="22"/>
          <w:szCs w:val="22"/>
        </w:rPr>
        <w:t>Radio Frequency</w:t>
      </w:r>
      <w:r w:rsidRPr="00A85A67">
        <w:rPr>
          <w:sz w:val="22"/>
          <w:szCs w:val="22"/>
        </w:rPr>
        <w:t xml:space="preserve"> Device Importation and Product Evaluation Rules under paragraph </w:t>
      </w:r>
      <w:r>
        <w:rPr>
          <w:sz w:val="22"/>
          <w:szCs w:val="22"/>
        </w:rPr>
        <w:t>13</w:t>
      </w:r>
      <w:r w:rsidRPr="00A85A67">
        <w:rPr>
          <w:sz w:val="22"/>
          <w:szCs w:val="22"/>
        </w:rPr>
        <w:t xml:space="preserve"> of this Consent Decree and shall be instructed on how to disclose </w:t>
      </w:r>
      <w:r>
        <w:rPr>
          <w:sz w:val="22"/>
          <w:szCs w:val="22"/>
        </w:rPr>
        <w:t xml:space="preserve">noncompliance </w:t>
      </w:r>
      <w:r w:rsidRPr="00A85A67">
        <w:rPr>
          <w:sz w:val="22"/>
          <w:szCs w:val="22"/>
        </w:rPr>
        <w:t>to the Compliance Officer.  All Covered Employees shall be trained pursuant to the Compliance Training Program within sixty (60) calendar days after the Effective Date,</w:t>
      </w:r>
      <w:r w:rsidRPr="00A85A67">
        <w:rPr>
          <w:b/>
          <w:sz w:val="22"/>
          <w:szCs w:val="22"/>
        </w:rPr>
        <w:t xml:space="preserve"> </w:t>
      </w:r>
      <w:r w:rsidRPr="00A85A67">
        <w:rPr>
          <w:sz w:val="22"/>
          <w:szCs w:val="22"/>
        </w:rPr>
        <w:t xml:space="preserve">except that any person who becomes a Covered Employee at any time after the </w:t>
      </w:r>
      <w:r>
        <w:rPr>
          <w:sz w:val="22"/>
          <w:szCs w:val="22"/>
        </w:rPr>
        <w:t>launch of the initial training</w:t>
      </w:r>
      <w:r w:rsidRPr="00A85A67">
        <w:rPr>
          <w:sz w:val="22"/>
          <w:szCs w:val="22"/>
        </w:rPr>
        <w:t xml:space="preserve"> shall be trained within thirty (30) calendar days after the date such person becomes a Covered Employee.  Intel shall repeat the compliance training on an annual basis and shall periodically review and revise the Compliance Training Program as necessary to ensure that it remains current and complete and to enhance its effectiveness.</w:t>
      </w:r>
      <w:r w:rsidR="00A92327">
        <w:rPr>
          <w:sz w:val="22"/>
          <w:szCs w:val="22"/>
        </w:rPr>
        <w:t xml:space="preserve">  </w:t>
      </w:r>
      <w:r w:rsidR="00A92327">
        <w:rPr>
          <w:color w:val="000000"/>
        </w:rPr>
        <w:t> </w:t>
      </w:r>
      <w:r w:rsidR="00A92327">
        <w:rPr>
          <w:color w:val="000000"/>
          <w:sz w:val="22"/>
          <w:szCs w:val="22"/>
        </w:rPr>
        <w:t xml:space="preserve">Intel further agrees to train, by </w:t>
      </w:r>
      <w:r w:rsidR="00813934">
        <w:rPr>
          <w:color w:val="000000"/>
          <w:sz w:val="22"/>
          <w:szCs w:val="22"/>
        </w:rPr>
        <w:t>no later than October</w:t>
      </w:r>
      <w:r w:rsidR="00A92327">
        <w:rPr>
          <w:color w:val="000000"/>
          <w:sz w:val="22"/>
          <w:szCs w:val="22"/>
        </w:rPr>
        <w:t xml:space="preserve"> 31, 2014, its employees within its Mobile and Communications Group and New Devices Group who, based on job description and role, are likely to import, test, operate, market, display or advertise </w:t>
      </w:r>
      <w:r w:rsidR="00813934">
        <w:rPr>
          <w:color w:val="000000"/>
          <w:sz w:val="22"/>
          <w:szCs w:val="22"/>
        </w:rPr>
        <w:t>R</w:t>
      </w:r>
      <w:r w:rsidR="00A92327">
        <w:rPr>
          <w:color w:val="000000"/>
          <w:sz w:val="22"/>
          <w:szCs w:val="22"/>
        </w:rPr>
        <w:t xml:space="preserve">adio </w:t>
      </w:r>
      <w:r w:rsidR="00813934">
        <w:rPr>
          <w:color w:val="000000"/>
          <w:sz w:val="22"/>
          <w:szCs w:val="22"/>
        </w:rPr>
        <w:t>F</w:t>
      </w:r>
      <w:r w:rsidR="00A92327">
        <w:rPr>
          <w:color w:val="000000"/>
          <w:sz w:val="22"/>
          <w:szCs w:val="22"/>
        </w:rPr>
        <w:t xml:space="preserve">requency </w:t>
      </w:r>
      <w:r w:rsidR="00813934">
        <w:rPr>
          <w:color w:val="000000"/>
          <w:sz w:val="22"/>
          <w:szCs w:val="22"/>
        </w:rPr>
        <w:t>D</w:t>
      </w:r>
      <w:r w:rsidR="00A92327">
        <w:rPr>
          <w:color w:val="000000"/>
          <w:sz w:val="22"/>
          <w:szCs w:val="22"/>
        </w:rPr>
        <w:t>evices in the United States or its territories</w:t>
      </w:r>
      <w:r w:rsidR="00813934">
        <w:rPr>
          <w:color w:val="000000"/>
          <w:sz w:val="22"/>
          <w:szCs w:val="22"/>
        </w:rPr>
        <w:t xml:space="preserve"> prior to equipment authorization</w:t>
      </w:r>
      <w:r w:rsidR="00A92327">
        <w:rPr>
          <w:color w:val="000000"/>
          <w:sz w:val="22"/>
          <w:szCs w:val="22"/>
        </w:rPr>
        <w:t xml:space="preserve">, which shall include instruction on </w:t>
      </w:r>
      <w:r w:rsidR="00813934">
        <w:rPr>
          <w:color w:val="000000"/>
          <w:sz w:val="22"/>
          <w:szCs w:val="22"/>
        </w:rPr>
        <w:t xml:space="preserve">compliance with the </w:t>
      </w:r>
      <w:r w:rsidR="00813934">
        <w:rPr>
          <w:sz w:val="22"/>
          <w:szCs w:val="22"/>
        </w:rPr>
        <w:t>Frequency</w:t>
      </w:r>
      <w:r w:rsidR="00813934" w:rsidRPr="00A85A67">
        <w:rPr>
          <w:sz w:val="22"/>
          <w:szCs w:val="22"/>
        </w:rPr>
        <w:t xml:space="preserve"> Device Importation and Product Evaluation Rules</w:t>
      </w:r>
      <w:r w:rsidR="00A92327">
        <w:rPr>
          <w:color w:val="000000"/>
          <w:sz w:val="22"/>
          <w:szCs w:val="22"/>
        </w:rPr>
        <w:t>.</w:t>
      </w:r>
    </w:p>
    <w:p w14:paraId="4ECAAF8F" w14:textId="77777777" w:rsidR="00412F12" w:rsidRDefault="00412F12" w:rsidP="00771D96">
      <w:pPr>
        <w:ind w:left="2160"/>
        <w:rPr>
          <w:szCs w:val="22"/>
        </w:rPr>
      </w:pPr>
      <w:r w:rsidRPr="00A85A67">
        <w:rPr>
          <w:sz w:val="22"/>
          <w:szCs w:val="22"/>
        </w:rPr>
        <w:t xml:space="preserve">  </w:t>
      </w:r>
    </w:p>
    <w:p w14:paraId="50BDCF2C" w14:textId="77777777" w:rsidR="00412F12" w:rsidRDefault="00412F12" w:rsidP="00F03979">
      <w:pPr>
        <w:pStyle w:val="par1"/>
        <w:tabs>
          <w:tab w:val="clear" w:pos="1080"/>
          <w:tab w:val="num" w:pos="1440"/>
        </w:tabs>
        <w:spacing w:after="120"/>
        <w:rPr>
          <w:szCs w:val="22"/>
        </w:rPr>
      </w:pPr>
      <w:r w:rsidRPr="00A85A67">
        <w:rPr>
          <w:b/>
          <w:szCs w:val="22"/>
          <w:u w:val="single"/>
        </w:rPr>
        <w:t>Reporting Non</w:t>
      </w:r>
      <w:r>
        <w:rPr>
          <w:b/>
          <w:szCs w:val="22"/>
          <w:u w:val="single"/>
        </w:rPr>
        <w:t>c</w:t>
      </w:r>
      <w:r w:rsidRPr="00A85A67">
        <w:rPr>
          <w:b/>
          <w:szCs w:val="22"/>
          <w:u w:val="single"/>
        </w:rPr>
        <w:t>ompliance</w:t>
      </w:r>
      <w:r w:rsidRPr="00A85A67">
        <w:rPr>
          <w:szCs w:val="22"/>
        </w:rPr>
        <w:t xml:space="preserve">.  Intel shall report any </w:t>
      </w:r>
      <w:r>
        <w:rPr>
          <w:szCs w:val="22"/>
        </w:rPr>
        <w:t>noncompliance</w:t>
      </w:r>
      <w:r w:rsidRPr="00A85A67">
        <w:rPr>
          <w:szCs w:val="22"/>
        </w:rPr>
        <w:t xml:space="preserve"> with the </w:t>
      </w:r>
      <w:r w:rsidRPr="00220396">
        <w:rPr>
          <w:szCs w:val="22"/>
        </w:rPr>
        <w:t>Radio Frequency Device Importation and Product Evaluation Rules and with the</w:t>
      </w:r>
      <w:r w:rsidRPr="00A85A67">
        <w:rPr>
          <w:szCs w:val="22"/>
        </w:rPr>
        <w:t xml:space="preserve"> terms and conditions of this Consent Decree within </w:t>
      </w:r>
      <w:r>
        <w:rPr>
          <w:szCs w:val="22"/>
        </w:rPr>
        <w:t xml:space="preserve">fifteen </w:t>
      </w:r>
      <w:r w:rsidRPr="00A85A67">
        <w:rPr>
          <w:szCs w:val="22"/>
        </w:rPr>
        <w:t>(</w:t>
      </w:r>
      <w:r>
        <w:rPr>
          <w:szCs w:val="22"/>
        </w:rPr>
        <w:t>15</w:t>
      </w:r>
      <w:r w:rsidRPr="00A85A67">
        <w:rPr>
          <w:szCs w:val="22"/>
        </w:rPr>
        <w:t xml:space="preserve">) calendar days after discovery of such </w:t>
      </w:r>
      <w:r>
        <w:rPr>
          <w:szCs w:val="22"/>
        </w:rPr>
        <w:t>noncompliance</w:t>
      </w:r>
      <w:r w:rsidRPr="00A85A67">
        <w:rPr>
          <w:szCs w:val="22"/>
        </w:rPr>
        <w:t xml:space="preserve">.  Such reports shall include a detailed explanation of (i) each instance of </w:t>
      </w:r>
      <w:r>
        <w:rPr>
          <w:szCs w:val="22"/>
        </w:rPr>
        <w:t>noncompliance</w:t>
      </w:r>
      <w:r w:rsidRPr="00A85A67">
        <w:rPr>
          <w:szCs w:val="22"/>
        </w:rPr>
        <w:t xml:space="preserve">; (ii) the steps that Intel has taken or will take to remedy such </w:t>
      </w:r>
      <w:r>
        <w:rPr>
          <w:szCs w:val="22"/>
        </w:rPr>
        <w:t>noncompliance</w:t>
      </w:r>
      <w:r w:rsidRPr="00A85A67">
        <w:rPr>
          <w:szCs w:val="22"/>
        </w:rPr>
        <w:t xml:space="preserve">; (iii) the schedule on which such remedial actions will be taken; and (iv) the steps that Intel has taken or will take to prevent the recurrence of any such </w:t>
      </w:r>
      <w:r>
        <w:rPr>
          <w:szCs w:val="22"/>
        </w:rPr>
        <w:t>noncompliance</w:t>
      </w:r>
      <w:r w:rsidRPr="00A85A67">
        <w:rPr>
          <w:szCs w:val="22"/>
        </w:rPr>
        <w:t xml:space="preserve">.  All reports of </w:t>
      </w:r>
      <w:r>
        <w:rPr>
          <w:szCs w:val="22"/>
        </w:rPr>
        <w:t>noncompliance</w:t>
      </w:r>
      <w:r w:rsidRPr="00A85A67">
        <w:rPr>
          <w:szCs w:val="22"/>
        </w:rPr>
        <w:t xml:space="preserve"> shall be submitted to the Chief, Spectrum Enforcement Division, Enforcement Bureau, Federal Communications Commission, Room </w:t>
      </w:r>
      <w:r>
        <w:rPr>
          <w:szCs w:val="22"/>
        </w:rPr>
        <w:t>3-C366</w:t>
      </w:r>
      <w:r w:rsidRPr="00A85A67">
        <w:rPr>
          <w:szCs w:val="22"/>
        </w:rPr>
        <w:t>, 445 12th Street, S.W. Washington, DC 20554, with a copy submitted electronically to Josh Zeldis at Josh.Zeldis@fcc.gov and to JoAnn Lucanik at JoAnn.Lucanik@fcc.gov.</w:t>
      </w:r>
    </w:p>
    <w:p w14:paraId="1CC1BD1A" w14:textId="77777777" w:rsidR="00412F12" w:rsidRDefault="00412F12" w:rsidP="00F03979">
      <w:pPr>
        <w:pStyle w:val="par1"/>
        <w:tabs>
          <w:tab w:val="clear" w:pos="1080"/>
          <w:tab w:val="num" w:pos="1440"/>
        </w:tabs>
        <w:spacing w:after="120"/>
        <w:rPr>
          <w:szCs w:val="22"/>
        </w:rPr>
      </w:pPr>
      <w:r w:rsidRPr="00A85A67">
        <w:rPr>
          <w:b/>
          <w:szCs w:val="22"/>
          <w:u w:val="single"/>
        </w:rPr>
        <w:t>Compliance Reports</w:t>
      </w:r>
      <w:r w:rsidRPr="00A85A67">
        <w:rPr>
          <w:szCs w:val="22"/>
        </w:rPr>
        <w:t>.  Intel shall file Compliance Reports with the Commission ninety (90) calendar days after the Effective Date, twelve (12) months after the Effective Date, twenty-four (24) months after the Effective Date</w:t>
      </w:r>
      <w:r>
        <w:rPr>
          <w:szCs w:val="22"/>
        </w:rPr>
        <w:t>, and thirty-six (36) months after the Effective Date</w:t>
      </w:r>
      <w:r w:rsidRPr="00A85A67">
        <w:rPr>
          <w:szCs w:val="22"/>
        </w:rPr>
        <w:t>.</w:t>
      </w:r>
    </w:p>
    <w:p w14:paraId="4F805A6C" w14:textId="77777777" w:rsidR="00412F12" w:rsidRDefault="00412F12" w:rsidP="00F03979">
      <w:pPr>
        <w:pStyle w:val="par1"/>
        <w:numPr>
          <w:ilvl w:val="0"/>
          <w:numId w:val="10"/>
        </w:numPr>
        <w:tabs>
          <w:tab w:val="clear" w:pos="1080"/>
        </w:tabs>
        <w:spacing w:after="120"/>
        <w:ind w:left="2160" w:hanging="720"/>
        <w:rPr>
          <w:szCs w:val="22"/>
        </w:rPr>
      </w:pPr>
      <w:r w:rsidRPr="00A85A67">
        <w:rPr>
          <w:szCs w:val="22"/>
        </w:rPr>
        <w:t xml:space="preserve">Each </w:t>
      </w:r>
      <w:r>
        <w:rPr>
          <w:szCs w:val="22"/>
        </w:rPr>
        <w:t>C</w:t>
      </w:r>
      <w:r w:rsidRPr="00A85A67">
        <w:rPr>
          <w:szCs w:val="22"/>
        </w:rPr>
        <w:t xml:space="preserve">ompliance </w:t>
      </w:r>
      <w:r>
        <w:rPr>
          <w:szCs w:val="22"/>
        </w:rPr>
        <w:t>R</w:t>
      </w:r>
      <w:r w:rsidRPr="00A85A67">
        <w:rPr>
          <w:szCs w:val="22"/>
        </w:rPr>
        <w:t xml:space="preserve">eport shall include a detailed description of Intel’s efforts during the relevant period to comply with the terms and conditions of this Consent </w:t>
      </w:r>
      <w:r w:rsidRPr="00624875">
        <w:rPr>
          <w:szCs w:val="22"/>
        </w:rPr>
        <w:t>Decree and the Radio Frequency Device Importation and Product Evaluation Rules</w:t>
      </w:r>
      <w:r w:rsidRPr="00A85A67">
        <w:rPr>
          <w:szCs w:val="22"/>
        </w:rPr>
        <w:t xml:space="preserve">.  In addition, each Compliance Report shall include a certification by the Compliance Officer, as an agent of and on behalf of Intel, stating that the Compliance Officer has personal knowledge that Intel (i) has established and implemented the Compliance Plan; (ii) has utilized the Operating Procedures since the implementation of the Compliance Plan; and (iii) is not aware of any instances of </w:t>
      </w:r>
      <w:r>
        <w:rPr>
          <w:szCs w:val="22"/>
        </w:rPr>
        <w:t>non</w:t>
      </w:r>
      <w:r w:rsidRPr="00A85A67">
        <w:rPr>
          <w:szCs w:val="22"/>
        </w:rPr>
        <w:t xml:space="preserve">compliance with the terms and conditions of this Consent Decree, including the reporting obligations set forth in paragraph </w:t>
      </w:r>
      <w:r>
        <w:rPr>
          <w:szCs w:val="22"/>
        </w:rPr>
        <w:t>13</w:t>
      </w:r>
      <w:r w:rsidRPr="00A85A67">
        <w:rPr>
          <w:szCs w:val="22"/>
        </w:rPr>
        <w:t xml:space="preserve"> hereof.</w:t>
      </w:r>
    </w:p>
    <w:p w14:paraId="0A19C21F" w14:textId="77777777" w:rsidR="00412F12" w:rsidRDefault="00412F12" w:rsidP="00F03979">
      <w:pPr>
        <w:pStyle w:val="par1"/>
        <w:numPr>
          <w:ilvl w:val="0"/>
          <w:numId w:val="10"/>
        </w:numPr>
        <w:tabs>
          <w:tab w:val="clear" w:pos="1080"/>
        </w:tabs>
        <w:spacing w:after="120"/>
        <w:ind w:left="2160" w:hanging="720"/>
        <w:rPr>
          <w:szCs w:val="22"/>
        </w:rPr>
      </w:pPr>
      <w:r w:rsidRPr="00A85A67">
        <w:rPr>
          <w:szCs w:val="22"/>
        </w:rPr>
        <w:t>The Compliance Officer’s certification shall be accompanied by a statement explaining the basis for such certification and must comply with Section 1.16 of the Rules</w:t>
      </w:r>
      <w:r w:rsidRPr="00A85A67">
        <w:rPr>
          <w:rStyle w:val="FootnoteReference"/>
          <w:szCs w:val="22"/>
        </w:rPr>
        <w:footnoteReference w:id="37"/>
      </w:r>
      <w:r w:rsidRPr="00A85A67">
        <w:rPr>
          <w:szCs w:val="22"/>
        </w:rPr>
        <w:t xml:space="preserve"> and be subscribed to as true under penalty of perjury in substantially the form set forth therein.</w:t>
      </w:r>
    </w:p>
    <w:p w14:paraId="1938CD6C" w14:textId="77777777" w:rsidR="00412F12" w:rsidRDefault="00412F12" w:rsidP="00F03979">
      <w:pPr>
        <w:pStyle w:val="par1"/>
        <w:numPr>
          <w:ilvl w:val="0"/>
          <w:numId w:val="10"/>
        </w:numPr>
        <w:tabs>
          <w:tab w:val="clear" w:pos="1080"/>
        </w:tabs>
        <w:spacing w:after="120"/>
        <w:ind w:left="2160" w:hanging="720"/>
        <w:rPr>
          <w:szCs w:val="22"/>
        </w:rPr>
      </w:pPr>
      <w:r w:rsidRPr="00A85A67">
        <w:rPr>
          <w:szCs w:val="22"/>
        </w:rPr>
        <w:t xml:space="preserve">If the Compliance Officer cannot provide the requisite certification, the Compliance Officer, as an agent of and on behalf of Intel, shall provide the Commission with a detailed explanation of the reason(s) why and describe fully (i) each instance of </w:t>
      </w:r>
      <w:r>
        <w:rPr>
          <w:szCs w:val="22"/>
        </w:rPr>
        <w:t>non</w:t>
      </w:r>
      <w:r w:rsidRPr="00A85A67">
        <w:rPr>
          <w:szCs w:val="22"/>
        </w:rPr>
        <w:t xml:space="preserve">compliance; (ii) the steps that Intel has taken or will take to remedy such </w:t>
      </w:r>
      <w:r>
        <w:rPr>
          <w:szCs w:val="22"/>
        </w:rPr>
        <w:t>non</w:t>
      </w:r>
      <w:r w:rsidRPr="00A85A67">
        <w:rPr>
          <w:szCs w:val="22"/>
        </w:rPr>
        <w:t xml:space="preserve">compliance, including the schedule on which proposed remedial actions will be taken; and (iii) the steps that Intel has taken or will take to prevent the recurrence of any such </w:t>
      </w:r>
      <w:r>
        <w:rPr>
          <w:szCs w:val="22"/>
        </w:rPr>
        <w:t>non</w:t>
      </w:r>
      <w:r w:rsidRPr="00A85A67">
        <w:rPr>
          <w:szCs w:val="22"/>
        </w:rPr>
        <w:t>compliance, including the schedule on which such preventive action will be taken.</w:t>
      </w:r>
    </w:p>
    <w:p w14:paraId="332D5784" w14:textId="77777777" w:rsidR="00412F12" w:rsidRDefault="00412F12" w:rsidP="00F03979">
      <w:pPr>
        <w:pStyle w:val="par1"/>
        <w:numPr>
          <w:ilvl w:val="0"/>
          <w:numId w:val="10"/>
        </w:numPr>
        <w:tabs>
          <w:tab w:val="clear" w:pos="1080"/>
        </w:tabs>
        <w:spacing w:after="120"/>
        <w:ind w:left="2160" w:hanging="720"/>
        <w:rPr>
          <w:szCs w:val="22"/>
        </w:rPr>
      </w:pPr>
      <w:r w:rsidRPr="00A85A67">
        <w:rPr>
          <w:szCs w:val="22"/>
        </w:rPr>
        <w:t xml:space="preserve">All Compliance Reports shall be submitted to the Chief, Spectrum Enforcement Division, Enforcement Bureau, Federal Communications Commission, </w:t>
      </w:r>
      <w:r>
        <w:rPr>
          <w:szCs w:val="22"/>
        </w:rPr>
        <w:t xml:space="preserve">3-C366, </w:t>
      </w:r>
      <w:r w:rsidRPr="00A85A67">
        <w:rPr>
          <w:szCs w:val="22"/>
        </w:rPr>
        <w:t>445 12th Street, S.W., Washington, DC 20554, with a copy submitted electronically to Josh Zeldis at Josh.Zeldis@fcc.gov and to JoAnn Lucanik at JoAnn.Lucanik@fcc.gov</w:t>
      </w:r>
      <w:r>
        <w:rPr>
          <w:szCs w:val="22"/>
        </w:rPr>
        <w:t>.</w:t>
      </w:r>
    </w:p>
    <w:p w14:paraId="6D832E07" w14:textId="77777777" w:rsidR="00412F12" w:rsidRDefault="00412F12" w:rsidP="00F03979">
      <w:pPr>
        <w:pStyle w:val="par1"/>
        <w:tabs>
          <w:tab w:val="clear" w:pos="1080"/>
          <w:tab w:val="num" w:pos="1440"/>
        </w:tabs>
        <w:spacing w:after="120"/>
        <w:rPr>
          <w:szCs w:val="22"/>
        </w:rPr>
      </w:pPr>
      <w:r w:rsidRPr="001B6070">
        <w:rPr>
          <w:b/>
          <w:szCs w:val="22"/>
          <w:u w:val="single"/>
        </w:rPr>
        <w:t>Termination Date</w:t>
      </w:r>
      <w:r w:rsidRPr="001B6070">
        <w:rPr>
          <w:szCs w:val="22"/>
        </w:rPr>
        <w:t xml:space="preserve">.  Unless stated otherwise, the requirements set forth in paragraphs </w:t>
      </w:r>
      <w:r>
        <w:rPr>
          <w:szCs w:val="22"/>
        </w:rPr>
        <w:t>11</w:t>
      </w:r>
      <w:r w:rsidRPr="001B6070">
        <w:rPr>
          <w:szCs w:val="22"/>
        </w:rPr>
        <w:t xml:space="preserve"> through </w:t>
      </w:r>
      <w:r>
        <w:rPr>
          <w:szCs w:val="22"/>
        </w:rPr>
        <w:t>14</w:t>
      </w:r>
      <w:r w:rsidRPr="001B6070">
        <w:rPr>
          <w:szCs w:val="22"/>
        </w:rPr>
        <w:t xml:space="preserve"> of this Consent Decree shall expire t</w:t>
      </w:r>
      <w:r>
        <w:rPr>
          <w:szCs w:val="22"/>
        </w:rPr>
        <w:t>hirty-six</w:t>
      </w:r>
      <w:r w:rsidRPr="001B6070">
        <w:rPr>
          <w:szCs w:val="22"/>
        </w:rPr>
        <w:t xml:space="preserve"> (</w:t>
      </w:r>
      <w:r>
        <w:rPr>
          <w:szCs w:val="22"/>
        </w:rPr>
        <w:t>36</w:t>
      </w:r>
      <w:r w:rsidRPr="001B6070">
        <w:rPr>
          <w:szCs w:val="22"/>
        </w:rPr>
        <w:t>) months after the Effective Date</w:t>
      </w:r>
      <w:r>
        <w:rPr>
          <w:szCs w:val="22"/>
        </w:rPr>
        <w:t>.</w:t>
      </w:r>
    </w:p>
    <w:p w14:paraId="5C89C2E5" w14:textId="008EA19A" w:rsidR="00412F12" w:rsidRDefault="00230A25" w:rsidP="00F03979">
      <w:pPr>
        <w:pStyle w:val="par1"/>
        <w:tabs>
          <w:tab w:val="clear" w:pos="1080"/>
          <w:tab w:val="num" w:pos="1440"/>
        </w:tabs>
        <w:spacing w:after="120"/>
        <w:rPr>
          <w:rFonts w:eastAsia="MS Mincho"/>
        </w:rPr>
      </w:pPr>
      <w:r>
        <w:rPr>
          <w:b/>
          <w:szCs w:val="22"/>
          <w:u w:val="single"/>
        </w:rPr>
        <w:t>P</w:t>
      </w:r>
      <w:r w:rsidR="00E26A15">
        <w:rPr>
          <w:b/>
          <w:szCs w:val="22"/>
          <w:u w:val="single"/>
        </w:rPr>
        <w:t>ayment</w:t>
      </w:r>
      <w:r w:rsidR="00412F12" w:rsidRPr="00A85A67">
        <w:rPr>
          <w:szCs w:val="22"/>
        </w:rPr>
        <w:t>.</w:t>
      </w:r>
      <w:r w:rsidR="00412F12" w:rsidRPr="00A85A67">
        <w:rPr>
          <w:b/>
          <w:szCs w:val="22"/>
        </w:rPr>
        <w:t xml:space="preserve">  </w:t>
      </w:r>
      <w:r w:rsidR="00412F12" w:rsidRPr="00A85A67">
        <w:rPr>
          <w:color w:val="000000"/>
          <w:szCs w:val="22"/>
        </w:rPr>
        <w:t>Intel</w:t>
      </w:r>
      <w:r w:rsidR="00412F12" w:rsidRPr="00A85A67">
        <w:rPr>
          <w:szCs w:val="22"/>
        </w:rPr>
        <w:t xml:space="preserve"> </w:t>
      </w:r>
      <w:r w:rsidR="00412F12" w:rsidRPr="00A85A67">
        <w:rPr>
          <w:rFonts w:eastAsia="MS Mincho"/>
          <w:szCs w:val="22"/>
        </w:rPr>
        <w:t xml:space="preserve">agrees that it will </w:t>
      </w:r>
      <w:r w:rsidR="00E26A15">
        <w:rPr>
          <w:rFonts w:eastAsia="MS Mincho"/>
          <w:szCs w:val="22"/>
        </w:rPr>
        <w:t>make</w:t>
      </w:r>
      <w:r>
        <w:rPr>
          <w:rFonts w:eastAsia="MS Mincho"/>
          <w:szCs w:val="22"/>
        </w:rPr>
        <w:t xml:space="preserve"> </w:t>
      </w:r>
      <w:r w:rsidR="00EF0C70">
        <w:rPr>
          <w:rFonts w:eastAsia="MS Mincho"/>
          <w:szCs w:val="22"/>
        </w:rPr>
        <w:t>a</w:t>
      </w:r>
      <w:r>
        <w:rPr>
          <w:rFonts w:eastAsia="MS Mincho"/>
          <w:szCs w:val="22"/>
        </w:rPr>
        <w:t xml:space="preserve"> p</w:t>
      </w:r>
      <w:r w:rsidR="00E26A15">
        <w:rPr>
          <w:rFonts w:eastAsia="MS Mincho"/>
          <w:szCs w:val="22"/>
        </w:rPr>
        <w:t>ayment</w:t>
      </w:r>
      <w:r>
        <w:rPr>
          <w:rFonts w:eastAsia="MS Mincho"/>
          <w:szCs w:val="22"/>
        </w:rPr>
        <w:t xml:space="preserve"> </w:t>
      </w:r>
      <w:r w:rsidR="00412F12" w:rsidRPr="00A85A67">
        <w:rPr>
          <w:rFonts w:eastAsia="MS Mincho"/>
          <w:szCs w:val="22"/>
        </w:rPr>
        <w:t xml:space="preserve">to the United States Treasury in the amount of </w:t>
      </w:r>
      <w:r w:rsidR="00412F12">
        <w:rPr>
          <w:rFonts w:eastAsia="MS Mincho"/>
          <w:szCs w:val="22"/>
        </w:rPr>
        <w:t>one hundred and forty-four thousand dollars ($144,000)</w:t>
      </w:r>
      <w:r w:rsidR="00412F12" w:rsidRPr="00A85A67">
        <w:rPr>
          <w:rFonts w:eastAsia="MS Mincho"/>
          <w:szCs w:val="22"/>
        </w:rPr>
        <w:t xml:space="preserve"> </w:t>
      </w:r>
      <w:r w:rsidR="00412F12" w:rsidRPr="00A85A67">
        <w:rPr>
          <w:szCs w:val="22"/>
        </w:rPr>
        <w:t>within thirty (30) calendar days after the Effective Date</w:t>
      </w:r>
      <w:r w:rsidR="00412F12" w:rsidRPr="00A85A67">
        <w:rPr>
          <w:rFonts w:eastAsia="MS Mincho"/>
          <w:szCs w:val="22"/>
        </w:rPr>
        <w:t>.</w:t>
      </w:r>
      <w:r w:rsidR="00412F12" w:rsidRPr="00A85A67">
        <w:rPr>
          <w:szCs w:val="22"/>
        </w:rPr>
        <w:t xml:space="preserve">  </w:t>
      </w:r>
      <w:r w:rsidR="00412F12" w:rsidRPr="00A85A67">
        <w:rPr>
          <w:rFonts w:eastAsia="MS Mincho"/>
          <w:szCs w:val="22"/>
        </w:rPr>
        <w:t>Intel shall send electronic notification of payment t</w:t>
      </w:r>
      <w:r w:rsidR="00412F12">
        <w:rPr>
          <w:rFonts w:eastAsia="MS Mincho"/>
          <w:szCs w:val="22"/>
        </w:rPr>
        <w:t>o</w:t>
      </w:r>
      <w:r w:rsidR="00412F12" w:rsidRPr="00A85A67">
        <w:rPr>
          <w:szCs w:val="22"/>
        </w:rPr>
        <w:t xml:space="preserve"> Josh Zeldis at Josh.Zeldis@fcc.gov, JoAnn Lucanik at JoAnn.Lucanik@fcc.gov, and Samantha Peoples at Sam.Peoples@fcc.gov </w:t>
      </w:r>
      <w:r w:rsidR="00412F12" w:rsidRPr="00A85A67">
        <w:rPr>
          <w:rFonts w:eastAsia="MS Mincho"/>
          <w:szCs w:val="22"/>
        </w:rPr>
        <w:t xml:space="preserve">on the date said payment is made.  The payment must be made by check or similar instrument, wire transfer, or credit card, and must include the NAL/Account </w:t>
      </w:r>
      <w:r w:rsidR="00412F12">
        <w:rPr>
          <w:rFonts w:eastAsia="MS Mincho"/>
          <w:szCs w:val="22"/>
        </w:rPr>
        <w:t>N</w:t>
      </w:r>
      <w:r w:rsidR="00412F12" w:rsidRPr="00A85A67">
        <w:rPr>
          <w:rFonts w:eastAsia="MS Mincho"/>
          <w:szCs w:val="22"/>
        </w:rPr>
        <w:t>umber and FRN referenced above.  Regardless of the form of payment, a completed FCC Form 159 (Remittance Advice) must be submitted.</w:t>
      </w:r>
      <w:r w:rsidR="00412F12" w:rsidRPr="00A85A67">
        <w:rPr>
          <w:rStyle w:val="FootnoteReference"/>
          <w:rFonts w:eastAsia="MS Mincho"/>
          <w:szCs w:val="22"/>
        </w:rPr>
        <w:footnoteReference w:id="38"/>
      </w:r>
      <w:r w:rsidR="00412F12" w:rsidRPr="00A85A67">
        <w:rPr>
          <w:rFonts w:eastAsia="MS Mincho"/>
          <w:szCs w:val="22"/>
        </w:rPr>
        <w:t xml:space="preserve">  When completing the FCC Form 159, enter the Account Number in block number 23A (call sign/other ID) and enter the letters “FORF” in block number 24A (payment type code).  </w:t>
      </w:r>
      <w:r w:rsidR="00412F12" w:rsidRPr="00A85A67">
        <w:rPr>
          <w:color w:val="000000"/>
          <w:szCs w:val="22"/>
        </w:rPr>
        <w:t xml:space="preserve">Below are additional instructions </w:t>
      </w:r>
      <w:r w:rsidR="00412F12">
        <w:rPr>
          <w:color w:val="000000"/>
          <w:szCs w:val="22"/>
        </w:rPr>
        <w:t>Intel</w:t>
      </w:r>
      <w:r w:rsidR="00412F12" w:rsidRPr="00A85A67">
        <w:rPr>
          <w:color w:val="000000"/>
          <w:szCs w:val="22"/>
        </w:rPr>
        <w:t xml:space="preserve"> should follow based on the form of payment </w:t>
      </w:r>
      <w:r w:rsidR="00412F12">
        <w:rPr>
          <w:color w:val="000000"/>
          <w:szCs w:val="22"/>
        </w:rPr>
        <w:t>it</w:t>
      </w:r>
      <w:r w:rsidR="00412F12" w:rsidRPr="00A85A67">
        <w:rPr>
          <w:color w:val="000000"/>
          <w:szCs w:val="22"/>
        </w:rPr>
        <w:t xml:space="preserve"> select</w:t>
      </w:r>
      <w:r w:rsidR="00412F12">
        <w:rPr>
          <w:color w:val="000000"/>
          <w:szCs w:val="22"/>
        </w:rPr>
        <w:t>s</w:t>
      </w:r>
      <w:r w:rsidR="00412F12" w:rsidRPr="00A85A67">
        <w:rPr>
          <w:color w:val="000000"/>
          <w:szCs w:val="22"/>
        </w:rPr>
        <w:t>:</w:t>
      </w:r>
    </w:p>
    <w:p w14:paraId="2C06AAE0" w14:textId="77777777" w:rsidR="00412F12" w:rsidRPr="00A85A67" w:rsidRDefault="00412F12" w:rsidP="003128A6">
      <w:pPr>
        <w:pStyle w:val="ParaNum"/>
        <w:numPr>
          <w:ilvl w:val="0"/>
          <w:numId w:val="13"/>
        </w:numPr>
        <w:rPr>
          <w:rFonts w:eastAsia="MS Mincho"/>
          <w:szCs w:val="22"/>
        </w:rPr>
      </w:pPr>
      <w:r w:rsidRPr="00A85A67">
        <w:rPr>
          <w:rFonts w:eastAsia="MS Mincho"/>
          <w:szCs w:val="22"/>
        </w:rPr>
        <w:t xml:space="preserve">Payment by check or money order must be made payable in United States Dollars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16D62B7E" w14:textId="77777777" w:rsidR="00412F12" w:rsidRPr="00A85A67" w:rsidRDefault="00412F12" w:rsidP="001A32C1">
      <w:pPr>
        <w:pStyle w:val="ParaNum"/>
        <w:numPr>
          <w:ilvl w:val="0"/>
          <w:numId w:val="13"/>
        </w:numPr>
        <w:rPr>
          <w:rFonts w:eastAsia="MS Mincho"/>
          <w:szCs w:val="22"/>
        </w:rPr>
      </w:pPr>
      <w:r w:rsidRPr="00A85A6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314F4BA1" w14:textId="77777777" w:rsidR="00412F12" w:rsidRPr="00A85A67" w:rsidRDefault="00412F12" w:rsidP="001A32C1">
      <w:pPr>
        <w:pStyle w:val="ParaNum"/>
        <w:numPr>
          <w:ilvl w:val="0"/>
          <w:numId w:val="13"/>
        </w:numPr>
        <w:rPr>
          <w:rFonts w:eastAsia="MS Mincho"/>
          <w:szCs w:val="22"/>
        </w:rPr>
      </w:pPr>
      <w:r w:rsidRPr="00A85A67">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4A152492" w14:textId="77777777" w:rsidR="00412F12" w:rsidRDefault="00412F12" w:rsidP="00F03979">
      <w:pPr>
        <w:pStyle w:val="ParaNum"/>
        <w:numPr>
          <w:ilvl w:val="0"/>
          <w:numId w:val="0"/>
        </w:numPr>
        <w:rPr>
          <w:rFonts w:eastAsia="MS Mincho"/>
          <w:color w:val="000000"/>
          <w:szCs w:val="22"/>
          <w:lang w:eastAsia="ja-JP"/>
        </w:rPr>
      </w:pPr>
      <w:r w:rsidRPr="00A85A67">
        <w:rPr>
          <w:rFonts w:eastAsia="MS Mincho"/>
          <w:szCs w:val="22"/>
        </w:rPr>
        <w:t xml:space="preserve">If </w:t>
      </w:r>
      <w:r>
        <w:rPr>
          <w:rFonts w:eastAsia="MS Mincho"/>
          <w:szCs w:val="22"/>
        </w:rPr>
        <w:t>Intel has</w:t>
      </w:r>
      <w:r w:rsidRPr="00A85A67">
        <w:rPr>
          <w:rFonts w:eastAsia="MS Mincho"/>
          <w:szCs w:val="22"/>
        </w:rPr>
        <w:t xml:space="preserve"> questions regarding payment procedures, </w:t>
      </w:r>
      <w:r>
        <w:rPr>
          <w:rFonts w:eastAsia="MS Mincho"/>
          <w:szCs w:val="22"/>
        </w:rPr>
        <w:t xml:space="preserve">it should </w:t>
      </w:r>
      <w:r w:rsidRPr="00A85A67">
        <w:rPr>
          <w:rFonts w:eastAsia="MS Mincho"/>
          <w:szCs w:val="22"/>
        </w:rPr>
        <w:t>contact the Financial Operations Group Help Desk by phone, 1-877-480-3201, or by e</w:t>
      </w:r>
      <w:r w:rsidRPr="00A85A67">
        <w:rPr>
          <w:rFonts w:eastAsia="MS Mincho"/>
          <w:szCs w:val="22"/>
        </w:rPr>
        <w:noBreakHyphen/>
        <w:t>mail, ARINQUIRIES@fcc.gov.</w:t>
      </w:r>
    </w:p>
    <w:p w14:paraId="2828E103" w14:textId="77777777" w:rsidR="00412F12" w:rsidRPr="00A85A67" w:rsidRDefault="00412F12" w:rsidP="005C75FF">
      <w:pPr>
        <w:pStyle w:val="par1"/>
        <w:tabs>
          <w:tab w:val="clear" w:pos="1080"/>
          <w:tab w:val="num" w:pos="1440"/>
        </w:tabs>
        <w:spacing w:after="120"/>
        <w:rPr>
          <w:szCs w:val="22"/>
        </w:rPr>
      </w:pPr>
      <w:r w:rsidRPr="00A85A67">
        <w:rPr>
          <w:b/>
          <w:szCs w:val="22"/>
          <w:u w:val="single"/>
        </w:rPr>
        <w:t>Waivers</w:t>
      </w:r>
      <w:r w:rsidRPr="00A85A67">
        <w:rPr>
          <w:szCs w:val="22"/>
        </w:rPr>
        <w:t xml:space="preserve">.  </w:t>
      </w:r>
      <w:r w:rsidRPr="00A85A67">
        <w:rPr>
          <w:color w:val="000000"/>
          <w:szCs w:val="22"/>
        </w:rPr>
        <w:t>Intel</w:t>
      </w:r>
      <w:r w:rsidRPr="00A85A67">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Intel shall retain the right to challenge Commission interpretation of the Consent Decree or any terms contained herein.  If either Party (or the United States on behalf of the Commission) brings a judicial action to enforce the terms of the Adopting Order, neither </w:t>
      </w:r>
      <w:r w:rsidRPr="00A85A67">
        <w:rPr>
          <w:color w:val="000000"/>
          <w:szCs w:val="22"/>
        </w:rPr>
        <w:t>Intel</w:t>
      </w:r>
      <w:r w:rsidRPr="00A85A67">
        <w:rPr>
          <w:szCs w:val="22"/>
        </w:rPr>
        <w:t xml:space="preserve"> nor the Commission shall contest the validity of the Consent Decree or of the Adopting Order, and </w:t>
      </w:r>
      <w:r w:rsidRPr="00A85A67">
        <w:rPr>
          <w:color w:val="000000"/>
          <w:szCs w:val="22"/>
        </w:rPr>
        <w:t>Intel</w:t>
      </w:r>
      <w:r w:rsidRPr="00A85A67">
        <w:rPr>
          <w:szCs w:val="22"/>
        </w:rPr>
        <w:t xml:space="preserve"> shall waive any statutory right to a trial </w:t>
      </w:r>
      <w:r w:rsidRPr="00A85A67">
        <w:rPr>
          <w:i/>
          <w:szCs w:val="22"/>
        </w:rPr>
        <w:t>de novo</w:t>
      </w:r>
      <w:r w:rsidRPr="00A85A67">
        <w:rPr>
          <w:szCs w:val="22"/>
        </w:rPr>
        <w:t xml:space="preserve">.  </w:t>
      </w:r>
      <w:r w:rsidRPr="00A85A67">
        <w:rPr>
          <w:color w:val="000000"/>
          <w:szCs w:val="22"/>
        </w:rPr>
        <w:t>Intel</w:t>
      </w:r>
      <w:r w:rsidRPr="00A85A67">
        <w:rPr>
          <w:szCs w:val="22"/>
        </w:rPr>
        <w:t xml:space="preserve"> hereby agrees to waive any claims it may have under the Equal Access to Justice Act</w:t>
      </w:r>
      <w:r>
        <w:rPr>
          <w:rStyle w:val="FootnoteReference"/>
          <w:szCs w:val="22"/>
        </w:rPr>
        <w:footnoteReference w:id="39"/>
      </w:r>
      <w:r w:rsidRPr="00A85A67">
        <w:rPr>
          <w:szCs w:val="22"/>
        </w:rPr>
        <w:t xml:space="preserve"> relating to the matters addressed in this Consent Decree.</w:t>
      </w:r>
    </w:p>
    <w:p w14:paraId="434D001D" w14:textId="77777777" w:rsidR="00412F12" w:rsidRPr="00A85A67" w:rsidRDefault="00412F12" w:rsidP="005C75FF">
      <w:pPr>
        <w:pStyle w:val="par1"/>
        <w:tabs>
          <w:tab w:val="clear" w:pos="1080"/>
          <w:tab w:val="num" w:pos="1440"/>
        </w:tabs>
        <w:spacing w:after="120"/>
        <w:rPr>
          <w:szCs w:val="22"/>
        </w:rPr>
      </w:pPr>
      <w:r w:rsidRPr="00A85A67">
        <w:rPr>
          <w:b/>
          <w:szCs w:val="22"/>
          <w:u w:val="single"/>
        </w:rPr>
        <w:t>Invalidity</w:t>
      </w:r>
      <w:r w:rsidRPr="00A85A67">
        <w:rPr>
          <w:szCs w:val="22"/>
        </w:rPr>
        <w:t>.  In the event that this Consent Decree in its entirety is rendered invalid by any court of competent jurisdiction, it shall become null and void and may not be used in any manner in any legal proceeding.</w:t>
      </w:r>
    </w:p>
    <w:p w14:paraId="7C0A3212" w14:textId="77777777" w:rsidR="00412F12" w:rsidRPr="00A85A67" w:rsidRDefault="00412F12" w:rsidP="005C75FF">
      <w:pPr>
        <w:pStyle w:val="par1"/>
        <w:tabs>
          <w:tab w:val="clear" w:pos="1080"/>
          <w:tab w:val="num" w:pos="1440"/>
        </w:tabs>
        <w:spacing w:after="120"/>
        <w:rPr>
          <w:szCs w:val="22"/>
        </w:rPr>
      </w:pPr>
      <w:r w:rsidRPr="00A85A67">
        <w:rPr>
          <w:b/>
          <w:szCs w:val="22"/>
          <w:u w:val="single"/>
        </w:rPr>
        <w:t>Subsequent Rule or Order</w:t>
      </w:r>
      <w:r w:rsidRPr="00A85A67">
        <w:rPr>
          <w:szCs w:val="22"/>
        </w:rPr>
        <w:t>.  The Parties agree that if any provision of the Consent Decree conflicts with any subsequent Rule or order adopted by the Commission (except an order specifically intended to revise the terms of this Consent Decree to which Intel does not expressly consent) that provision will be superseded by such Rule or Commission order.</w:t>
      </w:r>
    </w:p>
    <w:p w14:paraId="2E2FDF11" w14:textId="77777777" w:rsidR="00412F12" w:rsidRPr="00A85A67" w:rsidRDefault="00412F12" w:rsidP="005C75FF">
      <w:pPr>
        <w:pStyle w:val="par1"/>
        <w:tabs>
          <w:tab w:val="clear" w:pos="1080"/>
          <w:tab w:val="num" w:pos="1440"/>
        </w:tabs>
        <w:spacing w:after="120"/>
        <w:rPr>
          <w:szCs w:val="22"/>
        </w:rPr>
      </w:pPr>
      <w:r w:rsidRPr="00A85A67">
        <w:rPr>
          <w:b/>
          <w:szCs w:val="22"/>
          <w:u w:val="single"/>
        </w:rPr>
        <w:t>Successors and Assigns</w:t>
      </w:r>
      <w:r w:rsidRPr="00A85A67">
        <w:rPr>
          <w:szCs w:val="22"/>
        </w:rPr>
        <w:t xml:space="preserve">.  </w:t>
      </w:r>
      <w:r w:rsidRPr="00A85A67">
        <w:rPr>
          <w:color w:val="000000"/>
          <w:szCs w:val="22"/>
        </w:rPr>
        <w:t>Intel</w:t>
      </w:r>
      <w:r w:rsidRPr="00A85A67">
        <w:rPr>
          <w:szCs w:val="22"/>
        </w:rPr>
        <w:t xml:space="preserve"> agrees that the provisions of this Consent Decree shall be binding on its successors, assigns, and transferees.</w:t>
      </w:r>
      <w:r w:rsidRPr="00A85A67">
        <w:rPr>
          <w:szCs w:val="22"/>
          <w:u w:val="single"/>
        </w:rPr>
        <w:t xml:space="preserve">  </w:t>
      </w:r>
    </w:p>
    <w:p w14:paraId="7D8D52D5" w14:textId="77777777" w:rsidR="00412F12" w:rsidRPr="00A85A67" w:rsidRDefault="00412F12" w:rsidP="005C75FF">
      <w:pPr>
        <w:pStyle w:val="par1"/>
        <w:tabs>
          <w:tab w:val="clear" w:pos="1080"/>
          <w:tab w:val="num" w:pos="1440"/>
        </w:tabs>
        <w:spacing w:after="120"/>
        <w:rPr>
          <w:szCs w:val="22"/>
        </w:rPr>
      </w:pPr>
      <w:r w:rsidRPr="00A85A67">
        <w:rPr>
          <w:b/>
          <w:szCs w:val="22"/>
          <w:u w:val="single"/>
        </w:rPr>
        <w:t>Final Settlement</w:t>
      </w:r>
      <w:r w:rsidRPr="00A85A67">
        <w:rPr>
          <w:szCs w:val="22"/>
        </w:rP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14:paraId="31AFB668" w14:textId="77777777" w:rsidR="00412F12" w:rsidRPr="00A85A67" w:rsidRDefault="00412F12" w:rsidP="005C75FF">
      <w:pPr>
        <w:pStyle w:val="par1"/>
        <w:tabs>
          <w:tab w:val="clear" w:pos="1080"/>
          <w:tab w:val="num" w:pos="1440"/>
        </w:tabs>
        <w:spacing w:after="120"/>
        <w:rPr>
          <w:szCs w:val="22"/>
        </w:rPr>
      </w:pPr>
      <w:r w:rsidRPr="00A85A67">
        <w:rPr>
          <w:b/>
          <w:szCs w:val="22"/>
          <w:u w:val="single"/>
        </w:rPr>
        <w:t>Modifications</w:t>
      </w:r>
      <w:r w:rsidRPr="00A85A67">
        <w:rPr>
          <w:szCs w:val="22"/>
        </w:rPr>
        <w:t>.  This Consent Decree cannot be modified without the advance written consent of both Parties.</w:t>
      </w:r>
    </w:p>
    <w:p w14:paraId="3CF58587" w14:textId="77777777" w:rsidR="00412F12" w:rsidRPr="00A85A67" w:rsidRDefault="00412F12" w:rsidP="005C75FF">
      <w:pPr>
        <w:pStyle w:val="par1"/>
        <w:tabs>
          <w:tab w:val="clear" w:pos="1080"/>
          <w:tab w:val="num" w:pos="1440"/>
        </w:tabs>
        <w:spacing w:after="120"/>
        <w:rPr>
          <w:szCs w:val="22"/>
        </w:rPr>
      </w:pPr>
      <w:r w:rsidRPr="00A85A67">
        <w:rPr>
          <w:b/>
          <w:szCs w:val="22"/>
          <w:u w:val="single"/>
        </w:rPr>
        <w:t>Paragraph Headings</w:t>
      </w:r>
      <w:r w:rsidRPr="00A85A67">
        <w:rPr>
          <w:szCs w:val="22"/>
        </w:rPr>
        <w:t>.  The headings of the paragraphs in this Consent Decree are inserted for convenience only and are not intended to affect the meaning or interpretation of this Consent Decree.</w:t>
      </w:r>
    </w:p>
    <w:p w14:paraId="32106C67" w14:textId="7D02C90F" w:rsidR="006060CE" w:rsidRDefault="00412F12" w:rsidP="00F03979">
      <w:pPr>
        <w:pStyle w:val="par1"/>
        <w:tabs>
          <w:tab w:val="clear" w:pos="1080"/>
          <w:tab w:val="num" w:pos="1440"/>
        </w:tabs>
        <w:spacing w:after="120"/>
        <w:rPr>
          <w:szCs w:val="22"/>
        </w:rPr>
      </w:pPr>
      <w:r w:rsidRPr="006060CE">
        <w:rPr>
          <w:b/>
          <w:szCs w:val="22"/>
          <w:u w:val="single"/>
        </w:rPr>
        <w:t>Authorized Representative</w:t>
      </w:r>
      <w:r w:rsidRPr="006060CE">
        <w:rPr>
          <w:szCs w:val="22"/>
        </w:rPr>
        <w:t xml:space="preserve">.  The individual signing this Consent Decree on behalf of Intel represents and warrants that </w:t>
      </w:r>
      <w:r w:rsidRPr="00771D96">
        <w:t>she</w:t>
      </w:r>
      <w:r w:rsidRPr="006060CE">
        <w:rPr>
          <w:szCs w:val="22"/>
        </w:rPr>
        <w:t xml:space="preserve"> is authorized by </w:t>
      </w:r>
      <w:r w:rsidRPr="006060CE">
        <w:rPr>
          <w:color w:val="000000"/>
          <w:szCs w:val="22"/>
        </w:rPr>
        <w:t>Intel</w:t>
      </w:r>
      <w:r w:rsidRPr="006060CE">
        <w:rPr>
          <w:szCs w:val="22"/>
        </w:rPr>
        <w:t xml:space="preserve"> to execute this Consent Decree and to bind Intel to the obligations set forth herein.  The FCC signatory represents that he is signing this Consent Decree in his official capacity and that he is authorized to execute this Consent Decree.</w:t>
      </w:r>
      <w:r w:rsidR="006060CE" w:rsidRPr="006060CE">
        <w:rPr>
          <w:szCs w:val="22"/>
        </w:rPr>
        <w:t xml:space="preserve"> </w:t>
      </w:r>
    </w:p>
    <w:p w14:paraId="3B1B7586" w14:textId="6EE832F7" w:rsidR="00412F12" w:rsidRPr="006060CE" w:rsidRDefault="00412F12" w:rsidP="00F03979">
      <w:pPr>
        <w:pStyle w:val="par1"/>
        <w:tabs>
          <w:tab w:val="clear" w:pos="1080"/>
          <w:tab w:val="num" w:pos="1440"/>
        </w:tabs>
        <w:spacing w:after="120"/>
        <w:rPr>
          <w:szCs w:val="22"/>
        </w:rPr>
      </w:pPr>
      <w:r w:rsidRPr="006060CE">
        <w:rPr>
          <w:b/>
          <w:szCs w:val="22"/>
          <w:u w:val="single"/>
        </w:rPr>
        <w:t>Counterparts</w:t>
      </w:r>
      <w:r w:rsidRPr="006060CE">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14:paraId="277861CF" w14:textId="77777777" w:rsidR="00412F12" w:rsidRPr="00A85A67" w:rsidRDefault="00412F12" w:rsidP="006B6DE1">
      <w:pPr>
        <w:pStyle w:val="Heading1A"/>
        <w:tabs>
          <w:tab w:val="left" w:pos="0"/>
        </w:tabs>
        <w:spacing w:after="0" w:line="227" w:lineRule="auto"/>
        <w:rPr>
          <w:rFonts w:ascii="Times New Roman" w:hAnsi="Times New Roman"/>
          <w:sz w:val="22"/>
          <w:szCs w:val="22"/>
        </w:rPr>
      </w:pPr>
    </w:p>
    <w:p w14:paraId="504D0AA7" w14:textId="77777777" w:rsidR="00412F12" w:rsidRPr="00A85A67" w:rsidRDefault="00412F12" w:rsidP="006B6DE1">
      <w:pPr>
        <w:jc w:val="center"/>
        <w:rPr>
          <w:b/>
          <w:sz w:val="22"/>
          <w:szCs w:val="22"/>
        </w:rPr>
      </w:pPr>
    </w:p>
    <w:p w14:paraId="369E9B4F" w14:textId="77777777" w:rsidR="00412F12" w:rsidRPr="00A85A67" w:rsidRDefault="00412F12" w:rsidP="006B6DE1">
      <w:pPr>
        <w:rPr>
          <w:sz w:val="22"/>
          <w:szCs w:val="22"/>
        </w:rPr>
      </w:pPr>
    </w:p>
    <w:p w14:paraId="7DB8FC17" w14:textId="77777777" w:rsidR="00412F12" w:rsidRPr="00A85A67" w:rsidRDefault="00412F12" w:rsidP="006B6DE1">
      <w:pPr>
        <w:keepNext/>
        <w:rPr>
          <w:sz w:val="22"/>
          <w:szCs w:val="22"/>
        </w:rPr>
      </w:pPr>
      <w:r w:rsidRPr="00A85A67">
        <w:rPr>
          <w:sz w:val="22"/>
          <w:szCs w:val="22"/>
        </w:rPr>
        <w:t>___________________________</w:t>
      </w:r>
    </w:p>
    <w:p w14:paraId="3CABE8C1" w14:textId="379400BF" w:rsidR="00412F12" w:rsidRDefault="008A2A9A" w:rsidP="006B6DE1">
      <w:pPr>
        <w:pStyle w:val="BodyText1"/>
        <w:rPr>
          <w:rFonts w:ascii="Times New Roman" w:hAnsi="Times New Roman"/>
          <w:sz w:val="22"/>
          <w:szCs w:val="22"/>
          <w:u w:val="none"/>
        </w:rPr>
      </w:pPr>
      <w:r>
        <w:rPr>
          <w:rFonts w:ascii="Times New Roman" w:hAnsi="Times New Roman"/>
          <w:sz w:val="22"/>
          <w:szCs w:val="22"/>
          <w:u w:val="none"/>
        </w:rPr>
        <w:t>John D. Poutasse</w:t>
      </w:r>
    </w:p>
    <w:p w14:paraId="2A0D0B42" w14:textId="77777777" w:rsidR="00412F12" w:rsidRDefault="00412F12" w:rsidP="006B6DE1">
      <w:pPr>
        <w:pStyle w:val="BodyText1"/>
        <w:rPr>
          <w:rFonts w:ascii="Times New Roman" w:hAnsi="Times New Roman"/>
          <w:sz w:val="22"/>
          <w:szCs w:val="22"/>
          <w:u w:val="none"/>
        </w:rPr>
      </w:pPr>
      <w:r>
        <w:rPr>
          <w:rFonts w:ascii="Times New Roman" w:hAnsi="Times New Roman"/>
          <w:sz w:val="22"/>
          <w:szCs w:val="22"/>
          <w:u w:val="none"/>
        </w:rPr>
        <w:t>Chief</w:t>
      </w:r>
      <w:r w:rsidR="008A2A9A">
        <w:rPr>
          <w:rFonts w:ascii="Times New Roman" w:hAnsi="Times New Roman"/>
          <w:sz w:val="22"/>
          <w:szCs w:val="22"/>
          <w:u w:val="none"/>
        </w:rPr>
        <w:t>, Spectrum Enforcement Division</w:t>
      </w:r>
    </w:p>
    <w:p w14:paraId="51759FF8" w14:textId="77777777" w:rsidR="00412F12" w:rsidRPr="00A85A67" w:rsidRDefault="00412F12" w:rsidP="006B6DE1">
      <w:pPr>
        <w:pStyle w:val="BodyText1"/>
        <w:rPr>
          <w:rFonts w:ascii="Times New Roman" w:hAnsi="Times New Roman"/>
          <w:sz w:val="22"/>
          <w:szCs w:val="22"/>
          <w:u w:val="none"/>
        </w:rPr>
      </w:pPr>
      <w:r w:rsidRPr="00A85A67">
        <w:rPr>
          <w:rFonts w:ascii="Times New Roman" w:hAnsi="Times New Roman"/>
          <w:sz w:val="22"/>
          <w:szCs w:val="22"/>
          <w:u w:val="none"/>
        </w:rPr>
        <w:t>Enforcement Bureau</w:t>
      </w:r>
    </w:p>
    <w:p w14:paraId="2886C164" w14:textId="77777777" w:rsidR="00412F12" w:rsidRPr="00A85A67" w:rsidRDefault="00412F12" w:rsidP="006B6DE1">
      <w:pPr>
        <w:keepNext/>
        <w:rPr>
          <w:sz w:val="22"/>
          <w:szCs w:val="22"/>
        </w:rPr>
      </w:pPr>
    </w:p>
    <w:p w14:paraId="54B5DA11" w14:textId="77777777" w:rsidR="00412F12" w:rsidRDefault="00412F12" w:rsidP="006B6DE1">
      <w:pPr>
        <w:keepNext/>
        <w:rPr>
          <w:sz w:val="22"/>
          <w:szCs w:val="22"/>
        </w:rPr>
      </w:pPr>
    </w:p>
    <w:p w14:paraId="5F7B959E" w14:textId="77777777" w:rsidR="00412F12" w:rsidRPr="00A85A67" w:rsidRDefault="00412F12" w:rsidP="006B6DE1">
      <w:pPr>
        <w:keepNext/>
        <w:rPr>
          <w:sz w:val="22"/>
          <w:szCs w:val="22"/>
        </w:rPr>
      </w:pPr>
      <w:r w:rsidRPr="00A85A67">
        <w:rPr>
          <w:sz w:val="22"/>
          <w:szCs w:val="22"/>
        </w:rPr>
        <w:t>___________________________</w:t>
      </w:r>
    </w:p>
    <w:p w14:paraId="2327A744" w14:textId="77777777" w:rsidR="00412F12" w:rsidRPr="00A85A67" w:rsidRDefault="00412F12" w:rsidP="006B6DE1">
      <w:pPr>
        <w:keepNext/>
        <w:rPr>
          <w:sz w:val="22"/>
          <w:szCs w:val="22"/>
        </w:rPr>
      </w:pPr>
      <w:r w:rsidRPr="00A85A67">
        <w:rPr>
          <w:sz w:val="22"/>
          <w:szCs w:val="22"/>
        </w:rPr>
        <w:t>Date</w:t>
      </w:r>
    </w:p>
    <w:p w14:paraId="43489F83" w14:textId="77777777" w:rsidR="00412F12" w:rsidRPr="00A85A67" w:rsidRDefault="00412F12" w:rsidP="006B6DE1">
      <w:pPr>
        <w:keepNext/>
        <w:rPr>
          <w:sz w:val="22"/>
          <w:szCs w:val="22"/>
        </w:rPr>
      </w:pPr>
    </w:p>
    <w:p w14:paraId="541C4D30" w14:textId="77777777" w:rsidR="00412F12" w:rsidRPr="00A85A67" w:rsidRDefault="00412F12" w:rsidP="006B6DE1">
      <w:pPr>
        <w:rPr>
          <w:b/>
          <w:sz w:val="22"/>
          <w:szCs w:val="22"/>
          <w:u w:val="single"/>
        </w:rPr>
      </w:pPr>
    </w:p>
    <w:p w14:paraId="5CCA1A27" w14:textId="77777777" w:rsidR="00412F12" w:rsidRPr="00A85A67" w:rsidRDefault="00412F12" w:rsidP="006B6DE1">
      <w:pPr>
        <w:rPr>
          <w:b/>
          <w:sz w:val="22"/>
          <w:szCs w:val="22"/>
          <w:u w:val="single"/>
        </w:rPr>
      </w:pPr>
    </w:p>
    <w:p w14:paraId="505A43B3" w14:textId="77777777" w:rsidR="00412F12" w:rsidRPr="00A85A67" w:rsidRDefault="00412F12" w:rsidP="006B6DE1">
      <w:pPr>
        <w:rPr>
          <w:sz w:val="22"/>
          <w:szCs w:val="22"/>
        </w:rPr>
      </w:pPr>
    </w:p>
    <w:p w14:paraId="31E41BB2" w14:textId="77777777" w:rsidR="00412F12" w:rsidRPr="00A85A67" w:rsidRDefault="00412F12" w:rsidP="006B6DE1">
      <w:pPr>
        <w:keepNext/>
        <w:keepLines/>
        <w:jc w:val="both"/>
        <w:rPr>
          <w:color w:val="000000"/>
          <w:sz w:val="22"/>
          <w:szCs w:val="22"/>
        </w:rPr>
      </w:pPr>
      <w:r w:rsidRPr="00A85A67">
        <w:rPr>
          <w:color w:val="000000"/>
          <w:sz w:val="22"/>
          <w:szCs w:val="22"/>
        </w:rPr>
        <w:t>_____________________________</w:t>
      </w:r>
    </w:p>
    <w:p w14:paraId="17074433" w14:textId="77777777" w:rsidR="00BE518A" w:rsidRPr="00D506C6" w:rsidRDefault="00BE518A" w:rsidP="00BE518A">
      <w:pPr>
        <w:rPr>
          <w:rFonts w:eastAsia="Arial"/>
          <w:color w:val="1F497D"/>
          <w:sz w:val="22"/>
          <w:szCs w:val="22"/>
        </w:rPr>
      </w:pPr>
      <w:r w:rsidRPr="00D506C6">
        <w:rPr>
          <w:rFonts w:eastAsia="Arial"/>
          <w:bCs/>
          <w:sz w:val="22"/>
          <w:szCs w:val="22"/>
        </w:rPr>
        <w:t>Jo S. Levy</w:t>
      </w:r>
      <w:r w:rsidRPr="00D506C6">
        <w:rPr>
          <w:rFonts w:eastAsia="Arial"/>
          <w:sz w:val="22"/>
          <w:szCs w:val="22"/>
        </w:rPr>
        <w:br/>
        <w:t>Vice President, Legal and Corporate Affairs</w:t>
      </w:r>
      <w:r w:rsidRPr="00D506C6">
        <w:rPr>
          <w:rFonts w:eastAsia="Arial"/>
          <w:sz w:val="22"/>
          <w:szCs w:val="22"/>
        </w:rPr>
        <w:br/>
        <w:t>Chief Compliance Officer</w:t>
      </w:r>
    </w:p>
    <w:p w14:paraId="0CD0056A" w14:textId="77777777" w:rsidR="00412F12" w:rsidRDefault="00412F12" w:rsidP="006B6DE1">
      <w:pPr>
        <w:jc w:val="both"/>
        <w:rPr>
          <w:color w:val="000000"/>
          <w:sz w:val="22"/>
          <w:szCs w:val="22"/>
        </w:rPr>
      </w:pPr>
      <w:r w:rsidRPr="00E31B89">
        <w:rPr>
          <w:color w:val="000000"/>
          <w:sz w:val="22"/>
          <w:szCs w:val="22"/>
        </w:rPr>
        <w:t>Intel Corporation</w:t>
      </w:r>
    </w:p>
    <w:p w14:paraId="236C5F6B" w14:textId="77777777" w:rsidR="00412F12" w:rsidRDefault="00412F12" w:rsidP="006B6DE1">
      <w:pPr>
        <w:jc w:val="both"/>
        <w:rPr>
          <w:color w:val="000000"/>
          <w:sz w:val="22"/>
          <w:szCs w:val="22"/>
        </w:rPr>
      </w:pPr>
    </w:p>
    <w:p w14:paraId="0F955049" w14:textId="77777777" w:rsidR="00412F12" w:rsidRPr="00A85A67" w:rsidRDefault="00412F12" w:rsidP="006B6DE1">
      <w:pPr>
        <w:jc w:val="both"/>
        <w:rPr>
          <w:color w:val="000000"/>
          <w:sz w:val="22"/>
          <w:szCs w:val="22"/>
        </w:rPr>
      </w:pPr>
    </w:p>
    <w:p w14:paraId="6E35ADC6" w14:textId="77777777" w:rsidR="00412F12" w:rsidRPr="00A85A67" w:rsidRDefault="00412F12" w:rsidP="006B6DE1">
      <w:pPr>
        <w:keepLines/>
        <w:jc w:val="both"/>
        <w:rPr>
          <w:color w:val="000000"/>
          <w:sz w:val="22"/>
          <w:szCs w:val="22"/>
        </w:rPr>
      </w:pPr>
      <w:r w:rsidRPr="00A85A67">
        <w:rPr>
          <w:color w:val="000000"/>
          <w:sz w:val="22"/>
          <w:szCs w:val="22"/>
        </w:rPr>
        <w:t>_____________________________</w:t>
      </w:r>
    </w:p>
    <w:p w14:paraId="1C587A0C" w14:textId="77777777" w:rsidR="00412F12" w:rsidRPr="00A85A67" w:rsidRDefault="00412F12" w:rsidP="006B6DE1">
      <w:pPr>
        <w:rPr>
          <w:sz w:val="22"/>
          <w:szCs w:val="22"/>
        </w:rPr>
      </w:pPr>
      <w:r w:rsidRPr="00A85A67">
        <w:rPr>
          <w:sz w:val="22"/>
          <w:szCs w:val="22"/>
        </w:rPr>
        <w:t>Date</w:t>
      </w:r>
    </w:p>
    <w:p w14:paraId="094ECE3E" w14:textId="77777777" w:rsidR="00412F12" w:rsidRPr="00A85A67" w:rsidRDefault="00412F12" w:rsidP="006B6DE1">
      <w:pPr>
        <w:ind w:left="3600" w:firstLine="720"/>
        <w:jc w:val="both"/>
        <w:rPr>
          <w:color w:val="000000"/>
          <w:sz w:val="22"/>
          <w:szCs w:val="22"/>
        </w:rPr>
      </w:pPr>
    </w:p>
    <w:p w14:paraId="2F4AD69F" w14:textId="77777777" w:rsidR="00412F12" w:rsidRDefault="00412F12"/>
    <w:sectPr w:rsidR="00412F12" w:rsidSect="003A16C0">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2731F" w14:textId="77777777" w:rsidR="00FF40AD" w:rsidRDefault="00FF40AD" w:rsidP="006B6DE1">
      <w:r>
        <w:separator/>
      </w:r>
    </w:p>
  </w:endnote>
  <w:endnote w:type="continuationSeparator" w:id="0">
    <w:p w14:paraId="149C8BD9" w14:textId="77777777" w:rsidR="00FF40AD" w:rsidRDefault="00FF40AD" w:rsidP="006B6DE1">
      <w:r>
        <w:continuationSeparator/>
      </w:r>
    </w:p>
  </w:endnote>
  <w:endnote w:type="continuationNotice" w:id="1">
    <w:p w14:paraId="2807BBBE" w14:textId="77777777" w:rsidR="00FF40AD" w:rsidRDefault="00FF4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ECC4" w14:textId="77777777" w:rsidR="00412F12" w:rsidRDefault="00412F12"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DCD">
      <w:rPr>
        <w:rStyle w:val="PageNumber"/>
        <w:noProof/>
      </w:rPr>
      <w:t>1</w:t>
    </w:r>
    <w:r>
      <w:rPr>
        <w:rStyle w:val="PageNumber"/>
      </w:rPr>
      <w:fldChar w:fldCharType="end"/>
    </w:r>
  </w:p>
  <w:p w14:paraId="500EF39E" w14:textId="77777777" w:rsidR="00412F12" w:rsidRDefault="00412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3597" w14:textId="77777777" w:rsidR="00412F12" w:rsidRDefault="00412F12"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2D2">
      <w:rPr>
        <w:rStyle w:val="PageNumber"/>
        <w:noProof/>
      </w:rPr>
      <w:t>2</w:t>
    </w:r>
    <w:r>
      <w:rPr>
        <w:rStyle w:val="PageNumber"/>
      </w:rPr>
      <w:fldChar w:fldCharType="end"/>
    </w:r>
  </w:p>
  <w:p w14:paraId="534FA8F6" w14:textId="77777777" w:rsidR="00412F12" w:rsidRDefault="00412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1BD0" w14:textId="77777777" w:rsidR="00130DCD" w:rsidRDefault="0013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5FF80" w14:textId="77777777" w:rsidR="00FF40AD" w:rsidRDefault="00FF40AD" w:rsidP="006B6DE1">
      <w:r>
        <w:separator/>
      </w:r>
    </w:p>
  </w:footnote>
  <w:footnote w:type="continuationSeparator" w:id="0">
    <w:p w14:paraId="2E301C97" w14:textId="77777777" w:rsidR="00FF40AD" w:rsidRDefault="00FF40AD" w:rsidP="006B6DE1">
      <w:r>
        <w:continuationSeparator/>
      </w:r>
    </w:p>
  </w:footnote>
  <w:footnote w:type="continuationNotice" w:id="1">
    <w:p w14:paraId="6628DCE3" w14:textId="77777777" w:rsidR="00FF40AD" w:rsidRDefault="00FF40AD"/>
  </w:footnote>
  <w:footnote w:id="2">
    <w:p w14:paraId="65187125" w14:textId="77777777" w:rsidR="00412F12" w:rsidRDefault="00412F12">
      <w:pPr>
        <w:pStyle w:val="FootnoteText"/>
      </w:pPr>
      <w:r w:rsidRPr="00F247A0">
        <w:rPr>
          <w:rStyle w:val="FootnoteReference"/>
          <w:sz w:val="20"/>
        </w:rPr>
        <w:footnoteRef/>
      </w:r>
      <w:r w:rsidRPr="00C0622F">
        <w:rPr>
          <w:szCs w:val="20"/>
        </w:rPr>
        <w:t xml:space="preserve"> The investigation initiated under File No.</w:t>
      </w:r>
      <w:r w:rsidRPr="005463AA">
        <w:rPr>
          <w:spacing w:val="-2"/>
          <w:szCs w:val="20"/>
        </w:rPr>
        <w:t xml:space="preserve"> </w:t>
      </w:r>
      <w:r w:rsidRPr="00C0622F">
        <w:rPr>
          <w:szCs w:val="20"/>
        </w:rPr>
        <w:t>EB-SED-13-00006784 was subsequently assigned File No. EB-SED-13-00007036.  Any future correspondence with the FCC concerning this matter should reflect the new case number.</w:t>
      </w:r>
    </w:p>
  </w:footnote>
  <w:footnote w:id="3">
    <w:p w14:paraId="45BBD8CD" w14:textId="77777777" w:rsidR="00412F12" w:rsidRDefault="00412F12" w:rsidP="003A16C0">
      <w:pPr>
        <w:pStyle w:val="FootnoteText"/>
      </w:pPr>
      <w:r>
        <w:rPr>
          <w:rStyle w:val="FootnoteReference"/>
        </w:rPr>
        <w:footnoteRef/>
      </w:r>
      <w:r>
        <w:rPr>
          <w:lang w:val="es-ES"/>
        </w:rPr>
        <w:t xml:space="preserve"> 47 U.S.C. § 302a(b).</w:t>
      </w:r>
    </w:p>
  </w:footnote>
  <w:footnote w:id="4">
    <w:p w14:paraId="52790DC2" w14:textId="77777777" w:rsidR="00412F12" w:rsidRDefault="00412F12" w:rsidP="003A16C0">
      <w:pPr>
        <w:pStyle w:val="FootnoteText"/>
      </w:pPr>
      <w:r>
        <w:rPr>
          <w:rStyle w:val="FootnoteReference"/>
        </w:rPr>
        <w:footnoteRef/>
      </w:r>
      <w:r w:rsidRPr="004A5FD9">
        <w:rPr>
          <w:lang w:val="es-ES"/>
        </w:rPr>
        <w:t xml:space="preserve"> 47 C.F.R. § 2.803(c) (2012).</w:t>
      </w:r>
    </w:p>
  </w:footnote>
  <w:footnote w:id="5">
    <w:p w14:paraId="0911AACA" w14:textId="77777777" w:rsidR="00412F12" w:rsidRDefault="00412F12" w:rsidP="003A16C0">
      <w:pPr>
        <w:pStyle w:val="FootnoteText"/>
      </w:pPr>
      <w:r>
        <w:rPr>
          <w:rStyle w:val="FootnoteReference"/>
        </w:rPr>
        <w:footnoteRef/>
      </w:r>
      <w:r w:rsidRPr="004A5FD9">
        <w:rPr>
          <w:lang w:val="es-ES"/>
        </w:rPr>
        <w:t xml:space="preserve"> </w:t>
      </w:r>
      <w:r w:rsidRPr="004A5FD9">
        <w:rPr>
          <w:i/>
          <w:lang w:val="es-ES"/>
        </w:rPr>
        <w:t xml:space="preserve">Id. </w:t>
      </w:r>
      <w:r w:rsidRPr="004A5FD9">
        <w:rPr>
          <w:lang w:val="es-ES"/>
        </w:rPr>
        <w:t>§ 2.803(e) (2012).</w:t>
      </w:r>
    </w:p>
  </w:footnote>
  <w:footnote w:id="6">
    <w:p w14:paraId="05D1BCA9" w14:textId="77777777" w:rsidR="00412F12" w:rsidRDefault="00412F12" w:rsidP="003A16C0">
      <w:pPr>
        <w:pStyle w:val="FootnoteText"/>
      </w:pPr>
      <w:r>
        <w:rPr>
          <w:rStyle w:val="FootnoteReference"/>
        </w:rPr>
        <w:footnoteRef/>
      </w:r>
      <w:r>
        <w:t xml:space="preserve"> </w:t>
      </w:r>
      <w:r>
        <w:rPr>
          <w:i/>
        </w:rPr>
        <w:t xml:space="preserve">Id. </w:t>
      </w:r>
      <w:r>
        <w:t>§ 2.1204 (2012).</w:t>
      </w:r>
    </w:p>
  </w:footnote>
  <w:footnote w:id="7">
    <w:p w14:paraId="5A3F587D" w14:textId="77777777" w:rsidR="00412F12" w:rsidRDefault="00412F12" w:rsidP="003A16C0">
      <w:pPr>
        <w:pStyle w:val="FootnoteText"/>
      </w:pPr>
      <w:r w:rsidRPr="00C534BF">
        <w:rPr>
          <w:rStyle w:val="FootnoteReference"/>
        </w:rPr>
        <w:footnoteRef/>
      </w:r>
      <w:r w:rsidRPr="00C534BF">
        <w:t xml:space="preserve"> 47 U.S.C. §§ 154(i)</w:t>
      </w:r>
      <w:r>
        <w:t>, 154(j), 503(b)</w:t>
      </w:r>
      <w:r w:rsidRPr="00C534BF">
        <w:t>.</w:t>
      </w:r>
    </w:p>
  </w:footnote>
  <w:footnote w:id="8">
    <w:p w14:paraId="4B329CFC" w14:textId="77777777" w:rsidR="00412F12" w:rsidRDefault="00412F12" w:rsidP="003A16C0">
      <w:pPr>
        <w:pStyle w:val="FootnoteText"/>
      </w:pPr>
      <w:r w:rsidRPr="00C534BF">
        <w:rPr>
          <w:rStyle w:val="FootnoteReference"/>
          <w:bCs/>
        </w:rPr>
        <w:footnoteRef/>
      </w:r>
      <w:r w:rsidRPr="00C534BF">
        <w:t xml:space="preserve"> 47 C.F.R. §§ 0.111, 0.311.</w:t>
      </w:r>
    </w:p>
  </w:footnote>
  <w:footnote w:id="9">
    <w:p w14:paraId="6FBD46C3" w14:textId="77777777" w:rsidR="00412F12" w:rsidRDefault="00412F12">
      <w:pPr>
        <w:pStyle w:val="FootnoteText"/>
      </w:pPr>
      <w:r w:rsidRPr="00C0622F">
        <w:rPr>
          <w:rStyle w:val="FootnoteReference"/>
          <w:sz w:val="20"/>
          <w:szCs w:val="20"/>
        </w:rPr>
        <w:footnoteRef/>
      </w:r>
      <w:r w:rsidRPr="00C0622F">
        <w:rPr>
          <w:szCs w:val="20"/>
        </w:rPr>
        <w:t xml:space="preserve"> The investigation initiated under File No.</w:t>
      </w:r>
      <w:r w:rsidRPr="005463AA">
        <w:rPr>
          <w:spacing w:val="-2"/>
          <w:szCs w:val="20"/>
        </w:rPr>
        <w:t xml:space="preserve"> </w:t>
      </w:r>
      <w:r w:rsidRPr="00C0622F">
        <w:rPr>
          <w:szCs w:val="20"/>
        </w:rPr>
        <w:t>EB-SED-13-00006784 was subsequently assigned File No. EB-SED-13-00007036.  Any future correspondence with the FCC concerning this matter should reflect the new case number.</w:t>
      </w:r>
    </w:p>
  </w:footnote>
  <w:footnote w:id="10">
    <w:p w14:paraId="75B97B0B" w14:textId="77777777" w:rsidR="00412F12" w:rsidRDefault="00412F12" w:rsidP="00F6243B">
      <w:pPr>
        <w:pStyle w:val="FootnoteText"/>
      </w:pPr>
      <w:r w:rsidRPr="00C0622F">
        <w:rPr>
          <w:rStyle w:val="FootnoteReference"/>
          <w:sz w:val="20"/>
          <w:szCs w:val="20"/>
        </w:rPr>
        <w:footnoteRef/>
      </w:r>
      <w:r w:rsidRPr="00C0622F">
        <w:rPr>
          <w:szCs w:val="20"/>
          <w:lang w:val="es-ES"/>
        </w:rPr>
        <w:t xml:space="preserve"> 47 U.S.C. § 302a(b).</w:t>
      </w:r>
    </w:p>
  </w:footnote>
  <w:footnote w:id="11">
    <w:p w14:paraId="67B256B2" w14:textId="77777777" w:rsidR="00412F12" w:rsidRDefault="00412F12" w:rsidP="00F6243B">
      <w:pPr>
        <w:pStyle w:val="FootnoteText"/>
      </w:pPr>
      <w:r w:rsidRPr="00C0622F">
        <w:rPr>
          <w:rStyle w:val="FootnoteReference"/>
          <w:sz w:val="20"/>
          <w:szCs w:val="20"/>
        </w:rPr>
        <w:footnoteRef/>
      </w:r>
      <w:r w:rsidRPr="00C0622F">
        <w:rPr>
          <w:szCs w:val="20"/>
          <w:lang w:val="es-ES"/>
        </w:rPr>
        <w:t xml:space="preserve"> 47 C.F.R. § 2.803(c) (2012).</w:t>
      </w:r>
    </w:p>
  </w:footnote>
  <w:footnote w:id="12">
    <w:p w14:paraId="3FB4D4B0" w14:textId="77777777" w:rsidR="00412F12" w:rsidRDefault="00412F12" w:rsidP="00E616B0">
      <w:pPr>
        <w:pStyle w:val="FootnoteText"/>
      </w:pPr>
      <w:r w:rsidRPr="00C0622F">
        <w:rPr>
          <w:rStyle w:val="FootnoteReference"/>
          <w:sz w:val="20"/>
          <w:szCs w:val="20"/>
        </w:rPr>
        <w:footnoteRef/>
      </w:r>
      <w:r w:rsidRPr="00C0622F">
        <w:rPr>
          <w:szCs w:val="20"/>
          <w:lang w:val="es-ES"/>
        </w:rPr>
        <w:t xml:space="preserve"> </w:t>
      </w:r>
      <w:r w:rsidRPr="00C0622F">
        <w:rPr>
          <w:i/>
          <w:szCs w:val="20"/>
          <w:lang w:val="es-ES"/>
        </w:rPr>
        <w:t xml:space="preserve">Id. </w:t>
      </w:r>
      <w:r w:rsidRPr="00C0622F">
        <w:rPr>
          <w:szCs w:val="20"/>
          <w:lang w:val="es-ES"/>
        </w:rPr>
        <w:t>§ 2.803(e) (2012).</w:t>
      </w:r>
    </w:p>
  </w:footnote>
  <w:footnote w:id="13">
    <w:p w14:paraId="17503E9B" w14:textId="77777777" w:rsidR="00412F12" w:rsidRDefault="00412F12" w:rsidP="00E616B0">
      <w:pPr>
        <w:pStyle w:val="FootnoteText"/>
      </w:pPr>
      <w:r w:rsidRPr="00C0622F">
        <w:rPr>
          <w:rStyle w:val="FootnoteReference"/>
          <w:sz w:val="20"/>
          <w:szCs w:val="20"/>
        </w:rPr>
        <w:footnoteRef/>
      </w:r>
      <w:r w:rsidRPr="00C0622F">
        <w:rPr>
          <w:szCs w:val="20"/>
        </w:rPr>
        <w:t xml:space="preserve"> </w:t>
      </w:r>
      <w:r w:rsidRPr="00C0622F">
        <w:rPr>
          <w:i/>
          <w:szCs w:val="20"/>
        </w:rPr>
        <w:t xml:space="preserve">Id. </w:t>
      </w:r>
      <w:r w:rsidRPr="00C0622F">
        <w:rPr>
          <w:szCs w:val="20"/>
        </w:rPr>
        <w:t>§ 2.1204 (2012).</w:t>
      </w:r>
    </w:p>
  </w:footnote>
  <w:footnote w:id="14">
    <w:p w14:paraId="7C7E6B8A" w14:textId="77777777" w:rsidR="00412F12" w:rsidRDefault="00412F12">
      <w:pPr>
        <w:pStyle w:val="FootnoteText"/>
      </w:pPr>
      <w:r w:rsidRPr="00C0622F">
        <w:rPr>
          <w:rStyle w:val="FootnoteReference"/>
          <w:sz w:val="20"/>
          <w:szCs w:val="20"/>
        </w:rPr>
        <w:footnoteRef/>
      </w:r>
      <w:r w:rsidRPr="00C0622F">
        <w:rPr>
          <w:szCs w:val="20"/>
        </w:rPr>
        <w:t xml:space="preserve"> For purposes of this Consent Decree, when used in connection with the importation of radiofrequency devices prior to equipment authorization, the phrase “</w:t>
      </w:r>
      <w:smartTag w:uri="urn:schemas-microsoft-com:office:smarttags" w:element="country-region">
        <w:r w:rsidRPr="00C0622F">
          <w:rPr>
            <w:szCs w:val="20"/>
          </w:rPr>
          <w:t>United States</w:t>
        </w:r>
      </w:smartTag>
      <w:r w:rsidRPr="00C0622F">
        <w:rPr>
          <w:szCs w:val="20"/>
        </w:rPr>
        <w:t xml:space="preserve"> and its territories” shall be limited to the Customs territory of the </w:t>
      </w:r>
      <w:smartTag w:uri="urn:schemas-microsoft-com:office:smarttags" w:element="country-region">
        <w:smartTag w:uri="urn:schemas-microsoft-com:office:smarttags" w:element="place">
          <w:r w:rsidRPr="00C0622F">
            <w:rPr>
              <w:szCs w:val="20"/>
            </w:rPr>
            <w:t>United States</w:t>
          </w:r>
        </w:smartTag>
      </w:smartTag>
      <w:r w:rsidRPr="00C0622F">
        <w:rPr>
          <w:szCs w:val="20"/>
        </w:rPr>
        <w:t xml:space="preserve">.  </w:t>
      </w:r>
      <w:r w:rsidRPr="00C0622F">
        <w:rPr>
          <w:i/>
          <w:iCs/>
          <w:szCs w:val="20"/>
        </w:rPr>
        <w:t xml:space="preserve">See </w:t>
      </w:r>
      <w:r w:rsidRPr="00C0622F">
        <w:rPr>
          <w:szCs w:val="20"/>
        </w:rPr>
        <w:t xml:space="preserve">47 C.F.R. § 2.1203(a).  The Customs territory of the </w:t>
      </w:r>
      <w:smartTag w:uri="urn:schemas-microsoft-com:office:smarttags" w:element="country-region">
        <w:r w:rsidRPr="00C0622F">
          <w:rPr>
            <w:szCs w:val="20"/>
          </w:rPr>
          <w:t>United States</w:t>
        </w:r>
      </w:smartTag>
      <w:r w:rsidRPr="00C0622F">
        <w:rPr>
          <w:szCs w:val="20"/>
        </w:rPr>
        <w:t xml:space="preserve"> constitutes “only the States, the </w:t>
      </w:r>
      <w:smartTag w:uri="urn:schemas-microsoft-com:office:smarttags" w:element="State">
        <w:r w:rsidRPr="00C0622F">
          <w:rPr>
            <w:szCs w:val="20"/>
          </w:rPr>
          <w:t>District of Columbia</w:t>
        </w:r>
      </w:smartTag>
      <w:r w:rsidRPr="00C0622F">
        <w:rPr>
          <w:szCs w:val="20"/>
        </w:rPr>
        <w:t xml:space="preserve">, and </w:t>
      </w:r>
      <w:smartTag w:uri="urn:schemas-microsoft-com:office:smarttags" w:element="place">
        <w:r w:rsidRPr="00C0622F">
          <w:rPr>
            <w:szCs w:val="20"/>
          </w:rPr>
          <w:t>Puerto Rico</w:t>
        </w:r>
      </w:smartTag>
      <w:r w:rsidRPr="00C0622F">
        <w:rPr>
          <w:szCs w:val="20"/>
        </w:rPr>
        <w:t>.”  19 C.F.R. § 101.1.</w:t>
      </w:r>
    </w:p>
  </w:footnote>
  <w:footnote w:id="15">
    <w:p w14:paraId="18F085EC" w14:textId="77777777" w:rsidR="00412F12" w:rsidRDefault="00412F12" w:rsidP="00E616B0">
      <w:pPr>
        <w:pStyle w:val="FootnoteText"/>
      </w:pPr>
      <w:r w:rsidRPr="00C0622F">
        <w:rPr>
          <w:rStyle w:val="FootnoteReference"/>
          <w:sz w:val="20"/>
          <w:szCs w:val="20"/>
        </w:rPr>
        <w:footnoteRef/>
      </w:r>
      <w:r w:rsidRPr="00C0622F">
        <w:rPr>
          <w:szCs w:val="20"/>
        </w:rPr>
        <w:t xml:space="preserve"> 47 U.S.C. § 302a(b).</w:t>
      </w:r>
    </w:p>
  </w:footnote>
  <w:footnote w:id="16">
    <w:p w14:paraId="5E4E5AB7" w14:textId="77777777" w:rsidR="00412F12" w:rsidRDefault="00412F12">
      <w:pPr>
        <w:pStyle w:val="FootnoteText"/>
      </w:pPr>
      <w:r w:rsidRPr="00C0622F">
        <w:rPr>
          <w:rStyle w:val="FootnoteReference"/>
          <w:sz w:val="20"/>
          <w:szCs w:val="20"/>
        </w:rPr>
        <w:footnoteRef/>
      </w:r>
      <w:r w:rsidRPr="00C0622F">
        <w:rPr>
          <w:szCs w:val="20"/>
        </w:rPr>
        <w:t xml:space="preserve"> 47 C.F.R. §§ 2.803, 2.805, 2.1203, 2.1204, 2.1205.</w:t>
      </w:r>
    </w:p>
  </w:footnote>
  <w:footnote w:id="17">
    <w:p w14:paraId="7EFB1038" w14:textId="77777777" w:rsidR="00412F12" w:rsidRDefault="00412F12" w:rsidP="000F21A1">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sidRPr="00C0622F">
        <w:rPr>
          <w:szCs w:val="20"/>
        </w:rPr>
        <w:t>47 U.S.C. § 302a(b).</w:t>
      </w:r>
    </w:p>
  </w:footnote>
  <w:footnote w:id="18">
    <w:p w14:paraId="00AA2A36"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sidRPr="00C0622F">
        <w:rPr>
          <w:szCs w:val="20"/>
        </w:rPr>
        <w:t>47 C.F.R. § 2.803.</w:t>
      </w:r>
    </w:p>
  </w:footnote>
  <w:footnote w:id="19">
    <w:p w14:paraId="1B220275" w14:textId="77777777" w:rsidR="00412F12" w:rsidRDefault="00412F12" w:rsidP="00E616B0">
      <w:pPr>
        <w:pStyle w:val="FootnoteText"/>
      </w:pPr>
      <w:r w:rsidRPr="00C0622F">
        <w:rPr>
          <w:rStyle w:val="FootnoteReference"/>
          <w:sz w:val="20"/>
          <w:szCs w:val="20"/>
        </w:rPr>
        <w:footnoteRef/>
      </w:r>
      <w:bookmarkStart w:id="3" w:name="SR;11503"/>
      <w:bookmarkEnd w:id="3"/>
      <w:r w:rsidRPr="00C0622F">
        <w:rPr>
          <w:color w:val="000000"/>
          <w:szCs w:val="20"/>
        </w:rPr>
        <w:t xml:space="preserve"> </w:t>
      </w:r>
      <w:r w:rsidRPr="00C0622F">
        <w:rPr>
          <w:i/>
          <w:color w:val="000000"/>
          <w:szCs w:val="20"/>
        </w:rPr>
        <w:t xml:space="preserve">See id. </w:t>
      </w:r>
      <w:r w:rsidRPr="005463AA">
        <w:rPr>
          <w:szCs w:val="20"/>
        </w:rPr>
        <w:t xml:space="preserve">§§ 2.902, 2.906, 2.907. </w:t>
      </w:r>
    </w:p>
  </w:footnote>
  <w:footnote w:id="20">
    <w:p w14:paraId="02C4F5C3" w14:textId="77777777" w:rsidR="00412F12" w:rsidRDefault="00412F12" w:rsidP="000F21A1">
      <w:pPr>
        <w:pStyle w:val="FootnoteText"/>
      </w:pPr>
      <w:r w:rsidRPr="00C0622F">
        <w:rPr>
          <w:rStyle w:val="FootnoteReference"/>
          <w:sz w:val="20"/>
          <w:szCs w:val="20"/>
        </w:rPr>
        <w:footnoteRef/>
      </w:r>
      <w:r w:rsidRPr="005463AA">
        <w:rPr>
          <w:szCs w:val="20"/>
        </w:rPr>
        <w:t xml:space="preserve"> </w:t>
      </w:r>
      <w:r w:rsidRPr="005463AA">
        <w:rPr>
          <w:i/>
          <w:szCs w:val="20"/>
        </w:rPr>
        <w:t xml:space="preserve">Id. </w:t>
      </w:r>
      <w:r w:rsidRPr="005463AA">
        <w:rPr>
          <w:szCs w:val="20"/>
        </w:rPr>
        <w:t>§ 2.803(a).</w:t>
      </w:r>
    </w:p>
  </w:footnote>
  <w:footnote w:id="21">
    <w:p w14:paraId="5914DBBE" w14:textId="77777777" w:rsidR="00412F12" w:rsidRDefault="00412F12" w:rsidP="006A1EEB">
      <w:pPr>
        <w:spacing w:after="120"/>
      </w:pPr>
      <w:r>
        <w:rPr>
          <w:rStyle w:val="FootnoteReference"/>
          <w:sz w:val="20"/>
        </w:rPr>
        <w:footnoteRef/>
      </w:r>
      <w:r w:rsidRPr="005463AA">
        <w:rPr>
          <w:sz w:val="20"/>
          <w:szCs w:val="20"/>
        </w:rPr>
        <w:t xml:space="preserve"> </w:t>
      </w:r>
      <w:r w:rsidRPr="005463AA">
        <w:rPr>
          <w:i/>
          <w:sz w:val="20"/>
          <w:szCs w:val="20"/>
        </w:rPr>
        <w:t xml:space="preserve">See id. </w:t>
      </w:r>
      <w:r w:rsidRPr="005463AA">
        <w:rPr>
          <w:sz w:val="20"/>
          <w:szCs w:val="20"/>
        </w:rPr>
        <w:t>§ 2.803(e)(1)(iv) (2012)</w:t>
      </w:r>
      <w:r w:rsidRPr="00C0622F">
        <w:rPr>
          <w:sz w:val="20"/>
          <w:szCs w:val="20"/>
        </w:rPr>
        <w:t>.</w:t>
      </w:r>
      <w:r w:rsidRPr="005463AA">
        <w:rPr>
          <w:sz w:val="20"/>
          <w:szCs w:val="20"/>
        </w:rPr>
        <w:t xml:space="preserve">  Pursuant to former Section 2.803(e)(1)(v)(2) of the Rules, for purposes of former Section 2.803(e)(1)(iv), the term “manufacturer</w:t>
      </w:r>
      <w:r w:rsidRPr="00D54FF3">
        <w:rPr>
          <w:sz w:val="20"/>
          <w:szCs w:val="20"/>
        </w:rPr>
        <w:t>’</w:t>
      </w:r>
      <w:r w:rsidRPr="005463AA">
        <w:rPr>
          <w:sz w:val="20"/>
          <w:szCs w:val="20"/>
        </w:rPr>
        <w:t>s facilities” included not only the facilities of the party responsible for compliance with the regulations and the manufacturer</w:t>
      </w:r>
      <w:r w:rsidRPr="00D54FF3">
        <w:rPr>
          <w:sz w:val="20"/>
          <w:szCs w:val="20"/>
        </w:rPr>
        <w:t>’</w:t>
      </w:r>
      <w:r w:rsidRPr="005463AA">
        <w:rPr>
          <w:sz w:val="20"/>
          <w:szCs w:val="20"/>
        </w:rPr>
        <w:t>s premises, but also the facilities of “other entities working under the authorization of the respons</w:t>
      </w:r>
      <w:r w:rsidRPr="00C0622F">
        <w:rPr>
          <w:sz w:val="20"/>
          <w:szCs w:val="20"/>
        </w:rPr>
        <w:t>i</w:t>
      </w:r>
      <w:r w:rsidRPr="005463AA">
        <w:rPr>
          <w:sz w:val="20"/>
          <w:szCs w:val="20"/>
        </w:rPr>
        <w:t xml:space="preserve">ble party in connection with the development and manufacture, but not the marketing, of the equipment.”  </w:t>
      </w:r>
      <w:r w:rsidRPr="005463AA">
        <w:rPr>
          <w:i/>
          <w:sz w:val="20"/>
          <w:szCs w:val="20"/>
        </w:rPr>
        <w:t xml:space="preserve">See id. </w:t>
      </w:r>
      <w:r w:rsidRPr="005463AA">
        <w:rPr>
          <w:sz w:val="20"/>
          <w:szCs w:val="20"/>
        </w:rPr>
        <w:t xml:space="preserve">§ 2.803(e)(1)(v)(2) (2012). </w:t>
      </w:r>
      <w:r w:rsidRPr="005463AA">
        <w:rPr>
          <w:color w:val="000000"/>
          <w:sz w:val="20"/>
          <w:szCs w:val="20"/>
        </w:rPr>
        <w:t xml:space="preserve">    </w:t>
      </w:r>
    </w:p>
  </w:footnote>
  <w:footnote w:id="22">
    <w:p w14:paraId="103EFC6E" w14:textId="77777777" w:rsidR="00412F12" w:rsidRDefault="00412F12" w:rsidP="00F6243B">
      <w:pPr>
        <w:pStyle w:val="FootnoteText"/>
      </w:pPr>
      <w:r w:rsidRPr="00C0622F">
        <w:rPr>
          <w:rStyle w:val="FootnoteReference"/>
          <w:sz w:val="20"/>
          <w:szCs w:val="20"/>
        </w:rPr>
        <w:footnoteRef/>
      </w:r>
      <w:r w:rsidRPr="005463AA">
        <w:rPr>
          <w:szCs w:val="20"/>
        </w:rPr>
        <w:t xml:space="preserve"> </w:t>
      </w:r>
      <w:r w:rsidRPr="005463AA">
        <w:rPr>
          <w:i/>
          <w:szCs w:val="20"/>
        </w:rPr>
        <w:t>Id.</w:t>
      </w:r>
      <w:r w:rsidRPr="005463AA">
        <w:rPr>
          <w:szCs w:val="20"/>
        </w:rPr>
        <w:t xml:space="preserve"> § 2.803(e)(3)(ii) (2012).  </w:t>
      </w:r>
      <w:r w:rsidRPr="00C0622F">
        <w:rPr>
          <w:szCs w:val="20"/>
        </w:rPr>
        <w:t xml:space="preserve">On January 31, 2013, the Commission adopted significant changes to its Part 5 Experimental Radio Service Rules to create a more flexible framework to support the rapid pace of technological innovation, and modified, clarified, and eliminated other rules to reduce administrative burdens on experimenters and to promote greater experimentation.  </w:t>
      </w:r>
      <w:r w:rsidRPr="00C0622F">
        <w:rPr>
          <w:i/>
          <w:szCs w:val="20"/>
        </w:rPr>
        <w:t>See</w:t>
      </w:r>
      <w:r w:rsidRPr="00C0622F">
        <w:rPr>
          <w:szCs w:val="20"/>
        </w:rPr>
        <w:t xml:space="preserve"> </w:t>
      </w:r>
      <w:r w:rsidRPr="00C0622F">
        <w:rPr>
          <w:i/>
          <w:szCs w:val="20"/>
        </w:rPr>
        <w:t>Promoting Expanded Opportunities for Radio Experimentation and Market Trials Under Part 5 of the Commission’s Rules and Streamlining Other Related Rules 2006 Biennial Review of Telecommunications Regulations – Part 2 Administered by the Office of Engineering and Technology</w:t>
      </w:r>
      <w:r w:rsidRPr="00C0622F">
        <w:rPr>
          <w:szCs w:val="20"/>
        </w:rPr>
        <w:t>, Report and Order, 28 FCC Rcd 758 (2013) (</w:t>
      </w:r>
      <w:r w:rsidRPr="00C0622F">
        <w:rPr>
          <w:i/>
          <w:szCs w:val="20"/>
        </w:rPr>
        <w:t>Streamlining Order</w:t>
      </w:r>
      <w:r w:rsidRPr="00C0622F">
        <w:rPr>
          <w:szCs w:val="20"/>
        </w:rPr>
        <w:t xml:space="preserve">).  In particular, the Commission adopted new Section 2.805 of the Rules to more clearly articulate Commission policies with respect to when radio frequency devices may be operated, but not marketed, prior to equipment authorization.  </w:t>
      </w:r>
      <w:r w:rsidRPr="00C0622F">
        <w:rPr>
          <w:i/>
          <w:szCs w:val="20"/>
        </w:rPr>
        <w:t>See</w:t>
      </w:r>
      <w:r w:rsidRPr="00C0622F">
        <w:rPr>
          <w:szCs w:val="20"/>
        </w:rPr>
        <w:t xml:space="preserve"> 47 C.F.R. § 2.805 (eff. May 29, 2013).</w:t>
      </w:r>
    </w:p>
  </w:footnote>
  <w:footnote w:id="23">
    <w:p w14:paraId="5B66C613" w14:textId="77777777" w:rsidR="00412F12" w:rsidRDefault="00412F12" w:rsidP="00E616B0">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sidRPr="00C0622F">
        <w:rPr>
          <w:szCs w:val="20"/>
        </w:rPr>
        <w:t>47 C.F.R. §§ 2.1203, 2.1204, 2.1205.</w:t>
      </w:r>
    </w:p>
  </w:footnote>
  <w:footnote w:id="24">
    <w:p w14:paraId="10C9B700" w14:textId="77777777" w:rsidR="00412F12" w:rsidRDefault="00412F12" w:rsidP="000F21A1">
      <w:pPr>
        <w:pStyle w:val="FootnoteText"/>
      </w:pPr>
      <w:r w:rsidRPr="00C0622F">
        <w:rPr>
          <w:rStyle w:val="FootnoteReference"/>
          <w:sz w:val="20"/>
          <w:szCs w:val="20"/>
        </w:rPr>
        <w:footnoteRef/>
      </w:r>
      <w:r w:rsidRPr="00C0622F">
        <w:rPr>
          <w:szCs w:val="20"/>
        </w:rPr>
        <w:t xml:space="preserve"> </w:t>
      </w:r>
      <w:r w:rsidRPr="00C0622F">
        <w:rPr>
          <w:i/>
          <w:szCs w:val="20"/>
        </w:rPr>
        <w:t>See id</w:t>
      </w:r>
      <w:r w:rsidRPr="00C0622F">
        <w:rPr>
          <w:szCs w:val="20"/>
        </w:rPr>
        <w:t>. §2.1204.</w:t>
      </w:r>
    </w:p>
  </w:footnote>
  <w:footnote w:id="25">
    <w:p w14:paraId="257E244A"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i/>
          <w:szCs w:val="20"/>
        </w:rPr>
        <w:t xml:space="preserve">See id. </w:t>
      </w:r>
      <w:r w:rsidRPr="00C0622F">
        <w:rPr>
          <w:szCs w:val="20"/>
        </w:rPr>
        <w:t xml:space="preserve">§ 2.1204(a)(3).  In the </w:t>
      </w:r>
      <w:r w:rsidRPr="00C0622F">
        <w:rPr>
          <w:i/>
          <w:szCs w:val="20"/>
        </w:rPr>
        <w:t>Streamlining Order</w:t>
      </w:r>
      <w:r w:rsidRPr="00C0622F">
        <w:rPr>
          <w:szCs w:val="20"/>
        </w:rPr>
        <w:t xml:space="preserve">, the Commission concluded that its previous limits on the importation of devices that have not yet been authorized were no longer adequate to meet industry’s needs, and amended Section 2.1204(a)(3) of the Rules to increase the number of radio frequency device units that can be imported for testing and evaluation to determine compliance with FCC Rules, product development, or suitability for marketing.  28 FCC Rcd </w:t>
      </w:r>
      <w:r>
        <w:rPr>
          <w:szCs w:val="20"/>
        </w:rPr>
        <w:t xml:space="preserve">at </w:t>
      </w:r>
      <w:r w:rsidRPr="00C0622F">
        <w:rPr>
          <w:szCs w:val="20"/>
        </w:rPr>
        <w:t>811</w:t>
      </w:r>
      <w:r>
        <w:rPr>
          <w:szCs w:val="20"/>
        </w:rPr>
        <w:t>–</w:t>
      </w:r>
      <w:r w:rsidRPr="00C0622F">
        <w:rPr>
          <w:szCs w:val="20"/>
        </w:rPr>
        <w:t xml:space="preserve">12, paras. 145–146.    </w:t>
      </w:r>
    </w:p>
  </w:footnote>
  <w:footnote w:id="26">
    <w:p w14:paraId="7342E194" w14:textId="77777777" w:rsidR="00412F12" w:rsidRDefault="00412F12" w:rsidP="00E616B0">
      <w:pPr>
        <w:pStyle w:val="FootnoteText"/>
      </w:pPr>
      <w:r w:rsidRPr="00C0622F">
        <w:rPr>
          <w:rStyle w:val="FootnoteReference"/>
          <w:sz w:val="20"/>
          <w:szCs w:val="20"/>
        </w:rPr>
        <w:footnoteRef/>
      </w:r>
      <w:r w:rsidRPr="00C0622F">
        <w:rPr>
          <w:szCs w:val="20"/>
        </w:rPr>
        <w:t xml:space="preserve"> 47 C.F.R. § 2.1204(a)(3)(i).</w:t>
      </w:r>
    </w:p>
  </w:footnote>
  <w:footnote w:id="27">
    <w:p w14:paraId="67D4DB88" w14:textId="77777777" w:rsidR="00412F12" w:rsidRDefault="00412F12" w:rsidP="00E616B0">
      <w:pPr>
        <w:pStyle w:val="FootnoteText"/>
      </w:pPr>
      <w:r w:rsidRPr="00C0622F">
        <w:rPr>
          <w:rStyle w:val="FootnoteReference"/>
          <w:sz w:val="20"/>
          <w:szCs w:val="20"/>
        </w:rPr>
        <w:footnoteRef/>
      </w:r>
      <w:r w:rsidRPr="00C0622F">
        <w:rPr>
          <w:szCs w:val="20"/>
        </w:rPr>
        <w:t xml:space="preserve"> </w:t>
      </w:r>
      <w:r w:rsidRPr="00C0622F">
        <w:rPr>
          <w:i/>
          <w:szCs w:val="20"/>
        </w:rPr>
        <w:t>Id</w:t>
      </w:r>
      <w:r w:rsidRPr="00C0622F">
        <w:rPr>
          <w:szCs w:val="20"/>
        </w:rPr>
        <w:t>. § 2.803(c)(2)(iii)(A) (formerly § 2.803(c) (2012)).</w:t>
      </w:r>
    </w:p>
  </w:footnote>
  <w:footnote w:id="28">
    <w:p w14:paraId="6BF6D87B" w14:textId="77777777" w:rsidR="00412F12" w:rsidRDefault="00412F12" w:rsidP="00E616B0">
      <w:pPr>
        <w:pStyle w:val="FootnoteText"/>
      </w:pPr>
      <w:r w:rsidRPr="00C0622F">
        <w:rPr>
          <w:rStyle w:val="FootnoteReference"/>
          <w:sz w:val="20"/>
          <w:szCs w:val="20"/>
        </w:rPr>
        <w:footnoteRef/>
      </w:r>
      <w:r w:rsidRPr="00C0622F">
        <w:rPr>
          <w:szCs w:val="20"/>
        </w:rPr>
        <w:t xml:space="preserve"> </w:t>
      </w:r>
      <w:r w:rsidRPr="00C0622F">
        <w:rPr>
          <w:i/>
          <w:szCs w:val="20"/>
        </w:rPr>
        <w:t>See</w:t>
      </w:r>
      <w:r w:rsidRPr="00C0622F">
        <w:rPr>
          <w:szCs w:val="20"/>
        </w:rPr>
        <w:t xml:space="preserve"> Letter from David H. Solomon, Esq., Wilkinson Barker Knauer, LLP, Counsel to Intel Corporation, to John D. Poutasse, Chief, Spectrum Enforcement Division, FCC Enforcement Bureau (Dec. 19, 2012) (on file in EB-13-0006784) (December Letter).</w:t>
      </w:r>
    </w:p>
  </w:footnote>
  <w:footnote w:id="29">
    <w:p w14:paraId="77DBCBFC" w14:textId="77777777" w:rsidR="00412F12" w:rsidRDefault="00412F12" w:rsidP="00E616B0">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sidRPr="00C0622F">
        <w:rPr>
          <w:szCs w:val="20"/>
        </w:rPr>
        <w:t>E-mail from Josh Zeldis, Attorney Advisor, Spectrum Enforcement Division, FCC Enforcement Bureau, to David H. Solomon, Esq., Wilkinson Barker Knauer, LLP, Counsel to Intel Corporation (Mar. 19, 2013, 14:17 EDT) (on file in EB-13-0006784).</w:t>
      </w:r>
    </w:p>
  </w:footnote>
  <w:footnote w:id="30">
    <w:p w14:paraId="462D7291"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i/>
          <w:szCs w:val="20"/>
        </w:rPr>
        <w:t>See</w:t>
      </w:r>
      <w:r w:rsidRPr="00C0622F">
        <w:rPr>
          <w:szCs w:val="20"/>
        </w:rPr>
        <w:t xml:space="preserve"> Letter from David H. Solomon, Esq., Wilkinson Barker Knauer, LLP, Counsel to Intel Corporation, to Josh Zeldis, Attorney Advisor, Spectrum Enforcement Division, FCC Enforcement Bureau (Apr. 18, 2013) (on file in EB-13-0006784) (Response).</w:t>
      </w:r>
    </w:p>
  </w:footnote>
  <w:footnote w:id="31">
    <w:p w14:paraId="5890ED6E"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Pr>
          <w:i/>
          <w:szCs w:val="20"/>
        </w:rPr>
        <w:t xml:space="preserve">id. </w:t>
      </w:r>
      <w:r w:rsidRPr="00C0622F">
        <w:rPr>
          <w:szCs w:val="20"/>
        </w:rPr>
        <w:t>at 1-6.</w:t>
      </w:r>
    </w:p>
  </w:footnote>
  <w:footnote w:id="32">
    <w:p w14:paraId="4AF17D1C" w14:textId="77777777" w:rsidR="00412F12" w:rsidRDefault="00412F12" w:rsidP="00907AD3">
      <w:pPr>
        <w:pStyle w:val="FootnoteText"/>
      </w:pPr>
      <w:r w:rsidRPr="00C0622F">
        <w:rPr>
          <w:rStyle w:val="FootnoteReference"/>
          <w:sz w:val="20"/>
          <w:szCs w:val="20"/>
        </w:rPr>
        <w:footnoteRef/>
      </w:r>
      <w:r w:rsidRPr="00C0622F">
        <w:rPr>
          <w:szCs w:val="20"/>
        </w:rPr>
        <w:t xml:space="preserve"> </w:t>
      </w:r>
      <w:r w:rsidRPr="005463AA">
        <w:rPr>
          <w:i/>
          <w:szCs w:val="20"/>
        </w:rPr>
        <w:t>See</w:t>
      </w:r>
      <w:r w:rsidRPr="00C0622F">
        <w:rPr>
          <w:szCs w:val="20"/>
        </w:rPr>
        <w:t xml:space="preserve"> December Letter at 2.</w:t>
      </w:r>
    </w:p>
  </w:footnote>
  <w:footnote w:id="33">
    <w:p w14:paraId="2D598772" w14:textId="77777777" w:rsidR="00412F12" w:rsidRDefault="00412F12">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sidRPr="00C0622F">
        <w:rPr>
          <w:szCs w:val="20"/>
        </w:rPr>
        <w:t>Response at 1-2.</w:t>
      </w:r>
    </w:p>
  </w:footnote>
  <w:footnote w:id="34">
    <w:p w14:paraId="5EADE5F2"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i/>
          <w:szCs w:val="20"/>
        </w:rPr>
        <w:t xml:space="preserve">See </w:t>
      </w:r>
      <w:r w:rsidRPr="00C0622F">
        <w:rPr>
          <w:szCs w:val="20"/>
        </w:rPr>
        <w:t>47 C.F.R. § 2.805(e).</w:t>
      </w:r>
    </w:p>
  </w:footnote>
  <w:footnote w:id="35">
    <w:p w14:paraId="505B6455"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i/>
          <w:szCs w:val="20"/>
        </w:rPr>
        <w:t xml:space="preserve">See id. </w:t>
      </w:r>
      <w:r w:rsidRPr="00C0622F">
        <w:rPr>
          <w:szCs w:val="20"/>
        </w:rPr>
        <w:t>§ 2.803(c).</w:t>
      </w:r>
    </w:p>
  </w:footnote>
  <w:footnote w:id="36">
    <w:p w14:paraId="5D24EE8A" w14:textId="77777777" w:rsidR="00412F12" w:rsidRDefault="00412F12" w:rsidP="000F21A1">
      <w:pPr>
        <w:pStyle w:val="FootnoteText"/>
      </w:pPr>
      <w:r w:rsidRPr="00C0622F">
        <w:rPr>
          <w:rStyle w:val="FootnoteReference"/>
          <w:sz w:val="20"/>
          <w:szCs w:val="20"/>
        </w:rPr>
        <w:footnoteRef/>
      </w:r>
      <w:r w:rsidRPr="00C0622F">
        <w:rPr>
          <w:szCs w:val="20"/>
        </w:rPr>
        <w:t xml:space="preserve"> </w:t>
      </w:r>
      <w:r w:rsidRPr="00C0622F">
        <w:rPr>
          <w:i/>
          <w:szCs w:val="20"/>
        </w:rPr>
        <w:t xml:space="preserve">See id. </w:t>
      </w:r>
      <w:r w:rsidRPr="00C0622F">
        <w:rPr>
          <w:szCs w:val="20"/>
        </w:rPr>
        <w:t>§§ 2.1203, 2.1204, 2.1205.</w:t>
      </w:r>
    </w:p>
  </w:footnote>
  <w:footnote w:id="37">
    <w:p w14:paraId="6CDFFFEB" w14:textId="77777777" w:rsidR="00412F12" w:rsidRDefault="00412F12" w:rsidP="00F6243B">
      <w:pPr>
        <w:pStyle w:val="FootnoteText"/>
      </w:pPr>
      <w:r w:rsidRPr="00C0622F">
        <w:rPr>
          <w:rStyle w:val="FootnoteReference"/>
          <w:sz w:val="20"/>
          <w:szCs w:val="20"/>
        </w:rPr>
        <w:footnoteRef/>
      </w:r>
      <w:r w:rsidRPr="00C0622F">
        <w:rPr>
          <w:szCs w:val="20"/>
        </w:rPr>
        <w:t xml:space="preserve"> 47 C.F.R. § 1.16.</w:t>
      </w:r>
    </w:p>
  </w:footnote>
  <w:footnote w:id="38">
    <w:p w14:paraId="6869C7C4" w14:textId="77777777" w:rsidR="00412F12" w:rsidRDefault="00412F12" w:rsidP="00F6243B">
      <w:pPr>
        <w:pStyle w:val="FootnoteText"/>
      </w:pPr>
      <w:r w:rsidRPr="00C0622F">
        <w:rPr>
          <w:rStyle w:val="FootnoteReference"/>
          <w:sz w:val="20"/>
          <w:szCs w:val="20"/>
        </w:rPr>
        <w:footnoteRef/>
      </w:r>
      <w:r w:rsidRPr="00C0622F">
        <w:rPr>
          <w:szCs w:val="20"/>
        </w:rPr>
        <w:t xml:space="preserve"> </w:t>
      </w:r>
      <w:r w:rsidRPr="00C0622F">
        <w:rPr>
          <w:rFonts w:eastAsia="MS Mincho"/>
          <w:szCs w:val="20"/>
        </w:rPr>
        <w:t>An FCC Form 159 and detailed instructions for completing the form may be obtained at http://www.fcc.gov/Forms/Form159/159.pdf.</w:t>
      </w:r>
    </w:p>
  </w:footnote>
  <w:footnote w:id="39">
    <w:p w14:paraId="3D218B89" w14:textId="77777777" w:rsidR="00412F12" w:rsidRDefault="00412F12" w:rsidP="00E616B0">
      <w:pPr>
        <w:pStyle w:val="FootnoteText"/>
      </w:pPr>
      <w:r w:rsidRPr="00C0622F">
        <w:rPr>
          <w:rStyle w:val="FootnoteReference"/>
          <w:sz w:val="20"/>
          <w:szCs w:val="20"/>
        </w:rPr>
        <w:footnoteRef/>
      </w:r>
      <w:r w:rsidRPr="00C0622F">
        <w:rPr>
          <w:szCs w:val="20"/>
        </w:rPr>
        <w:t xml:space="preserve"> Equal Access to Justice Act, Pub L. No. 96-481, 94 Stat. 2325 (1980) (codified at 5 U.S.C. § 504); </w:t>
      </w:r>
      <w:r w:rsidRPr="00C0622F">
        <w:rPr>
          <w:i/>
          <w:szCs w:val="20"/>
        </w:rPr>
        <w:t>see also</w:t>
      </w:r>
      <w:r w:rsidRPr="00C0622F">
        <w:rPr>
          <w:szCs w:val="20"/>
        </w:rP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8BE6" w14:textId="77777777" w:rsidR="00130DCD" w:rsidRDefault="00130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BC17" w14:textId="77777777" w:rsidR="00412F12" w:rsidRDefault="00412F12"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14-</w:t>
    </w:r>
    <w:r w:rsidR="00BB2208">
      <w:rPr>
        <w:rFonts w:ascii="Times New Roman" w:hAnsi="Times New Roman"/>
        <w:i w:val="0"/>
        <w:sz w:val="22"/>
        <w:u w:val="single"/>
      </w:rPr>
      <w:t>711</w:t>
    </w:r>
  </w:p>
  <w:p w14:paraId="2A85A994" w14:textId="77777777" w:rsidR="00412F12" w:rsidRDefault="00412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ECF7" w14:textId="77777777" w:rsidR="00412F12" w:rsidRDefault="00412F12" w:rsidP="00B03F40">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DA 14-</w:t>
    </w:r>
    <w:r w:rsidR="00BB2208">
      <w:rPr>
        <w:rFonts w:ascii="Times New Roman" w:hAnsi="Times New Roman"/>
        <w:i w:val="0"/>
        <w:sz w:val="22"/>
        <w:u w:val="single"/>
      </w:rPr>
      <w:t>711</w:t>
    </w:r>
  </w:p>
  <w:p w14:paraId="148EA363" w14:textId="77777777" w:rsidR="00412F12" w:rsidRDefault="0041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0AD"/>
    <w:multiLevelType w:val="hybridMultilevel"/>
    <w:tmpl w:val="EDF0AD14"/>
    <w:lvl w:ilvl="0" w:tplc="30DE3A96">
      <w:start w:val="1"/>
      <w:numFmt w:val="decimal"/>
      <w:pStyle w:val="CitationNALparagraph"/>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BE008750"/>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27E06CBB"/>
    <w:multiLevelType w:val="multilevel"/>
    <w:tmpl w:val="601A501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3D0F1B3D"/>
    <w:multiLevelType w:val="singleLevel"/>
    <w:tmpl w:val="7168465A"/>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9">
    <w:nsid w:val="6B7C5107"/>
    <w:multiLevelType w:val="hybridMultilevel"/>
    <w:tmpl w:val="1CB250D2"/>
    <w:lvl w:ilvl="0" w:tplc="7C60EA16">
      <w:start w:val="1"/>
      <w:numFmt w:val="decimal"/>
      <w:pStyle w:val="ParaNumCitationN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3"/>
  </w:num>
  <w:num w:numId="2">
    <w:abstractNumId w:val="5"/>
  </w:num>
  <w:num w:numId="3">
    <w:abstractNumId w:val="9"/>
  </w:num>
  <w:num w:numId="4">
    <w:abstractNumId w:val="9"/>
  </w:num>
  <w:num w:numId="5">
    <w:abstractNumId w:val="0"/>
  </w:num>
  <w:num w:numId="6">
    <w:abstractNumId w:val="8"/>
  </w:num>
  <w:num w:numId="7">
    <w:abstractNumId w:val="2"/>
  </w:num>
  <w:num w:numId="8">
    <w:abstractNumId w:val="10"/>
  </w:num>
  <w:num w:numId="9">
    <w:abstractNumId w:val="1"/>
  </w:num>
  <w:num w:numId="10">
    <w:abstractNumId w:val="4"/>
  </w:num>
  <w:num w:numId="11">
    <w:abstractNumId w:val="8"/>
  </w:num>
  <w:num w:numId="12">
    <w:abstractNumId w:val="7"/>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E1"/>
    <w:rsid w:val="000251AC"/>
    <w:rsid w:val="000272EB"/>
    <w:rsid w:val="00030363"/>
    <w:rsid w:val="000317E5"/>
    <w:rsid w:val="00041014"/>
    <w:rsid w:val="00060C8A"/>
    <w:rsid w:val="00067481"/>
    <w:rsid w:val="00070BE5"/>
    <w:rsid w:val="00073A79"/>
    <w:rsid w:val="000754B0"/>
    <w:rsid w:val="00082119"/>
    <w:rsid w:val="00082908"/>
    <w:rsid w:val="00082CD8"/>
    <w:rsid w:val="00086443"/>
    <w:rsid w:val="0009452A"/>
    <w:rsid w:val="00097A19"/>
    <w:rsid w:val="000A4055"/>
    <w:rsid w:val="000A6C5B"/>
    <w:rsid w:val="000B164F"/>
    <w:rsid w:val="000C0A4A"/>
    <w:rsid w:val="000D1F16"/>
    <w:rsid w:val="000D2B90"/>
    <w:rsid w:val="000D3EBD"/>
    <w:rsid w:val="000D649B"/>
    <w:rsid w:val="000E5933"/>
    <w:rsid w:val="000E6A9E"/>
    <w:rsid w:val="000F1C35"/>
    <w:rsid w:val="000F21A1"/>
    <w:rsid w:val="000F3701"/>
    <w:rsid w:val="00100202"/>
    <w:rsid w:val="00103801"/>
    <w:rsid w:val="00104E8B"/>
    <w:rsid w:val="00106618"/>
    <w:rsid w:val="00112885"/>
    <w:rsid w:val="00116E30"/>
    <w:rsid w:val="00130DCD"/>
    <w:rsid w:val="001312F9"/>
    <w:rsid w:val="00132355"/>
    <w:rsid w:val="00142736"/>
    <w:rsid w:val="00155A8F"/>
    <w:rsid w:val="0016347B"/>
    <w:rsid w:val="001768ED"/>
    <w:rsid w:val="00185EAE"/>
    <w:rsid w:val="00190C43"/>
    <w:rsid w:val="0019216E"/>
    <w:rsid w:val="0019796F"/>
    <w:rsid w:val="001A32C1"/>
    <w:rsid w:val="001A56FF"/>
    <w:rsid w:val="001A7D5A"/>
    <w:rsid w:val="001B0376"/>
    <w:rsid w:val="001B4B13"/>
    <w:rsid w:val="001B6070"/>
    <w:rsid w:val="001C4513"/>
    <w:rsid w:val="001D0573"/>
    <w:rsid w:val="001D4762"/>
    <w:rsid w:val="001D4C27"/>
    <w:rsid w:val="001D61ED"/>
    <w:rsid w:val="001E1445"/>
    <w:rsid w:val="001F5E6B"/>
    <w:rsid w:val="001F735E"/>
    <w:rsid w:val="00204502"/>
    <w:rsid w:val="00212C83"/>
    <w:rsid w:val="00213D7A"/>
    <w:rsid w:val="00214B58"/>
    <w:rsid w:val="002158CA"/>
    <w:rsid w:val="00217CBF"/>
    <w:rsid w:val="00220396"/>
    <w:rsid w:val="00223169"/>
    <w:rsid w:val="00223AB6"/>
    <w:rsid w:val="00230A25"/>
    <w:rsid w:val="00234FD8"/>
    <w:rsid w:val="00235CE7"/>
    <w:rsid w:val="00241A77"/>
    <w:rsid w:val="00242F18"/>
    <w:rsid w:val="002528A9"/>
    <w:rsid w:val="00255037"/>
    <w:rsid w:val="002565BD"/>
    <w:rsid w:val="00257591"/>
    <w:rsid w:val="00260B50"/>
    <w:rsid w:val="00263986"/>
    <w:rsid w:val="00265FB0"/>
    <w:rsid w:val="00292C95"/>
    <w:rsid w:val="002A0227"/>
    <w:rsid w:val="002A0A97"/>
    <w:rsid w:val="002A383B"/>
    <w:rsid w:val="002B32D2"/>
    <w:rsid w:val="002B530D"/>
    <w:rsid w:val="002B681D"/>
    <w:rsid w:val="002C152D"/>
    <w:rsid w:val="002C718B"/>
    <w:rsid w:val="002D2029"/>
    <w:rsid w:val="002D408D"/>
    <w:rsid w:val="002D7938"/>
    <w:rsid w:val="002E09E0"/>
    <w:rsid w:val="002E1811"/>
    <w:rsid w:val="002E7E78"/>
    <w:rsid w:val="002F2E4B"/>
    <w:rsid w:val="002F7044"/>
    <w:rsid w:val="0030011E"/>
    <w:rsid w:val="003023DF"/>
    <w:rsid w:val="00303607"/>
    <w:rsid w:val="003072D2"/>
    <w:rsid w:val="0031039A"/>
    <w:rsid w:val="003128A6"/>
    <w:rsid w:val="00312C20"/>
    <w:rsid w:val="00336624"/>
    <w:rsid w:val="0034005D"/>
    <w:rsid w:val="00340EE1"/>
    <w:rsid w:val="003422F8"/>
    <w:rsid w:val="00343105"/>
    <w:rsid w:val="00353034"/>
    <w:rsid w:val="00353A68"/>
    <w:rsid w:val="00354D96"/>
    <w:rsid w:val="003561C0"/>
    <w:rsid w:val="00366B9B"/>
    <w:rsid w:val="0037136A"/>
    <w:rsid w:val="003719C3"/>
    <w:rsid w:val="00374646"/>
    <w:rsid w:val="00374747"/>
    <w:rsid w:val="00380F95"/>
    <w:rsid w:val="003834AF"/>
    <w:rsid w:val="003A16C0"/>
    <w:rsid w:val="003A2096"/>
    <w:rsid w:val="003A7FF9"/>
    <w:rsid w:val="003D1157"/>
    <w:rsid w:val="003D5A78"/>
    <w:rsid w:val="003D70D9"/>
    <w:rsid w:val="003D71F3"/>
    <w:rsid w:val="003E7BBD"/>
    <w:rsid w:val="003F310B"/>
    <w:rsid w:val="003F7F2E"/>
    <w:rsid w:val="00401C02"/>
    <w:rsid w:val="0041172D"/>
    <w:rsid w:val="00411B5B"/>
    <w:rsid w:val="00412F12"/>
    <w:rsid w:val="00423D97"/>
    <w:rsid w:val="00436F30"/>
    <w:rsid w:val="004573F5"/>
    <w:rsid w:val="00475740"/>
    <w:rsid w:val="00481E02"/>
    <w:rsid w:val="00484FDC"/>
    <w:rsid w:val="004868AE"/>
    <w:rsid w:val="00487A3D"/>
    <w:rsid w:val="00496C55"/>
    <w:rsid w:val="004A05CB"/>
    <w:rsid w:val="004A3201"/>
    <w:rsid w:val="004A5FD9"/>
    <w:rsid w:val="004B0364"/>
    <w:rsid w:val="004B242F"/>
    <w:rsid w:val="004C4D4D"/>
    <w:rsid w:val="004C5DE4"/>
    <w:rsid w:val="004D14BF"/>
    <w:rsid w:val="004E0377"/>
    <w:rsid w:val="004E03C9"/>
    <w:rsid w:val="004E7871"/>
    <w:rsid w:val="004F6A13"/>
    <w:rsid w:val="005000FC"/>
    <w:rsid w:val="00501122"/>
    <w:rsid w:val="00521048"/>
    <w:rsid w:val="005249A6"/>
    <w:rsid w:val="005463AA"/>
    <w:rsid w:val="00553688"/>
    <w:rsid w:val="0055677B"/>
    <w:rsid w:val="00562F6B"/>
    <w:rsid w:val="00565840"/>
    <w:rsid w:val="00565FD6"/>
    <w:rsid w:val="00576CB6"/>
    <w:rsid w:val="00577D7F"/>
    <w:rsid w:val="005824EF"/>
    <w:rsid w:val="00587B76"/>
    <w:rsid w:val="00597950"/>
    <w:rsid w:val="005A0F94"/>
    <w:rsid w:val="005B0DB4"/>
    <w:rsid w:val="005B0EC1"/>
    <w:rsid w:val="005B1D6F"/>
    <w:rsid w:val="005B4F1A"/>
    <w:rsid w:val="005B7C10"/>
    <w:rsid w:val="005C62F6"/>
    <w:rsid w:val="005C7405"/>
    <w:rsid w:val="005C75FF"/>
    <w:rsid w:val="005E5B05"/>
    <w:rsid w:val="005F4687"/>
    <w:rsid w:val="0060033F"/>
    <w:rsid w:val="006023C2"/>
    <w:rsid w:val="00602ED2"/>
    <w:rsid w:val="006060CE"/>
    <w:rsid w:val="00624875"/>
    <w:rsid w:val="00626231"/>
    <w:rsid w:val="00626A1D"/>
    <w:rsid w:val="00626BAD"/>
    <w:rsid w:val="0062703C"/>
    <w:rsid w:val="00641242"/>
    <w:rsid w:val="006421BB"/>
    <w:rsid w:val="00663D98"/>
    <w:rsid w:val="00664D25"/>
    <w:rsid w:val="00673C17"/>
    <w:rsid w:val="00680491"/>
    <w:rsid w:val="006A1EEB"/>
    <w:rsid w:val="006A63A2"/>
    <w:rsid w:val="006A6BCA"/>
    <w:rsid w:val="006B1E20"/>
    <w:rsid w:val="006B6DE1"/>
    <w:rsid w:val="006D074C"/>
    <w:rsid w:val="006E0803"/>
    <w:rsid w:val="006E2B90"/>
    <w:rsid w:val="006F4DEC"/>
    <w:rsid w:val="006F66F0"/>
    <w:rsid w:val="00700FA6"/>
    <w:rsid w:val="00704E89"/>
    <w:rsid w:val="00705BDB"/>
    <w:rsid w:val="0070756C"/>
    <w:rsid w:val="00720A34"/>
    <w:rsid w:val="00722E5A"/>
    <w:rsid w:val="0072578F"/>
    <w:rsid w:val="00727408"/>
    <w:rsid w:val="007324EF"/>
    <w:rsid w:val="0073547F"/>
    <w:rsid w:val="007362B1"/>
    <w:rsid w:val="00737AE2"/>
    <w:rsid w:val="007446D5"/>
    <w:rsid w:val="007551D9"/>
    <w:rsid w:val="00757E68"/>
    <w:rsid w:val="00762169"/>
    <w:rsid w:val="00771D96"/>
    <w:rsid w:val="00783B25"/>
    <w:rsid w:val="007909AC"/>
    <w:rsid w:val="00790F85"/>
    <w:rsid w:val="007912CA"/>
    <w:rsid w:val="00793B82"/>
    <w:rsid w:val="007950DD"/>
    <w:rsid w:val="007964E7"/>
    <w:rsid w:val="00797259"/>
    <w:rsid w:val="007A4423"/>
    <w:rsid w:val="007A690E"/>
    <w:rsid w:val="007B56C4"/>
    <w:rsid w:val="007B60E0"/>
    <w:rsid w:val="007D6D02"/>
    <w:rsid w:val="007E57F8"/>
    <w:rsid w:val="007F7148"/>
    <w:rsid w:val="00800F82"/>
    <w:rsid w:val="0081175C"/>
    <w:rsid w:val="00813934"/>
    <w:rsid w:val="00834699"/>
    <w:rsid w:val="008346ED"/>
    <w:rsid w:val="00840705"/>
    <w:rsid w:val="00874E71"/>
    <w:rsid w:val="00877BFF"/>
    <w:rsid w:val="0088181F"/>
    <w:rsid w:val="00886AE2"/>
    <w:rsid w:val="008878D9"/>
    <w:rsid w:val="008A2A9A"/>
    <w:rsid w:val="008A552E"/>
    <w:rsid w:val="008A6C0D"/>
    <w:rsid w:val="008C3ED9"/>
    <w:rsid w:val="008D4255"/>
    <w:rsid w:val="008D502A"/>
    <w:rsid w:val="008E2056"/>
    <w:rsid w:val="008E5D9B"/>
    <w:rsid w:val="00903111"/>
    <w:rsid w:val="00907098"/>
    <w:rsid w:val="00907AD3"/>
    <w:rsid w:val="00910B92"/>
    <w:rsid w:val="00916273"/>
    <w:rsid w:val="009242D7"/>
    <w:rsid w:val="00930705"/>
    <w:rsid w:val="00934625"/>
    <w:rsid w:val="009353E2"/>
    <w:rsid w:val="00935F3B"/>
    <w:rsid w:val="009430C2"/>
    <w:rsid w:val="00943661"/>
    <w:rsid w:val="00944236"/>
    <w:rsid w:val="00953196"/>
    <w:rsid w:val="00966CFF"/>
    <w:rsid w:val="00967788"/>
    <w:rsid w:val="009715A1"/>
    <w:rsid w:val="009724D7"/>
    <w:rsid w:val="0097731F"/>
    <w:rsid w:val="00981CB1"/>
    <w:rsid w:val="00985A42"/>
    <w:rsid w:val="00992343"/>
    <w:rsid w:val="009A3AEF"/>
    <w:rsid w:val="009C18AF"/>
    <w:rsid w:val="009C36BF"/>
    <w:rsid w:val="009D20CA"/>
    <w:rsid w:val="009D4724"/>
    <w:rsid w:val="009E1111"/>
    <w:rsid w:val="009E1528"/>
    <w:rsid w:val="009E2963"/>
    <w:rsid w:val="009E3BB8"/>
    <w:rsid w:val="009E6A18"/>
    <w:rsid w:val="009E6B89"/>
    <w:rsid w:val="00A03C2A"/>
    <w:rsid w:val="00A14E32"/>
    <w:rsid w:val="00A17158"/>
    <w:rsid w:val="00A34091"/>
    <w:rsid w:val="00A35F6E"/>
    <w:rsid w:val="00A37BB4"/>
    <w:rsid w:val="00A40DF9"/>
    <w:rsid w:val="00A4209E"/>
    <w:rsid w:val="00A42C95"/>
    <w:rsid w:val="00A6212E"/>
    <w:rsid w:val="00A6733D"/>
    <w:rsid w:val="00A85A67"/>
    <w:rsid w:val="00A92327"/>
    <w:rsid w:val="00A93DF5"/>
    <w:rsid w:val="00A9454B"/>
    <w:rsid w:val="00AB3753"/>
    <w:rsid w:val="00AC151E"/>
    <w:rsid w:val="00AC418D"/>
    <w:rsid w:val="00AC4CB6"/>
    <w:rsid w:val="00AC4E57"/>
    <w:rsid w:val="00AC5889"/>
    <w:rsid w:val="00AC5B35"/>
    <w:rsid w:val="00AD0344"/>
    <w:rsid w:val="00AD290C"/>
    <w:rsid w:val="00AD51CE"/>
    <w:rsid w:val="00AD6331"/>
    <w:rsid w:val="00AE049C"/>
    <w:rsid w:val="00AE6AAE"/>
    <w:rsid w:val="00AF0D11"/>
    <w:rsid w:val="00AF1007"/>
    <w:rsid w:val="00AF34C9"/>
    <w:rsid w:val="00AF682A"/>
    <w:rsid w:val="00B03F40"/>
    <w:rsid w:val="00B10355"/>
    <w:rsid w:val="00B116A3"/>
    <w:rsid w:val="00B17176"/>
    <w:rsid w:val="00B26540"/>
    <w:rsid w:val="00B30546"/>
    <w:rsid w:val="00B32E1C"/>
    <w:rsid w:val="00B33B2C"/>
    <w:rsid w:val="00B352D3"/>
    <w:rsid w:val="00B4096A"/>
    <w:rsid w:val="00B57E3B"/>
    <w:rsid w:val="00B6358F"/>
    <w:rsid w:val="00B635E7"/>
    <w:rsid w:val="00B6422D"/>
    <w:rsid w:val="00B75B55"/>
    <w:rsid w:val="00B80B78"/>
    <w:rsid w:val="00B873E3"/>
    <w:rsid w:val="00B9715E"/>
    <w:rsid w:val="00BA54A4"/>
    <w:rsid w:val="00BB0D19"/>
    <w:rsid w:val="00BB2135"/>
    <w:rsid w:val="00BB2208"/>
    <w:rsid w:val="00BB51BB"/>
    <w:rsid w:val="00BB6C5A"/>
    <w:rsid w:val="00BC0B67"/>
    <w:rsid w:val="00BD5133"/>
    <w:rsid w:val="00BD545A"/>
    <w:rsid w:val="00BD73ED"/>
    <w:rsid w:val="00BE518A"/>
    <w:rsid w:val="00BE6F26"/>
    <w:rsid w:val="00BF2E2B"/>
    <w:rsid w:val="00BF6CAB"/>
    <w:rsid w:val="00BF7D38"/>
    <w:rsid w:val="00C04FEB"/>
    <w:rsid w:val="00C0622F"/>
    <w:rsid w:val="00C07B09"/>
    <w:rsid w:val="00C104F3"/>
    <w:rsid w:val="00C12461"/>
    <w:rsid w:val="00C145E3"/>
    <w:rsid w:val="00C26E6D"/>
    <w:rsid w:val="00C319FB"/>
    <w:rsid w:val="00C43371"/>
    <w:rsid w:val="00C463E1"/>
    <w:rsid w:val="00C534BF"/>
    <w:rsid w:val="00C555B5"/>
    <w:rsid w:val="00C60D1E"/>
    <w:rsid w:val="00C725BD"/>
    <w:rsid w:val="00C82E75"/>
    <w:rsid w:val="00C917B7"/>
    <w:rsid w:val="00C917CD"/>
    <w:rsid w:val="00C97BE4"/>
    <w:rsid w:val="00CA3AF9"/>
    <w:rsid w:val="00CA5272"/>
    <w:rsid w:val="00CA6C14"/>
    <w:rsid w:val="00CB5458"/>
    <w:rsid w:val="00CB558B"/>
    <w:rsid w:val="00CD128D"/>
    <w:rsid w:val="00CD14D8"/>
    <w:rsid w:val="00CD1711"/>
    <w:rsid w:val="00CD576B"/>
    <w:rsid w:val="00CD75E3"/>
    <w:rsid w:val="00CE18FC"/>
    <w:rsid w:val="00CE6532"/>
    <w:rsid w:val="00CE65D4"/>
    <w:rsid w:val="00CF559B"/>
    <w:rsid w:val="00D001CF"/>
    <w:rsid w:val="00D11701"/>
    <w:rsid w:val="00D141BC"/>
    <w:rsid w:val="00D14E45"/>
    <w:rsid w:val="00D15713"/>
    <w:rsid w:val="00D17C46"/>
    <w:rsid w:val="00D17D66"/>
    <w:rsid w:val="00D27D72"/>
    <w:rsid w:val="00D349D6"/>
    <w:rsid w:val="00D34BD3"/>
    <w:rsid w:val="00D41866"/>
    <w:rsid w:val="00D44B61"/>
    <w:rsid w:val="00D46F18"/>
    <w:rsid w:val="00D506C6"/>
    <w:rsid w:val="00D54286"/>
    <w:rsid w:val="00D54FF3"/>
    <w:rsid w:val="00D55D70"/>
    <w:rsid w:val="00D67316"/>
    <w:rsid w:val="00D67A77"/>
    <w:rsid w:val="00D70CA7"/>
    <w:rsid w:val="00D7501A"/>
    <w:rsid w:val="00D75F31"/>
    <w:rsid w:val="00D82F87"/>
    <w:rsid w:val="00D85B10"/>
    <w:rsid w:val="00D9239C"/>
    <w:rsid w:val="00D93BD7"/>
    <w:rsid w:val="00DA65DA"/>
    <w:rsid w:val="00DB129A"/>
    <w:rsid w:val="00DB184B"/>
    <w:rsid w:val="00DB70E7"/>
    <w:rsid w:val="00DC03FC"/>
    <w:rsid w:val="00DC090D"/>
    <w:rsid w:val="00DD2A88"/>
    <w:rsid w:val="00DF0B55"/>
    <w:rsid w:val="00E038D2"/>
    <w:rsid w:val="00E04959"/>
    <w:rsid w:val="00E25863"/>
    <w:rsid w:val="00E26A15"/>
    <w:rsid w:val="00E26E7E"/>
    <w:rsid w:val="00E27F82"/>
    <w:rsid w:val="00E31B89"/>
    <w:rsid w:val="00E36D84"/>
    <w:rsid w:val="00E451C3"/>
    <w:rsid w:val="00E461BF"/>
    <w:rsid w:val="00E541EE"/>
    <w:rsid w:val="00E616B0"/>
    <w:rsid w:val="00E70282"/>
    <w:rsid w:val="00E7360A"/>
    <w:rsid w:val="00E81392"/>
    <w:rsid w:val="00E82337"/>
    <w:rsid w:val="00E82FD2"/>
    <w:rsid w:val="00E93EEB"/>
    <w:rsid w:val="00EB25A8"/>
    <w:rsid w:val="00EB7756"/>
    <w:rsid w:val="00EC69D7"/>
    <w:rsid w:val="00EC7040"/>
    <w:rsid w:val="00EE49E3"/>
    <w:rsid w:val="00EF0C70"/>
    <w:rsid w:val="00EF1CEC"/>
    <w:rsid w:val="00F00DED"/>
    <w:rsid w:val="00F03979"/>
    <w:rsid w:val="00F07F31"/>
    <w:rsid w:val="00F07FB3"/>
    <w:rsid w:val="00F108BD"/>
    <w:rsid w:val="00F247A0"/>
    <w:rsid w:val="00F529F6"/>
    <w:rsid w:val="00F54510"/>
    <w:rsid w:val="00F6243B"/>
    <w:rsid w:val="00F63C41"/>
    <w:rsid w:val="00F73616"/>
    <w:rsid w:val="00F80472"/>
    <w:rsid w:val="00F86EC5"/>
    <w:rsid w:val="00F871A8"/>
    <w:rsid w:val="00F90841"/>
    <w:rsid w:val="00F91D62"/>
    <w:rsid w:val="00FA08BF"/>
    <w:rsid w:val="00FA34A7"/>
    <w:rsid w:val="00FC0F96"/>
    <w:rsid w:val="00FD126B"/>
    <w:rsid w:val="00FD78E2"/>
    <w:rsid w:val="00FE01AC"/>
    <w:rsid w:val="00FE3BF5"/>
    <w:rsid w:val="00FE4EEF"/>
    <w:rsid w:val="00FE5917"/>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A2"/>
    <w:rPr>
      <w:sz w:val="24"/>
      <w:szCs w:val="24"/>
    </w:rPr>
  </w:style>
  <w:style w:type="paragraph" w:styleId="Heading1">
    <w:name w:val="heading 1"/>
    <w:basedOn w:val="Normal"/>
    <w:next w:val="Normal"/>
    <w:link w:val="Heading1Char"/>
    <w:uiPriority w:val="99"/>
    <w:qFormat/>
    <w:rsid w:val="00626231"/>
    <w:pPr>
      <w:keepNext/>
      <w:widowControl w:val="0"/>
      <w:suppressAutoHyphens/>
      <w:spacing w:after="120"/>
      <w:outlineLvl w:val="0"/>
    </w:pPr>
    <w:rPr>
      <w:rFonts w:ascii="Times New Roman Bold" w:hAnsi="Times New Roman Bold"/>
      <w:b/>
      <w:caps/>
      <w:kern w:val="28"/>
    </w:rPr>
  </w:style>
  <w:style w:type="paragraph" w:styleId="Heading2">
    <w:name w:val="heading 2"/>
    <w:basedOn w:val="Normal"/>
    <w:next w:val="Normal"/>
    <w:link w:val="Heading2Char"/>
    <w:uiPriority w:val="99"/>
    <w:qFormat/>
    <w:rsid w:val="006B6D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231"/>
    <w:rPr>
      <w:rFonts w:ascii="Times New Roman Bold" w:hAnsi="Times New Roman Bold" w:cs="Times New Roman"/>
      <w:b/>
      <w:caps/>
      <w:kern w:val="28"/>
      <w:sz w:val="20"/>
    </w:rPr>
  </w:style>
  <w:style w:type="character" w:customStyle="1" w:styleId="Heading2Char">
    <w:name w:val="Heading 2 Char"/>
    <w:basedOn w:val="DefaultParagraphFont"/>
    <w:link w:val="Heading2"/>
    <w:uiPriority w:val="99"/>
    <w:locked/>
    <w:rsid w:val="006B6DE1"/>
    <w:rPr>
      <w:rFonts w:ascii="Arial" w:hAnsi="Arial" w:cs="Times New Roman"/>
      <w:b/>
      <w:i/>
      <w:sz w:val="28"/>
    </w:rPr>
  </w:style>
  <w:style w:type="paragraph" w:styleId="BalloonText">
    <w:name w:val="Balloon Text"/>
    <w:basedOn w:val="Normal"/>
    <w:link w:val="BalloonTextChar"/>
    <w:uiPriority w:val="99"/>
    <w:semiHidden/>
    <w:rsid w:val="00C46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3E1"/>
    <w:rPr>
      <w:rFonts w:ascii="Tahoma" w:hAnsi="Tahoma" w:cs="Times New Roman"/>
      <w:sz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autoRedefine/>
    <w:uiPriority w:val="99"/>
    <w:semiHidden/>
    <w:rsid w:val="00F6243B"/>
    <w:pPr>
      <w:tabs>
        <w:tab w:val="left" w:pos="720"/>
      </w:tabs>
      <w:suppressAutoHyphens/>
      <w:spacing w:after="120"/>
    </w:pPr>
    <w:rPr>
      <w:sz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uiPriority w:val="99"/>
    <w:semiHidden/>
    <w:locked/>
    <w:rsid w:val="00F6243B"/>
    <w:rPr>
      <w:rFonts w:cs="Times New Roman"/>
      <w:sz w:val="24"/>
    </w:rPr>
  </w:style>
  <w:style w:type="paragraph" w:customStyle="1" w:styleId="CitationBlock">
    <w:name w:val="Citation Block"/>
    <w:basedOn w:val="Normal"/>
    <w:next w:val="NoSpacing"/>
    <w:autoRedefine/>
    <w:uiPriority w:val="99"/>
    <w:rsid w:val="00944236"/>
    <w:pPr>
      <w:ind w:left="720" w:right="720"/>
    </w:pPr>
  </w:style>
  <w:style w:type="paragraph" w:styleId="NoSpacing">
    <w:name w:val="No Spacing"/>
    <w:uiPriority w:val="99"/>
    <w:qFormat/>
    <w:rsid w:val="00944236"/>
    <w:pPr>
      <w:ind w:firstLine="720"/>
    </w:pPr>
    <w:rPr>
      <w:sz w:val="20"/>
      <w:szCs w:val="20"/>
    </w:rPr>
  </w:style>
  <w:style w:type="paragraph" w:customStyle="1" w:styleId="PostCitationBlock">
    <w:name w:val="Post Citation Block"/>
    <w:basedOn w:val="Normal"/>
    <w:next w:val="Normal"/>
    <w:autoRedefine/>
    <w:uiPriority w:val="99"/>
    <w:rsid w:val="00F871A8"/>
  </w:style>
  <w:style w:type="paragraph" w:customStyle="1" w:styleId="StyleParaNumAfter0pt">
    <w:name w:val="Style ParaNum + After:  0 pt"/>
    <w:basedOn w:val="Normal"/>
    <w:autoRedefine/>
    <w:uiPriority w:val="99"/>
    <w:rsid w:val="00626231"/>
    <w:pPr>
      <w:tabs>
        <w:tab w:val="left" w:pos="1440"/>
      </w:tabs>
    </w:pPr>
  </w:style>
  <w:style w:type="paragraph" w:customStyle="1" w:styleId="StyleParaNumLeftFirstline05After6pt">
    <w:name w:val="Style ParaNum + Left First line:  0.5&quot; After:  6 pt"/>
    <w:basedOn w:val="Normal"/>
    <w:autoRedefine/>
    <w:uiPriority w:val="99"/>
    <w:rsid w:val="00934625"/>
    <w:pPr>
      <w:widowControl w:val="0"/>
      <w:tabs>
        <w:tab w:val="left" w:pos="1440"/>
      </w:tabs>
      <w:spacing w:after="120"/>
    </w:pPr>
  </w:style>
  <w:style w:type="paragraph" w:customStyle="1" w:styleId="ParaNumCitationNAL">
    <w:name w:val="ParaNum Citation/NAL"/>
    <w:basedOn w:val="Normal"/>
    <w:autoRedefine/>
    <w:uiPriority w:val="99"/>
    <w:rsid w:val="00934625"/>
    <w:pPr>
      <w:widowControl w:val="0"/>
      <w:numPr>
        <w:numId w:val="4"/>
      </w:numPr>
      <w:tabs>
        <w:tab w:val="left" w:pos="1440"/>
      </w:tabs>
      <w:spacing w:after="120"/>
    </w:pPr>
  </w:style>
  <w:style w:type="paragraph" w:customStyle="1" w:styleId="CitationNALparagraph">
    <w:name w:val="Citation/NAL paragraph"/>
    <w:basedOn w:val="Normal"/>
    <w:autoRedefine/>
    <w:uiPriority w:val="99"/>
    <w:rsid w:val="00934625"/>
    <w:pPr>
      <w:widowControl w:val="0"/>
      <w:numPr>
        <w:numId w:val="5"/>
      </w:numPr>
      <w:tabs>
        <w:tab w:val="left" w:pos="1440"/>
      </w:tabs>
      <w:spacing w:after="120"/>
      <w:jc w:val="both"/>
    </w:pPr>
  </w:style>
  <w:style w:type="character" w:styleId="FootnoteReference">
    <w:name w:val="footnote reference"/>
    <w:aliases w:val="Style 4,Style 12,(NECG) Footnote Reference,Appel note de bas de p,Style 124,Style 13,o,fr,Style 3"/>
    <w:basedOn w:val="DefaultParagraphFont"/>
    <w:uiPriority w:val="99"/>
    <w:semiHidden/>
    <w:rsid w:val="006B6DE1"/>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6B6DE1"/>
    <w:pPr>
      <w:tabs>
        <w:tab w:val="center" w:pos="4680"/>
        <w:tab w:val="right" w:pos="9360"/>
      </w:tabs>
    </w:pPr>
    <w:rPr>
      <w:b/>
      <w:sz w:val="22"/>
    </w:rPr>
  </w:style>
  <w:style w:type="character" w:customStyle="1" w:styleId="HeaderChar">
    <w:name w:val="Header Char"/>
    <w:basedOn w:val="DefaultParagraphFont"/>
    <w:link w:val="Header"/>
    <w:uiPriority w:val="99"/>
    <w:locked/>
    <w:rsid w:val="006B6DE1"/>
    <w:rPr>
      <w:rFonts w:cs="Times New Roman"/>
      <w:b/>
      <w:sz w:val="24"/>
    </w:rPr>
  </w:style>
  <w:style w:type="paragraph" w:styleId="Footer">
    <w:name w:val="footer"/>
    <w:basedOn w:val="Normal"/>
    <w:link w:val="FooterChar"/>
    <w:uiPriority w:val="99"/>
    <w:rsid w:val="006B6DE1"/>
    <w:pPr>
      <w:tabs>
        <w:tab w:val="center" w:pos="4320"/>
        <w:tab w:val="right" w:pos="8640"/>
      </w:tabs>
    </w:pPr>
  </w:style>
  <w:style w:type="character" w:customStyle="1" w:styleId="FooterChar">
    <w:name w:val="Footer Char"/>
    <w:basedOn w:val="DefaultParagraphFont"/>
    <w:link w:val="Footer"/>
    <w:uiPriority w:val="99"/>
    <w:locked/>
    <w:rsid w:val="006B6DE1"/>
    <w:rPr>
      <w:rFonts w:cs="Times New Roman"/>
      <w:sz w:val="24"/>
    </w:rPr>
  </w:style>
  <w:style w:type="paragraph" w:customStyle="1" w:styleId="par1">
    <w:name w:val="par1"/>
    <w:basedOn w:val="Normal"/>
    <w:link w:val="par1Char"/>
    <w:uiPriority w:val="99"/>
    <w:rsid w:val="006B6DE1"/>
    <w:pPr>
      <w:numPr>
        <w:numId w:val="6"/>
      </w:numPr>
    </w:pPr>
    <w:rPr>
      <w:sz w:val="22"/>
      <w:szCs w:val="20"/>
    </w:rPr>
  </w:style>
  <w:style w:type="paragraph" w:customStyle="1" w:styleId="Paranum0">
    <w:name w:val="Paranum"/>
    <w:uiPriority w:val="99"/>
    <w:rsid w:val="006B6DE1"/>
    <w:pPr>
      <w:numPr>
        <w:numId w:val="8"/>
      </w:numPr>
      <w:tabs>
        <w:tab w:val="left" w:pos="1440"/>
      </w:tabs>
      <w:spacing w:after="240"/>
      <w:jc w:val="both"/>
    </w:pPr>
    <w:rPr>
      <w:szCs w:val="20"/>
    </w:rPr>
  </w:style>
  <w:style w:type="character" w:styleId="PageNumber">
    <w:name w:val="page number"/>
    <w:basedOn w:val="DefaultParagraphFont"/>
    <w:uiPriority w:val="99"/>
    <w:rsid w:val="006B6DE1"/>
    <w:rPr>
      <w:rFonts w:cs="Times New Roman"/>
    </w:rPr>
  </w:style>
  <w:style w:type="paragraph" w:customStyle="1" w:styleId="Heading1A">
    <w:name w:val="Heading 1 A"/>
    <w:next w:val="Normal"/>
    <w:uiPriority w:val="99"/>
    <w:rsid w:val="006B6DE1"/>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6B6DE1"/>
    <w:rPr>
      <w:rFonts w:ascii="Times New Roman Bold" w:hAnsi="Times New Roman Bold"/>
      <w:color w:val="000000"/>
      <w:sz w:val="24"/>
      <w:szCs w:val="20"/>
      <w:u w:val="single"/>
    </w:rPr>
  </w:style>
  <w:style w:type="character" w:customStyle="1" w:styleId="par1Char">
    <w:name w:val="par1 Char"/>
    <w:link w:val="par1"/>
    <w:uiPriority w:val="99"/>
    <w:locked/>
    <w:rsid w:val="006B6DE1"/>
    <w:rPr>
      <w:sz w:val="22"/>
    </w:rPr>
  </w:style>
  <w:style w:type="paragraph" w:styleId="ListParagraph">
    <w:name w:val="List Paragraph"/>
    <w:basedOn w:val="Normal"/>
    <w:uiPriority w:val="99"/>
    <w:qFormat/>
    <w:rsid w:val="00790F85"/>
    <w:pPr>
      <w:ind w:left="720"/>
      <w:contextualSpacing/>
    </w:pPr>
  </w:style>
  <w:style w:type="paragraph" w:customStyle="1" w:styleId="ParaNum">
    <w:name w:val="ParaNum"/>
    <w:basedOn w:val="Normal"/>
    <w:link w:val="ParaNumChar"/>
    <w:uiPriority w:val="99"/>
    <w:rsid w:val="001A56FF"/>
    <w:pPr>
      <w:widowControl w:val="0"/>
      <w:numPr>
        <w:numId w:val="12"/>
      </w:numPr>
      <w:tabs>
        <w:tab w:val="clear" w:pos="1080"/>
        <w:tab w:val="num" w:pos="1440"/>
      </w:tabs>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1A56FF"/>
    <w:rPr>
      <w:sz w:val="24"/>
      <w:lang w:val="en-US" w:eastAsia="en-US"/>
    </w:rPr>
  </w:style>
  <w:style w:type="character" w:customStyle="1" w:styleId="ParaNumChar">
    <w:name w:val="ParaNum Char"/>
    <w:link w:val="ParaNum"/>
    <w:uiPriority w:val="99"/>
    <w:locked/>
    <w:rsid w:val="001A56FF"/>
    <w:rPr>
      <w:kern w:val="28"/>
      <w:sz w:val="22"/>
    </w:rPr>
  </w:style>
  <w:style w:type="character" w:styleId="Hyperlink">
    <w:name w:val="Hyperlink"/>
    <w:basedOn w:val="DefaultParagraphFont"/>
    <w:uiPriority w:val="99"/>
    <w:rsid w:val="003719C3"/>
    <w:rPr>
      <w:rFonts w:cs="Times New Roman"/>
      <w:color w:val="0000FF"/>
      <w:u w:val="single"/>
    </w:rPr>
  </w:style>
  <w:style w:type="character" w:styleId="CommentReference">
    <w:name w:val="annotation reference"/>
    <w:basedOn w:val="DefaultParagraphFont"/>
    <w:uiPriority w:val="99"/>
    <w:semiHidden/>
    <w:locked/>
    <w:rsid w:val="00AE049C"/>
    <w:rPr>
      <w:rFonts w:cs="Times New Roman"/>
      <w:sz w:val="16"/>
      <w:szCs w:val="16"/>
    </w:rPr>
  </w:style>
  <w:style w:type="paragraph" w:styleId="CommentText">
    <w:name w:val="annotation text"/>
    <w:basedOn w:val="Normal"/>
    <w:link w:val="CommentTextChar"/>
    <w:uiPriority w:val="99"/>
    <w:semiHidden/>
    <w:locked/>
    <w:rsid w:val="00AE049C"/>
    <w:rPr>
      <w:sz w:val="20"/>
      <w:szCs w:val="20"/>
    </w:rPr>
  </w:style>
  <w:style w:type="character" w:customStyle="1" w:styleId="CommentTextChar">
    <w:name w:val="Comment Text Char"/>
    <w:basedOn w:val="DefaultParagraphFont"/>
    <w:link w:val="CommentText"/>
    <w:uiPriority w:val="99"/>
    <w:semiHidden/>
    <w:locked/>
    <w:rsid w:val="00B9715E"/>
    <w:rPr>
      <w:rFonts w:cs="Times New Roman"/>
      <w:sz w:val="20"/>
      <w:szCs w:val="20"/>
    </w:rPr>
  </w:style>
  <w:style w:type="paragraph" w:styleId="CommentSubject">
    <w:name w:val="annotation subject"/>
    <w:basedOn w:val="CommentText"/>
    <w:next w:val="CommentText"/>
    <w:link w:val="CommentSubjectChar"/>
    <w:uiPriority w:val="99"/>
    <w:semiHidden/>
    <w:locked/>
    <w:rsid w:val="00AE049C"/>
    <w:rPr>
      <w:b/>
      <w:bCs/>
    </w:rPr>
  </w:style>
  <w:style w:type="character" w:customStyle="1" w:styleId="CommentSubjectChar">
    <w:name w:val="Comment Subject Char"/>
    <w:basedOn w:val="CommentTextChar"/>
    <w:link w:val="CommentSubject"/>
    <w:uiPriority w:val="99"/>
    <w:semiHidden/>
    <w:locked/>
    <w:rsid w:val="00B9715E"/>
    <w:rPr>
      <w:rFonts w:cs="Times New Roman"/>
      <w:b/>
      <w:bCs/>
      <w:sz w:val="20"/>
      <w:szCs w:val="20"/>
    </w:rPr>
  </w:style>
  <w:style w:type="paragraph" w:styleId="Revision">
    <w:name w:val="Revision"/>
    <w:hidden/>
    <w:uiPriority w:val="99"/>
    <w:semiHidden/>
    <w:rsid w:val="00F247A0"/>
    <w:rPr>
      <w:sz w:val="24"/>
      <w:szCs w:val="24"/>
    </w:rPr>
  </w:style>
  <w:style w:type="paragraph" w:styleId="Subtitle">
    <w:name w:val="Subtitle"/>
    <w:basedOn w:val="Normal"/>
    <w:next w:val="Normal"/>
    <w:link w:val="SubtitleChar"/>
    <w:qFormat/>
    <w:rsid w:val="003D11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D115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A2"/>
    <w:rPr>
      <w:sz w:val="24"/>
      <w:szCs w:val="24"/>
    </w:rPr>
  </w:style>
  <w:style w:type="paragraph" w:styleId="Heading1">
    <w:name w:val="heading 1"/>
    <w:basedOn w:val="Normal"/>
    <w:next w:val="Normal"/>
    <w:link w:val="Heading1Char"/>
    <w:uiPriority w:val="99"/>
    <w:qFormat/>
    <w:rsid w:val="00626231"/>
    <w:pPr>
      <w:keepNext/>
      <w:widowControl w:val="0"/>
      <w:suppressAutoHyphens/>
      <w:spacing w:after="120"/>
      <w:outlineLvl w:val="0"/>
    </w:pPr>
    <w:rPr>
      <w:rFonts w:ascii="Times New Roman Bold" w:hAnsi="Times New Roman Bold"/>
      <w:b/>
      <w:caps/>
      <w:kern w:val="28"/>
    </w:rPr>
  </w:style>
  <w:style w:type="paragraph" w:styleId="Heading2">
    <w:name w:val="heading 2"/>
    <w:basedOn w:val="Normal"/>
    <w:next w:val="Normal"/>
    <w:link w:val="Heading2Char"/>
    <w:uiPriority w:val="99"/>
    <w:qFormat/>
    <w:rsid w:val="006B6D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231"/>
    <w:rPr>
      <w:rFonts w:ascii="Times New Roman Bold" w:hAnsi="Times New Roman Bold" w:cs="Times New Roman"/>
      <w:b/>
      <w:caps/>
      <w:kern w:val="28"/>
      <w:sz w:val="20"/>
    </w:rPr>
  </w:style>
  <w:style w:type="character" w:customStyle="1" w:styleId="Heading2Char">
    <w:name w:val="Heading 2 Char"/>
    <w:basedOn w:val="DefaultParagraphFont"/>
    <w:link w:val="Heading2"/>
    <w:uiPriority w:val="99"/>
    <w:locked/>
    <w:rsid w:val="006B6DE1"/>
    <w:rPr>
      <w:rFonts w:ascii="Arial" w:hAnsi="Arial" w:cs="Times New Roman"/>
      <w:b/>
      <w:i/>
      <w:sz w:val="28"/>
    </w:rPr>
  </w:style>
  <w:style w:type="paragraph" w:styleId="BalloonText">
    <w:name w:val="Balloon Text"/>
    <w:basedOn w:val="Normal"/>
    <w:link w:val="BalloonTextChar"/>
    <w:uiPriority w:val="99"/>
    <w:semiHidden/>
    <w:rsid w:val="00C46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3E1"/>
    <w:rPr>
      <w:rFonts w:ascii="Tahoma" w:hAnsi="Tahoma" w:cs="Times New Roman"/>
      <w:sz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autoRedefine/>
    <w:uiPriority w:val="99"/>
    <w:semiHidden/>
    <w:rsid w:val="00F6243B"/>
    <w:pPr>
      <w:tabs>
        <w:tab w:val="left" w:pos="720"/>
      </w:tabs>
      <w:suppressAutoHyphens/>
      <w:spacing w:after="120"/>
    </w:pPr>
    <w:rPr>
      <w:sz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uiPriority w:val="99"/>
    <w:semiHidden/>
    <w:locked/>
    <w:rsid w:val="00F6243B"/>
    <w:rPr>
      <w:rFonts w:cs="Times New Roman"/>
      <w:sz w:val="24"/>
    </w:rPr>
  </w:style>
  <w:style w:type="paragraph" w:customStyle="1" w:styleId="CitationBlock">
    <w:name w:val="Citation Block"/>
    <w:basedOn w:val="Normal"/>
    <w:next w:val="NoSpacing"/>
    <w:autoRedefine/>
    <w:uiPriority w:val="99"/>
    <w:rsid w:val="00944236"/>
    <w:pPr>
      <w:ind w:left="720" w:right="720"/>
    </w:pPr>
  </w:style>
  <w:style w:type="paragraph" w:styleId="NoSpacing">
    <w:name w:val="No Spacing"/>
    <w:uiPriority w:val="99"/>
    <w:qFormat/>
    <w:rsid w:val="00944236"/>
    <w:pPr>
      <w:ind w:firstLine="720"/>
    </w:pPr>
    <w:rPr>
      <w:sz w:val="20"/>
      <w:szCs w:val="20"/>
    </w:rPr>
  </w:style>
  <w:style w:type="paragraph" w:customStyle="1" w:styleId="PostCitationBlock">
    <w:name w:val="Post Citation Block"/>
    <w:basedOn w:val="Normal"/>
    <w:next w:val="Normal"/>
    <w:autoRedefine/>
    <w:uiPriority w:val="99"/>
    <w:rsid w:val="00F871A8"/>
  </w:style>
  <w:style w:type="paragraph" w:customStyle="1" w:styleId="StyleParaNumAfter0pt">
    <w:name w:val="Style ParaNum + After:  0 pt"/>
    <w:basedOn w:val="Normal"/>
    <w:autoRedefine/>
    <w:uiPriority w:val="99"/>
    <w:rsid w:val="00626231"/>
    <w:pPr>
      <w:tabs>
        <w:tab w:val="left" w:pos="1440"/>
      </w:tabs>
    </w:pPr>
  </w:style>
  <w:style w:type="paragraph" w:customStyle="1" w:styleId="StyleParaNumLeftFirstline05After6pt">
    <w:name w:val="Style ParaNum + Left First line:  0.5&quot; After:  6 pt"/>
    <w:basedOn w:val="Normal"/>
    <w:autoRedefine/>
    <w:uiPriority w:val="99"/>
    <w:rsid w:val="00934625"/>
    <w:pPr>
      <w:widowControl w:val="0"/>
      <w:tabs>
        <w:tab w:val="left" w:pos="1440"/>
      </w:tabs>
      <w:spacing w:after="120"/>
    </w:pPr>
  </w:style>
  <w:style w:type="paragraph" w:customStyle="1" w:styleId="ParaNumCitationNAL">
    <w:name w:val="ParaNum Citation/NAL"/>
    <w:basedOn w:val="Normal"/>
    <w:autoRedefine/>
    <w:uiPriority w:val="99"/>
    <w:rsid w:val="00934625"/>
    <w:pPr>
      <w:widowControl w:val="0"/>
      <w:numPr>
        <w:numId w:val="4"/>
      </w:numPr>
      <w:tabs>
        <w:tab w:val="left" w:pos="1440"/>
      </w:tabs>
      <w:spacing w:after="120"/>
    </w:pPr>
  </w:style>
  <w:style w:type="paragraph" w:customStyle="1" w:styleId="CitationNALparagraph">
    <w:name w:val="Citation/NAL paragraph"/>
    <w:basedOn w:val="Normal"/>
    <w:autoRedefine/>
    <w:uiPriority w:val="99"/>
    <w:rsid w:val="00934625"/>
    <w:pPr>
      <w:widowControl w:val="0"/>
      <w:numPr>
        <w:numId w:val="5"/>
      </w:numPr>
      <w:tabs>
        <w:tab w:val="left" w:pos="1440"/>
      </w:tabs>
      <w:spacing w:after="120"/>
      <w:jc w:val="both"/>
    </w:pPr>
  </w:style>
  <w:style w:type="character" w:styleId="FootnoteReference">
    <w:name w:val="footnote reference"/>
    <w:aliases w:val="Style 4,Style 12,(NECG) Footnote Reference,Appel note de bas de p,Style 124,Style 13,o,fr,Style 3"/>
    <w:basedOn w:val="DefaultParagraphFont"/>
    <w:uiPriority w:val="99"/>
    <w:semiHidden/>
    <w:rsid w:val="006B6DE1"/>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6B6DE1"/>
    <w:pPr>
      <w:tabs>
        <w:tab w:val="center" w:pos="4680"/>
        <w:tab w:val="right" w:pos="9360"/>
      </w:tabs>
    </w:pPr>
    <w:rPr>
      <w:b/>
      <w:sz w:val="22"/>
    </w:rPr>
  </w:style>
  <w:style w:type="character" w:customStyle="1" w:styleId="HeaderChar">
    <w:name w:val="Header Char"/>
    <w:basedOn w:val="DefaultParagraphFont"/>
    <w:link w:val="Header"/>
    <w:uiPriority w:val="99"/>
    <w:locked/>
    <w:rsid w:val="006B6DE1"/>
    <w:rPr>
      <w:rFonts w:cs="Times New Roman"/>
      <w:b/>
      <w:sz w:val="24"/>
    </w:rPr>
  </w:style>
  <w:style w:type="paragraph" w:styleId="Footer">
    <w:name w:val="footer"/>
    <w:basedOn w:val="Normal"/>
    <w:link w:val="FooterChar"/>
    <w:uiPriority w:val="99"/>
    <w:rsid w:val="006B6DE1"/>
    <w:pPr>
      <w:tabs>
        <w:tab w:val="center" w:pos="4320"/>
        <w:tab w:val="right" w:pos="8640"/>
      </w:tabs>
    </w:pPr>
  </w:style>
  <w:style w:type="character" w:customStyle="1" w:styleId="FooterChar">
    <w:name w:val="Footer Char"/>
    <w:basedOn w:val="DefaultParagraphFont"/>
    <w:link w:val="Footer"/>
    <w:uiPriority w:val="99"/>
    <w:locked/>
    <w:rsid w:val="006B6DE1"/>
    <w:rPr>
      <w:rFonts w:cs="Times New Roman"/>
      <w:sz w:val="24"/>
    </w:rPr>
  </w:style>
  <w:style w:type="paragraph" w:customStyle="1" w:styleId="par1">
    <w:name w:val="par1"/>
    <w:basedOn w:val="Normal"/>
    <w:link w:val="par1Char"/>
    <w:uiPriority w:val="99"/>
    <w:rsid w:val="006B6DE1"/>
    <w:pPr>
      <w:numPr>
        <w:numId w:val="6"/>
      </w:numPr>
    </w:pPr>
    <w:rPr>
      <w:sz w:val="22"/>
      <w:szCs w:val="20"/>
    </w:rPr>
  </w:style>
  <w:style w:type="paragraph" w:customStyle="1" w:styleId="Paranum0">
    <w:name w:val="Paranum"/>
    <w:uiPriority w:val="99"/>
    <w:rsid w:val="006B6DE1"/>
    <w:pPr>
      <w:numPr>
        <w:numId w:val="8"/>
      </w:numPr>
      <w:tabs>
        <w:tab w:val="left" w:pos="1440"/>
      </w:tabs>
      <w:spacing w:after="240"/>
      <w:jc w:val="both"/>
    </w:pPr>
    <w:rPr>
      <w:szCs w:val="20"/>
    </w:rPr>
  </w:style>
  <w:style w:type="character" w:styleId="PageNumber">
    <w:name w:val="page number"/>
    <w:basedOn w:val="DefaultParagraphFont"/>
    <w:uiPriority w:val="99"/>
    <w:rsid w:val="006B6DE1"/>
    <w:rPr>
      <w:rFonts w:cs="Times New Roman"/>
    </w:rPr>
  </w:style>
  <w:style w:type="paragraph" w:customStyle="1" w:styleId="Heading1A">
    <w:name w:val="Heading 1 A"/>
    <w:next w:val="Normal"/>
    <w:uiPriority w:val="99"/>
    <w:rsid w:val="006B6DE1"/>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6B6DE1"/>
    <w:rPr>
      <w:rFonts w:ascii="Times New Roman Bold" w:hAnsi="Times New Roman Bold"/>
      <w:color w:val="000000"/>
      <w:sz w:val="24"/>
      <w:szCs w:val="20"/>
      <w:u w:val="single"/>
    </w:rPr>
  </w:style>
  <w:style w:type="character" w:customStyle="1" w:styleId="par1Char">
    <w:name w:val="par1 Char"/>
    <w:link w:val="par1"/>
    <w:uiPriority w:val="99"/>
    <w:locked/>
    <w:rsid w:val="006B6DE1"/>
    <w:rPr>
      <w:sz w:val="22"/>
    </w:rPr>
  </w:style>
  <w:style w:type="paragraph" w:styleId="ListParagraph">
    <w:name w:val="List Paragraph"/>
    <w:basedOn w:val="Normal"/>
    <w:uiPriority w:val="99"/>
    <w:qFormat/>
    <w:rsid w:val="00790F85"/>
    <w:pPr>
      <w:ind w:left="720"/>
      <w:contextualSpacing/>
    </w:pPr>
  </w:style>
  <w:style w:type="paragraph" w:customStyle="1" w:styleId="ParaNum">
    <w:name w:val="ParaNum"/>
    <w:basedOn w:val="Normal"/>
    <w:link w:val="ParaNumChar"/>
    <w:uiPriority w:val="99"/>
    <w:rsid w:val="001A56FF"/>
    <w:pPr>
      <w:widowControl w:val="0"/>
      <w:numPr>
        <w:numId w:val="12"/>
      </w:numPr>
      <w:tabs>
        <w:tab w:val="clear" w:pos="1080"/>
        <w:tab w:val="num" w:pos="1440"/>
      </w:tabs>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1A56FF"/>
    <w:rPr>
      <w:sz w:val="24"/>
      <w:lang w:val="en-US" w:eastAsia="en-US"/>
    </w:rPr>
  </w:style>
  <w:style w:type="character" w:customStyle="1" w:styleId="ParaNumChar">
    <w:name w:val="ParaNum Char"/>
    <w:link w:val="ParaNum"/>
    <w:uiPriority w:val="99"/>
    <w:locked/>
    <w:rsid w:val="001A56FF"/>
    <w:rPr>
      <w:kern w:val="28"/>
      <w:sz w:val="22"/>
    </w:rPr>
  </w:style>
  <w:style w:type="character" w:styleId="Hyperlink">
    <w:name w:val="Hyperlink"/>
    <w:basedOn w:val="DefaultParagraphFont"/>
    <w:uiPriority w:val="99"/>
    <w:rsid w:val="003719C3"/>
    <w:rPr>
      <w:rFonts w:cs="Times New Roman"/>
      <w:color w:val="0000FF"/>
      <w:u w:val="single"/>
    </w:rPr>
  </w:style>
  <w:style w:type="character" w:styleId="CommentReference">
    <w:name w:val="annotation reference"/>
    <w:basedOn w:val="DefaultParagraphFont"/>
    <w:uiPriority w:val="99"/>
    <w:semiHidden/>
    <w:locked/>
    <w:rsid w:val="00AE049C"/>
    <w:rPr>
      <w:rFonts w:cs="Times New Roman"/>
      <w:sz w:val="16"/>
      <w:szCs w:val="16"/>
    </w:rPr>
  </w:style>
  <w:style w:type="paragraph" w:styleId="CommentText">
    <w:name w:val="annotation text"/>
    <w:basedOn w:val="Normal"/>
    <w:link w:val="CommentTextChar"/>
    <w:uiPriority w:val="99"/>
    <w:semiHidden/>
    <w:locked/>
    <w:rsid w:val="00AE049C"/>
    <w:rPr>
      <w:sz w:val="20"/>
      <w:szCs w:val="20"/>
    </w:rPr>
  </w:style>
  <w:style w:type="character" w:customStyle="1" w:styleId="CommentTextChar">
    <w:name w:val="Comment Text Char"/>
    <w:basedOn w:val="DefaultParagraphFont"/>
    <w:link w:val="CommentText"/>
    <w:uiPriority w:val="99"/>
    <w:semiHidden/>
    <w:locked/>
    <w:rsid w:val="00B9715E"/>
    <w:rPr>
      <w:rFonts w:cs="Times New Roman"/>
      <w:sz w:val="20"/>
      <w:szCs w:val="20"/>
    </w:rPr>
  </w:style>
  <w:style w:type="paragraph" w:styleId="CommentSubject">
    <w:name w:val="annotation subject"/>
    <w:basedOn w:val="CommentText"/>
    <w:next w:val="CommentText"/>
    <w:link w:val="CommentSubjectChar"/>
    <w:uiPriority w:val="99"/>
    <w:semiHidden/>
    <w:locked/>
    <w:rsid w:val="00AE049C"/>
    <w:rPr>
      <w:b/>
      <w:bCs/>
    </w:rPr>
  </w:style>
  <w:style w:type="character" w:customStyle="1" w:styleId="CommentSubjectChar">
    <w:name w:val="Comment Subject Char"/>
    <w:basedOn w:val="CommentTextChar"/>
    <w:link w:val="CommentSubject"/>
    <w:uiPriority w:val="99"/>
    <w:semiHidden/>
    <w:locked/>
    <w:rsid w:val="00B9715E"/>
    <w:rPr>
      <w:rFonts w:cs="Times New Roman"/>
      <w:b/>
      <w:bCs/>
      <w:sz w:val="20"/>
      <w:szCs w:val="20"/>
    </w:rPr>
  </w:style>
  <w:style w:type="paragraph" w:styleId="Revision">
    <w:name w:val="Revision"/>
    <w:hidden/>
    <w:uiPriority w:val="99"/>
    <w:semiHidden/>
    <w:rsid w:val="00F247A0"/>
    <w:rPr>
      <w:sz w:val="24"/>
      <w:szCs w:val="24"/>
    </w:rPr>
  </w:style>
  <w:style w:type="paragraph" w:styleId="Subtitle">
    <w:name w:val="Subtitle"/>
    <w:basedOn w:val="Normal"/>
    <w:next w:val="Normal"/>
    <w:link w:val="SubtitleChar"/>
    <w:qFormat/>
    <w:rsid w:val="003D11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D115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537">
      <w:marLeft w:val="0"/>
      <w:marRight w:val="0"/>
      <w:marTop w:val="0"/>
      <w:marBottom w:val="0"/>
      <w:divBdr>
        <w:top w:val="none" w:sz="0" w:space="0" w:color="auto"/>
        <w:left w:val="none" w:sz="0" w:space="0" w:color="auto"/>
        <w:bottom w:val="none" w:sz="0" w:space="0" w:color="auto"/>
        <w:right w:val="none" w:sz="0" w:space="0" w:color="auto"/>
      </w:divBdr>
    </w:div>
    <w:div w:id="1211112808">
      <w:bodyDiv w:val="1"/>
      <w:marLeft w:val="0"/>
      <w:marRight w:val="0"/>
      <w:marTop w:val="0"/>
      <w:marBottom w:val="0"/>
      <w:divBdr>
        <w:top w:val="none" w:sz="0" w:space="0" w:color="auto"/>
        <w:left w:val="none" w:sz="0" w:space="0" w:color="auto"/>
        <w:bottom w:val="none" w:sz="0" w:space="0" w:color="auto"/>
        <w:right w:val="none" w:sz="0" w:space="0" w:color="auto"/>
      </w:divBdr>
    </w:div>
    <w:div w:id="16152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4393</Words>
  <Characters>24899</Characters>
  <Application>Microsoft Office Word</Application>
  <DocSecurity>0</DocSecurity>
  <Lines>433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2014-07-02T17:13:00Z</dcterms:created>
  <dcterms:modified xsi:type="dcterms:W3CDTF">2014-07-02T17:13:00Z</dcterms:modified>
  <cp:category> </cp:category>
  <cp:contentStatus> </cp:contentStatus>
</cp:coreProperties>
</file>