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0B63" w14:textId="77777777" w:rsidR="00B64A74" w:rsidRDefault="00B64A74">
      <w:bookmarkStart w:id="0" w:name="_GoBack"/>
      <w:bookmarkEnd w:id="0"/>
    </w:p>
    <w:p w14:paraId="64BC8DFC" w14:textId="77777777" w:rsidR="00B64A74" w:rsidRDefault="00B64A74"/>
    <w:p w14:paraId="309FDF27" w14:textId="7DED7C06" w:rsidR="00B64A74" w:rsidRDefault="00F013A7" w:rsidP="00F013A7">
      <w:pPr>
        <w:jc w:val="right"/>
      </w:pPr>
      <w:r>
        <w:t>DA 14-</w:t>
      </w:r>
      <w:r w:rsidR="00981DB6">
        <w:t>725</w:t>
      </w:r>
    </w:p>
    <w:p w14:paraId="3EE330DA" w14:textId="77777777" w:rsidR="00F013A7" w:rsidRDefault="00F013A7" w:rsidP="00095EAF">
      <w:pPr>
        <w:rPr>
          <w:sz w:val="22"/>
          <w:szCs w:val="22"/>
        </w:rPr>
      </w:pPr>
    </w:p>
    <w:p w14:paraId="2CD5EA3F" w14:textId="77777777" w:rsidR="00F013A7" w:rsidRDefault="00F013A7" w:rsidP="00095EAF">
      <w:pPr>
        <w:rPr>
          <w:sz w:val="22"/>
          <w:szCs w:val="22"/>
        </w:rPr>
      </w:pPr>
    </w:p>
    <w:p w14:paraId="0040B683" w14:textId="77777777" w:rsidR="00095EAF" w:rsidRDefault="00047836" w:rsidP="00095EAF">
      <w:pPr>
        <w:rPr>
          <w:sz w:val="22"/>
          <w:szCs w:val="22"/>
        </w:rPr>
      </w:pPr>
      <w:r>
        <w:rPr>
          <w:sz w:val="22"/>
          <w:szCs w:val="22"/>
        </w:rPr>
        <w:t>Samuel L. Feder</w:t>
      </w:r>
    </w:p>
    <w:p w14:paraId="4DA65CD0" w14:textId="77777777" w:rsidR="00047836" w:rsidRDefault="00047836" w:rsidP="00095EAF">
      <w:pPr>
        <w:rPr>
          <w:sz w:val="22"/>
          <w:szCs w:val="22"/>
        </w:rPr>
      </w:pPr>
      <w:r>
        <w:rPr>
          <w:sz w:val="22"/>
          <w:szCs w:val="22"/>
        </w:rPr>
        <w:t>Jenner &amp; Block LLP</w:t>
      </w:r>
    </w:p>
    <w:p w14:paraId="02436B43" w14:textId="77777777" w:rsidR="00047836" w:rsidRDefault="00047836" w:rsidP="00095EAF">
      <w:pPr>
        <w:rPr>
          <w:sz w:val="22"/>
          <w:szCs w:val="22"/>
        </w:rPr>
      </w:pPr>
      <w:r>
        <w:rPr>
          <w:sz w:val="22"/>
          <w:szCs w:val="22"/>
        </w:rPr>
        <w:t>1099 New York Ave, NW</w:t>
      </w:r>
    </w:p>
    <w:p w14:paraId="6F76A714" w14:textId="77777777" w:rsidR="00047836" w:rsidRPr="00095EAF" w:rsidRDefault="00047836" w:rsidP="00095EAF">
      <w:pPr>
        <w:rPr>
          <w:sz w:val="22"/>
          <w:szCs w:val="22"/>
        </w:rPr>
      </w:pPr>
      <w:r>
        <w:rPr>
          <w:sz w:val="22"/>
          <w:szCs w:val="22"/>
        </w:rPr>
        <w:t>Suite 900</w:t>
      </w:r>
    </w:p>
    <w:p w14:paraId="35F49DE2" w14:textId="77777777" w:rsidR="00C453BE" w:rsidRDefault="00047836" w:rsidP="00095EAF">
      <w:pPr>
        <w:rPr>
          <w:sz w:val="22"/>
          <w:szCs w:val="22"/>
        </w:rPr>
      </w:pPr>
      <w:r>
        <w:rPr>
          <w:sz w:val="22"/>
          <w:szCs w:val="22"/>
        </w:rPr>
        <w:t>Washington, DC 20001</w:t>
      </w:r>
    </w:p>
    <w:p w14:paraId="0459BC00" w14:textId="77777777" w:rsidR="00047836" w:rsidRDefault="00047836" w:rsidP="00095EAF">
      <w:pPr>
        <w:rPr>
          <w:sz w:val="22"/>
          <w:szCs w:val="22"/>
        </w:rPr>
      </w:pPr>
    </w:p>
    <w:p w14:paraId="018DF7C3" w14:textId="77777777" w:rsidR="00047836" w:rsidRDefault="00047836" w:rsidP="00095EAF">
      <w:pPr>
        <w:rPr>
          <w:sz w:val="22"/>
          <w:szCs w:val="22"/>
        </w:rPr>
      </w:pPr>
      <w:r>
        <w:rPr>
          <w:sz w:val="22"/>
          <w:szCs w:val="22"/>
        </w:rPr>
        <w:t>Monica Gambino</w:t>
      </w:r>
    </w:p>
    <w:p w14:paraId="3E66AA50" w14:textId="77777777" w:rsidR="00047836" w:rsidRDefault="00047836" w:rsidP="00095EAF">
      <w:pPr>
        <w:rPr>
          <w:sz w:val="22"/>
          <w:szCs w:val="22"/>
        </w:rPr>
      </w:pPr>
      <w:r>
        <w:rPr>
          <w:sz w:val="22"/>
          <w:szCs w:val="22"/>
        </w:rPr>
        <w:t>Crown Castle International Corp</w:t>
      </w:r>
    </w:p>
    <w:p w14:paraId="03A09AEE" w14:textId="77777777" w:rsidR="00047836" w:rsidRDefault="00047836" w:rsidP="00095EAF">
      <w:pPr>
        <w:rPr>
          <w:sz w:val="22"/>
          <w:szCs w:val="22"/>
        </w:rPr>
      </w:pPr>
      <w:r>
        <w:rPr>
          <w:sz w:val="22"/>
          <w:szCs w:val="22"/>
        </w:rPr>
        <w:t>2000 Corporate Drive</w:t>
      </w:r>
    </w:p>
    <w:p w14:paraId="43644F90" w14:textId="77777777" w:rsidR="00047836" w:rsidRDefault="00047836" w:rsidP="00095EAF">
      <w:pPr>
        <w:rPr>
          <w:sz w:val="22"/>
          <w:szCs w:val="22"/>
        </w:rPr>
      </w:pPr>
      <w:r>
        <w:rPr>
          <w:sz w:val="22"/>
          <w:szCs w:val="22"/>
        </w:rPr>
        <w:t>Canonsburg, PA  15317</w:t>
      </w:r>
    </w:p>
    <w:p w14:paraId="7A4D1C81" w14:textId="77777777" w:rsidR="00080295" w:rsidRDefault="00080295" w:rsidP="00C453BE">
      <w:pPr>
        <w:rPr>
          <w:sz w:val="22"/>
          <w:szCs w:val="22"/>
        </w:rPr>
      </w:pPr>
    </w:p>
    <w:p w14:paraId="7B4B6EDB" w14:textId="31704DE2" w:rsidR="00C453BE" w:rsidRPr="00635211" w:rsidRDefault="00C453BE" w:rsidP="00635211">
      <w:pPr>
        <w:tabs>
          <w:tab w:val="left" w:pos="90"/>
        </w:tabs>
        <w:ind w:left="1170" w:hanging="450"/>
        <w:rPr>
          <w:sz w:val="22"/>
          <w:szCs w:val="22"/>
        </w:rPr>
      </w:pPr>
      <w:r w:rsidRPr="00293A30">
        <w:rPr>
          <w:sz w:val="22"/>
          <w:szCs w:val="22"/>
        </w:rPr>
        <w:t xml:space="preserve">Re:  </w:t>
      </w:r>
      <w:r w:rsidR="007228E0">
        <w:rPr>
          <w:sz w:val="22"/>
          <w:szCs w:val="22"/>
          <w:u w:val="single"/>
        </w:rPr>
        <w:t xml:space="preserve">Call Sign WPYQ831; </w:t>
      </w:r>
      <w:r w:rsidR="00745F5E" w:rsidRPr="00745F5E">
        <w:rPr>
          <w:sz w:val="22"/>
          <w:szCs w:val="22"/>
          <w:u w:val="single"/>
        </w:rPr>
        <w:t>FCC File No. 0005438821</w:t>
      </w:r>
      <w:r w:rsidR="00745F5E">
        <w:rPr>
          <w:sz w:val="22"/>
          <w:szCs w:val="22"/>
          <w:u w:val="single"/>
        </w:rPr>
        <w:t xml:space="preserve"> </w:t>
      </w:r>
      <w:r w:rsidR="00745F5E" w:rsidRPr="005B443D">
        <w:rPr>
          <w:sz w:val="22"/>
          <w:szCs w:val="22"/>
          <w:u w:val="single"/>
        </w:rPr>
        <w:t>(</w:t>
      </w:r>
      <w:r w:rsidR="00047836">
        <w:rPr>
          <w:sz w:val="22"/>
          <w:szCs w:val="22"/>
          <w:u w:val="single"/>
        </w:rPr>
        <w:t>OP LLC Request for a Limited Extension or Waiver of the Section 27.14 Substantial Service Deadline for the 1670-1675 MHz Band</w:t>
      </w:r>
      <w:r w:rsidR="00745F5E">
        <w:rPr>
          <w:sz w:val="22"/>
          <w:szCs w:val="22"/>
          <w:u w:val="single"/>
        </w:rPr>
        <w:t>)</w:t>
      </w:r>
      <w:r w:rsidR="00047836">
        <w:rPr>
          <w:sz w:val="22"/>
          <w:szCs w:val="22"/>
          <w:u w:val="single"/>
        </w:rPr>
        <w:t xml:space="preserve">; </w:t>
      </w:r>
      <w:r w:rsidR="00745F5E">
        <w:rPr>
          <w:sz w:val="22"/>
          <w:szCs w:val="22"/>
          <w:u w:val="single"/>
        </w:rPr>
        <w:t>FCC File No. 0005964295 (OP LLC Construction Notification); FCC File No. 0005852832 (OP LLC Renewal Application)</w:t>
      </w:r>
      <w:r w:rsidR="00AC2350">
        <w:rPr>
          <w:sz w:val="22"/>
          <w:szCs w:val="22"/>
          <w:u w:val="single"/>
        </w:rPr>
        <w:t xml:space="preserve"> </w:t>
      </w:r>
    </w:p>
    <w:p w14:paraId="17E8BA47" w14:textId="77777777" w:rsidR="00C453BE" w:rsidRPr="00293A30" w:rsidRDefault="00C453BE" w:rsidP="00C453BE">
      <w:pPr>
        <w:rPr>
          <w:sz w:val="22"/>
          <w:szCs w:val="22"/>
        </w:rPr>
      </w:pPr>
    </w:p>
    <w:p w14:paraId="563EECDD" w14:textId="77777777" w:rsidR="00C453BE" w:rsidRPr="00293A30" w:rsidRDefault="00C453BE" w:rsidP="00C453BE">
      <w:pPr>
        <w:rPr>
          <w:sz w:val="22"/>
          <w:szCs w:val="22"/>
        </w:rPr>
      </w:pPr>
      <w:r w:rsidRPr="00293A30">
        <w:rPr>
          <w:sz w:val="22"/>
          <w:szCs w:val="22"/>
        </w:rPr>
        <w:t xml:space="preserve">Dear </w:t>
      </w:r>
      <w:r w:rsidR="000B79D1">
        <w:rPr>
          <w:sz w:val="22"/>
          <w:szCs w:val="22"/>
        </w:rPr>
        <w:t xml:space="preserve">Mr. </w:t>
      </w:r>
      <w:r w:rsidR="00745F5E">
        <w:rPr>
          <w:sz w:val="22"/>
          <w:szCs w:val="22"/>
        </w:rPr>
        <w:t>Feder and Ms. Gambino</w:t>
      </w:r>
      <w:r w:rsidRPr="00293A30">
        <w:rPr>
          <w:sz w:val="22"/>
          <w:szCs w:val="22"/>
        </w:rPr>
        <w:t>:</w:t>
      </w:r>
      <w:r w:rsidR="0090450D" w:rsidRPr="00293A30">
        <w:rPr>
          <w:sz w:val="22"/>
          <w:szCs w:val="22"/>
        </w:rPr>
        <w:t xml:space="preserve"> </w:t>
      </w:r>
    </w:p>
    <w:p w14:paraId="4711C788" w14:textId="77777777" w:rsidR="00C453BE" w:rsidRPr="00293A30" w:rsidRDefault="00C453BE" w:rsidP="00C453BE">
      <w:pPr>
        <w:rPr>
          <w:sz w:val="22"/>
          <w:szCs w:val="22"/>
        </w:rPr>
      </w:pPr>
    </w:p>
    <w:p w14:paraId="10207FCE" w14:textId="15F858A1" w:rsidR="00C453BE" w:rsidRDefault="00302B7E" w:rsidP="00C453BE">
      <w:pPr>
        <w:pStyle w:val="Header"/>
        <w:tabs>
          <w:tab w:val="clear" w:pos="4320"/>
          <w:tab w:val="center" w:pos="720"/>
        </w:tabs>
        <w:ind w:firstLine="720"/>
        <w:rPr>
          <w:sz w:val="22"/>
          <w:szCs w:val="22"/>
          <w:lang w:val="en-US"/>
        </w:rPr>
      </w:pPr>
      <w:r>
        <w:rPr>
          <w:sz w:val="22"/>
          <w:szCs w:val="22"/>
          <w:lang w:val="en-US"/>
        </w:rPr>
        <w:t xml:space="preserve">For the reasons stated below, </w:t>
      </w:r>
      <w:r w:rsidR="00385510">
        <w:rPr>
          <w:sz w:val="22"/>
          <w:szCs w:val="22"/>
          <w:lang w:val="en-US"/>
        </w:rPr>
        <w:t>t</w:t>
      </w:r>
      <w:r w:rsidR="00385510" w:rsidRPr="00293A30">
        <w:rPr>
          <w:sz w:val="22"/>
          <w:szCs w:val="22"/>
        </w:rPr>
        <w:t>he</w:t>
      </w:r>
      <w:r w:rsidR="00C453BE" w:rsidRPr="00293A30">
        <w:rPr>
          <w:sz w:val="22"/>
          <w:szCs w:val="22"/>
        </w:rPr>
        <w:t xml:space="preserve"> </w:t>
      </w:r>
      <w:r w:rsidR="007B2249">
        <w:rPr>
          <w:sz w:val="22"/>
          <w:szCs w:val="22"/>
          <w:lang w:val="en-US"/>
        </w:rPr>
        <w:t>Wireless Telecommunications Bureau (Bureau)</w:t>
      </w:r>
      <w:r w:rsidR="00C453BE" w:rsidRPr="00293A30">
        <w:rPr>
          <w:sz w:val="22"/>
          <w:szCs w:val="22"/>
        </w:rPr>
        <w:t xml:space="preserve"> </w:t>
      </w:r>
      <w:r w:rsidR="00AB10F7">
        <w:rPr>
          <w:sz w:val="22"/>
          <w:szCs w:val="22"/>
          <w:lang w:val="en-US"/>
        </w:rPr>
        <w:t>grants OP LLC</w:t>
      </w:r>
      <w:r w:rsidR="00745F5E">
        <w:rPr>
          <w:sz w:val="22"/>
          <w:szCs w:val="22"/>
          <w:lang w:val="en-US"/>
        </w:rPr>
        <w:t xml:space="preserve"> (OP)</w:t>
      </w:r>
      <w:r w:rsidR="002B1F02">
        <w:rPr>
          <w:rStyle w:val="FootnoteReference"/>
          <w:sz w:val="22"/>
          <w:szCs w:val="22"/>
          <w:lang w:val="en-US"/>
        </w:rPr>
        <w:footnoteReference w:id="2"/>
      </w:r>
      <w:r w:rsidR="00745F5E">
        <w:rPr>
          <w:sz w:val="22"/>
          <w:szCs w:val="22"/>
          <w:lang w:val="en-US"/>
        </w:rPr>
        <w:t xml:space="preserve"> </w:t>
      </w:r>
      <w:r w:rsidR="00724E43">
        <w:rPr>
          <w:sz w:val="22"/>
          <w:szCs w:val="22"/>
          <w:lang w:val="en-US"/>
        </w:rPr>
        <w:t xml:space="preserve">a </w:t>
      </w:r>
      <w:r w:rsidR="00AC2350">
        <w:rPr>
          <w:sz w:val="22"/>
          <w:szCs w:val="22"/>
          <w:lang w:val="en-US"/>
        </w:rPr>
        <w:t xml:space="preserve">waiver </w:t>
      </w:r>
      <w:r w:rsidR="007228E0">
        <w:rPr>
          <w:sz w:val="22"/>
          <w:szCs w:val="22"/>
          <w:lang w:val="en-US"/>
        </w:rPr>
        <w:t xml:space="preserve">and </w:t>
      </w:r>
      <w:r w:rsidR="00AC2350">
        <w:rPr>
          <w:sz w:val="22"/>
          <w:szCs w:val="22"/>
          <w:lang w:val="en-US"/>
        </w:rPr>
        <w:t>extend</w:t>
      </w:r>
      <w:r w:rsidR="007228E0">
        <w:rPr>
          <w:sz w:val="22"/>
          <w:szCs w:val="22"/>
          <w:lang w:val="en-US"/>
        </w:rPr>
        <w:t>s</w:t>
      </w:r>
      <w:r w:rsidR="00AC2350">
        <w:rPr>
          <w:sz w:val="22"/>
          <w:szCs w:val="22"/>
          <w:lang w:val="en-US"/>
        </w:rPr>
        <w:t xml:space="preserve"> for </w:t>
      </w:r>
      <w:r w:rsidR="00724E43">
        <w:rPr>
          <w:sz w:val="22"/>
          <w:szCs w:val="22"/>
          <w:lang w:val="en-US"/>
        </w:rPr>
        <w:t>two</w:t>
      </w:r>
      <w:r w:rsidR="00AC2350">
        <w:rPr>
          <w:sz w:val="22"/>
          <w:szCs w:val="22"/>
          <w:lang w:val="en-US"/>
        </w:rPr>
        <w:t xml:space="preserve"> </w:t>
      </w:r>
      <w:r w:rsidR="00724E43">
        <w:rPr>
          <w:sz w:val="22"/>
          <w:szCs w:val="22"/>
          <w:lang w:val="en-US"/>
        </w:rPr>
        <w:t>year</w:t>
      </w:r>
      <w:r w:rsidR="00AC2350">
        <w:rPr>
          <w:sz w:val="22"/>
          <w:szCs w:val="22"/>
          <w:lang w:val="en-US"/>
        </w:rPr>
        <w:t>s</w:t>
      </w:r>
      <w:r w:rsidR="007228E0">
        <w:rPr>
          <w:sz w:val="22"/>
          <w:szCs w:val="22"/>
          <w:lang w:val="en-US"/>
        </w:rPr>
        <w:t>,</w:t>
      </w:r>
      <w:r w:rsidR="001B04BE">
        <w:rPr>
          <w:sz w:val="22"/>
          <w:szCs w:val="22"/>
          <w:lang w:val="en-US"/>
        </w:rPr>
        <w:t xml:space="preserve"> until October 1, 2015</w:t>
      </w:r>
      <w:r w:rsidR="007228E0">
        <w:rPr>
          <w:sz w:val="22"/>
          <w:szCs w:val="22"/>
          <w:lang w:val="en-US"/>
        </w:rPr>
        <w:t>,</w:t>
      </w:r>
      <w:r w:rsidR="001B04BE">
        <w:rPr>
          <w:sz w:val="22"/>
          <w:szCs w:val="22"/>
          <w:lang w:val="en-US"/>
        </w:rPr>
        <w:t xml:space="preserve"> </w:t>
      </w:r>
      <w:r w:rsidR="00AC2350">
        <w:rPr>
          <w:sz w:val="22"/>
          <w:szCs w:val="22"/>
          <w:lang w:val="en-US"/>
        </w:rPr>
        <w:t xml:space="preserve">the </w:t>
      </w:r>
      <w:r w:rsidR="005B443D">
        <w:rPr>
          <w:sz w:val="22"/>
          <w:szCs w:val="22"/>
          <w:lang w:val="en-US"/>
        </w:rPr>
        <w:t xml:space="preserve">current </w:t>
      </w:r>
      <w:r w:rsidR="00AC2350">
        <w:rPr>
          <w:sz w:val="22"/>
          <w:szCs w:val="22"/>
          <w:lang w:val="en-US"/>
        </w:rPr>
        <w:t>deadline</w:t>
      </w:r>
      <w:r w:rsidR="00745F5E">
        <w:rPr>
          <w:sz w:val="22"/>
          <w:szCs w:val="22"/>
          <w:lang w:val="en-US"/>
        </w:rPr>
        <w:t xml:space="preserve"> to </w:t>
      </w:r>
      <w:r w:rsidR="002B1F02">
        <w:rPr>
          <w:sz w:val="22"/>
          <w:szCs w:val="22"/>
          <w:lang w:val="en-US"/>
        </w:rPr>
        <w:t xml:space="preserve">complete </w:t>
      </w:r>
      <w:r w:rsidR="00745F5E">
        <w:rPr>
          <w:sz w:val="22"/>
          <w:szCs w:val="22"/>
          <w:lang w:val="en-US"/>
        </w:rPr>
        <w:t>construct</w:t>
      </w:r>
      <w:r w:rsidR="002B1F02">
        <w:rPr>
          <w:sz w:val="22"/>
          <w:szCs w:val="22"/>
          <w:lang w:val="en-US"/>
        </w:rPr>
        <w:t>ion of</w:t>
      </w:r>
      <w:r w:rsidR="00745F5E">
        <w:rPr>
          <w:sz w:val="22"/>
          <w:szCs w:val="22"/>
          <w:lang w:val="en-US"/>
        </w:rPr>
        <w:t xml:space="preserve"> its nationwide 1670-1675 MHz Band license, Call Sign WPY</w:t>
      </w:r>
      <w:r w:rsidR="00156F89">
        <w:rPr>
          <w:sz w:val="22"/>
          <w:szCs w:val="22"/>
          <w:lang w:val="en-US"/>
        </w:rPr>
        <w:t>Q</w:t>
      </w:r>
      <w:r w:rsidR="00745F5E">
        <w:rPr>
          <w:sz w:val="22"/>
          <w:szCs w:val="22"/>
          <w:lang w:val="en-US"/>
        </w:rPr>
        <w:t xml:space="preserve">831 (the License). </w:t>
      </w:r>
      <w:r w:rsidR="00AB10F7">
        <w:rPr>
          <w:sz w:val="22"/>
          <w:szCs w:val="22"/>
          <w:lang w:val="en-US"/>
        </w:rPr>
        <w:t xml:space="preserve"> </w:t>
      </w:r>
      <w:r w:rsidR="00745F5E">
        <w:rPr>
          <w:sz w:val="22"/>
          <w:szCs w:val="22"/>
          <w:lang w:val="en-US"/>
        </w:rPr>
        <w:t xml:space="preserve">In addition, the </w:t>
      </w:r>
      <w:r w:rsidR="007B2249">
        <w:rPr>
          <w:sz w:val="22"/>
          <w:szCs w:val="22"/>
          <w:lang w:val="en-US"/>
        </w:rPr>
        <w:t xml:space="preserve">Bureau dismisses </w:t>
      </w:r>
      <w:r w:rsidR="00AC2350">
        <w:rPr>
          <w:sz w:val="22"/>
          <w:szCs w:val="22"/>
          <w:lang w:val="en-US"/>
        </w:rPr>
        <w:t xml:space="preserve">without prejudice </w:t>
      </w:r>
      <w:r w:rsidR="007B2249">
        <w:rPr>
          <w:sz w:val="22"/>
          <w:szCs w:val="22"/>
          <w:lang w:val="en-US"/>
        </w:rPr>
        <w:t xml:space="preserve">OP’s </w:t>
      </w:r>
      <w:r w:rsidR="002B1F02">
        <w:rPr>
          <w:sz w:val="22"/>
          <w:szCs w:val="22"/>
          <w:lang w:val="en-US"/>
        </w:rPr>
        <w:t xml:space="preserve">initial </w:t>
      </w:r>
      <w:r w:rsidR="007B2249">
        <w:rPr>
          <w:sz w:val="22"/>
          <w:szCs w:val="22"/>
          <w:lang w:val="en-US"/>
        </w:rPr>
        <w:t>construction notification and conditionally grants OP’s renewal application.</w:t>
      </w:r>
    </w:p>
    <w:p w14:paraId="49D3BBAE" w14:textId="77777777" w:rsidR="00724E43" w:rsidRDefault="00724E43" w:rsidP="00C453BE">
      <w:pPr>
        <w:pStyle w:val="Header"/>
        <w:tabs>
          <w:tab w:val="clear" w:pos="4320"/>
          <w:tab w:val="center" w:pos="720"/>
        </w:tabs>
        <w:ind w:firstLine="720"/>
        <w:rPr>
          <w:sz w:val="22"/>
          <w:szCs w:val="22"/>
          <w:lang w:val="en-US"/>
        </w:rPr>
      </w:pPr>
    </w:p>
    <w:p w14:paraId="34B720BB" w14:textId="7E755F11" w:rsidR="001622AE" w:rsidRPr="00F64D64" w:rsidRDefault="00724E43" w:rsidP="00E95A3A">
      <w:pPr>
        <w:pStyle w:val="Header"/>
        <w:tabs>
          <w:tab w:val="center" w:pos="720"/>
        </w:tabs>
        <w:ind w:firstLine="720"/>
        <w:rPr>
          <w:sz w:val="22"/>
          <w:szCs w:val="22"/>
          <w:lang w:val="en-US"/>
        </w:rPr>
      </w:pPr>
      <w:r>
        <w:rPr>
          <w:sz w:val="22"/>
          <w:szCs w:val="22"/>
          <w:lang w:val="en-US"/>
        </w:rPr>
        <w:t xml:space="preserve">OP holds </w:t>
      </w:r>
      <w:r w:rsidR="00AB10F7">
        <w:rPr>
          <w:sz w:val="22"/>
          <w:szCs w:val="22"/>
          <w:lang w:val="en-US"/>
        </w:rPr>
        <w:t>a</w:t>
      </w:r>
      <w:r>
        <w:rPr>
          <w:sz w:val="22"/>
          <w:szCs w:val="22"/>
          <w:lang w:val="en-US"/>
        </w:rPr>
        <w:t xml:space="preserve"> nationwide </w:t>
      </w:r>
      <w:r w:rsidR="00E952E4">
        <w:rPr>
          <w:sz w:val="22"/>
          <w:szCs w:val="22"/>
          <w:lang w:val="en-US"/>
        </w:rPr>
        <w:t xml:space="preserve">5 MHz </w:t>
      </w:r>
      <w:r>
        <w:rPr>
          <w:sz w:val="22"/>
          <w:szCs w:val="22"/>
          <w:lang w:val="en-US"/>
        </w:rPr>
        <w:t>license for the 1670-1675 MHz Band.</w:t>
      </w:r>
      <w:r w:rsidR="00977EBC">
        <w:rPr>
          <w:sz w:val="22"/>
          <w:szCs w:val="22"/>
          <w:lang w:val="en-US"/>
        </w:rPr>
        <w:t xml:space="preserve">  Pursuant to Section 27.14 of the Commission’s rules, OP must </w:t>
      </w:r>
      <w:r w:rsidR="00977EBC" w:rsidRPr="00977EBC">
        <w:rPr>
          <w:sz w:val="22"/>
          <w:szCs w:val="22"/>
          <w:lang w:val="en-US"/>
        </w:rPr>
        <w:t xml:space="preserve">make a showing of “substantial service” in </w:t>
      </w:r>
      <w:r w:rsidR="00977EBC">
        <w:rPr>
          <w:sz w:val="22"/>
          <w:szCs w:val="22"/>
          <w:lang w:val="en-US"/>
        </w:rPr>
        <w:t>its</w:t>
      </w:r>
      <w:r w:rsidR="00977EBC" w:rsidRPr="00977EBC">
        <w:rPr>
          <w:sz w:val="22"/>
          <w:szCs w:val="22"/>
          <w:lang w:val="en-US"/>
        </w:rPr>
        <w:t xml:space="preserve"> license area within </w:t>
      </w:r>
      <w:r w:rsidR="00977EBC">
        <w:rPr>
          <w:sz w:val="22"/>
          <w:szCs w:val="22"/>
          <w:lang w:val="en-US"/>
        </w:rPr>
        <w:t>10 years of its license grant</w:t>
      </w:r>
      <w:r w:rsidR="00536CCC">
        <w:rPr>
          <w:sz w:val="22"/>
          <w:szCs w:val="22"/>
          <w:lang w:val="en-US"/>
        </w:rPr>
        <w:t xml:space="preserve">, </w:t>
      </w:r>
      <w:r w:rsidR="00536CCC">
        <w:rPr>
          <w:i/>
          <w:sz w:val="22"/>
          <w:szCs w:val="22"/>
          <w:lang w:val="en-US"/>
        </w:rPr>
        <w:t xml:space="preserve">i.e., </w:t>
      </w:r>
      <w:r w:rsidR="00536CCC">
        <w:rPr>
          <w:sz w:val="22"/>
          <w:szCs w:val="22"/>
          <w:lang w:val="en-US"/>
        </w:rPr>
        <w:t xml:space="preserve">by </w:t>
      </w:r>
      <w:r w:rsidR="00E952E4">
        <w:rPr>
          <w:sz w:val="22"/>
          <w:szCs w:val="22"/>
          <w:lang w:val="en-US"/>
        </w:rPr>
        <w:t>October 1, 2013</w:t>
      </w:r>
      <w:r w:rsidR="00977EBC">
        <w:rPr>
          <w:sz w:val="22"/>
          <w:szCs w:val="22"/>
          <w:lang w:val="en-US"/>
        </w:rPr>
        <w:t>.</w:t>
      </w:r>
      <w:r w:rsidR="00977EBC">
        <w:rPr>
          <w:rStyle w:val="FootnoteReference"/>
          <w:sz w:val="22"/>
          <w:szCs w:val="22"/>
          <w:lang w:val="en-US"/>
        </w:rPr>
        <w:footnoteReference w:id="3"/>
      </w:r>
      <w:r w:rsidR="00E952E4">
        <w:rPr>
          <w:sz w:val="22"/>
          <w:szCs w:val="22"/>
          <w:lang w:val="en-US"/>
        </w:rPr>
        <w:t xml:space="preserve">  </w:t>
      </w:r>
      <w:r w:rsidR="00AC2350">
        <w:rPr>
          <w:sz w:val="22"/>
          <w:szCs w:val="22"/>
          <w:lang w:val="en-US"/>
        </w:rPr>
        <w:t>Initially, o</w:t>
      </w:r>
      <w:r w:rsidR="00E952E4">
        <w:rPr>
          <w:sz w:val="22"/>
          <w:szCs w:val="22"/>
          <w:lang w:val="en-US"/>
        </w:rPr>
        <w:t>n October 9, 2012, OP filed</w:t>
      </w:r>
      <w:r w:rsidR="00313801">
        <w:rPr>
          <w:sz w:val="22"/>
          <w:szCs w:val="22"/>
          <w:lang w:val="en-US"/>
        </w:rPr>
        <w:t xml:space="preserve"> </w:t>
      </w:r>
      <w:r w:rsidR="008061D7">
        <w:rPr>
          <w:sz w:val="22"/>
          <w:szCs w:val="22"/>
          <w:lang w:val="en-US"/>
        </w:rPr>
        <w:t xml:space="preserve">a request for </w:t>
      </w:r>
      <w:r w:rsidR="00536CCC">
        <w:rPr>
          <w:sz w:val="22"/>
          <w:szCs w:val="22"/>
          <w:lang w:val="en-US"/>
        </w:rPr>
        <w:t xml:space="preserve">a three-year </w:t>
      </w:r>
      <w:r w:rsidR="008061D7">
        <w:rPr>
          <w:sz w:val="22"/>
          <w:szCs w:val="22"/>
          <w:lang w:val="en-US"/>
        </w:rPr>
        <w:t>extension or waiver of its construction deadline.</w:t>
      </w:r>
      <w:r w:rsidR="008061D7">
        <w:rPr>
          <w:rStyle w:val="FootnoteReference"/>
          <w:sz w:val="22"/>
          <w:szCs w:val="22"/>
          <w:lang w:val="en-US"/>
        </w:rPr>
        <w:footnoteReference w:id="4"/>
      </w:r>
      <w:r w:rsidR="008061D7">
        <w:rPr>
          <w:sz w:val="22"/>
          <w:szCs w:val="22"/>
          <w:lang w:val="en-US"/>
        </w:rPr>
        <w:t xml:space="preserve">  </w:t>
      </w:r>
      <w:r w:rsidR="000C2706">
        <w:rPr>
          <w:sz w:val="22"/>
          <w:szCs w:val="22"/>
          <w:lang w:val="en-US"/>
        </w:rPr>
        <w:t>T</w:t>
      </w:r>
      <w:r w:rsidR="007B7FA0">
        <w:rPr>
          <w:sz w:val="22"/>
          <w:szCs w:val="22"/>
          <w:lang w:val="en-US"/>
        </w:rPr>
        <w:t>he Extension Request</w:t>
      </w:r>
      <w:r w:rsidR="000C2706">
        <w:rPr>
          <w:sz w:val="22"/>
          <w:szCs w:val="22"/>
          <w:lang w:val="en-US"/>
        </w:rPr>
        <w:t xml:space="preserve"> relied on</w:t>
      </w:r>
      <w:r w:rsidR="008061D7">
        <w:rPr>
          <w:sz w:val="22"/>
          <w:szCs w:val="22"/>
          <w:lang w:val="en-US"/>
        </w:rPr>
        <w:t xml:space="preserve"> </w:t>
      </w:r>
      <w:r w:rsidR="000C2706">
        <w:rPr>
          <w:sz w:val="22"/>
          <w:szCs w:val="22"/>
          <w:lang w:val="en-US"/>
        </w:rPr>
        <w:t xml:space="preserve">a plan by </w:t>
      </w:r>
      <w:r w:rsidR="002B1F02">
        <w:rPr>
          <w:sz w:val="22"/>
          <w:szCs w:val="22"/>
          <w:lang w:val="en-US"/>
        </w:rPr>
        <w:t>OP</w:t>
      </w:r>
      <w:r w:rsidR="000C2706">
        <w:rPr>
          <w:sz w:val="22"/>
          <w:szCs w:val="22"/>
          <w:lang w:val="en-US"/>
        </w:rPr>
        <w:t xml:space="preserve">’s </w:t>
      </w:r>
      <w:r w:rsidR="002B1F02">
        <w:rPr>
          <w:sz w:val="22"/>
          <w:szCs w:val="22"/>
          <w:lang w:val="en-US"/>
        </w:rPr>
        <w:t xml:space="preserve">current </w:t>
      </w:r>
      <w:r w:rsidR="000C2706" w:rsidRPr="000C2706">
        <w:rPr>
          <w:i/>
          <w:sz w:val="22"/>
          <w:szCs w:val="22"/>
          <w:lang w:val="en-US"/>
        </w:rPr>
        <w:t>de facto</w:t>
      </w:r>
      <w:r w:rsidR="000C2706" w:rsidRPr="000C2706">
        <w:rPr>
          <w:sz w:val="22"/>
          <w:szCs w:val="22"/>
          <w:lang w:val="en-US"/>
        </w:rPr>
        <w:t xml:space="preserve"> transfer lessee</w:t>
      </w:r>
      <w:r w:rsidR="000C2706">
        <w:rPr>
          <w:sz w:val="22"/>
          <w:szCs w:val="22"/>
          <w:lang w:val="en-US"/>
        </w:rPr>
        <w:t>,</w:t>
      </w:r>
      <w:r w:rsidR="002B1F02" w:rsidRPr="002B1F02">
        <w:rPr>
          <w:sz w:val="22"/>
          <w:szCs w:val="22"/>
          <w:lang w:val="en-US"/>
        </w:rPr>
        <w:t xml:space="preserve"> </w:t>
      </w:r>
      <w:r w:rsidR="002B1F02" w:rsidRPr="008B624A">
        <w:rPr>
          <w:sz w:val="22"/>
          <w:szCs w:val="22"/>
        </w:rPr>
        <w:t>One Dot Six Corp</w:t>
      </w:r>
      <w:r w:rsidR="009A252C" w:rsidRPr="008B624A">
        <w:rPr>
          <w:sz w:val="22"/>
          <w:szCs w:val="22"/>
          <w:lang w:val="en-US"/>
        </w:rPr>
        <w:t>.</w:t>
      </w:r>
      <w:r w:rsidR="008B624A" w:rsidRPr="008B624A">
        <w:rPr>
          <w:sz w:val="22"/>
          <w:szCs w:val="22"/>
          <w:lang w:val="en-US"/>
        </w:rPr>
        <w:t>, an affiliate of LightSquared (LightSquared)</w:t>
      </w:r>
      <w:r w:rsidR="002B1F02">
        <w:rPr>
          <w:sz w:val="22"/>
          <w:szCs w:val="22"/>
          <w:lang w:val="en-US"/>
        </w:rPr>
        <w:t>,</w:t>
      </w:r>
      <w:r w:rsidR="000C2706" w:rsidRPr="000C2706">
        <w:rPr>
          <w:sz w:val="22"/>
          <w:szCs w:val="22"/>
          <w:vertAlign w:val="superscript"/>
          <w:lang w:val="en-US"/>
        </w:rPr>
        <w:footnoteReference w:id="5"/>
      </w:r>
      <w:r w:rsidR="000C2706">
        <w:rPr>
          <w:sz w:val="22"/>
          <w:szCs w:val="22"/>
          <w:lang w:val="en-US"/>
        </w:rPr>
        <w:t xml:space="preserve"> </w:t>
      </w:r>
      <w:r w:rsidR="007B7FA0">
        <w:rPr>
          <w:sz w:val="22"/>
          <w:szCs w:val="22"/>
          <w:lang w:val="en-US"/>
        </w:rPr>
        <w:t>to use the spectrum as part of a nationwide, terrestrial broadband network.</w:t>
      </w:r>
      <w:r w:rsidR="007B7FA0">
        <w:rPr>
          <w:rStyle w:val="FootnoteReference"/>
          <w:sz w:val="22"/>
          <w:szCs w:val="22"/>
          <w:lang w:val="en-US"/>
        </w:rPr>
        <w:footnoteReference w:id="6"/>
      </w:r>
      <w:r w:rsidR="000009A6">
        <w:rPr>
          <w:sz w:val="22"/>
          <w:szCs w:val="22"/>
          <w:lang w:val="en-US"/>
        </w:rPr>
        <w:t xml:space="preserve">  At that time, </w:t>
      </w:r>
      <w:r w:rsidR="00E654A6">
        <w:rPr>
          <w:sz w:val="22"/>
          <w:szCs w:val="22"/>
        </w:rPr>
        <w:t>OP argue</w:t>
      </w:r>
      <w:r w:rsidR="000009A6">
        <w:rPr>
          <w:sz w:val="22"/>
          <w:szCs w:val="22"/>
          <w:lang w:val="en-US"/>
        </w:rPr>
        <w:t>d</w:t>
      </w:r>
      <w:r w:rsidR="00E654A6">
        <w:rPr>
          <w:sz w:val="22"/>
          <w:szCs w:val="22"/>
        </w:rPr>
        <w:t xml:space="preserve"> that a three-year</w:t>
      </w:r>
      <w:r w:rsidR="0017225F">
        <w:rPr>
          <w:sz w:val="22"/>
          <w:szCs w:val="22"/>
        </w:rPr>
        <w:t xml:space="preserve"> extension of the construction </w:t>
      </w:r>
      <w:r w:rsidR="00096A63">
        <w:rPr>
          <w:sz w:val="22"/>
          <w:szCs w:val="22"/>
        </w:rPr>
        <w:t xml:space="preserve">deadline </w:t>
      </w:r>
      <w:r w:rsidR="000009A6">
        <w:rPr>
          <w:sz w:val="22"/>
          <w:szCs w:val="22"/>
          <w:lang w:val="en-US"/>
        </w:rPr>
        <w:t>was</w:t>
      </w:r>
      <w:r w:rsidR="000009A6">
        <w:rPr>
          <w:sz w:val="22"/>
          <w:szCs w:val="22"/>
        </w:rPr>
        <w:t xml:space="preserve"> </w:t>
      </w:r>
      <w:r w:rsidR="0017225F">
        <w:rPr>
          <w:sz w:val="22"/>
          <w:szCs w:val="22"/>
        </w:rPr>
        <w:t>warranted</w:t>
      </w:r>
      <w:r w:rsidR="000C2706">
        <w:rPr>
          <w:sz w:val="22"/>
          <w:szCs w:val="22"/>
          <w:lang w:val="en-US"/>
        </w:rPr>
        <w:t xml:space="preserve"> based on LightSquared’s </w:t>
      </w:r>
      <w:r w:rsidR="005B4CEA">
        <w:rPr>
          <w:sz w:val="22"/>
          <w:szCs w:val="22"/>
          <w:lang w:val="en-US"/>
        </w:rPr>
        <w:t>proposed</w:t>
      </w:r>
      <w:r w:rsidR="00467559" w:rsidRPr="00467559">
        <w:rPr>
          <w:sz w:val="22"/>
          <w:szCs w:val="22"/>
          <w:lang w:val="en-US"/>
        </w:rPr>
        <w:t xml:space="preserve"> </w:t>
      </w:r>
      <w:r w:rsidR="000C2706">
        <w:rPr>
          <w:sz w:val="22"/>
          <w:szCs w:val="22"/>
          <w:lang w:val="en-US"/>
        </w:rPr>
        <w:lastRenderedPageBreak/>
        <w:t>plans</w:t>
      </w:r>
      <w:r w:rsidR="0017225F">
        <w:rPr>
          <w:sz w:val="22"/>
          <w:szCs w:val="22"/>
        </w:rPr>
        <w:t>.</w:t>
      </w:r>
      <w:r w:rsidR="009A252C">
        <w:rPr>
          <w:rStyle w:val="FootnoteReference"/>
          <w:sz w:val="22"/>
          <w:szCs w:val="22"/>
        </w:rPr>
        <w:footnoteReference w:id="7"/>
      </w:r>
      <w:r w:rsidR="0017225F">
        <w:rPr>
          <w:sz w:val="22"/>
          <w:szCs w:val="22"/>
        </w:rPr>
        <w:t xml:space="preserve"> </w:t>
      </w:r>
      <w:r w:rsidR="0005775C">
        <w:rPr>
          <w:sz w:val="22"/>
          <w:szCs w:val="22"/>
          <w:lang w:val="en-US"/>
        </w:rPr>
        <w:t xml:space="preserve"> </w:t>
      </w:r>
      <w:r w:rsidR="0005775C" w:rsidRPr="0005775C">
        <w:rPr>
          <w:sz w:val="22"/>
          <w:szCs w:val="22"/>
          <w:lang w:val="en-US"/>
        </w:rPr>
        <w:t>On November 5, 2012, the Bureau placed the Extension Request on Public Notice for comment.</w:t>
      </w:r>
      <w:r w:rsidR="0005775C">
        <w:rPr>
          <w:rStyle w:val="FootnoteReference"/>
          <w:sz w:val="22"/>
          <w:szCs w:val="22"/>
          <w:lang w:val="en-US"/>
        </w:rPr>
        <w:footnoteReference w:id="8"/>
      </w:r>
      <w:r w:rsidR="0005775C">
        <w:rPr>
          <w:sz w:val="22"/>
          <w:szCs w:val="22"/>
          <w:lang w:val="en-US"/>
        </w:rPr>
        <w:t xml:space="preserve">  </w:t>
      </w:r>
      <w:r w:rsidR="0005775C" w:rsidRPr="00F64D64">
        <w:rPr>
          <w:sz w:val="22"/>
          <w:szCs w:val="22"/>
        </w:rPr>
        <w:t>No substantive comments were received.</w:t>
      </w:r>
    </w:p>
    <w:p w14:paraId="2A3598EA" w14:textId="77777777" w:rsidR="0005775C" w:rsidRPr="0005775C" w:rsidRDefault="0005775C" w:rsidP="00E95A3A">
      <w:pPr>
        <w:pStyle w:val="Header"/>
        <w:tabs>
          <w:tab w:val="center" w:pos="720"/>
        </w:tabs>
        <w:ind w:firstLine="720"/>
        <w:rPr>
          <w:sz w:val="22"/>
          <w:szCs w:val="22"/>
          <w:lang w:val="en-US"/>
        </w:rPr>
      </w:pPr>
    </w:p>
    <w:p w14:paraId="19860761" w14:textId="1E42777C" w:rsidR="006A6957" w:rsidRDefault="008B624A" w:rsidP="001622AE">
      <w:pPr>
        <w:pStyle w:val="Header"/>
        <w:tabs>
          <w:tab w:val="center" w:pos="720"/>
        </w:tabs>
        <w:ind w:firstLine="720"/>
        <w:rPr>
          <w:sz w:val="22"/>
          <w:szCs w:val="22"/>
        </w:rPr>
      </w:pPr>
      <w:r>
        <w:rPr>
          <w:sz w:val="22"/>
          <w:szCs w:val="22"/>
          <w:lang w:val="en-US"/>
        </w:rPr>
        <w:t>O</w:t>
      </w:r>
      <w:r w:rsidR="001622AE">
        <w:rPr>
          <w:sz w:val="22"/>
          <w:szCs w:val="22"/>
        </w:rPr>
        <w:t>n September 30, 2013, OP filed</w:t>
      </w:r>
      <w:r w:rsidR="00A01065">
        <w:rPr>
          <w:sz w:val="22"/>
          <w:szCs w:val="22"/>
          <w:lang w:val="en-US"/>
        </w:rPr>
        <w:t>: 1)</w:t>
      </w:r>
      <w:r w:rsidR="001622AE">
        <w:rPr>
          <w:sz w:val="22"/>
          <w:szCs w:val="22"/>
        </w:rPr>
        <w:t xml:space="preserve"> a construction notification for the License purporting to demonstrate that it had achieved substantial service for the License</w:t>
      </w:r>
      <w:r w:rsidR="000C2706">
        <w:rPr>
          <w:sz w:val="22"/>
          <w:szCs w:val="22"/>
          <w:lang w:val="en-US"/>
        </w:rPr>
        <w:t xml:space="preserve"> </w:t>
      </w:r>
      <w:r w:rsidR="00F143B5">
        <w:rPr>
          <w:sz w:val="22"/>
          <w:szCs w:val="22"/>
          <w:lang w:val="en-US"/>
        </w:rPr>
        <w:t>based on</w:t>
      </w:r>
      <w:r w:rsidR="000C2706">
        <w:rPr>
          <w:sz w:val="22"/>
          <w:szCs w:val="22"/>
          <w:lang w:val="en-US"/>
        </w:rPr>
        <w:t xml:space="preserve"> LightSquared’s </w:t>
      </w:r>
      <w:r w:rsidR="005B4CEA">
        <w:rPr>
          <w:sz w:val="22"/>
          <w:szCs w:val="22"/>
          <w:lang w:val="en-US"/>
        </w:rPr>
        <w:t xml:space="preserve">actual </w:t>
      </w:r>
      <w:r w:rsidR="000C2706">
        <w:rPr>
          <w:sz w:val="22"/>
          <w:szCs w:val="22"/>
          <w:lang w:val="en-US"/>
        </w:rPr>
        <w:t xml:space="preserve">construction of a </w:t>
      </w:r>
      <w:r w:rsidR="000C2706" w:rsidRPr="000C2706">
        <w:rPr>
          <w:sz w:val="22"/>
          <w:szCs w:val="22"/>
          <w:lang w:val="en-US"/>
        </w:rPr>
        <w:t>Digital Video Broadcast for Handheld (DVB-H) network</w:t>
      </w:r>
      <w:r w:rsidR="00A01065">
        <w:rPr>
          <w:sz w:val="22"/>
          <w:szCs w:val="22"/>
          <w:lang w:val="en-US"/>
        </w:rPr>
        <w:t>;</w:t>
      </w:r>
      <w:r w:rsidR="001622AE">
        <w:rPr>
          <w:rStyle w:val="FootnoteReference"/>
          <w:sz w:val="22"/>
          <w:szCs w:val="22"/>
          <w:lang w:val="en-US"/>
        </w:rPr>
        <w:footnoteReference w:id="9"/>
      </w:r>
      <w:r w:rsidR="001622AE">
        <w:rPr>
          <w:sz w:val="22"/>
          <w:szCs w:val="22"/>
        </w:rPr>
        <w:t xml:space="preserve"> </w:t>
      </w:r>
      <w:r w:rsidR="00A01065">
        <w:rPr>
          <w:sz w:val="22"/>
          <w:szCs w:val="22"/>
          <w:lang w:val="en-US"/>
        </w:rPr>
        <w:t>and 2)</w:t>
      </w:r>
      <w:r w:rsidR="001622AE">
        <w:rPr>
          <w:sz w:val="22"/>
          <w:szCs w:val="22"/>
        </w:rPr>
        <w:t xml:space="preserve"> an application for renewal of the License.</w:t>
      </w:r>
      <w:r w:rsidR="001622AE">
        <w:rPr>
          <w:rStyle w:val="FootnoteReference"/>
          <w:sz w:val="22"/>
          <w:szCs w:val="22"/>
          <w:lang w:val="en-US"/>
        </w:rPr>
        <w:footnoteReference w:id="10"/>
      </w:r>
      <w:r w:rsidR="001622AE">
        <w:rPr>
          <w:sz w:val="22"/>
          <w:szCs w:val="22"/>
        </w:rPr>
        <w:t xml:space="preserve">  OP</w:t>
      </w:r>
      <w:r w:rsidR="00536CCC">
        <w:rPr>
          <w:sz w:val="22"/>
          <w:szCs w:val="22"/>
          <w:lang w:val="en-US"/>
        </w:rPr>
        <w:t>, via LightSquared,</w:t>
      </w:r>
      <w:r w:rsidR="001622AE">
        <w:rPr>
          <w:sz w:val="22"/>
          <w:szCs w:val="22"/>
        </w:rPr>
        <w:t xml:space="preserve"> </w:t>
      </w:r>
      <w:r w:rsidR="003C6419">
        <w:rPr>
          <w:sz w:val="22"/>
          <w:szCs w:val="22"/>
          <w:lang w:val="en-US"/>
        </w:rPr>
        <w:t>later</w:t>
      </w:r>
      <w:r w:rsidR="003C6419">
        <w:rPr>
          <w:sz w:val="22"/>
          <w:szCs w:val="22"/>
        </w:rPr>
        <w:t xml:space="preserve"> </w:t>
      </w:r>
      <w:r w:rsidR="001622AE">
        <w:rPr>
          <w:sz w:val="22"/>
          <w:szCs w:val="22"/>
        </w:rPr>
        <w:t>supplemented its construction showing on March 19, 2014.</w:t>
      </w:r>
      <w:r w:rsidR="001622AE">
        <w:rPr>
          <w:rStyle w:val="FootnoteReference"/>
          <w:sz w:val="22"/>
          <w:szCs w:val="22"/>
        </w:rPr>
        <w:footnoteReference w:id="11"/>
      </w:r>
      <w:r w:rsidR="001622AE">
        <w:rPr>
          <w:sz w:val="22"/>
          <w:szCs w:val="22"/>
        </w:rPr>
        <w:t xml:space="preserve">  </w:t>
      </w:r>
    </w:p>
    <w:p w14:paraId="73AD80D2" w14:textId="77777777" w:rsidR="008F4580" w:rsidRDefault="008F4580" w:rsidP="001622AE">
      <w:pPr>
        <w:pStyle w:val="Header"/>
        <w:tabs>
          <w:tab w:val="center" w:pos="720"/>
        </w:tabs>
        <w:ind w:firstLine="720"/>
        <w:rPr>
          <w:sz w:val="22"/>
          <w:szCs w:val="22"/>
        </w:rPr>
      </w:pPr>
    </w:p>
    <w:p w14:paraId="7DB927B9" w14:textId="4BBE8406" w:rsidR="00FF4C89" w:rsidRDefault="008F4580" w:rsidP="00FF4C89">
      <w:pPr>
        <w:pStyle w:val="Header"/>
        <w:tabs>
          <w:tab w:val="center" w:pos="720"/>
        </w:tabs>
        <w:ind w:firstLine="720"/>
        <w:rPr>
          <w:sz w:val="22"/>
          <w:szCs w:val="22"/>
        </w:rPr>
      </w:pPr>
      <w:r>
        <w:rPr>
          <w:sz w:val="22"/>
          <w:szCs w:val="22"/>
        </w:rPr>
        <w:t xml:space="preserve">In support of its substantial service showing, OP states that its </w:t>
      </w:r>
      <w:r w:rsidRPr="00717C14">
        <w:rPr>
          <w:i/>
          <w:sz w:val="22"/>
          <w:szCs w:val="22"/>
        </w:rPr>
        <w:t>de facto</w:t>
      </w:r>
      <w:r>
        <w:rPr>
          <w:sz w:val="22"/>
          <w:szCs w:val="22"/>
        </w:rPr>
        <w:t xml:space="preserve"> transfer </w:t>
      </w:r>
      <w:r w:rsidR="00717C14">
        <w:rPr>
          <w:sz w:val="22"/>
          <w:szCs w:val="22"/>
        </w:rPr>
        <w:t>lessee</w:t>
      </w:r>
      <w:r w:rsidR="00717C14">
        <w:rPr>
          <w:rStyle w:val="FootnoteReference"/>
          <w:sz w:val="22"/>
          <w:szCs w:val="22"/>
        </w:rPr>
        <w:footnoteReference w:id="12"/>
      </w:r>
      <w:r>
        <w:rPr>
          <w:sz w:val="22"/>
          <w:szCs w:val="22"/>
        </w:rPr>
        <w:t xml:space="preserve"> constructed a DVB-H network using the License to provide one-way mobile video service</w:t>
      </w:r>
      <w:r w:rsidR="00FF4C89">
        <w:rPr>
          <w:sz w:val="22"/>
          <w:szCs w:val="22"/>
        </w:rPr>
        <w:t>.</w:t>
      </w:r>
      <w:r w:rsidR="00FF4C89">
        <w:rPr>
          <w:rStyle w:val="FootnoteReference"/>
          <w:sz w:val="22"/>
          <w:szCs w:val="22"/>
        </w:rPr>
        <w:footnoteReference w:id="13"/>
      </w:r>
      <w:r w:rsidR="00FF4C89">
        <w:rPr>
          <w:sz w:val="22"/>
          <w:szCs w:val="22"/>
        </w:rPr>
        <w:t xml:space="preserve">  OP states that the DVB-H network is comprised of 59 transmitters,</w:t>
      </w:r>
      <w:r w:rsidR="00FF4C89">
        <w:rPr>
          <w:rStyle w:val="FootnoteReference"/>
          <w:sz w:val="22"/>
          <w:szCs w:val="22"/>
        </w:rPr>
        <w:footnoteReference w:id="14"/>
      </w:r>
      <w:r w:rsidR="00FF4C89">
        <w:rPr>
          <w:sz w:val="22"/>
          <w:szCs w:val="22"/>
        </w:rPr>
        <w:t xml:space="preserve"> deployed at a total capital investment of $7 million, and </w:t>
      </w:r>
      <w:r w:rsidR="00536CCC">
        <w:rPr>
          <w:sz w:val="22"/>
          <w:szCs w:val="22"/>
          <w:lang w:val="en-US"/>
        </w:rPr>
        <w:t xml:space="preserve">operated at a </w:t>
      </w:r>
      <w:r w:rsidR="00FF4C89">
        <w:rPr>
          <w:sz w:val="22"/>
          <w:szCs w:val="22"/>
        </w:rPr>
        <w:t>cost approximately $1 million annually.</w:t>
      </w:r>
      <w:r w:rsidR="00FF4C89">
        <w:rPr>
          <w:rStyle w:val="FootnoteReference"/>
          <w:sz w:val="22"/>
          <w:szCs w:val="22"/>
        </w:rPr>
        <w:footnoteReference w:id="15"/>
      </w:r>
      <w:r w:rsidR="00FF4C89">
        <w:rPr>
          <w:sz w:val="22"/>
          <w:szCs w:val="22"/>
        </w:rPr>
        <w:t xml:space="preserve">  As of the date of its Construction Notification, OP states that it covered approximately 88.5 million people</w:t>
      </w:r>
      <w:r w:rsidR="00C31ADC">
        <w:rPr>
          <w:sz w:val="22"/>
          <w:szCs w:val="22"/>
          <w:lang w:val="en-US"/>
        </w:rPr>
        <w:t>, or 28.3 percent of the</w:t>
      </w:r>
      <w:r w:rsidR="00FF4C89">
        <w:rPr>
          <w:sz w:val="22"/>
          <w:szCs w:val="22"/>
        </w:rPr>
        <w:t xml:space="preserve"> United States </w:t>
      </w:r>
      <w:r w:rsidR="00C31ADC">
        <w:rPr>
          <w:sz w:val="22"/>
          <w:szCs w:val="22"/>
          <w:lang w:val="en-US"/>
        </w:rPr>
        <w:t>population</w:t>
      </w:r>
      <w:r w:rsidR="00FF4C89">
        <w:rPr>
          <w:sz w:val="22"/>
          <w:szCs w:val="22"/>
        </w:rPr>
        <w:t>.</w:t>
      </w:r>
      <w:r w:rsidR="00FF4C89">
        <w:rPr>
          <w:rStyle w:val="FootnoteReference"/>
          <w:sz w:val="22"/>
          <w:szCs w:val="22"/>
        </w:rPr>
        <w:footnoteReference w:id="16"/>
      </w:r>
      <w:r w:rsidR="00FF4C89">
        <w:rPr>
          <w:sz w:val="22"/>
          <w:szCs w:val="22"/>
        </w:rPr>
        <w:t xml:space="preserve">  Further, OP notes that approximately 16 percent of the network’s predicted </w:t>
      </w:r>
      <w:r w:rsidR="00C31ADC">
        <w:rPr>
          <w:sz w:val="22"/>
          <w:szCs w:val="22"/>
          <w:lang w:val="en-US"/>
        </w:rPr>
        <w:t xml:space="preserve">geographic </w:t>
      </w:r>
      <w:r w:rsidR="00FF4C89">
        <w:rPr>
          <w:sz w:val="22"/>
          <w:szCs w:val="22"/>
        </w:rPr>
        <w:t>coverage area is rural.</w:t>
      </w:r>
      <w:r w:rsidR="00FF4C89">
        <w:rPr>
          <w:rStyle w:val="FootnoteReference"/>
          <w:sz w:val="22"/>
          <w:szCs w:val="22"/>
        </w:rPr>
        <w:footnoteReference w:id="17"/>
      </w:r>
    </w:p>
    <w:p w14:paraId="7F5E1ED5" w14:textId="50B653C9" w:rsidR="00FF4C89" w:rsidRDefault="00FF4C89" w:rsidP="00FF4C89">
      <w:pPr>
        <w:pStyle w:val="Header"/>
        <w:tabs>
          <w:tab w:val="center" w:pos="720"/>
        </w:tabs>
        <w:rPr>
          <w:sz w:val="22"/>
          <w:szCs w:val="22"/>
        </w:rPr>
      </w:pPr>
    </w:p>
    <w:p w14:paraId="1EE383FB" w14:textId="529824AF" w:rsidR="00FF4C89" w:rsidRDefault="00FF4C89" w:rsidP="001622AE">
      <w:pPr>
        <w:pStyle w:val="Header"/>
        <w:tabs>
          <w:tab w:val="center" w:pos="720"/>
        </w:tabs>
        <w:ind w:firstLine="720"/>
        <w:rPr>
          <w:sz w:val="22"/>
          <w:szCs w:val="22"/>
        </w:rPr>
      </w:pPr>
      <w:r>
        <w:rPr>
          <w:sz w:val="22"/>
          <w:szCs w:val="22"/>
        </w:rPr>
        <w:t xml:space="preserve">OP states that the DVB-H network is used to provide one-way video service </w:t>
      </w:r>
      <w:r w:rsidR="008F4580">
        <w:rPr>
          <w:sz w:val="22"/>
          <w:szCs w:val="22"/>
        </w:rPr>
        <w:t xml:space="preserve">to LightSquared’s </w:t>
      </w:r>
      <w:r w:rsidR="00536CCC">
        <w:rPr>
          <w:sz w:val="22"/>
          <w:szCs w:val="22"/>
        </w:rPr>
        <w:t>existing</w:t>
      </w:r>
      <w:r w:rsidR="008F4580">
        <w:rPr>
          <w:sz w:val="22"/>
          <w:szCs w:val="22"/>
        </w:rPr>
        <w:t xml:space="preserve"> Mobile Satellite Service (MSS) subscribers</w:t>
      </w:r>
      <w:r w:rsidR="00863F23">
        <w:rPr>
          <w:sz w:val="22"/>
          <w:szCs w:val="22"/>
        </w:rPr>
        <w:t>.</w:t>
      </w:r>
      <w:r>
        <w:rPr>
          <w:rStyle w:val="FootnoteReference"/>
          <w:sz w:val="22"/>
          <w:szCs w:val="22"/>
        </w:rPr>
        <w:footnoteReference w:id="18"/>
      </w:r>
      <w:r w:rsidR="00863F23">
        <w:rPr>
          <w:sz w:val="22"/>
          <w:szCs w:val="22"/>
        </w:rPr>
        <w:t xml:space="preserve">  </w:t>
      </w:r>
      <w:r>
        <w:rPr>
          <w:sz w:val="22"/>
          <w:szCs w:val="22"/>
        </w:rPr>
        <w:t>According to OP, subscribers use mobile receivers paired with one of three external antennas to receive service.</w:t>
      </w:r>
      <w:r>
        <w:rPr>
          <w:rStyle w:val="FootnoteReference"/>
          <w:sz w:val="22"/>
          <w:szCs w:val="22"/>
        </w:rPr>
        <w:footnoteReference w:id="19"/>
      </w:r>
      <w:r>
        <w:rPr>
          <w:sz w:val="22"/>
          <w:szCs w:val="22"/>
        </w:rPr>
        <w:t xml:space="preserve">  </w:t>
      </w:r>
      <w:r w:rsidR="00863F23">
        <w:rPr>
          <w:sz w:val="22"/>
          <w:szCs w:val="22"/>
        </w:rPr>
        <w:t>OP states that LightSquared has been rolling out this service</w:t>
      </w:r>
      <w:r w:rsidR="008F4580">
        <w:rPr>
          <w:sz w:val="22"/>
          <w:szCs w:val="22"/>
        </w:rPr>
        <w:t xml:space="preserve"> as an add-on </w:t>
      </w:r>
      <w:r w:rsidR="00863F23">
        <w:rPr>
          <w:sz w:val="22"/>
          <w:szCs w:val="22"/>
        </w:rPr>
        <w:t>offering</w:t>
      </w:r>
      <w:r>
        <w:rPr>
          <w:sz w:val="22"/>
          <w:szCs w:val="22"/>
        </w:rPr>
        <w:t xml:space="preserve"> via its current network of distributors</w:t>
      </w:r>
      <w:r w:rsidR="008F4580">
        <w:rPr>
          <w:sz w:val="22"/>
          <w:szCs w:val="22"/>
        </w:rPr>
        <w:t>.</w:t>
      </w:r>
      <w:r>
        <w:rPr>
          <w:rStyle w:val="FootnoteReference"/>
          <w:sz w:val="22"/>
          <w:szCs w:val="22"/>
        </w:rPr>
        <w:footnoteReference w:id="20"/>
      </w:r>
      <w:r w:rsidR="008F4580">
        <w:rPr>
          <w:sz w:val="22"/>
          <w:szCs w:val="22"/>
        </w:rPr>
        <w:t xml:space="preserve"> </w:t>
      </w:r>
      <w:r>
        <w:rPr>
          <w:sz w:val="22"/>
          <w:szCs w:val="22"/>
        </w:rPr>
        <w:t xml:space="preserve"> OP further states that LightSquared’s customer base includes “a variety of business and governmental end users with </w:t>
      </w:r>
      <w:r>
        <w:rPr>
          <w:sz w:val="22"/>
          <w:szCs w:val="22"/>
        </w:rPr>
        <w:lastRenderedPageBreak/>
        <w:t>specialized service needs, who are managed and serviced directly by a variety of intermediate entities to which LightSquared wholesales MSS capacity.”</w:t>
      </w:r>
      <w:r>
        <w:rPr>
          <w:rStyle w:val="FootnoteReference"/>
          <w:sz w:val="22"/>
          <w:szCs w:val="22"/>
        </w:rPr>
        <w:footnoteReference w:id="21"/>
      </w:r>
      <w:r>
        <w:rPr>
          <w:sz w:val="22"/>
          <w:szCs w:val="22"/>
        </w:rPr>
        <w:t xml:space="preserve">  OP notes that LightSquared’s MSS subscribers have used its MSS service over the past year within the coverage areas of each of the 59 deployed transmitters.</w:t>
      </w:r>
      <w:r>
        <w:rPr>
          <w:rStyle w:val="FootnoteReference"/>
          <w:sz w:val="22"/>
          <w:szCs w:val="22"/>
        </w:rPr>
        <w:footnoteReference w:id="22"/>
      </w:r>
    </w:p>
    <w:p w14:paraId="1DAB4E44" w14:textId="77777777" w:rsidR="00863F23" w:rsidRDefault="00863F23" w:rsidP="00FF4C89">
      <w:pPr>
        <w:pStyle w:val="Header"/>
        <w:tabs>
          <w:tab w:val="center" w:pos="720"/>
        </w:tabs>
        <w:rPr>
          <w:sz w:val="22"/>
          <w:szCs w:val="22"/>
        </w:rPr>
      </w:pPr>
    </w:p>
    <w:p w14:paraId="4FE641E5" w14:textId="5A79012C" w:rsidR="00863F23" w:rsidRDefault="00341D48" w:rsidP="001622AE">
      <w:pPr>
        <w:pStyle w:val="Header"/>
        <w:tabs>
          <w:tab w:val="center" w:pos="720"/>
        </w:tabs>
        <w:ind w:firstLine="720"/>
        <w:rPr>
          <w:sz w:val="22"/>
          <w:szCs w:val="22"/>
          <w:lang w:val="en-US"/>
        </w:rPr>
      </w:pPr>
      <w:r>
        <w:rPr>
          <w:sz w:val="22"/>
          <w:szCs w:val="22"/>
        </w:rPr>
        <w:t>A waiver may be granted, p</w:t>
      </w:r>
      <w:r w:rsidR="00FF4C89">
        <w:rPr>
          <w:sz w:val="22"/>
          <w:szCs w:val="22"/>
        </w:rPr>
        <w:t>ursuant to 1.</w:t>
      </w:r>
      <w:r>
        <w:rPr>
          <w:sz w:val="22"/>
          <w:szCs w:val="22"/>
        </w:rPr>
        <w:t>925</w:t>
      </w:r>
      <w:r w:rsidR="00FF4C89">
        <w:rPr>
          <w:sz w:val="22"/>
          <w:szCs w:val="22"/>
        </w:rPr>
        <w:t xml:space="preserve"> of the Commission’s rules, </w:t>
      </w:r>
      <w:r>
        <w:rPr>
          <w:sz w:val="22"/>
          <w:szCs w:val="22"/>
        </w:rPr>
        <w:t xml:space="preserve">if the petitioner establishes that: </w:t>
      </w:r>
      <w:r w:rsidRPr="00341D48">
        <w:rPr>
          <w:sz w:val="22"/>
          <w:szCs w:val="22"/>
          <w:lang w:val="en-US"/>
        </w:rPr>
        <w:t>1) the underlying purpose of the rule would not be served or would be frustrated by application to the instant case, and that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sidRPr="00341D48">
        <w:rPr>
          <w:sz w:val="22"/>
          <w:szCs w:val="22"/>
          <w:vertAlign w:val="superscript"/>
          <w:lang w:val="en-US"/>
        </w:rPr>
        <w:footnoteReference w:id="23"/>
      </w:r>
    </w:p>
    <w:p w14:paraId="3A4EBB26" w14:textId="77777777" w:rsidR="00341D48" w:rsidRDefault="00341D48" w:rsidP="001622AE">
      <w:pPr>
        <w:pStyle w:val="Header"/>
        <w:tabs>
          <w:tab w:val="center" w:pos="720"/>
        </w:tabs>
        <w:ind w:firstLine="720"/>
        <w:rPr>
          <w:sz w:val="22"/>
          <w:szCs w:val="22"/>
          <w:lang w:val="en-US"/>
        </w:rPr>
      </w:pPr>
    </w:p>
    <w:p w14:paraId="796E7E03" w14:textId="1981C395" w:rsidR="00341D48" w:rsidRPr="00156F89" w:rsidRDefault="00341D48" w:rsidP="00156F89">
      <w:pPr>
        <w:pStyle w:val="Header"/>
        <w:tabs>
          <w:tab w:val="center" w:pos="720"/>
        </w:tabs>
        <w:ind w:firstLine="720"/>
        <w:rPr>
          <w:sz w:val="22"/>
          <w:szCs w:val="22"/>
        </w:rPr>
      </w:pPr>
      <w:r w:rsidRPr="00341D48">
        <w:rPr>
          <w:sz w:val="22"/>
          <w:szCs w:val="22"/>
          <w:lang w:val="en-US"/>
        </w:rPr>
        <w:t xml:space="preserve">As an initial matter, we are not persuaded that </w:t>
      </w:r>
      <w:r>
        <w:rPr>
          <w:sz w:val="22"/>
          <w:szCs w:val="22"/>
          <w:lang w:val="en-US"/>
        </w:rPr>
        <w:t xml:space="preserve">OP’s </w:t>
      </w:r>
      <w:r w:rsidRPr="00341D48">
        <w:rPr>
          <w:sz w:val="22"/>
          <w:szCs w:val="22"/>
          <w:lang w:val="en-US"/>
        </w:rPr>
        <w:t xml:space="preserve">current level of construction and coverage </w:t>
      </w:r>
      <w:r w:rsidR="005B7965">
        <w:rPr>
          <w:sz w:val="22"/>
          <w:szCs w:val="22"/>
          <w:lang w:val="en-US"/>
        </w:rPr>
        <w:t xml:space="preserve">(through its </w:t>
      </w:r>
      <w:r w:rsidR="005B7965" w:rsidRPr="0022215D">
        <w:rPr>
          <w:i/>
          <w:sz w:val="22"/>
          <w:szCs w:val="22"/>
          <w:lang w:val="en-US"/>
        </w:rPr>
        <w:t>de facto</w:t>
      </w:r>
      <w:r w:rsidR="005B7965">
        <w:rPr>
          <w:sz w:val="22"/>
          <w:szCs w:val="22"/>
          <w:lang w:val="en-US"/>
        </w:rPr>
        <w:t xml:space="preserve"> transfer lessee)</w:t>
      </w:r>
      <w:r w:rsidR="005B7965" w:rsidRPr="00341D48">
        <w:rPr>
          <w:sz w:val="22"/>
          <w:szCs w:val="22"/>
          <w:lang w:val="en-US"/>
        </w:rPr>
        <w:t xml:space="preserve"> </w:t>
      </w:r>
      <w:r w:rsidRPr="00341D48">
        <w:rPr>
          <w:sz w:val="22"/>
          <w:szCs w:val="22"/>
          <w:lang w:val="en-US"/>
        </w:rPr>
        <w:t xml:space="preserve">should be construed as “substantial service.”  </w:t>
      </w:r>
      <w:r>
        <w:rPr>
          <w:sz w:val="22"/>
          <w:szCs w:val="22"/>
          <w:lang w:val="en-US"/>
        </w:rPr>
        <w:t>Substantial service is defined a</w:t>
      </w:r>
      <w:r w:rsidRPr="00341D48">
        <w:rPr>
          <w:sz w:val="22"/>
          <w:szCs w:val="22"/>
          <w:lang w:val="en-US"/>
        </w:rPr>
        <w:t>s “service that is sound, favorable, and substantially above a level of mediocre service that might minimally warrant renewal.”</w:t>
      </w:r>
      <w:r w:rsidRPr="00341D48">
        <w:rPr>
          <w:sz w:val="22"/>
          <w:szCs w:val="22"/>
          <w:vertAlign w:val="superscript"/>
          <w:lang w:val="en-US"/>
        </w:rPr>
        <w:footnoteReference w:id="24"/>
      </w:r>
      <w:r w:rsidRPr="00341D48">
        <w:rPr>
          <w:sz w:val="22"/>
          <w:szCs w:val="22"/>
          <w:lang w:val="en-US"/>
        </w:rPr>
        <w:t xml:space="preserve">  </w:t>
      </w:r>
      <w:r>
        <w:rPr>
          <w:sz w:val="22"/>
          <w:szCs w:val="22"/>
          <w:lang w:val="en-US"/>
        </w:rPr>
        <w:t>OP</w:t>
      </w:r>
      <w:r w:rsidR="005B7965">
        <w:rPr>
          <w:sz w:val="22"/>
          <w:szCs w:val="22"/>
          <w:lang w:val="en-US"/>
        </w:rPr>
        <w:t>’s License in the 1670-1675 MHz Band</w:t>
      </w:r>
      <w:r w:rsidRPr="00341D48">
        <w:rPr>
          <w:sz w:val="22"/>
          <w:szCs w:val="22"/>
          <w:lang w:val="en-US"/>
        </w:rPr>
        <w:t xml:space="preserve"> </w:t>
      </w:r>
      <w:r w:rsidR="005B7965">
        <w:rPr>
          <w:sz w:val="22"/>
          <w:szCs w:val="22"/>
          <w:lang w:val="en-US"/>
        </w:rPr>
        <w:t>authorizes</w:t>
      </w:r>
      <w:r w:rsidRPr="00341D48">
        <w:rPr>
          <w:sz w:val="22"/>
          <w:szCs w:val="22"/>
          <w:lang w:val="en-US"/>
        </w:rPr>
        <w:t xml:space="preserve"> nationwide </w:t>
      </w:r>
      <w:r w:rsidR="005B7965">
        <w:rPr>
          <w:sz w:val="22"/>
          <w:szCs w:val="22"/>
          <w:lang w:val="en-US"/>
        </w:rPr>
        <w:t>operation</w:t>
      </w:r>
      <w:r w:rsidRPr="00341D48">
        <w:rPr>
          <w:sz w:val="22"/>
          <w:szCs w:val="22"/>
          <w:lang w:val="en-US"/>
        </w:rPr>
        <w:t xml:space="preserve">.  </w:t>
      </w:r>
      <w:r w:rsidR="00080A81">
        <w:rPr>
          <w:sz w:val="22"/>
          <w:szCs w:val="22"/>
          <w:lang w:val="en-US"/>
        </w:rPr>
        <w:t xml:space="preserve">While </w:t>
      </w:r>
      <w:r>
        <w:rPr>
          <w:sz w:val="22"/>
          <w:szCs w:val="22"/>
          <w:lang w:val="en-US"/>
        </w:rPr>
        <w:t xml:space="preserve">LightSquared </w:t>
      </w:r>
      <w:r w:rsidR="003E33F8">
        <w:rPr>
          <w:sz w:val="22"/>
          <w:szCs w:val="22"/>
          <w:lang w:val="en-US"/>
        </w:rPr>
        <w:t>uses</w:t>
      </w:r>
      <w:r>
        <w:rPr>
          <w:sz w:val="22"/>
          <w:szCs w:val="22"/>
          <w:lang w:val="en-US"/>
        </w:rPr>
        <w:t xml:space="preserve"> the License to offer add-on, one-way video service to its </w:t>
      </w:r>
      <w:r w:rsidR="00080A81">
        <w:rPr>
          <w:sz w:val="22"/>
          <w:szCs w:val="22"/>
          <w:lang w:val="en-US"/>
        </w:rPr>
        <w:t xml:space="preserve">existing </w:t>
      </w:r>
      <w:r>
        <w:rPr>
          <w:sz w:val="22"/>
          <w:szCs w:val="22"/>
          <w:lang w:val="en-US"/>
        </w:rPr>
        <w:t>MSS customer base</w:t>
      </w:r>
      <w:r w:rsidR="005B7965">
        <w:rPr>
          <w:sz w:val="22"/>
          <w:szCs w:val="22"/>
          <w:lang w:val="en-US"/>
        </w:rPr>
        <w:t xml:space="preserve">, </w:t>
      </w:r>
      <w:r w:rsidR="003E33F8">
        <w:rPr>
          <w:sz w:val="22"/>
          <w:szCs w:val="22"/>
          <w:lang w:val="en-US"/>
        </w:rPr>
        <w:t xml:space="preserve">LightSquared’s service coverage </w:t>
      </w:r>
      <w:r w:rsidR="00703C52">
        <w:rPr>
          <w:sz w:val="22"/>
          <w:szCs w:val="22"/>
          <w:lang w:val="en-US"/>
        </w:rPr>
        <w:t xml:space="preserve">in the 1670-1675 MHz Band </w:t>
      </w:r>
      <w:r>
        <w:rPr>
          <w:sz w:val="22"/>
          <w:szCs w:val="22"/>
          <w:lang w:val="en-US"/>
        </w:rPr>
        <w:t>to this point</w:t>
      </w:r>
      <w:r w:rsidR="003E33F8">
        <w:rPr>
          <w:sz w:val="22"/>
          <w:szCs w:val="22"/>
          <w:lang w:val="en-US"/>
        </w:rPr>
        <w:t xml:space="preserve"> </w:t>
      </w:r>
      <w:r w:rsidR="005B443D">
        <w:rPr>
          <w:sz w:val="22"/>
          <w:szCs w:val="22"/>
          <w:lang w:val="en-US"/>
        </w:rPr>
        <w:t xml:space="preserve">has been focused on select urban </w:t>
      </w:r>
      <w:r w:rsidR="005C6E2A">
        <w:rPr>
          <w:sz w:val="22"/>
          <w:szCs w:val="22"/>
          <w:lang w:val="en-US"/>
        </w:rPr>
        <w:t>markets</w:t>
      </w:r>
      <w:r w:rsidR="005B443D">
        <w:rPr>
          <w:sz w:val="22"/>
          <w:szCs w:val="22"/>
          <w:lang w:val="en-US"/>
        </w:rPr>
        <w:t xml:space="preserve">, resulting in coverage to only </w:t>
      </w:r>
      <w:r>
        <w:rPr>
          <w:sz w:val="22"/>
          <w:szCs w:val="22"/>
          <w:lang w:val="en-US"/>
        </w:rPr>
        <w:t xml:space="preserve">28.3 percent of the </w:t>
      </w:r>
      <w:r w:rsidR="00C31ADC">
        <w:rPr>
          <w:sz w:val="22"/>
          <w:szCs w:val="22"/>
          <w:lang w:val="en-US"/>
        </w:rPr>
        <w:t>U.S. population</w:t>
      </w:r>
      <w:r w:rsidR="007A76C6">
        <w:rPr>
          <w:sz w:val="22"/>
          <w:szCs w:val="22"/>
          <w:lang w:val="en-US"/>
        </w:rPr>
        <w:t>.</w:t>
      </w:r>
      <w:r w:rsidR="00D155E6">
        <w:rPr>
          <w:sz w:val="22"/>
          <w:szCs w:val="22"/>
          <w:lang w:val="en-US"/>
        </w:rPr>
        <w:t xml:space="preserve">  </w:t>
      </w:r>
      <w:r w:rsidR="00156F89">
        <w:rPr>
          <w:sz w:val="22"/>
          <w:szCs w:val="22"/>
        </w:rPr>
        <w:t xml:space="preserve">Based on the information provided in the Construction Notification, there is no or </w:t>
      </w:r>
      <w:r w:rsidR="005C6E2A">
        <w:rPr>
          <w:sz w:val="22"/>
          <w:szCs w:val="22"/>
          <w:lang w:val="en-US"/>
        </w:rPr>
        <w:t xml:space="preserve">extremely </w:t>
      </w:r>
      <w:r w:rsidR="00156F89">
        <w:rPr>
          <w:sz w:val="22"/>
          <w:szCs w:val="22"/>
        </w:rPr>
        <w:t xml:space="preserve">limited </w:t>
      </w:r>
      <w:r w:rsidR="00156F89" w:rsidRPr="00156F89">
        <w:rPr>
          <w:sz w:val="22"/>
          <w:szCs w:val="22"/>
        </w:rPr>
        <w:t xml:space="preserve">coverage in </w:t>
      </w:r>
      <w:r w:rsidR="003E6BEB">
        <w:rPr>
          <w:sz w:val="22"/>
          <w:szCs w:val="22"/>
          <w:lang w:val="en-US"/>
        </w:rPr>
        <w:t>23</w:t>
      </w:r>
      <w:r w:rsidR="00C31ADC" w:rsidRPr="00156F89">
        <w:rPr>
          <w:sz w:val="22"/>
          <w:szCs w:val="22"/>
        </w:rPr>
        <w:t xml:space="preserve"> </w:t>
      </w:r>
      <w:r w:rsidR="00156F89" w:rsidRPr="00156F89">
        <w:rPr>
          <w:sz w:val="22"/>
          <w:szCs w:val="22"/>
        </w:rPr>
        <w:t xml:space="preserve">out of the </w:t>
      </w:r>
      <w:r w:rsidR="00156F89">
        <w:rPr>
          <w:sz w:val="22"/>
          <w:szCs w:val="22"/>
        </w:rPr>
        <w:t>50</w:t>
      </w:r>
      <w:r w:rsidR="00156F89" w:rsidRPr="00156F89">
        <w:rPr>
          <w:sz w:val="22"/>
          <w:szCs w:val="22"/>
        </w:rPr>
        <w:t xml:space="preserve"> states (and </w:t>
      </w:r>
      <w:r w:rsidR="00C31ADC">
        <w:rPr>
          <w:sz w:val="22"/>
          <w:szCs w:val="22"/>
          <w:lang w:val="en-US"/>
        </w:rPr>
        <w:t xml:space="preserve">Washington, </w:t>
      </w:r>
      <w:r w:rsidR="00156F89" w:rsidRPr="00156F89">
        <w:rPr>
          <w:sz w:val="22"/>
          <w:szCs w:val="22"/>
        </w:rPr>
        <w:t>DC).</w:t>
      </w:r>
      <w:r w:rsidR="00156F89">
        <w:rPr>
          <w:sz w:val="22"/>
          <w:szCs w:val="22"/>
        </w:rPr>
        <w:t xml:space="preserve">  </w:t>
      </w:r>
      <w:r w:rsidR="00795378">
        <w:rPr>
          <w:sz w:val="22"/>
          <w:szCs w:val="22"/>
          <w:lang w:val="en-US"/>
        </w:rPr>
        <w:t xml:space="preserve">This low </w:t>
      </w:r>
      <w:r w:rsidR="00202F17">
        <w:rPr>
          <w:sz w:val="22"/>
          <w:szCs w:val="22"/>
          <w:lang w:val="en-US"/>
        </w:rPr>
        <w:t xml:space="preserve">overall </w:t>
      </w:r>
      <w:r w:rsidR="00795378">
        <w:rPr>
          <w:sz w:val="22"/>
          <w:szCs w:val="22"/>
          <w:lang w:val="en-US"/>
        </w:rPr>
        <w:t>population coverage under a nationwide authorization is insufficient to demonst</w:t>
      </w:r>
      <w:r w:rsidR="00CF4F22">
        <w:rPr>
          <w:sz w:val="22"/>
          <w:szCs w:val="22"/>
          <w:lang w:val="en-US"/>
        </w:rPr>
        <w:t>r</w:t>
      </w:r>
      <w:r w:rsidR="00795378">
        <w:rPr>
          <w:sz w:val="22"/>
          <w:szCs w:val="22"/>
          <w:lang w:val="en-US"/>
        </w:rPr>
        <w:t xml:space="preserve">ate substantial service.  </w:t>
      </w:r>
      <w:r w:rsidR="00C31ADC">
        <w:rPr>
          <w:sz w:val="22"/>
          <w:szCs w:val="22"/>
          <w:lang w:val="en-US"/>
        </w:rPr>
        <w:t xml:space="preserve">OP </w:t>
      </w:r>
      <w:r w:rsidR="007A76C6">
        <w:rPr>
          <w:sz w:val="22"/>
          <w:szCs w:val="22"/>
          <w:lang w:val="en-US"/>
        </w:rPr>
        <w:t xml:space="preserve">further </w:t>
      </w:r>
      <w:r w:rsidR="00C31ADC">
        <w:rPr>
          <w:sz w:val="22"/>
          <w:szCs w:val="22"/>
          <w:lang w:val="en-US"/>
        </w:rPr>
        <w:t>notes that LightSquared</w:t>
      </w:r>
      <w:r w:rsidR="007A76C6">
        <w:rPr>
          <w:sz w:val="22"/>
          <w:szCs w:val="22"/>
          <w:lang w:val="en-US"/>
        </w:rPr>
        <w:t>’s</w:t>
      </w:r>
      <w:r w:rsidR="00C31ADC">
        <w:rPr>
          <w:sz w:val="22"/>
          <w:szCs w:val="22"/>
          <w:lang w:val="en-US"/>
        </w:rPr>
        <w:t xml:space="preserve"> DVB-H system covers approximately 11,000 square miles of rural area, </w:t>
      </w:r>
      <w:r w:rsidR="007A76C6">
        <w:rPr>
          <w:sz w:val="22"/>
          <w:szCs w:val="22"/>
          <w:lang w:val="en-US"/>
        </w:rPr>
        <w:t>representing 16 percent</w:t>
      </w:r>
      <w:r w:rsidR="007A76C6" w:rsidRPr="007A76C6">
        <w:rPr>
          <w:sz w:val="22"/>
          <w:szCs w:val="22"/>
          <w:lang w:val="en-US"/>
        </w:rPr>
        <w:t xml:space="preserve"> </w:t>
      </w:r>
      <w:r w:rsidR="007A76C6">
        <w:rPr>
          <w:sz w:val="22"/>
          <w:szCs w:val="22"/>
          <w:lang w:val="en-US"/>
        </w:rPr>
        <w:t xml:space="preserve">of the geographic area covered by </w:t>
      </w:r>
      <w:r w:rsidR="00795378">
        <w:rPr>
          <w:sz w:val="22"/>
          <w:szCs w:val="22"/>
          <w:lang w:val="en-US"/>
        </w:rPr>
        <w:t xml:space="preserve">its constructed </w:t>
      </w:r>
      <w:r w:rsidR="007A76C6">
        <w:rPr>
          <w:sz w:val="22"/>
          <w:szCs w:val="22"/>
          <w:lang w:val="en-US"/>
        </w:rPr>
        <w:t>transmitters.</w:t>
      </w:r>
      <w:r w:rsidR="009E2A69">
        <w:rPr>
          <w:rStyle w:val="FootnoteReference"/>
          <w:sz w:val="22"/>
          <w:szCs w:val="22"/>
          <w:lang w:val="en-US"/>
        </w:rPr>
        <w:footnoteReference w:id="25"/>
      </w:r>
      <w:r w:rsidR="007A76C6">
        <w:rPr>
          <w:sz w:val="22"/>
          <w:szCs w:val="22"/>
          <w:lang w:val="en-US"/>
        </w:rPr>
        <w:t xml:space="preserve">  However, </w:t>
      </w:r>
      <w:r w:rsidR="00795378">
        <w:rPr>
          <w:sz w:val="22"/>
          <w:szCs w:val="22"/>
          <w:lang w:val="en-US"/>
        </w:rPr>
        <w:t>we also do not</w:t>
      </w:r>
      <w:r w:rsidR="00086B88">
        <w:rPr>
          <w:sz w:val="22"/>
          <w:szCs w:val="22"/>
          <w:lang w:val="en-US"/>
        </w:rPr>
        <w:t xml:space="preserve"> believe that the limited </w:t>
      </w:r>
      <w:r w:rsidR="00795378">
        <w:rPr>
          <w:sz w:val="22"/>
          <w:szCs w:val="22"/>
          <w:lang w:val="en-US"/>
        </w:rPr>
        <w:t>level of rural coverage</w:t>
      </w:r>
      <w:r w:rsidR="00086B88">
        <w:rPr>
          <w:sz w:val="22"/>
          <w:szCs w:val="22"/>
          <w:lang w:val="en-US"/>
        </w:rPr>
        <w:t>,</w:t>
      </w:r>
      <w:r w:rsidR="00795378">
        <w:rPr>
          <w:sz w:val="22"/>
          <w:szCs w:val="22"/>
          <w:lang w:val="en-US"/>
        </w:rPr>
        <w:t xml:space="preserve"> </w:t>
      </w:r>
      <w:r w:rsidR="00086B88">
        <w:rPr>
          <w:sz w:val="22"/>
          <w:szCs w:val="22"/>
          <w:lang w:val="en-US"/>
        </w:rPr>
        <w:t xml:space="preserve">resulting from the construction of transmitters in exclusively urban </w:t>
      </w:r>
      <w:r w:rsidR="00940F43">
        <w:rPr>
          <w:sz w:val="22"/>
          <w:szCs w:val="22"/>
          <w:lang w:val="en-US"/>
        </w:rPr>
        <w:t>areas</w:t>
      </w:r>
      <w:r w:rsidR="00086B88">
        <w:rPr>
          <w:sz w:val="22"/>
          <w:szCs w:val="22"/>
          <w:lang w:val="en-US"/>
        </w:rPr>
        <w:t xml:space="preserve">, </w:t>
      </w:r>
      <w:r w:rsidR="00795378">
        <w:rPr>
          <w:sz w:val="22"/>
          <w:szCs w:val="22"/>
          <w:lang w:val="en-US"/>
        </w:rPr>
        <w:t xml:space="preserve">merits a finding of substantial service.  As </w:t>
      </w:r>
      <w:r w:rsidR="007A76C6">
        <w:rPr>
          <w:sz w:val="22"/>
          <w:szCs w:val="22"/>
          <w:lang w:val="en-US"/>
        </w:rPr>
        <w:t xml:space="preserve">reflected in the </w:t>
      </w:r>
      <w:r w:rsidR="00397448">
        <w:rPr>
          <w:sz w:val="22"/>
          <w:szCs w:val="22"/>
          <w:lang w:val="en-US"/>
        </w:rPr>
        <w:t xml:space="preserve">Commission’s </w:t>
      </w:r>
      <w:r w:rsidR="007A76C6">
        <w:rPr>
          <w:sz w:val="22"/>
          <w:szCs w:val="22"/>
          <w:lang w:val="en-US"/>
        </w:rPr>
        <w:t>16</w:t>
      </w:r>
      <w:r w:rsidR="007A76C6" w:rsidRPr="00F64D64">
        <w:rPr>
          <w:sz w:val="22"/>
          <w:szCs w:val="22"/>
          <w:vertAlign w:val="superscript"/>
          <w:lang w:val="en-US"/>
        </w:rPr>
        <w:t>th</w:t>
      </w:r>
      <w:r w:rsidR="007A76C6">
        <w:rPr>
          <w:sz w:val="22"/>
          <w:szCs w:val="22"/>
          <w:lang w:val="en-US"/>
        </w:rPr>
        <w:t xml:space="preserve"> Mob</w:t>
      </w:r>
      <w:r w:rsidR="00397448">
        <w:rPr>
          <w:sz w:val="22"/>
          <w:szCs w:val="22"/>
          <w:lang w:val="en-US"/>
        </w:rPr>
        <w:t>ile</w:t>
      </w:r>
      <w:r w:rsidR="007A76C6">
        <w:rPr>
          <w:sz w:val="22"/>
          <w:szCs w:val="22"/>
          <w:lang w:val="en-US"/>
        </w:rPr>
        <w:t xml:space="preserve"> Competition Report, under our rural definition, </w:t>
      </w:r>
      <w:r w:rsidR="007A76C6" w:rsidRPr="007A76C6">
        <w:rPr>
          <w:sz w:val="22"/>
          <w:szCs w:val="22"/>
          <w:lang w:val="en-US"/>
        </w:rPr>
        <w:t>roughly 59 million people, or 19 percent of the U.S. population, live in rural counties.  These counties comprise 3.1 million square miles, or 86 percent of the geographic area of the United States.</w:t>
      </w:r>
      <w:r w:rsidR="00397448">
        <w:rPr>
          <w:rStyle w:val="FootnoteReference"/>
          <w:sz w:val="22"/>
          <w:szCs w:val="22"/>
          <w:lang w:val="en-US"/>
        </w:rPr>
        <w:footnoteReference w:id="26"/>
      </w:r>
      <w:r w:rsidR="007A76C6">
        <w:rPr>
          <w:sz w:val="22"/>
          <w:szCs w:val="22"/>
          <w:lang w:val="en-US"/>
        </w:rPr>
        <w:t xml:space="preserve">  </w:t>
      </w:r>
      <w:r w:rsidR="00397448">
        <w:rPr>
          <w:sz w:val="22"/>
          <w:szCs w:val="22"/>
          <w:lang w:val="en-US"/>
        </w:rPr>
        <w:t>Accordingly, w</w:t>
      </w:r>
      <w:r w:rsidR="007A76C6">
        <w:rPr>
          <w:sz w:val="22"/>
          <w:szCs w:val="22"/>
          <w:lang w:val="en-US"/>
        </w:rPr>
        <w:t xml:space="preserve">e </w:t>
      </w:r>
      <w:r w:rsidR="00156F89" w:rsidRPr="00156F89">
        <w:rPr>
          <w:sz w:val="22"/>
          <w:szCs w:val="22"/>
        </w:rPr>
        <w:t>est</w:t>
      </w:r>
      <w:r w:rsidR="003E33F8">
        <w:rPr>
          <w:sz w:val="22"/>
          <w:szCs w:val="22"/>
        </w:rPr>
        <w:t xml:space="preserve">imate </w:t>
      </w:r>
      <w:r w:rsidR="00397448">
        <w:rPr>
          <w:sz w:val="22"/>
          <w:szCs w:val="22"/>
          <w:lang w:val="en-US"/>
        </w:rPr>
        <w:t xml:space="preserve">LightSquared’s rural coverage in the 1670-1675 MHz Band to be approximately 0.35 percent of the </w:t>
      </w:r>
      <w:r w:rsidR="00C31ADC">
        <w:rPr>
          <w:sz w:val="22"/>
          <w:szCs w:val="22"/>
          <w:lang w:val="en-US"/>
        </w:rPr>
        <w:t>rural square miles of U.S. geography</w:t>
      </w:r>
      <w:r w:rsidR="00156F89" w:rsidRPr="00156F89">
        <w:rPr>
          <w:sz w:val="22"/>
          <w:szCs w:val="22"/>
        </w:rPr>
        <w:t>.</w:t>
      </w:r>
      <w:r w:rsidR="00156F89">
        <w:rPr>
          <w:sz w:val="22"/>
          <w:szCs w:val="22"/>
        </w:rPr>
        <w:t xml:space="preserve">  </w:t>
      </w:r>
      <w:r w:rsidR="00795378">
        <w:rPr>
          <w:sz w:val="22"/>
          <w:szCs w:val="22"/>
          <w:lang w:val="en-US"/>
        </w:rPr>
        <w:t xml:space="preserve">While licensee’s have flexibility in </w:t>
      </w:r>
      <w:r w:rsidR="00086B88">
        <w:rPr>
          <w:sz w:val="22"/>
          <w:szCs w:val="22"/>
          <w:lang w:val="en-US"/>
        </w:rPr>
        <w:t xml:space="preserve">determining where to provide </w:t>
      </w:r>
      <w:r w:rsidR="00795378">
        <w:rPr>
          <w:sz w:val="22"/>
          <w:szCs w:val="22"/>
          <w:lang w:val="en-US"/>
        </w:rPr>
        <w:t>coverage and service offerings, w</w:t>
      </w:r>
      <w:r w:rsidR="00D155E6">
        <w:rPr>
          <w:sz w:val="22"/>
          <w:szCs w:val="22"/>
          <w:lang w:val="en-US"/>
        </w:rPr>
        <w:t>e wo</w:t>
      </w:r>
      <w:r w:rsidR="003E33F8">
        <w:rPr>
          <w:sz w:val="22"/>
          <w:szCs w:val="22"/>
          <w:lang w:val="en-US"/>
        </w:rPr>
        <w:t>uld expect construction of the L</w:t>
      </w:r>
      <w:r w:rsidR="00D155E6">
        <w:rPr>
          <w:sz w:val="22"/>
          <w:szCs w:val="22"/>
          <w:lang w:val="en-US"/>
        </w:rPr>
        <w:t>icense</w:t>
      </w:r>
      <w:r w:rsidR="00795378">
        <w:rPr>
          <w:sz w:val="22"/>
          <w:szCs w:val="22"/>
          <w:lang w:val="en-US"/>
        </w:rPr>
        <w:t>, a nationwide authorization,</w:t>
      </w:r>
      <w:r w:rsidR="00D155E6">
        <w:rPr>
          <w:sz w:val="22"/>
          <w:szCs w:val="22"/>
          <w:lang w:val="en-US"/>
        </w:rPr>
        <w:t xml:space="preserve"> to be more robust at the ten-year construction deadline.</w:t>
      </w:r>
      <w:r w:rsidR="000A56EB">
        <w:rPr>
          <w:sz w:val="22"/>
          <w:szCs w:val="22"/>
          <w:lang w:val="en-US"/>
        </w:rPr>
        <w:t xml:space="preserve">  Accordingly, we dismiss without prejudice OP’s Construction Notification.</w:t>
      </w:r>
      <w:r w:rsidR="000A56EB">
        <w:rPr>
          <w:rStyle w:val="FootnoteReference"/>
          <w:sz w:val="22"/>
          <w:szCs w:val="22"/>
          <w:lang w:val="en-US"/>
        </w:rPr>
        <w:footnoteReference w:id="27"/>
      </w:r>
    </w:p>
    <w:p w14:paraId="2BF540AD" w14:textId="77777777" w:rsidR="00D155E6" w:rsidRDefault="00D155E6" w:rsidP="00341D48">
      <w:pPr>
        <w:pStyle w:val="Header"/>
        <w:tabs>
          <w:tab w:val="center" w:pos="720"/>
        </w:tabs>
        <w:ind w:firstLine="720"/>
        <w:rPr>
          <w:sz w:val="22"/>
          <w:szCs w:val="22"/>
          <w:lang w:val="en-US"/>
        </w:rPr>
      </w:pPr>
    </w:p>
    <w:p w14:paraId="484BA12A" w14:textId="1EACC00D" w:rsidR="001622AE" w:rsidRDefault="00D155E6" w:rsidP="00286692">
      <w:pPr>
        <w:pStyle w:val="Header"/>
        <w:tabs>
          <w:tab w:val="center" w:pos="720"/>
        </w:tabs>
        <w:ind w:firstLine="720"/>
        <w:rPr>
          <w:sz w:val="22"/>
          <w:szCs w:val="22"/>
          <w:lang w:val="en-US"/>
        </w:rPr>
      </w:pPr>
      <w:r>
        <w:rPr>
          <w:sz w:val="22"/>
          <w:szCs w:val="22"/>
          <w:lang w:val="en-US"/>
        </w:rPr>
        <w:t>Although we do not accept OP’s substantial service showing, we are encouraged with LightSquared’s progress to date in deploying a system that provides additional services to its MSS customer base</w:t>
      </w:r>
      <w:r w:rsidR="002610E6">
        <w:rPr>
          <w:sz w:val="22"/>
          <w:szCs w:val="22"/>
          <w:lang w:val="en-US"/>
        </w:rPr>
        <w:t xml:space="preserve">.  Accordingly, consistent with our </w:t>
      </w:r>
      <w:r w:rsidR="00080A81">
        <w:rPr>
          <w:sz w:val="22"/>
          <w:szCs w:val="22"/>
          <w:lang w:val="en-US"/>
        </w:rPr>
        <w:t xml:space="preserve">prior </w:t>
      </w:r>
      <w:r w:rsidR="002610E6">
        <w:rPr>
          <w:sz w:val="22"/>
          <w:szCs w:val="22"/>
          <w:lang w:val="en-US"/>
        </w:rPr>
        <w:t xml:space="preserve">decision in </w:t>
      </w:r>
      <w:r w:rsidR="002610E6">
        <w:rPr>
          <w:i/>
          <w:sz w:val="22"/>
          <w:szCs w:val="22"/>
          <w:lang w:val="en-US"/>
        </w:rPr>
        <w:t>NRTC,</w:t>
      </w:r>
      <w:r>
        <w:rPr>
          <w:sz w:val="22"/>
          <w:szCs w:val="22"/>
          <w:lang w:val="en-US"/>
        </w:rPr>
        <w:t xml:space="preserve"> </w:t>
      </w:r>
      <w:r w:rsidR="002610E6">
        <w:rPr>
          <w:sz w:val="22"/>
          <w:szCs w:val="22"/>
          <w:lang w:val="en-US"/>
        </w:rPr>
        <w:t xml:space="preserve">we </w:t>
      </w:r>
      <w:r>
        <w:rPr>
          <w:sz w:val="22"/>
          <w:szCs w:val="22"/>
          <w:lang w:val="en-US"/>
        </w:rPr>
        <w:t xml:space="preserve">find that a waiver </w:t>
      </w:r>
      <w:r w:rsidR="002610E6" w:rsidRPr="002610E6">
        <w:rPr>
          <w:sz w:val="22"/>
          <w:szCs w:val="22"/>
          <w:lang w:val="en-US"/>
        </w:rPr>
        <w:t xml:space="preserve">to extend for two years the deadline </w:t>
      </w:r>
      <w:r w:rsidR="002610E6">
        <w:rPr>
          <w:sz w:val="22"/>
          <w:szCs w:val="22"/>
          <w:lang w:val="en-US"/>
        </w:rPr>
        <w:t xml:space="preserve">for </w:t>
      </w:r>
      <w:r>
        <w:rPr>
          <w:sz w:val="22"/>
          <w:szCs w:val="22"/>
          <w:lang w:val="en-US"/>
        </w:rPr>
        <w:t>OP to meet its const</w:t>
      </w:r>
      <w:r w:rsidR="0029460B">
        <w:rPr>
          <w:sz w:val="22"/>
          <w:szCs w:val="22"/>
          <w:lang w:val="en-US"/>
        </w:rPr>
        <w:t>ruction requirement</w:t>
      </w:r>
      <w:r>
        <w:rPr>
          <w:sz w:val="22"/>
          <w:szCs w:val="22"/>
          <w:lang w:val="en-US"/>
        </w:rPr>
        <w:t xml:space="preserve"> is warranted</w:t>
      </w:r>
      <w:r w:rsidR="001211B7">
        <w:rPr>
          <w:sz w:val="22"/>
          <w:szCs w:val="22"/>
          <w:lang w:val="en-US"/>
        </w:rPr>
        <w:t xml:space="preserve"> in the public interest,</w:t>
      </w:r>
      <w:r>
        <w:rPr>
          <w:rStyle w:val="FootnoteReference"/>
          <w:sz w:val="22"/>
          <w:szCs w:val="22"/>
          <w:lang w:val="en-US"/>
        </w:rPr>
        <w:footnoteReference w:id="28"/>
      </w:r>
      <w:r w:rsidR="00286692">
        <w:rPr>
          <w:sz w:val="22"/>
          <w:szCs w:val="22"/>
          <w:lang w:val="en-US"/>
        </w:rPr>
        <w:t xml:space="preserve"> </w:t>
      </w:r>
      <w:r w:rsidR="001211B7">
        <w:rPr>
          <w:sz w:val="22"/>
          <w:szCs w:val="22"/>
          <w:lang w:val="en-US"/>
        </w:rPr>
        <w:t xml:space="preserve">and that the underlying purpose of the rule would be frustrated absent such relief. </w:t>
      </w:r>
      <w:r w:rsidR="00286692">
        <w:rPr>
          <w:sz w:val="22"/>
          <w:szCs w:val="22"/>
          <w:lang w:val="en-US"/>
        </w:rPr>
        <w:t xml:space="preserve"> </w:t>
      </w:r>
      <w:r w:rsidR="002610E6">
        <w:rPr>
          <w:sz w:val="22"/>
          <w:szCs w:val="22"/>
          <w:lang w:val="en-US"/>
        </w:rPr>
        <w:t xml:space="preserve">As in </w:t>
      </w:r>
      <w:r w:rsidR="002610E6" w:rsidRPr="002610E6">
        <w:rPr>
          <w:i/>
          <w:sz w:val="22"/>
          <w:szCs w:val="22"/>
          <w:lang w:val="en-US"/>
        </w:rPr>
        <w:t>NRTC</w:t>
      </w:r>
      <w:r w:rsidR="002610E6">
        <w:rPr>
          <w:sz w:val="22"/>
          <w:szCs w:val="22"/>
          <w:lang w:val="en-US"/>
        </w:rPr>
        <w:t xml:space="preserve">, OP holds a nationwide license, for which it has </w:t>
      </w:r>
      <w:r w:rsidR="00F308DA">
        <w:rPr>
          <w:sz w:val="22"/>
          <w:szCs w:val="22"/>
          <w:lang w:val="en-US"/>
        </w:rPr>
        <w:t xml:space="preserve">undertaken </w:t>
      </w:r>
      <w:r w:rsidR="002610E6">
        <w:rPr>
          <w:sz w:val="22"/>
          <w:szCs w:val="22"/>
          <w:lang w:val="en-US"/>
        </w:rPr>
        <w:t>construct</w:t>
      </w:r>
      <w:r w:rsidR="00F308DA">
        <w:rPr>
          <w:sz w:val="22"/>
          <w:szCs w:val="22"/>
          <w:lang w:val="en-US"/>
        </w:rPr>
        <w:t>ion of</w:t>
      </w:r>
      <w:r w:rsidR="002610E6">
        <w:rPr>
          <w:sz w:val="22"/>
          <w:szCs w:val="22"/>
          <w:lang w:val="en-US"/>
        </w:rPr>
        <w:t xml:space="preserve"> (via its </w:t>
      </w:r>
      <w:r w:rsidR="002610E6">
        <w:rPr>
          <w:i/>
          <w:sz w:val="22"/>
          <w:szCs w:val="22"/>
          <w:lang w:val="en-US"/>
        </w:rPr>
        <w:t xml:space="preserve">de facto </w:t>
      </w:r>
      <w:r w:rsidR="00F308DA">
        <w:rPr>
          <w:sz w:val="22"/>
          <w:szCs w:val="22"/>
          <w:lang w:val="en-US"/>
        </w:rPr>
        <w:t>transfer l</w:t>
      </w:r>
      <w:r w:rsidR="00080A81">
        <w:rPr>
          <w:sz w:val="22"/>
          <w:szCs w:val="22"/>
          <w:lang w:val="en-US"/>
        </w:rPr>
        <w:t>essee</w:t>
      </w:r>
      <w:r w:rsidR="00F308DA">
        <w:rPr>
          <w:sz w:val="22"/>
          <w:szCs w:val="22"/>
          <w:lang w:val="en-US"/>
        </w:rPr>
        <w:t xml:space="preserve">) </w:t>
      </w:r>
      <w:r w:rsidR="001211B7">
        <w:rPr>
          <w:sz w:val="22"/>
          <w:szCs w:val="22"/>
          <w:lang w:val="en-US"/>
        </w:rPr>
        <w:t>a</w:t>
      </w:r>
      <w:r w:rsidR="00F308DA">
        <w:rPr>
          <w:sz w:val="22"/>
          <w:szCs w:val="22"/>
          <w:lang w:val="en-US"/>
        </w:rPr>
        <w:t xml:space="preserve"> network</w:t>
      </w:r>
      <w:r w:rsidR="003E6BEB">
        <w:rPr>
          <w:sz w:val="22"/>
          <w:szCs w:val="22"/>
          <w:lang w:val="en-US"/>
        </w:rPr>
        <w:t>,</w:t>
      </w:r>
      <w:r w:rsidR="001211B7">
        <w:rPr>
          <w:sz w:val="22"/>
          <w:szCs w:val="22"/>
          <w:lang w:val="en-US"/>
        </w:rPr>
        <w:t xml:space="preserve"> </w:t>
      </w:r>
      <w:r w:rsidR="00397448">
        <w:rPr>
          <w:sz w:val="22"/>
          <w:szCs w:val="22"/>
          <w:lang w:val="en-US"/>
        </w:rPr>
        <w:t>and</w:t>
      </w:r>
      <w:r w:rsidR="001211B7">
        <w:rPr>
          <w:sz w:val="22"/>
          <w:szCs w:val="22"/>
          <w:lang w:val="en-US"/>
        </w:rPr>
        <w:t xml:space="preserve"> provide</w:t>
      </w:r>
      <w:r w:rsidR="00397448">
        <w:rPr>
          <w:sz w:val="22"/>
          <w:szCs w:val="22"/>
          <w:lang w:val="en-US"/>
        </w:rPr>
        <w:t>s</w:t>
      </w:r>
      <w:r w:rsidR="001211B7">
        <w:rPr>
          <w:sz w:val="22"/>
          <w:szCs w:val="22"/>
          <w:lang w:val="en-US"/>
        </w:rPr>
        <w:t xml:space="preserve"> actual service to customers</w:t>
      </w:r>
      <w:r w:rsidR="00F308DA">
        <w:rPr>
          <w:sz w:val="22"/>
          <w:szCs w:val="22"/>
          <w:lang w:val="en-US"/>
        </w:rPr>
        <w:t>.</w:t>
      </w:r>
      <w:r w:rsidR="00F308DA">
        <w:rPr>
          <w:rStyle w:val="FootnoteReference"/>
          <w:sz w:val="22"/>
          <w:szCs w:val="22"/>
          <w:lang w:val="en-US"/>
        </w:rPr>
        <w:footnoteReference w:id="29"/>
      </w:r>
      <w:r w:rsidR="00F308DA">
        <w:rPr>
          <w:sz w:val="22"/>
          <w:szCs w:val="22"/>
          <w:lang w:val="en-US"/>
        </w:rPr>
        <w:t xml:space="preserve"> </w:t>
      </w:r>
      <w:r w:rsidR="002610E6">
        <w:rPr>
          <w:sz w:val="22"/>
          <w:szCs w:val="22"/>
          <w:lang w:val="en-US"/>
        </w:rPr>
        <w:t xml:space="preserve"> </w:t>
      </w:r>
      <w:r w:rsidR="00286692" w:rsidRPr="002610E6">
        <w:rPr>
          <w:sz w:val="22"/>
          <w:szCs w:val="22"/>
          <w:lang w:val="en-US"/>
        </w:rPr>
        <w:t>We</w:t>
      </w:r>
      <w:r w:rsidR="00286692">
        <w:rPr>
          <w:sz w:val="22"/>
          <w:szCs w:val="22"/>
          <w:lang w:val="en-US"/>
        </w:rPr>
        <w:t xml:space="preserve"> recognize that wireless providers seek to distinguish their services with value added offerings, and thus providing OP with an additional two years to further develop its service offering is consistent with the Commission’s public interest goal of promoting efficient use of the spectrum.  Through its construction of 51 sites</w:t>
      </w:r>
      <w:r w:rsidR="00286692">
        <w:rPr>
          <w:rStyle w:val="FootnoteReference"/>
          <w:sz w:val="22"/>
          <w:szCs w:val="22"/>
          <w:lang w:val="en-US"/>
        </w:rPr>
        <w:footnoteReference w:id="30"/>
      </w:r>
      <w:r w:rsidR="00286692">
        <w:rPr>
          <w:sz w:val="22"/>
          <w:szCs w:val="22"/>
          <w:lang w:val="en-US"/>
        </w:rPr>
        <w:t xml:space="preserve"> and </w:t>
      </w:r>
      <w:r w:rsidR="003D7CBD">
        <w:rPr>
          <w:sz w:val="22"/>
          <w:szCs w:val="22"/>
          <w:lang w:val="en-US"/>
        </w:rPr>
        <w:t>a DVB-H mobile video network covering</w:t>
      </w:r>
      <w:r w:rsidR="00286692">
        <w:rPr>
          <w:sz w:val="22"/>
          <w:szCs w:val="22"/>
          <w:lang w:val="en-US"/>
        </w:rPr>
        <w:t xml:space="preserve"> 28.3% of the </w:t>
      </w:r>
      <w:r w:rsidR="00735651">
        <w:rPr>
          <w:sz w:val="22"/>
          <w:szCs w:val="22"/>
          <w:lang w:val="en-US"/>
        </w:rPr>
        <w:t xml:space="preserve">U.S. </w:t>
      </w:r>
      <w:r w:rsidR="00286692">
        <w:rPr>
          <w:sz w:val="22"/>
          <w:szCs w:val="22"/>
          <w:lang w:val="en-US"/>
        </w:rPr>
        <w:t>population,</w:t>
      </w:r>
      <w:r w:rsidR="00286692">
        <w:rPr>
          <w:rStyle w:val="FootnoteReference"/>
          <w:sz w:val="22"/>
          <w:szCs w:val="22"/>
          <w:lang w:val="en-US"/>
        </w:rPr>
        <w:footnoteReference w:id="31"/>
      </w:r>
      <w:r w:rsidR="00286692">
        <w:rPr>
          <w:sz w:val="22"/>
          <w:szCs w:val="22"/>
          <w:lang w:val="en-US"/>
        </w:rPr>
        <w:t xml:space="preserve"> OP has demonstrated that it has and will continue to put the licenses to effective use and will not warehouse the spectrum.  </w:t>
      </w:r>
      <w:r w:rsidR="00F308DA">
        <w:rPr>
          <w:sz w:val="22"/>
          <w:szCs w:val="22"/>
          <w:lang w:val="en-US"/>
        </w:rPr>
        <w:t xml:space="preserve">As in </w:t>
      </w:r>
      <w:r w:rsidR="00F308DA">
        <w:rPr>
          <w:i/>
          <w:sz w:val="22"/>
          <w:szCs w:val="22"/>
          <w:lang w:val="en-US"/>
        </w:rPr>
        <w:t xml:space="preserve">NRTC, </w:t>
      </w:r>
      <w:r w:rsidR="00F308DA">
        <w:rPr>
          <w:sz w:val="22"/>
          <w:szCs w:val="22"/>
          <w:lang w:val="en-US"/>
        </w:rPr>
        <w:t>OP’s demonstrated construction efforts, while not yet reaching a level of substantial service, warrant additional time for further construction to meet our substantial service requirement.</w:t>
      </w:r>
      <w:r w:rsidR="00F308DA">
        <w:rPr>
          <w:rStyle w:val="FootnoteReference"/>
          <w:sz w:val="22"/>
          <w:szCs w:val="22"/>
          <w:lang w:val="en-US"/>
        </w:rPr>
        <w:footnoteReference w:id="32"/>
      </w:r>
      <w:r w:rsidR="00F308DA">
        <w:rPr>
          <w:sz w:val="22"/>
          <w:szCs w:val="22"/>
          <w:lang w:val="en-US"/>
        </w:rPr>
        <w:t xml:space="preserve">  </w:t>
      </w:r>
      <w:r w:rsidR="00286692">
        <w:rPr>
          <w:sz w:val="22"/>
          <w:szCs w:val="22"/>
          <w:lang w:val="en-US"/>
        </w:rPr>
        <w:t>Accordingly, we grant a two-year waiver of the 10-year construction deadline in Section 27.14 of our rules</w:t>
      </w:r>
      <w:r w:rsidR="002610E6">
        <w:rPr>
          <w:sz w:val="22"/>
          <w:szCs w:val="22"/>
          <w:lang w:val="en-US"/>
        </w:rPr>
        <w:t xml:space="preserve">; OP’s 10-year construction deadline is now October 1, 2015. </w:t>
      </w:r>
      <w:r w:rsidR="003E6BEB">
        <w:rPr>
          <w:sz w:val="22"/>
          <w:szCs w:val="22"/>
          <w:lang w:val="en-US"/>
        </w:rPr>
        <w:t xml:space="preserve"> </w:t>
      </w:r>
      <w:r w:rsidR="00286692">
        <w:rPr>
          <w:sz w:val="22"/>
          <w:szCs w:val="22"/>
          <w:lang w:val="en-US"/>
        </w:rPr>
        <w:t xml:space="preserve">In addition, we grant </w:t>
      </w:r>
      <w:r w:rsidR="007E2879">
        <w:rPr>
          <w:sz w:val="22"/>
          <w:szCs w:val="22"/>
          <w:lang w:val="en-US"/>
        </w:rPr>
        <w:t>O</w:t>
      </w:r>
      <w:r w:rsidR="00A43E94">
        <w:rPr>
          <w:sz w:val="22"/>
          <w:szCs w:val="22"/>
          <w:lang w:val="en-US"/>
        </w:rPr>
        <w:t>P</w:t>
      </w:r>
      <w:r w:rsidR="007E2879">
        <w:rPr>
          <w:sz w:val="22"/>
          <w:szCs w:val="22"/>
          <w:lang w:val="en-US"/>
        </w:rPr>
        <w:t>’s</w:t>
      </w:r>
      <w:r w:rsidR="00286692">
        <w:rPr>
          <w:sz w:val="22"/>
          <w:szCs w:val="22"/>
          <w:lang w:val="en-US"/>
        </w:rPr>
        <w:t xml:space="preserve"> Renewal Application for the License</w:t>
      </w:r>
      <w:r w:rsidR="007E2879">
        <w:rPr>
          <w:sz w:val="22"/>
          <w:szCs w:val="22"/>
          <w:lang w:val="en-US"/>
        </w:rPr>
        <w:t xml:space="preserve">, </w:t>
      </w:r>
      <w:r w:rsidR="00286692">
        <w:rPr>
          <w:sz w:val="22"/>
          <w:szCs w:val="22"/>
          <w:lang w:val="en-US"/>
        </w:rPr>
        <w:t xml:space="preserve">conditioned on OP satisfactorily demonstrating substantial service by the end of its </w:t>
      </w:r>
      <w:r w:rsidR="007E2879">
        <w:rPr>
          <w:sz w:val="22"/>
          <w:szCs w:val="22"/>
          <w:lang w:val="en-US"/>
        </w:rPr>
        <w:t>extended construction deadline, October 1, 2015</w:t>
      </w:r>
      <w:r w:rsidR="00286692">
        <w:rPr>
          <w:sz w:val="22"/>
          <w:szCs w:val="22"/>
          <w:lang w:val="en-US"/>
        </w:rPr>
        <w:t>.</w:t>
      </w:r>
      <w:r w:rsidR="001113A6">
        <w:rPr>
          <w:rStyle w:val="FootnoteReference"/>
          <w:sz w:val="22"/>
          <w:szCs w:val="22"/>
          <w:lang w:val="en-US"/>
        </w:rPr>
        <w:footnoteReference w:id="33"/>
      </w:r>
    </w:p>
    <w:p w14:paraId="4167C4DD" w14:textId="77777777" w:rsidR="000D46DF" w:rsidRDefault="000D46DF" w:rsidP="00286692">
      <w:pPr>
        <w:pStyle w:val="Header"/>
        <w:tabs>
          <w:tab w:val="center" w:pos="720"/>
        </w:tabs>
        <w:ind w:firstLine="720"/>
        <w:rPr>
          <w:sz w:val="22"/>
          <w:szCs w:val="22"/>
          <w:lang w:val="en-US"/>
        </w:rPr>
      </w:pPr>
    </w:p>
    <w:p w14:paraId="4743C10D" w14:textId="10161E32" w:rsidR="00F64D64" w:rsidRDefault="000D46DF" w:rsidP="00286692">
      <w:pPr>
        <w:pStyle w:val="Header"/>
        <w:tabs>
          <w:tab w:val="center" w:pos="720"/>
        </w:tabs>
        <w:ind w:firstLine="720"/>
        <w:rPr>
          <w:sz w:val="22"/>
          <w:szCs w:val="22"/>
          <w:lang w:val="en-US"/>
        </w:rPr>
      </w:pPr>
      <w:r w:rsidRPr="000D46DF">
        <w:rPr>
          <w:sz w:val="22"/>
          <w:szCs w:val="22"/>
          <w:lang w:val="en-US"/>
        </w:rPr>
        <w:t xml:space="preserve">Because </w:t>
      </w:r>
      <w:r w:rsidR="00080A81">
        <w:rPr>
          <w:sz w:val="22"/>
          <w:szCs w:val="22"/>
          <w:lang w:val="en-US"/>
        </w:rPr>
        <w:t>w</w:t>
      </w:r>
      <w:r w:rsidR="00080A81" w:rsidRPr="000D46DF">
        <w:rPr>
          <w:sz w:val="22"/>
          <w:szCs w:val="22"/>
          <w:lang w:val="en-US"/>
        </w:rPr>
        <w:t xml:space="preserve">e find that a waiver is warranted based solely on </w:t>
      </w:r>
      <w:r w:rsidR="00080A81">
        <w:rPr>
          <w:sz w:val="22"/>
          <w:szCs w:val="22"/>
          <w:lang w:val="en-US"/>
        </w:rPr>
        <w:t>OP’s</w:t>
      </w:r>
      <w:r w:rsidR="00080A81" w:rsidRPr="000D46DF">
        <w:rPr>
          <w:sz w:val="22"/>
          <w:szCs w:val="22"/>
          <w:lang w:val="en-US"/>
        </w:rPr>
        <w:t xml:space="preserve"> demonstrated progress with LightSquared’s actual DVB-H network buildout</w:t>
      </w:r>
      <w:r w:rsidR="00080A81">
        <w:rPr>
          <w:sz w:val="22"/>
          <w:szCs w:val="22"/>
          <w:lang w:val="en-US"/>
        </w:rPr>
        <w:t>, as reflected in OP’s</w:t>
      </w:r>
      <w:r w:rsidR="00351217">
        <w:rPr>
          <w:sz w:val="22"/>
          <w:szCs w:val="22"/>
          <w:lang w:val="en-US"/>
        </w:rPr>
        <w:t xml:space="preserve"> </w:t>
      </w:r>
      <w:r w:rsidRPr="000D46DF">
        <w:rPr>
          <w:sz w:val="22"/>
          <w:szCs w:val="22"/>
          <w:lang w:val="en-US"/>
        </w:rPr>
        <w:t xml:space="preserve">Construction Notification, we need not address the arguments in the Extension Request regarding LightSquared’s proposed terrestrial </w:t>
      </w:r>
    </w:p>
    <w:p w14:paraId="19045BCD" w14:textId="77777777" w:rsidR="00F64D64" w:rsidRDefault="00F64D64">
      <w:pPr>
        <w:rPr>
          <w:sz w:val="22"/>
          <w:szCs w:val="22"/>
          <w:lang w:eastAsia="x-none"/>
        </w:rPr>
      </w:pPr>
      <w:r>
        <w:rPr>
          <w:sz w:val="22"/>
          <w:szCs w:val="22"/>
        </w:rPr>
        <w:br w:type="page"/>
      </w:r>
    </w:p>
    <w:p w14:paraId="44F81845" w14:textId="0D51DFD3" w:rsidR="000D46DF" w:rsidRPr="00286692" w:rsidRDefault="000D46DF" w:rsidP="00F64D64">
      <w:pPr>
        <w:pStyle w:val="Header"/>
        <w:tabs>
          <w:tab w:val="center" w:pos="720"/>
        </w:tabs>
        <w:rPr>
          <w:sz w:val="22"/>
          <w:szCs w:val="22"/>
          <w:lang w:val="en-US"/>
        </w:rPr>
      </w:pPr>
      <w:r w:rsidRPr="000D46DF">
        <w:rPr>
          <w:sz w:val="22"/>
          <w:szCs w:val="22"/>
          <w:lang w:val="en-US"/>
        </w:rPr>
        <w:t>broadband wireless network.</w:t>
      </w:r>
      <w:r w:rsidR="00351217">
        <w:rPr>
          <w:sz w:val="22"/>
          <w:szCs w:val="22"/>
          <w:lang w:val="en-US"/>
        </w:rPr>
        <w:t xml:space="preserve"> </w:t>
      </w:r>
      <w:r w:rsidR="00877587">
        <w:rPr>
          <w:sz w:val="22"/>
          <w:szCs w:val="22"/>
          <w:lang w:val="en-US"/>
        </w:rPr>
        <w:t xml:space="preserve"> However, this grant is without prejudice to OP demonstrating that additional time to construct through its </w:t>
      </w:r>
      <w:r w:rsidR="00877587" w:rsidRPr="006C6943">
        <w:rPr>
          <w:i/>
          <w:sz w:val="22"/>
          <w:szCs w:val="22"/>
          <w:lang w:val="en-US"/>
        </w:rPr>
        <w:t>de facto</w:t>
      </w:r>
      <w:r w:rsidR="00877587">
        <w:rPr>
          <w:sz w:val="22"/>
          <w:szCs w:val="22"/>
          <w:lang w:val="en-US"/>
        </w:rPr>
        <w:t xml:space="preserve"> lessee’s </w:t>
      </w:r>
      <w:r w:rsidR="00877587" w:rsidRPr="000D46DF">
        <w:rPr>
          <w:sz w:val="22"/>
          <w:szCs w:val="22"/>
          <w:lang w:val="en-US"/>
        </w:rPr>
        <w:t>proposed terrestrial broadband wireless network</w:t>
      </w:r>
      <w:r w:rsidR="00877587">
        <w:rPr>
          <w:sz w:val="22"/>
          <w:szCs w:val="22"/>
          <w:lang w:val="en-US"/>
        </w:rPr>
        <w:t xml:space="preserve"> is warranted based upon material changes to facts and circumstances during this extension period.</w:t>
      </w:r>
      <w:r w:rsidRPr="000D46DF">
        <w:rPr>
          <w:sz w:val="22"/>
          <w:szCs w:val="22"/>
          <w:lang w:val="en-US"/>
        </w:rPr>
        <w:t xml:space="preserve"> </w:t>
      </w:r>
    </w:p>
    <w:p w14:paraId="18729643" w14:textId="77777777" w:rsidR="001622AE" w:rsidRPr="00293A30" w:rsidRDefault="001622AE" w:rsidP="001622AE">
      <w:pPr>
        <w:pStyle w:val="Header"/>
        <w:tabs>
          <w:tab w:val="center" w:pos="720"/>
        </w:tabs>
        <w:ind w:firstLine="720"/>
        <w:rPr>
          <w:sz w:val="22"/>
          <w:szCs w:val="22"/>
        </w:rPr>
      </w:pPr>
    </w:p>
    <w:p w14:paraId="45D5C71D" w14:textId="471FB5C0" w:rsidR="00C453BE" w:rsidRPr="00293A30" w:rsidRDefault="00C453BE" w:rsidP="00C453BE">
      <w:pPr>
        <w:ind w:firstLine="720"/>
        <w:rPr>
          <w:sz w:val="22"/>
          <w:szCs w:val="22"/>
        </w:rPr>
      </w:pPr>
      <w:r w:rsidRPr="00293A30">
        <w:rPr>
          <w:sz w:val="22"/>
          <w:szCs w:val="22"/>
        </w:rPr>
        <w:t xml:space="preserve">Action taken pursuant to 47 U.S.C. §§ </w:t>
      </w:r>
      <w:r w:rsidR="00D155E6">
        <w:rPr>
          <w:sz w:val="22"/>
          <w:szCs w:val="22"/>
        </w:rPr>
        <w:t xml:space="preserve">154(i), 47 C.F.R. </w:t>
      </w:r>
      <w:r w:rsidR="00351217">
        <w:rPr>
          <w:sz w:val="22"/>
          <w:szCs w:val="22"/>
        </w:rPr>
        <w:t>§</w:t>
      </w:r>
      <w:r w:rsidR="00D155E6">
        <w:rPr>
          <w:sz w:val="22"/>
          <w:szCs w:val="22"/>
        </w:rPr>
        <w:t>§</w:t>
      </w:r>
      <w:r w:rsidR="00B970FD">
        <w:rPr>
          <w:sz w:val="22"/>
          <w:szCs w:val="22"/>
        </w:rPr>
        <w:t xml:space="preserve"> 1.925</w:t>
      </w:r>
      <w:r w:rsidR="00304A45">
        <w:rPr>
          <w:sz w:val="22"/>
          <w:szCs w:val="22"/>
        </w:rPr>
        <w:t>, 27.14</w:t>
      </w:r>
      <w:r w:rsidRPr="00293A30">
        <w:rPr>
          <w:sz w:val="22"/>
          <w:szCs w:val="22"/>
        </w:rPr>
        <w:t>.</w:t>
      </w:r>
    </w:p>
    <w:p w14:paraId="35448A30" w14:textId="77777777" w:rsidR="00634444" w:rsidRPr="00293A30" w:rsidRDefault="00634444" w:rsidP="00634444">
      <w:pPr>
        <w:spacing w:after="220"/>
        <w:ind w:firstLine="720"/>
        <w:rPr>
          <w:color w:val="000000"/>
          <w:sz w:val="22"/>
          <w:szCs w:val="22"/>
        </w:rPr>
      </w:pPr>
    </w:p>
    <w:p w14:paraId="2176276F" w14:textId="77777777" w:rsidR="000449B8" w:rsidRPr="00293A30" w:rsidRDefault="000449B8" w:rsidP="00634444">
      <w:pPr>
        <w:spacing w:after="220"/>
        <w:ind w:left="4320" w:firstLine="720"/>
        <w:rPr>
          <w:sz w:val="22"/>
          <w:szCs w:val="22"/>
        </w:rPr>
      </w:pPr>
      <w:r w:rsidRPr="00293A30">
        <w:rPr>
          <w:sz w:val="22"/>
          <w:szCs w:val="22"/>
        </w:rPr>
        <w:t>Sincerely,</w:t>
      </w:r>
    </w:p>
    <w:p w14:paraId="4CD3988D" w14:textId="77777777" w:rsidR="000449B8" w:rsidRPr="00293A30" w:rsidRDefault="000449B8" w:rsidP="000449B8">
      <w:pPr>
        <w:rPr>
          <w:sz w:val="22"/>
          <w:szCs w:val="22"/>
        </w:rPr>
      </w:pPr>
    </w:p>
    <w:p w14:paraId="6C904125" w14:textId="77777777" w:rsidR="00D17198" w:rsidRPr="00293A30" w:rsidRDefault="00D17198" w:rsidP="000449B8">
      <w:pPr>
        <w:rPr>
          <w:sz w:val="22"/>
          <w:szCs w:val="22"/>
        </w:rPr>
      </w:pPr>
    </w:p>
    <w:p w14:paraId="7520262B" w14:textId="77777777" w:rsidR="000449B8" w:rsidRPr="00293A30" w:rsidRDefault="004E2554" w:rsidP="00D17198">
      <w:pPr>
        <w:ind w:left="4320" w:firstLine="720"/>
        <w:rPr>
          <w:sz w:val="22"/>
          <w:szCs w:val="22"/>
        </w:rPr>
      </w:pPr>
      <w:r w:rsidRPr="00293A30">
        <w:rPr>
          <w:sz w:val="22"/>
          <w:szCs w:val="22"/>
        </w:rPr>
        <w:t>Roger S. Noel</w:t>
      </w:r>
    </w:p>
    <w:p w14:paraId="6D653807" w14:textId="77777777" w:rsidR="000449B8" w:rsidRPr="00293A30" w:rsidRDefault="000449B8" w:rsidP="00D17198">
      <w:pPr>
        <w:ind w:left="4320" w:firstLine="720"/>
        <w:rPr>
          <w:sz w:val="22"/>
          <w:szCs w:val="22"/>
        </w:rPr>
      </w:pPr>
      <w:r w:rsidRPr="00293A30">
        <w:rPr>
          <w:sz w:val="22"/>
          <w:szCs w:val="22"/>
        </w:rPr>
        <w:t>Chief, Mobility Division</w:t>
      </w:r>
    </w:p>
    <w:p w14:paraId="5F2360D9" w14:textId="77777777" w:rsidR="007E4444" w:rsidRDefault="000449B8" w:rsidP="00D17198">
      <w:pPr>
        <w:ind w:left="4320" w:firstLine="720"/>
        <w:rPr>
          <w:sz w:val="22"/>
          <w:szCs w:val="22"/>
        </w:rPr>
      </w:pPr>
      <w:r w:rsidRPr="00293A30">
        <w:rPr>
          <w:sz w:val="22"/>
          <w:szCs w:val="22"/>
        </w:rPr>
        <w:t>Wireless Telecommunications Bureau</w:t>
      </w:r>
    </w:p>
    <w:p w14:paraId="6B474BDB" w14:textId="77777777" w:rsidR="008B5685" w:rsidRPr="00293A30" w:rsidRDefault="008B5685" w:rsidP="00D17198">
      <w:pPr>
        <w:ind w:left="4320" w:firstLine="720"/>
        <w:rPr>
          <w:sz w:val="22"/>
          <w:szCs w:val="22"/>
        </w:rPr>
      </w:pPr>
      <w:r w:rsidRPr="00293A30">
        <w:rPr>
          <w:sz w:val="22"/>
          <w:szCs w:val="22"/>
        </w:rPr>
        <w:t>Federal Communications Commission</w:t>
      </w:r>
    </w:p>
    <w:p w14:paraId="29360766" w14:textId="77777777" w:rsidR="000449B8" w:rsidRPr="00293A30" w:rsidRDefault="000449B8" w:rsidP="000449B8">
      <w:pPr>
        <w:rPr>
          <w:sz w:val="22"/>
          <w:szCs w:val="22"/>
        </w:rPr>
      </w:pPr>
    </w:p>
    <w:sectPr w:rsidR="000449B8" w:rsidRPr="00293A30" w:rsidSect="007611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79EAA" w14:textId="77777777" w:rsidR="00497F54" w:rsidRDefault="00497F54">
      <w:r>
        <w:separator/>
      </w:r>
    </w:p>
  </w:endnote>
  <w:endnote w:type="continuationSeparator" w:id="0">
    <w:p w14:paraId="12FD2E5D" w14:textId="77777777" w:rsidR="00497F54" w:rsidRDefault="00497F54">
      <w:r>
        <w:continuationSeparator/>
      </w:r>
    </w:p>
  </w:endnote>
  <w:endnote w:type="continuationNotice" w:id="1">
    <w:p w14:paraId="10A92F01" w14:textId="77777777" w:rsidR="00497F54" w:rsidRDefault="0049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0F12" w14:textId="77777777" w:rsidR="008D1BEA" w:rsidRDefault="008D1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54FD" w14:textId="77777777" w:rsidR="008D1BEA" w:rsidRDefault="008D1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9E7D" w14:textId="77777777" w:rsidR="008D1BEA" w:rsidRDefault="008D1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DF5E6" w14:textId="77777777" w:rsidR="00497F54" w:rsidRDefault="00497F54">
      <w:r>
        <w:separator/>
      </w:r>
    </w:p>
  </w:footnote>
  <w:footnote w:type="continuationSeparator" w:id="0">
    <w:p w14:paraId="7C7C9D24" w14:textId="77777777" w:rsidR="00497F54" w:rsidRDefault="00497F54">
      <w:r>
        <w:continuationSeparator/>
      </w:r>
    </w:p>
  </w:footnote>
  <w:footnote w:type="continuationNotice" w:id="1">
    <w:p w14:paraId="09F52F65" w14:textId="77777777" w:rsidR="00497F54" w:rsidRDefault="00497F54"/>
  </w:footnote>
  <w:footnote w:id="2">
    <w:p w14:paraId="7BD67590" w14:textId="3FC379DD" w:rsidR="00176376" w:rsidRDefault="00176376" w:rsidP="00F64D64">
      <w:pPr>
        <w:pStyle w:val="FootnoteText"/>
        <w:spacing w:after="120"/>
      </w:pPr>
      <w:r>
        <w:rPr>
          <w:rStyle w:val="FootnoteReference"/>
        </w:rPr>
        <w:footnoteRef/>
      </w:r>
      <w:r>
        <w:t xml:space="preserve"> </w:t>
      </w:r>
      <w:r w:rsidRPr="002B1F02">
        <w:t>OP</w:t>
      </w:r>
      <w:r>
        <w:t xml:space="preserve"> is</w:t>
      </w:r>
      <w:r w:rsidRPr="002B1F02">
        <w:t xml:space="preserve"> an indirect subsidiary of Crown Castle International Corp. (Crown Castle)</w:t>
      </w:r>
      <w:r>
        <w:t>.</w:t>
      </w:r>
    </w:p>
  </w:footnote>
  <w:footnote w:id="3">
    <w:p w14:paraId="2B41E14A" w14:textId="5E439C51" w:rsidR="00176376" w:rsidRPr="00977EBC" w:rsidRDefault="00176376" w:rsidP="00F64D64">
      <w:pPr>
        <w:pStyle w:val="FootnoteText"/>
        <w:spacing w:after="120"/>
      </w:pPr>
      <w:r>
        <w:rPr>
          <w:rStyle w:val="FootnoteReference"/>
        </w:rPr>
        <w:footnoteRef/>
      </w:r>
      <w:r>
        <w:t xml:space="preserve"> </w:t>
      </w:r>
      <w:r>
        <w:rPr>
          <w:i/>
        </w:rPr>
        <w:t xml:space="preserve">See </w:t>
      </w:r>
      <w:r>
        <w:t xml:space="preserve">47 C.F.R. §§ 27.13(e), 27.14(a).  </w:t>
      </w:r>
    </w:p>
  </w:footnote>
  <w:footnote w:id="4">
    <w:p w14:paraId="1EC100EF" w14:textId="5454BD91" w:rsidR="00176376" w:rsidRPr="00A01065" w:rsidRDefault="00176376" w:rsidP="00F64D64">
      <w:pPr>
        <w:pStyle w:val="FootnoteText"/>
        <w:spacing w:after="120"/>
      </w:pPr>
      <w:r>
        <w:rPr>
          <w:rStyle w:val="FootnoteReference"/>
        </w:rPr>
        <w:footnoteRef/>
      </w:r>
      <w:r>
        <w:t xml:space="preserve"> </w:t>
      </w:r>
      <w:r w:rsidRPr="00745F5E">
        <w:t>FCC File No. 0005438821</w:t>
      </w:r>
      <w:r>
        <w:t xml:space="preserve"> </w:t>
      </w:r>
      <w:r w:rsidRPr="00745F5E">
        <w:t>OP LLC Request for a Limited Extension or Waiver of the Section 27.14 Substantial Service Deadli</w:t>
      </w:r>
      <w:r>
        <w:t xml:space="preserve">ne for the 1670-1675 MHz Band (Oct. 9, 2012) (Extension Request).      </w:t>
      </w:r>
    </w:p>
  </w:footnote>
  <w:footnote w:id="5">
    <w:p w14:paraId="4DD2CB66" w14:textId="62D0AA89" w:rsidR="00176376" w:rsidRDefault="00176376" w:rsidP="00F64D64">
      <w:pPr>
        <w:pStyle w:val="FootnoteText"/>
        <w:spacing w:after="120"/>
      </w:pPr>
      <w:r>
        <w:rPr>
          <w:rStyle w:val="FootnoteReference"/>
        </w:rPr>
        <w:footnoteRef/>
      </w:r>
      <w:r>
        <w:t xml:space="preserve"> Call sign WPYQ831 was previously leased to a predecessor of LightSquared.  Extension Request at 2.</w:t>
      </w:r>
    </w:p>
  </w:footnote>
  <w:footnote w:id="6">
    <w:p w14:paraId="2923A37C" w14:textId="230117A4" w:rsidR="00176376" w:rsidRPr="00AC2350" w:rsidRDefault="00176376" w:rsidP="00F64D64">
      <w:pPr>
        <w:pStyle w:val="FootnoteText"/>
        <w:spacing w:after="120"/>
      </w:pPr>
      <w:r>
        <w:rPr>
          <w:rStyle w:val="FootnoteReference"/>
        </w:rPr>
        <w:footnoteRef/>
      </w:r>
      <w:r>
        <w:t xml:space="preserve"> Extension Request at 2.  </w:t>
      </w:r>
      <w:r w:rsidRPr="00AC2350">
        <w:t>OP states that Crown Castle originally planned to use the License to deploy advanced services and to this end invested “tens of millions of dollars in a mobile video service.”</w:t>
      </w:r>
      <w:r>
        <w:t xml:space="preserve">  </w:t>
      </w:r>
      <w:r>
        <w:rPr>
          <w:i/>
        </w:rPr>
        <w:t>Id.</w:t>
      </w:r>
      <w:r>
        <w:t xml:space="preserve"> </w:t>
      </w:r>
    </w:p>
  </w:footnote>
  <w:footnote w:id="7">
    <w:p w14:paraId="39867214" w14:textId="251F6658" w:rsidR="00176376" w:rsidRDefault="00176376" w:rsidP="00F64D64">
      <w:pPr>
        <w:pStyle w:val="FootnoteText"/>
        <w:spacing w:after="120"/>
      </w:pPr>
      <w:r>
        <w:rPr>
          <w:rStyle w:val="FootnoteReference"/>
        </w:rPr>
        <w:footnoteRef/>
      </w:r>
      <w:r>
        <w:t xml:space="preserve"> Extension Request at 1.</w:t>
      </w:r>
    </w:p>
  </w:footnote>
  <w:footnote w:id="8">
    <w:p w14:paraId="7D378E91" w14:textId="3810C4EA" w:rsidR="00176376" w:rsidRDefault="00176376" w:rsidP="00F64D64">
      <w:pPr>
        <w:pStyle w:val="FootnoteText"/>
        <w:spacing w:after="120"/>
      </w:pPr>
      <w:r>
        <w:rPr>
          <w:rStyle w:val="FootnoteReference"/>
        </w:rPr>
        <w:footnoteRef/>
      </w:r>
      <w:r>
        <w:t xml:space="preserve"> </w:t>
      </w:r>
      <w:r w:rsidRPr="0005775C">
        <w:rPr>
          <w:i/>
        </w:rPr>
        <w:t>See</w:t>
      </w:r>
      <w:r w:rsidRPr="0005775C">
        <w:t xml:space="preserve"> Wireless Telecommunications Bureau Seeks Comment on Request By OP LLC For Extension or Waiver of the </w:t>
      </w:r>
      <w:bookmarkStart w:id="1" w:name="SR;106"/>
      <w:bookmarkStart w:id="2" w:name="SearchTerm"/>
      <w:bookmarkEnd w:id="1"/>
      <w:bookmarkEnd w:id="2"/>
      <w:r w:rsidRPr="0005775C">
        <w:t xml:space="preserve">Construction Deadline Concerning its 1670-1675 MHz Band License, </w:t>
      </w:r>
      <w:r w:rsidRPr="0005775C">
        <w:rPr>
          <w:i/>
        </w:rPr>
        <w:t>Public Notice</w:t>
      </w:r>
      <w:r w:rsidRPr="0005775C">
        <w:t>, 27 FCC Rcd 13524 (2012).</w:t>
      </w:r>
    </w:p>
  </w:footnote>
  <w:footnote w:id="9">
    <w:p w14:paraId="1DB4AC1F" w14:textId="04E62E8A" w:rsidR="00176376" w:rsidRDefault="00176376" w:rsidP="00F64D64">
      <w:pPr>
        <w:pStyle w:val="FootnoteText"/>
        <w:spacing w:after="120"/>
      </w:pPr>
      <w:r>
        <w:rPr>
          <w:rStyle w:val="FootnoteReference"/>
        </w:rPr>
        <w:footnoteRef/>
      </w:r>
      <w:r>
        <w:t xml:space="preserve"> FCC File No. 0005964295 </w:t>
      </w:r>
      <w:r w:rsidRPr="007B2249">
        <w:t>O</w:t>
      </w:r>
      <w:r>
        <w:t>P LLC Construction Notification (Sept. 30, 2013) (Construction Notification).</w:t>
      </w:r>
    </w:p>
  </w:footnote>
  <w:footnote w:id="10">
    <w:p w14:paraId="0C2CA9E5" w14:textId="0D941776" w:rsidR="00176376" w:rsidRDefault="00176376" w:rsidP="00F64D64">
      <w:pPr>
        <w:pStyle w:val="FootnoteText"/>
        <w:spacing w:after="120"/>
      </w:pPr>
      <w:r>
        <w:rPr>
          <w:rStyle w:val="FootnoteReference"/>
        </w:rPr>
        <w:footnoteRef/>
      </w:r>
      <w:r>
        <w:t xml:space="preserve"> </w:t>
      </w:r>
      <w:r w:rsidRPr="007B2249">
        <w:t>FCC File No. 0005852</w:t>
      </w:r>
      <w:r>
        <w:t>832 OP LLC Renewal Application (Sept. 30, 2013) (Renewal Application).</w:t>
      </w:r>
    </w:p>
  </w:footnote>
  <w:footnote w:id="11">
    <w:p w14:paraId="4BB634F3" w14:textId="0554CD9B" w:rsidR="00176376" w:rsidRDefault="00176376" w:rsidP="00F64D64">
      <w:pPr>
        <w:pStyle w:val="FootnoteText"/>
        <w:spacing w:after="120"/>
      </w:pPr>
      <w:r>
        <w:rPr>
          <w:rStyle w:val="FootnoteReference"/>
        </w:rPr>
        <w:footnoteRef/>
      </w:r>
      <w:r>
        <w:t xml:space="preserve"> Letter from Jeffery J. Carlisle, Executive Vice President, Regulatory Affairs and Public Policy, LightSquared, to Marlene H. Dortch, Secretary, Federal Communications Commission (Mar. 19, 2014) (Construction Supplement).</w:t>
      </w:r>
    </w:p>
  </w:footnote>
  <w:footnote w:id="12">
    <w:p w14:paraId="086833E5" w14:textId="339AFD60" w:rsidR="00176376" w:rsidRDefault="00176376" w:rsidP="00F64D64">
      <w:pPr>
        <w:pStyle w:val="FootnoteText"/>
        <w:spacing w:after="120"/>
      </w:pPr>
      <w:r>
        <w:rPr>
          <w:rStyle w:val="FootnoteReference"/>
        </w:rPr>
        <w:footnoteRef/>
      </w:r>
      <w:r>
        <w:t xml:space="preserve"> Pursuant to the Commission’s rules, OP may rely on its </w:t>
      </w:r>
      <w:r w:rsidRPr="00717C14">
        <w:rPr>
          <w:i/>
        </w:rPr>
        <w:t>de facto</w:t>
      </w:r>
      <w:r>
        <w:t xml:space="preserve"> transfer lessee to meet its substantial service requirement.  </w:t>
      </w:r>
      <w:r w:rsidRPr="00F64D64">
        <w:rPr>
          <w:i/>
        </w:rPr>
        <w:t>See</w:t>
      </w:r>
      <w:r>
        <w:t xml:space="preserve"> 47 C.F.R. § 1.9030(d)(5)(i).</w:t>
      </w:r>
    </w:p>
  </w:footnote>
  <w:footnote w:id="13">
    <w:p w14:paraId="4020CEAC" w14:textId="77777777" w:rsidR="00176376" w:rsidRDefault="00176376" w:rsidP="00F64D64">
      <w:pPr>
        <w:pStyle w:val="FootnoteText"/>
        <w:spacing w:after="120"/>
      </w:pPr>
      <w:r>
        <w:rPr>
          <w:rStyle w:val="FootnoteReference"/>
        </w:rPr>
        <w:footnoteRef/>
      </w:r>
      <w:r>
        <w:t xml:space="preserve"> Construction Notification at 1; Construction Supplement at 1.</w:t>
      </w:r>
    </w:p>
  </w:footnote>
  <w:footnote w:id="14">
    <w:p w14:paraId="4335DF04" w14:textId="77777777" w:rsidR="00176376" w:rsidRDefault="00176376" w:rsidP="00F64D64">
      <w:pPr>
        <w:pStyle w:val="FootnoteText"/>
        <w:spacing w:after="120"/>
      </w:pPr>
      <w:r>
        <w:rPr>
          <w:rStyle w:val="FootnoteReference"/>
        </w:rPr>
        <w:footnoteRef/>
      </w:r>
      <w:r>
        <w:t xml:space="preserve"> According to OP, each DVB-H transmitter station is equipped with an Axcera transmitter and a Kathrein omni or directional transmitting antenna.  Construction Notification at 2.</w:t>
      </w:r>
    </w:p>
  </w:footnote>
  <w:footnote w:id="15">
    <w:p w14:paraId="04B96B35" w14:textId="77777777" w:rsidR="00176376" w:rsidRDefault="00176376" w:rsidP="00F64D64">
      <w:pPr>
        <w:pStyle w:val="FootnoteText"/>
        <w:spacing w:after="120"/>
      </w:pPr>
      <w:r>
        <w:rPr>
          <w:rStyle w:val="FootnoteReference"/>
        </w:rPr>
        <w:footnoteRef/>
      </w:r>
      <w:r>
        <w:t xml:space="preserve"> Construction Supplement at 2.  At the time it filed the Construction Notification, LightSquared had deployed 51 transmitter sites.  Construction Notification at 1-2.</w:t>
      </w:r>
    </w:p>
  </w:footnote>
  <w:footnote w:id="16">
    <w:p w14:paraId="5852800F" w14:textId="77777777" w:rsidR="00176376" w:rsidRDefault="00176376" w:rsidP="00F64D64">
      <w:pPr>
        <w:pStyle w:val="FootnoteText"/>
        <w:spacing w:after="120"/>
      </w:pPr>
      <w:r>
        <w:rPr>
          <w:rStyle w:val="FootnoteReference"/>
        </w:rPr>
        <w:footnoteRef/>
      </w:r>
      <w:r>
        <w:t xml:space="preserve"> OP notes that with the addition of 8 transmitters since the filing of the Construction Notification, its coverage is more extensive today.</w:t>
      </w:r>
    </w:p>
  </w:footnote>
  <w:footnote w:id="17">
    <w:p w14:paraId="700794F1" w14:textId="77777777" w:rsidR="00176376" w:rsidRDefault="00176376" w:rsidP="00F64D64">
      <w:pPr>
        <w:pStyle w:val="FootnoteText"/>
        <w:spacing w:after="120"/>
      </w:pPr>
      <w:r>
        <w:rPr>
          <w:rStyle w:val="FootnoteReference"/>
        </w:rPr>
        <w:footnoteRef/>
      </w:r>
      <w:r>
        <w:t xml:space="preserve"> Construction Supplement at 2.  </w:t>
      </w:r>
    </w:p>
  </w:footnote>
  <w:footnote w:id="18">
    <w:p w14:paraId="322A610D" w14:textId="77777777" w:rsidR="00176376" w:rsidRDefault="00176376" w:rsidP="00F64D64">
      <w:pPr>
        <w:pStyle w:val="FootnoteText"/>
        <w:spacing w:after="120"/>
      </w:pPr>
      <w:r>
        <w:rPr>
          <w:rStyle w:val="FootnoteReference"/>
        </w:rPr>
        <w:footnoteRef/>
      </w:r>
      <w:r>
        <w:t xml:space="preserve"> Construction Notification at 1; Construction Supplement at 1.</w:t>
      </w:r>
    </w:p>
  </w:footnote>
  <w:footnote w:id="19">
    <w:p w14:paraId="2633978F" w14:textId="68C8AA43" w:rsidR="00176376" w:rsidRDefault="00176376" w:rsidP="00F64D64">
      <w:pPr>
        <w:pStyle w:val="FootnoteText"/>
        <w:spacing w:after="120"/>
      </w:pPr>
      <w:r>
        <w:rPr>
          <w:rStyle w:val="FootnoteReference"/>
        </w:rPr>
        <w:footnoteRef/>
      </w:r>
      <w:r>
        <w:t xml:space="preserve"> Construction Supplement at 2.</w:t>
      </w:r>
    </w:p>
  </w:footnote>
  <w:footnote w:id="20">
    <w:p w14:paraId="160EDF32" w14:textId="3F7246F1" w:rsidR="00176376" w:rsidRDefault="00176376" w:rsidP="00F64D64">
      <w:pPr>
        <w:pStyle w:val="FootnoteText"/>
        <w:spacing w:after="120"/>
      </w:pPr>
      <w:r>
        <w:rPr>
          <w:rStyle w:val="FootnoteReference"/>
        </w:rPr>
        <w:footnoteRef/>
      </w:r>
      <w:r>
        <w:t xml:space="preserve"> Construction Notification at 3.</w:t>
      </w:r>
    </w:p>
  </w:footnote>
  <w:footnote w:id="21">
    <w:p w14:paraId="73102BD0" w14:textId="01283AA3" w:rsidR="00176376" w:rsidRDefault="00176376" w:rsidP="00F64D64">
      <w:pPr>
        <w:pStyle w:val="FootnoteText"/>
        <w:spacing w:after="120"/>
      </w:pPr>
      <w:r>
        <w:rPr>
          <w:rStyle w:val="FootnoteReference"/>
        </w:rPr>
        <w:footnoteRef/>
      </w:r>
      <w:r>
        <w:t xml:space="preserve"> Construction Supplement at 1.</w:t>
      </w:r>
    </w:p>
  </w:footnote>
  <w:footnote w:id="22">
    <w:p w14:paraId="29309FC1" w14:textId="14D5DC4F" w:rsidR="00176376" w:rsidRPr="00B009FC" w:rsidRDefault="00176376" w:rsidP="00F64D64">
      <w:pPr>
        <w:pStyle w:val="FootnoteText"/>
        <w:spacing w:after="120"/>
      </w:pPr>
      <w:r>
        <w:rPr>
          <w:rStyle w:val="FootnoteReference"/>
        </w:rPr>
        <w:footnoteRef/>
      </w:r>
      <w:r>
        <w:t xml:space="preserve"> </w:t>
      </w:r>
      <w:r w:rsidRPr="00B009FC">
        <w:rPr>
          <w:i/>
        </w:rPr>
        <w:t>Id.</w:t>
      </w:r>
    </w:p>
  </w:footnote>
  <w:footnote w:id="23">
    <w:p w14:paraId="6F2ED138" w14:textId="77777777" w:rsidR="00176376" w:rsidRDefault="00176376" w:rsidP="00F64D64">
      <w:pPr>
        <w:pStyle w:val="FootnoteText"/>
        <w:spacing w:after="120"/>
      </w:pPr>
      <w:r>
        <w:rPr>
          <w:rStyle w:val="FootnoteReference"/>
        </w:rPr>
        <w:footnoteRef/>
      </w:r>
      <w:r>
        <w:t xml:space="preserve"> 47 C.F.R. § 1.925.  The Commission has stated that, in situations in which the circumstances are unique and the public interest would be served, it would consider waiving construction requirements on a case-by-case basis.  </w:t>
      </w:r>
      <w:r>
        <w:rPr>
          <w:i/>
        </w:rPr>
        <w:t>See</w:t>
      </w:r>
      <w:r>
        <w:t xml:space="preserve"> Amendment of the Commission’s Rules To Establish New Personal Communications Services, GEN Docket No. 90-314, </w:t>
      </w:r>
      <w:r>
        <w:rPr>
          <w:i/>
        </w:rPr>
        <w:t>Memorandum Opinion and Order</w:t>
      </w:r>
      <w:r>
        <w:t>, 9 FCC Rcd 4957, 5019 (1994) (</w:t>
      </w:r>
      <w:r>
        <w:rPr>
          <w:i/>
        </w:rPr>
        <w:t>PCS MO&amp;O</w:t>
      </w:r>
      <w:r>
        <w:t>),</w:t>
      </w:r>
      <w:r>
        <w:rPr>
          <w:i/>
        </w:rPr>
        <w:t xml:space="preserve"> citing</w:t>
      </w:r>
      <w:r>
        <w:t xml:space="preserve"> </w:t>
      </w:r>
      <w:r>
        <w:rPr>
          <w:i/>
        </w:rPr>
        <w:t>WAIT Radio v. FCC</w:t>
      </w:r>
      <w:r>
        <w:t>, 418 F.2d 1153 (D.C. Cir. 1969).</w:t>
      </w:r>
    </w:p>
  </w:footnote>
  <w:footnote w:id="24">
    <w:p w14:paraId="09DA9994" w14:textId="7199B91D" w:rsidR="00176376" w:rsidRDefault="00176376" w:rsidP="00F64D64">
      <w:pPr>
        <w:pStyle w:val="FootnoteText"/>
        <w:spacing w:after="120"/>
      </w:pPr>
      <w:r>
        <w:rPr>
          <w:rStyle w:val="FootnoteReference"/>
        </w:rPr>
        <w:footnoteRef/>
      </w:r>
      <w:r>
        <w:t xml:space="preserve"> 47 C.F.R. § 27.14(a).</w:t>
      </w:r>
    </w:p>
  </w:footnote>
  <w:footnote w:id="25">
    <w:p w14:paraId="72E2D30A" w14:textId="593F7080" w:rsidR="00176376" w:rsidRDefault="00176376" w:rsidP="00F64D64">
      <w:pPr>
        <w:pStyle w:val="FootnoteText"/>
        <w:spacing w:after="120"/>
      </w:pPr>
      <w:r>
        <w:rPr>
          <w:rStyle w:val="FootnoteReference"/>
        </w:rPr>
        <w:footnoteRef/>
      </w:r>
      <w:r>
        <w:t xml:space="preserve"> Construction Supplement at 2.</w:t>
      </w:r>
    </w:p>
  </w:footnote>
  <w:footnote w:id="26">
    <w:p w14:paraId="699FD3AB" w14:textId="765F0F2F" w:rsidR="00176376" w:rsidRDefault="00176376" w:rsidP="00F64D64">
      <w:pPr>
        <w:pStyle w:val="FootnoteText"/>
        <w:spacing w:after="120"/>
      </w:pPr>
      <w:r>
        <w:rPr>
          <w:rStyle w:val="FootnoteReference"/>
        </w:rPr>
        <w:footnoteRef/>
      </w:r>
      <w:r>
        <w:t xml:space="preserve"> </w:t>
      </w:r>
      <w:r w:rsidRPr="00397448">
        <w:t xml:space="preserve">Implementation of Section 6002(b) of the Omnibus Budget Reconciliation Act of 1993 Annual Report and Analysis of Competitive Market Conditions With Respect to Mobile Wireless, Including Commercial Mobile Services, </w:t>
      </w:r>
      <w:r w:rsidRPr="00397448">
        <w:rPr>
          <w:i/>
          <w:iCs/>
        </w:rPr>
        <w:t xml:space="preserve">Sixteenth Report, </w:t>
      </w:r>
      <w:r w:rsidRPr="00397448">
        <w:t xml:space="preserve">28 FCC Rcd 3700, 3939, </w:t>
      </w:r>
      <w:r w:rsidRPr="00F308DA">
        <w:t>¶</w:t>
      </w:r>
      <w:r>
        <w:t xml:space="preserve"> </w:t>
      </w:r>
      <w:r w:rsidRPr="00397448">
        <w:t>387 (2013). </w:t>
      </w:r>
    </w:p>
  </w:footnote>
  <w:footnote w:id="27">
    <w:p w14:paraId="7545B016" w14:textId="0F599187" w:rsidR="00176376" w:rsidRPr="00CD7BBD" w:rsidRDefault="00176376" w:rsidP="00F64D64">
      <w:pPr>
        <w:pStyle w:val="FootnoteText"/>
        <w:spacing w:after="120"/>
      </w:pPr>
      <w:r>
        <w:rPr>
          <w:rStyle w:val="FootnoteReference"/>
        </w:rPr>
        <w:footnoteRef/>
      </w:r>
      <w:r>
        <w:t xml:space="preserve"> </w:t>
      </w:r>
      <w:r>
        <w:rPr>
          <w:i/>
        </w:rPr>
        <w:t xml:space="preserve">See </w:t>
      </w:r>
      <w:r>
        <w:t>Wireless Telecommunications Bureau, Mobility Division Announces the Dismissal of 220 MHz Service Phase II Construction Notifications,</w:t>
      </w:r>
      <w:r>
        <w:rPr>
          <w:i/>
        </w:rPr>
        <w:t xml:space="preserve"> Public Notice</w:t>
      </w:r>
      <w:r>
        <w:t>, 19 FCC Rcd 18095 (WTB, Mobility Division 2004) (Extending five-year construction deadline for certain 220 MHz Service licensees and dismissing related construction notifications without prejudice).</w:t>
      </w:r>
    </w:p>
  </w:footnote>
  <w:footnote w:id="28">
    <w:p w14:paraId="7F2B92E5" w14:textId="6E21E0EA" w:rsidR="00176376" w:rsidRPr="00D155E6" w:rsidRDefault="00176376" w:rsidP="00F64D64">
      <w:pPr>
        <w:pStyle w:val="FootnoteText"/>
        <w:spacing w:after="120"/>
      </w:pPr>
      <w:r>
        <w:rPr>
          <w:rStyle w:val="FootnoteReference"/>
        </w:rPr>
        <w:footnoteRef/>
      </w:r>
      <w:r>
        <w:t xml:space="preserve"> </w:t>
      </w:r>
      <w:r>
        <w:rPr>
          <w:i/>
        </w:rPr>
        <w:t>See</w:t>
      </w:r>
      <w:r>
        <w:t xml:space="preserve"> NRTC LLC Demonstration of Five-Year Construction Requirements and Request for Extension of Construction Deadline, </w:t>
      </w:r>
      <w:r>
        <w:rPr>
          <w:i/>
        </w:rPr>
        <w:t xml:space="preserve">Order, </w:t>
      </w:r>
      <w:r>
        <w:t>24 FCC Rcd 8656, 8660, ¶ 11 (Mobility Division, Wireless Telecommunications Bureau 2009) (</w:t>
      </w:r>
      <w:r>
        <w:rPr>
          <w:i/>
        </w:rPr>
        <w:t>NRTC Order</w:t>
      </w:r>
      <w:r>
        <w:t>)</w:t>
      </w:r>
      <w:r>
        <w:rPr>
          <w:i/>
        </w:rPr>
        <w:t xml:space="preserve"> </w:t>
      </w:r>
      <w:r>
        <w:t>(granting extension of five- and ten-year construction deadlines).</w:t>
      </w:r>
    </w:p>
  </w:footnote>
  <w:footnote w:id="29">
    <w:p w14:paraId="76C18D58" w14:textId="5450A5F0" w:rsidR="00176376" w:rsidRPr="00F308DA" w:rsidRDefault="00176376" w:rsidP="00F64D64">
      <w:pPr>
        <w:pStyle w:val="FootnoteText"/>
        <w:spacing w:after="120"/>
      </w:pPr>
      <w:r>
        <w:rPr>
          <w:rStyle w:val="FootnoteReference"/>
        </w:rPr>
        <w:footnoteRef/>
      </w:r>
      <w:r>
        <w:t xml:space="preserve"> </w:t>
      </w:r>
      <w:r w:rsidRPr="00F308DA">
        <w:rPr>
          <w:i/>
        </w:rPr>
        <w:t>NRTC Order</w:t>
      </w:r>
      <w:r>
        <w:t xml:space="preserve">, </w:t>
      </w:r>
      <w:r w:rsidRPr="00F308DA">
        <w:t xml:space="preserve">24 FCC Rcd </w:t>
      </w:r>
      <w:r>
        <w:t xml:space="preserve">at </w:t>
      </w:r>
      <w:r w:rsidRPr="00F308DA">
        <w:t>8660, ¶ 11</w:t>
      </w:r>
      <w:r>
        <w:t xml:space="preserve"> (granting construction deadline extension where nationwide licensee had constructed 395 sites across 17 states).</w:t>
      </w:r>
    </w:p>
  </w:footnote>
  <w:footnote w:id="30">
    <w:p w14:paraId="33D5A7E1" w14:textId="0B7EF13F" w:rsidR="00176376" w:rsidRDefault="00176376" w:rsidP="00F64D64">
      <w:pPr>
        <w:pStyle w:val="FootnoteText"/>
        <w:spacing w:after="120"/>
      </w:pPr>
      <w:r>
        <w:rPr>
          <w:rStyle w:val="FootnoteReference"/>
        </w:rPr>
        <w:footnoteRef/>
      </w:r>
      <w:r>
        <w:t xml:space="preserve"> An additional 8 sites were constructed after the construction deadline.  Construction Supplement at 1.</w:t>
      </w:r>
    </w:p>
  </w:footnote>
  <w:footnote w:id="31">
    <w:p w14:paraId="13ABE81D" w14:textId="3B911AF0" w:rsidR="00176376" w:rsidRDefault="00176376" w:rsidP="00F64D64">
      <w:pPr>
        <w:pStyle w:val="FootnoteText"/>
        <w:spacing w:after="120"/>
      </w:pPr>
      <w:r>
        <w:rPr>
          <w:rStyle w:val="FootnoteReference"/>
        </w:rPr>
        <w:footnoteRef/>
      </w:r>
      <w:r>
        <w:t xml:space="preserve"> Construction Supplement at 2.</w:t>
      </w:r>
    </w:p>
  </w:footnote>
  <w:footnote w:id="32">
    <w:p w14:paraId="442A790B" w14:textId="67B239B0" w:rsidR="00176376" w:rsidRDefault="00176376" w:rsidP="00F64D64">
      <w:pPr>
        <w:pStyle w:val="FootnoteText"/>
        <w:spacing w:after="120"/>
      </w:pPr>
      <w:r>
        <w:rPr>
          <w:rStyle w:val="FootnoteReference"/>
        </w:rPr>
        <w:footnoteRef/>
      </w:r>
      <w:r>
        <w:t xml:space="preserve"> </w:t>
      </w:r>
      <w:r w:rsidRPr="00F308DA">
        <w:rPr>
          <w:i/>
        </w:rPr>
        <w:t>NRTC Order</w:t>
      </w:r>
      <w:r w:rsidRPr="00F308DA">
        <w:t>, 24 FCC Rcd at 8660, ¶ 11</w:t>
      </w:r>
      <w:r>
        <w:t>.</w:t>
      </w:r>
    </w:p>
  </w:footnote>
  <w:footnote w:id="33">
    <w:p w14:paraId="30A33719" w14:textId="77777777" w:rsidR="00176376" w:rsidRDefault="00176376" w:rsidP="00F64D64">
      <w:pPr>
        <w:pStyle w:val="FootnoteText"/>
        <w:spacing w:after="120"/>
      </w:pPr>
      <w:r>
        <w:rPr>
          <w:rStyle w:val="FootnoteReference"/>
        </w:rPr>
        <w:footnoteRef/>
      </w:r>
      <w:r>
        <w:t xml:space="preserve"> OP will be required to file a construction notification within 15 days of the extended October 15, 2015 deadline.  </w:t>
      </w:r>
      <w:r w:rsidRPr="004455AE">
        <w:rPr>
          <w:i/>
        </w:rPr>
        <w:t>See</w:t>
      </w:r>
      <w:r>
        <w:t xml:space="preserve"> 47 C.F.R. § 1.946 (d).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C44D" w14:textId="77777777" w:rsidR="008D1BEA" w:rsidRDefault="008D1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400F" w14:textId="5D134BB1" w:rsidR="00176376" w:rsidRPr="0042395B" w:rsidRDefault="00176376" w:rsidP="0042395B">
    <w:pPr>
      <w:rPr>
        <w:sz w:val="22"/>
        <w:szCs w:val="22"/>
      </w:rPr>
    </w:pPr>
  </w:p>
  <w:p w14:paraId="12266701" w14:textId="43CCDE17" w:rsidR="00176376" w:rsidRPr="00981DB6" w:rsidRDefault="00176376">
    <w:pPr>
      <w:pStyle w:val="Header"/>
      <w:rPr>
        <w:sz w:val="22"/>
        <w:szCs w:val="22"/>
        <w:lang w:val="en-US"/>
      </w:rPr>
    </w:pPr>
    <w:r>
      <w:rPr>
        <w:sz w:val="22"/>
        <w:szCs w:val="22"/>
      </w:rPr>
      <w:t>May</w:t>
    </w:r>
    <w:r w:rsidRPr="0042395B">
      <w:rPr>
        <w:sz w:val="22"/>
        <w:szCs w:val="22"/>
      </w:rPr>
      <w:t xml:space="preserve"> </w:t>
    </w:r>
    <w:r>
      <w:rPr>
        <w:sz w:val="22"/>
        <w:szCs w:val="22"/>
        <w:lang w:val="en-US"/>
      </w:rPr>
      <w:t>28</w:t>
    </w:r>
    <w:r w:rsidRPr="0042395B">
      <w:rPr>
        <w:sz w:val="22"/>
        <w:szCs w:val="22"/>
      </w:rPr>
      <w:t>, 2014</w:t>
    </w:r>
    <w:r w:rsidR="00981DB6">
      <w:rPr>
        <w:sz w:val="22"/>
        <w:szCs w:val="22"/>
        <w:lang w:val="en-US"/>
      </w:rPr>
      <w:tab/>
    </w:r>
    <w:r w:rsidR="00981DB6">
      <w:rPr>
        <w:sz w:val="22"/>
        <w:szCs w:val="22"/>
        <w:lang w:val="en-US"/>
      </w:rPr>
      <w:tab/>
      <w:t>DA 14-725</w:t>
    </w:r>
  </w:p>
  <w:p w14:paraId="0501FBF6" w14:textId="4876BCC6" w:rsidR="00176376" w:rsidRDefault="00176376">
    <w:pPr>
      <w:pStyle w:val="Header"/>
      <w:rPr>
        <w:sz w:val="22"/>
        <w:szCs w:val="22"/>
        <w:lang w:val="en-US"/>
      </w:rPr>
    </w:pPr>
    <w:r w:rsidRPr="00FF7DEA">
      <w:rPr>
        <w:sz w:val="22"/>
        <w:szCs w:val="22"/>
      </w:rPr>
      <w:t xml:space="preserve">Page </w:t>
    </w:r>
    <w:r w:rsidRPr="00FF7DEA">
      <w:rPr>
        <w:sz w:val="22"/>
        <w:szCs w:val="22"/>
      </w:rPr>
      <w:fldChar w:fldCharType="begin"/>
    </w:r>
    <w:r w:rsidRPr="00FF7DEA">
      <w:rPr>
        <w:sz w:val="22"/>
        <w:szCs w:val="22"/>
      </w:rPr>
      <w:instrText xml:space="preserve"> PAGE </w:instrText>
    </w:r>
    <w:r w:rsidRPr="00FF7DEA">
      <w:rPr>
        <w:sz w:val="22"/>
        <w:szCs w:val="22"/>
      </w:rPr>
      <w:fldChar w:fldCharType="separate"/>
    </w:r>
    <w:r w:rsidR="000758CF">
      <w:rPr>
        <w:noProof/>
        <w:sz w:val="22"/>
        <w:szCs w:val="22"/>
      </w:rPr>
      <w:t>2</w:t>
    </w:r>
    <w:r w:rsidRPr="00FF7DEA">
      <w:rPr>
        <w:sz w:val="22"/>
        <w:szCs w:val="22"/>
      </w:rPr>
      <w:fldChar w:fldCharType="end"/>
    </w:r>
    <w:r w:rsidRPr="00FF7DEA">
      <w:rPr>
        <w:sz w:val="22"/>
        <w:szCs w:val="22"/>
      </w:rPr>
      <w:t xml:space="preserve"> of </w:t>
    </w:r>
    <w:r w:rsidRPr="00FF7DEA">
      <w:rPr>
        <w:sz w:val="22"/>
        <w:szCs w:val="22"/>
      </w:rPr>
      <w:fldChar w:fldCharType="begin"/>
    </w:r>
    <w:r w:rsidRPr="00FF7DEA">
      <w:rPr>
        <w:sz w:val="22"/>
        <w:szCs w:val="22"/>
      </w:rPr>
      <w:instrText xml:space="preserve"> NUMPAGES </w:instrText>
    </w:r>
    <w:r w:rsidRPr="00FF7DEA">
      <w:rPr>
        <w:sz w:val="22"/>
        <w:szCs w:val="22"/>
      </w:rPr>
      <w:fldChar w:fldCharType="separate"/>
    </w:r>
    <w:r w:rsidR="000758CF">
      <w:rPr>
        <w:noProof/>
        <w:sz w:val="22"/>
        <w:szCs w:val="22"/>
      </w:rPr>
      <w:t>2</w:t>
    </w:r>
    <w:r w:rsidRPr="00FF7DEA">
      <w:rPr>
        <w:sz w:val="22"/>
        <w:szCs w:val="22"/>
      </w:rPr>
      <w:fldChar w:fldCharType="end"/>
    </w:r>
  </w:p>
  <w:p w14:paraId="664A45E3" w14:textId="77777777" w:rsidR="00176376" w:rsidRDefault="00176376">
    <w:pPr>
      <w:pStyle w:val="Header"/>
      <w:rPr>
        <w:sz w:val="22"/>
        <w:szCs w:val="22"/>
        <w:lang w:val="en-US"/>
      </w:rPr>
    </w:pPr>
  </w:p>
  <w:p w14:paraId="4A67FBF7" w14:textId="77777777" w:rsidR="00176376" w:rsidRPr="00752A97" w:rsidRDefault="00176376">
    <w:pPr>
      <w:pStyle w:val="Header"/>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EEA3" w14:textId="77777777" w:rsidR="00176376" w:rsidRDefault="000758CF">
    <w:pPr>
      <w:pStyle w:val="Header"/>
      <w:tabs>
        <w:tab w:val="clear" w:pos="4320"/>
        <w:tab w:val="clear" w:pos="8640"/>
      </w:tabs>
      <w:spacing w:before="360" w:line="228" w:lineRule="auto"/>
      <w:jc w:val="center"/>
    </w:pPr>
    <w:r>
      <w:rPr>
        <w:rFonts w:ascii="CG Times (W1)" w:hAnsi="CG Times (W1)"/>
        <w:sz w:val="28"/>
      </w:rPr>
      <w:pict w14:anchorId="130A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62795090" r:id="rId2"/>
      </w:pict>
    </w:r>
    <w:r w:rsidR="00176376">
      <w:rPr>
        <w:rFonts w:ascii="CG Times (W1)" w:hAnsi="CG Times (W1)"/>
        <w:sz w:val="28"/>
      </w:rPr>
      <w:t>Federal Communications Commission</w:t>
    </w:r>
  </w:p>
  <w:p w14:paraId="0FD4CA65" w14:textId="77777777" w:rsidR="00176376" w:rsidRDefault="00176376">
    <w:pPr>
      <w:jc w:val="center"/>
    </w:pPr>
    <w:r>
      <w:rPr>
        <w:rFonts w:ascii="CG Times (W1)" w:hAnsi="CG Times (W1)"/>
        <w:sz w:val="28"/>
      </w:rPr>
      <w:t>Washington, D.C. 20554</w:t>
    </w:r>
  </w:p>
  <w:p w14:paraId="71653CBC" w14:textId="77777777" w:rsidR="00176376" w:rsidRDefault="00176376">
    <w:pPr>
      <w:pStyle w:val="Header"/>
      <w:tabs>
        <w:tab w:val="clear" w:pos="4320"/>
      </w:tabs>
      <w:jc w:val="center"/>
      <w:rPr>
        <w:sz w:val="22"/>
      </w:rPr>
    </w:pPr>
  </w:p>
  <w:p w14:paraId="53D7F367" w14:textId="4891C416" w:rsidR="00176376" w:rsidRDefault="00176376">
    <w:pPr>
      <w:pStyle w:val="Header"/>
      <w:tabs>
        <w:tab w:val="clear" w:pos="4320"/>
      </w:tabs>
      <w:jc w:val="center"/>
      <w:rPr>
        <w:sz w:val="22"/>
      </w:rPr>
    </w:pPr>
    <w:r w:rsidRPr="00981DB6">
      <w:rPr>
        <w:sz w:val="22"/>
        <w:lang w:val="en-US"/>
      </w:rPr>
      <w:t>May 28,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9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A6012A"/>
    <w:multiLevelType w:val="hybridMultilevel"/>
    <w:tmpl w:val="A2F65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74"/>
    <w:rsid w:val="000009A6"/>
    <w:rsid w:val="000107F8"/>
    <w:rsid w:val="00034057"/>
    <w:rsid w:val="00036DE3"/>
    <w:rsid w:val="00043ADC"/>
    <w:rsid w:val="000449B8"/>
    <w:rsid w:val="00047836"/>
    <w:rsid w:val="0005775C"/>
    <w:rsid w:val="00065230"/>
    <w:rsid w:val="0007028E"/>
    <w:rsid w:val="00070421"/>
    <w:rsid w:val="00071F5E"/>
    <w:rsid w:val="000758CF"/>
    <w:rsid w:val="00080295"/>
    <w:rsid w:val="00080A81"/>
    <w:rsid w:val="00086B88"/>
    <w:rsid w:val="00095EAF"/>
    <w:rsid w:val="0009666C"/>
    <w:rsid w:val="00096A63"/>
    <w:rsid w:val="000A10A8"/>
    <w:rsid w:val="000A56EB"/>
    <w:rsid w:val="000A6952"/>
    <w:rsid w:val="000B79D1"/>
    <w:rsid w:val="000C2706"/>
    <w:rsid w:val="000D46DF"/>
    <w:rsid w:val="000F2A64"/>
    <w:rsid w:val="00101332"/>
    <w:rsid w:val="00103D66"/>
    <w:rsid w:val="001113A6"/>
    <w:rsid w:val="00115E3F"/>
    <w:rsid w:val="00117B32"/>
    <w:rsid w:val="001211B7"/>
    <w:rsid w:val="00134D1C"/>
    <w:rsid w:val="00142964"/>
    <w:rsid w:val="00145944"/>
    <w:rsid w:val="00147E12"/>
    <w:rsid w:val="00156F89"/>
    <w:rsid w:val="001606C3"/>
    <w:rsid w:val="00160E98"/>
    <w:rsid w:val="001622AE"/>
    <w:rsid w:val="0017225F"/>
    <w:rsid w:val="00176376"/>
    <w:rsid w:val="001A1383"/>
    <w:rsid w:val="001B04BE"/>
    <w:rsid w:val="001D4E63"/>
    <w:rsid w:val="001E1D02"/>
    <w:rsid w:val="00202F17"/>
    <w:rsid w:val="00204AAC"/>
    <w:rsid w:val="00214770"/>
    <w:rsid w:val="00234BAF"/>
    <w:rsid w:val="00241D58"/>
    <w:rsid w:val="002470D1"/>
    <w:rsid w:val="0025314C"/>
    <w:rsid w:val="00254E34"/>
    <w:rsid w:val="00260537"/>
    <w:rsid w:val="002610E6"/>
    <w:rsid w:val="00266BA1"/>
    <w:rsid w:val="002707DC"/>
    <w:rsid w:val="002842E7"/>
    <w:rsid w:val="00286692"/>
    <w:rsid w:val="002905FE"/>
    <w:rsid w:val="00293A30"/>
    <w:rsid w:val="0029460B"/>
    <w:rsid w:val="002A2BC9"/>
    <w:rsid w:val="002A5E07"/>
    <w:rsid w:val="002B1F02"/>
    <w:rsid w:val="002B626D"/>
    <w:rsid w:val="002C6CD7"/>
    <w:rsid w:val="002F09D5"/>
    <w:rsid w:val="00302B7E"/>
    <w:rsid w:val="00304A45"/>
    <w:rsid w:val="00313801"/>
    <w:rsid w:val="0031422D"/>
    <w:rsid w:val="00331ECA"/>
    <w:rsid w:val="0034177F"/>
    <w:rsid w:val="00341D48"/>
    <w:rsid w:val="0034628D"/>
    <w:rsid w:val="0035115C"/>
    <w:rsid w:val="00351217"/>
    <w:rsid w:val="00367534"/>
    <w:rsid w:val="003678AB"/>
    <w:rsid w:val="00370576"/>
    <w:rsid w:val="003717DF"/>
    <w:rsid w:val="003739FD"/>
    <w:rsid w:val="003740D6"/>
    <w:rsid w:val="00377F50"/>
    <w:rsid w:val="00385510"/>
    <w:rsid w:val="00397448"/>
    <w:rsid w:val="003A50B5"/>
    <w:rsid w:val="003C1EA6"/>
    <w:rsid w:val="003C6419"/>
    <w:rsid w:val="003D7CBD"/>
    <w:rsid w:val="003E33F8"/>
    <w:rsid w:val="003E44D0"/>
    <w:rsid w:val="003E6BEB"/>
    <w:rsid w:val="003F2837"/>
    <w:rsid w:val="003F626F"/>
    <w:rsid w:val="0040257A"/>
    <w:rsid w:val="00412120"/>
    <w:rsid w:val="0042395B"/>
    <w:rsid w:val="004250F9"/>
    <w:rsid w:val="00444367"/>
    <w:rsid w:val="0045357E"/>
    <w:rsid w:val="00465FE5"/>
    <w:rsid w:val="00467559"/>
    <w:rsid w:val="004715B2"/>
    <w:rsid w:val="0048317C"/>
    <w:rsid w:val="004976BB"/>
    <w:rsid w:val="00497F54"/>
    <w:rsid w:val="004A654A"/>
    <w:rsid w:val="004C0458"/>
    <w:rsid w:val="004D31DF"/>
    <w:rsid w:val="004E0F0D"/>
    <w:rsid w:val="004E2554"/>
    <w:rsid w:val="004E4AF6"/>
    <w:rsid w:val="004E64EF"/>
    <w:rsid w:val="005059EE"/>
    <w:rsid w:val="0051664E"/>
    <w:rsid w:val="00521D35"/>
    <w:rsid w:val="0053208E"/>
    <w:rsid w:val="00536CCC"/>
    <w:rsid w:val="00561B11"/>
    <w:rsid w:val="0056344E"/>
    <w:rsid w:val="00575F56"/>
    <w:rsid w:val="00576287"/>
    <w:rsid w:val="00576799"/>
    <w:rsid w:val="005A179C"/>
    <w:rsid w:val="005A2073"/>
    <w:rsid w:val="005B3AAF"/>
    <w:rsid w:val="005B443D"/>
    <w:rsid w:val="005B4CEA"/>
    <w:rsid w:val="005B7965"/>
    <w:rsid w:val="005C6C20"/>
    <w:rsid w:val="005C6E2A"/>
    <w:rsid w:val="005C7A11"/>
    <w:rsid w:val="005F0997"/>
    <w:rsid w:val="005F35E9"/>
    <w:rsid w:val="005F3F0E"/>
    <w:rsid w:val="006053C1"/>
    <w:rsid w:val="0061505D"/>
    <w:rsid w:val="00624320"/>
    <w:rsid w:val="00634444"/>
    <w:rsid w:val="00635211"/>
    <w:rsid w:val="00635A53"/>
    <w:rsid w:val="00663E92"/>
    <w:rsid w:val="00665062"/>
    <w:rsid w:val="00667898"/>
    <w:rsid w:val="00670121"/>
    <w:rsid w:val="00671584"/>
    <w:rsid w:val="00672E53"/>
    <w:rsid w:val="006A1D09"/>
    <w:rsid w:val="006A49AD"/>
    <w:rsid w:val="006A6957"/>
    <w:rsid w:val="006B1AA1"/>
    <w:rsid w:val="006C2355"/>
    <w:rsid w:val="006C4870"/>
    <w:rsid w:val="006C6943"/>
    <w:rsid w:val="006D1D46"/>
    <w:rsid w:val="006D6DC2"/>
    <w:rsid w:val="00703C52"/>
    <w:rsid w:val="00711129"/>
    <w:rsid w:val="007171EE"/>
    <w:rsid w:val="00717C14"/>
    <w:rsid w:val="00720F49"/>
    <w:rsid w:val="007228E0"/>
    <w:rsid w:val="00722B43"/>
    <w:rsid w:val="00722CF9"/>
    <w:rsid w:val="00724E43"/>
    <w:rsid w:val="00727930"/>
    <w:rsid w:val="00735651"/>
    <w:rsid w:val="007412A9"/>
    <w:rsid w:val="0074356D"/>
    <w:rsid w:val="00745F5E"/>
    <w:rsid w:val="00747978"/>
    <w:rsid w:val="00752A97"/>
    <w:rsid w:val="0076115F"/>
    <w:rsid w:val="007710E5"/>
    <w:rsid w:val="00776C30"/>
    <w:rsid w:val="00793ABA"/>
    <w:rsid w:val="00795378"/>
    <w:rsid w:val="007A76C6"/>
    <w:rsid w:val="007B2249"/>
    <w:rsid w:val="007B635A"/>
    <w:rsid w:val="007B7FA0"/>
    <w:rsid w:val="007C27D2"/>
    <w:rsid w:val="007D59AF"/>
    <w:rsid w:val="007E2879"/>
    <w:rsid w:val="007E363F"/>
    <w:rsid w:val="007E4444"/>
    <w:rsid w:val="007E5E16"/>
    <w:rsid w:val="008061D7"/>
    <w:rsid w:val="00863F23"/>
    <w:rsid w:val="00873118"/>
    <w:rsid w:val="00873B9F"/>
    <w:rsid w:val="00877587"/>
    <w:rsid w:val="00896314"/>
    <w:rsid w:val="008A2F27"/>
    <w:rsid w:val="008A3E7C"/>
    <w:rsid w:val="008B31A9"/>
    <w:rsid w:val="008B5685"/>
    <w:rsid w:val="008B624A"/>
    <w:rsid w:val="008B6EA7"/>
    <w:rsid w:val="008C5B33"/>
    <w:rsid w:val="008C6345"/>
    <w:rsid w:val="008D1BEA"/>
    <w:rsid w:val="008E4477"/>
    <w:rsid w:val="008E7E23"/>
    <w:rsid w:val="008F0663"/>
    <w:rsid w:val="008F4580"/>
    <w:rsid w:val="0090450D"/>
    <w:rsid w:val="009050F2"/>
    <w:rsid w:val="00915E4D"/>
    <w:rsid w:val="00925ABD"/>
    <w:rsid w:val="00940F43"/>
    <w:rsid w:val="009511F2"/>
    <w:rsid w:val="009546D4"/>
    <w:rsid w:val="00964126"/>
    <w:rsid w:val="009761F8"/>
    <w:rsid w:val="00977EBC"/>
    <w:rsid w:val="00981DB6"/>
    <w:rsid w:val="00986C9D"/>
    <w:rsid w:val="00991145"/>
    <w:rsid w:val="009A185C"/>
    <w:rsid w:val="009A252C"/>
    <w:rsid w:val="009D048E"/>
    <w:rsid w:val="009E2A69"/>
    <w:rsid w:val="009E4D7E"/>
    <w:rsid w:val="009F02D2"/>
    <w:rsid w:val="00A01065"/>
    <w:rsid w:val="00A01973"/>
    <w:rsid w:val="00A06A48"/>
    <w:rsid w:val="00A25EF0"/>
    <w:rsid w:val="00A43E94"/>
    <w:rsid w:val="00A64E7A"/>
    <w:rsid w:val="00A7357F"/>
    <w:rsid w:val="00A74285"/>
    <w:rsid w:val="00A77872"/>
    <w:rsid w:val="00A83E18"/>
    <w:rsid w:val="00A91DED"/>
    <w:rsid w:val="00AB10F7"/>
    <w:rsid w:val="00AB7BCC"/>
    <w:rsid w:val="00AC2350"/>
    <w:rsid w:val="00AC443B"/>
    <w:rsid w:val="00AE4F00"/>
    <w:rsid w:val="00AE57A7"/>
    <w:rsid w:val="00B009FC"/>
    <w:rsid w:val="00B13504"/>
    <w:rsid w:val="00B2155B"/>
    <w:rsid w:val="00B44774"/>
    <w:rsid w:val="00B647FA"/>
    <w:rsid w:val="00B64A74"/>
    <w:rsid w:val="00B677E7"/>
    <w:rsid w:val="00B970FD"/>
    <w:rsid w:val="00B97DEC"/>
    <w:rsid w:val="00BB64B7"/>
    <w:rsid w:val="00BB7CD3"/>
    <w:rsid w:val="00BC3F8A"/>
    <w:rsid w:val="00BC47EA"/>
    <w:rsid w:val="00BC65A9"/>
    <w:rsid w:val="00BD7826"/>
    <w:rsid w:val="00BD7861"/>
    <w:rsid w:val="00BE1AFA"/>
    <w:rsid w:val="00C01ED8"/>
    <w:rsid w:val="00C041E6"/>
    <w:rsid w:val="00C11DCF"/>
    <w:rsid w:val="00C25173"/>
    <w:rsid w:val="00C31ADC"/>
    <w:rsid w:val="00C31C90"/>
    <w:rsid w:val="00C453BE"/>
    <w:rsid w:val="00C65318"/>
    <w:rsid w:val="00C67D4A"/>
    <w:rsid w:val="00C96A46"/>
    <w:rsid w:val="00CD7BBD"/>
    <w:rsid w:val="00CE6A64"/>
    <w:rsid w:val="00CF05D1"/>
    <w:rsid w:val="00CF4AC9"/>
    <w:rsid w:val="00CF4F22"/>
    <w:rsid w:val="00D04DF9"/>
    <w:rsid w:val="00D059D4"/>
    <w:rsid w:val="00D1135D"/>
    <w:rsid w:val="00D155E6"/>
    <w:rsid w:val="00D166DB"/>
    <w:rsid w:val="00D17198"/>
    <w:rsid w:val="00D50044"/>
    <w:rsid w:val="00D545B9"/>
    <w:rsid w:val="00D56825"/>
    <w:rsid w:val="00D56CF3"/>
    <w:rsid w:val="00D62C01"/>
    <w:rsid w:val="00D6423F"/>
    <w:rsid w:val="00D731F8"/>
    <w:rsid w:val="00D842A7"/>
    <w:rsid w:val="00D94F0C"/>
    <w:rsid w:val="00D97E2B"/>
    <w:rsid w:val="00DA5A16"/>
    <w:rsid w:val="00DD2BB0"/>
    <w:rsid w:val="00DF282F"/>
    <w:rsid w:val="00DF5ACF"/>
    <w:rsid w:val="00E03795"/>
    <w:rsid w:val="00E418B0"/>
    <w:rsid w:val="00E42B74"/>
    <w:rsid w:val="00E462AC"/>
    <w:rsid w:val="00E654A6"/>
    <w:rsid w:val="00E73EEA"/>
    <w:rsid w:val="00E952E4"/>
    <w:rsid w:val="00E95A3A"/>
    <w:rsid w:val="00EC4203"/>
    <w:rsid w:val="00ED648D"/>
    <w:rsid w:val="00EE5F5F"/>
    <w:rsid w:val="00F013A7"/>
    <w:rsid w:val="00F03D55"/>
    <w:rsid w:val="00F069A6"/>
    <w:rsid w:val="00F13E73"/>
    <w:rsid w:val="00F143B5"/>
    <w:rsid w:val="00F1745F"/>
    <w:rsid w:val="00F308DA"/>
    <w:rsid w:val="00F35035"/>
    <w:rsid w:val="00F35899"/>
    <w:rsid w:val="00F52062"/>
    <w:rsid w:val="00F53319"/>
    <w:rsid w:val="00F64D64"/>
    <w:rsid w:val="00F73577"/>
    <w:rsid w:val="00F755B6"/>
    <w:rsid w:val="00F822FE"/>
    <w:rsid w:val="00F90C07"/>
    <w:rsid w:val="00F91080"/>
    <w:rsid w:val="00FA0D79"/>
    <w:rsid w:val="00FA3A52"/>
    <w:rsid w:val="00FC1D72"/>
    <w:rsid w:val="00FC7698"/>
    <w:rsid w:val="00FF4C89"/>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D4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sid w:val="004C0458"/>
    <w:rPr>
      <w:sz w:val="20"/>
      <w:szCs w:val="20"/>
    </w:rPr>
  </w:style>
  <w:style w:type="character" w:styleId="FootnoteReference">
    <w:name w:val="footnote reference"/>
    <w:semiHidden/>
    <w:rsid w:val="004C0458"/>
    <w:rPr>
      <w:vertAlign w:val="superscript"/>
    </w:rPr>
  </w:style>
  <w:style w:type="character" w:styleId="Hyperlink">
    <w:name w:val="Hyperlink"/>
    <w:rsid w:val="000449B8"/>
    <w:rPr>
      <w:color w:val="0000FF"/>
      <w:u w:val="single"/>
    </w:rPr>
  </w:style>
  <w:style w:type="character" w:customStyle="1" w:styleId="HeaderChar">
    <w:name w:val="Header Char"/>
    <w:link w:val="Header"/>
    <w:uiPriority w:val="99"/>
    <w:rsid w:val="00C453BE"/>
    <w:rPr>
      <w:sz w:val="24"/>
      <w:szCs w:val="24"/>
    </w:rPr>
  </w:style>
  <w:style w:type="character" w:styleId="FollowedHyperlink">
    <w:name w:val="FollowedHyperlink"/>
    <w:rsid w:val="003678AB"/>
    <w:rPr>
      <w:color w:val="800080"/>
      <w:u w:val="single"/>
    </w:rPr>
  </w:style>
  <w:style w:type="character" w:customStyle="1" w:styleId="FootnoteTextChar">
    <w:name w:val="Footnote Text Char"/>
    <w:link w:val="FootnoteText"/>
    <w:semiHidden/>
    <w:rsid w:val="007E4444"/>
  </w:style>
  <w:style w:type="paragraph" w:styleId="BalloonText">
    <w:name w:val="Balloon Text"/>
    <w:basedOn w:val="Normal"/>
    <w:link w:val="BalloonTextChar"/>
    <w:rsid w:val="00095EAF"/>
    <w:rPr>
      <w:rFonts w:ascii="Tahoma" w:hAnsi="Tahoma" w:cs="Tahoma"/>
      <w:sz w:val="16"/>
      <w:szCs w:val="16"/>
    </w:rPr>
  </w:style>
  <w:style w:type="character" w:customStyle="1" w:styleId="BalloonTextChar">
    <w:name w:val="Balloon Text Char"/>
    <w:link w:val="BalloonText"/>
    <w:rsid w:val="00095EAF"/>
    <w:rPr>
      <w:rFonts w:ascii="Tahoma" w:hAnsi="Tahoma" w:cs="Tahoma"/>
      <w:sz w:val="16"/>
      <w:szCs w:val="16"/>
    </w:rPr>
  </w:style>
  <w:style w:type="character" w:styleId="CommentReference">
    <w:name w:val="annotation reference"/>
    <w:rsid w:val="00367534"/>
    <w:rPr>
      <w:sz w:val="18"/>
      <w:szCs w:val="18"/>
    </w:rPr>
  </w:style>
  <w:style w:type="paragraph" w:styleId="CommentText">
    <w:name w:val="annotation text"/>
    <w:basedOn w:val="Normal"/>
    <w:link w:val="CommentTextChar"/>
    <w:rsid w:val="00367534"/>
  </w:style>
  <w:style w:type="character" w:customStyle="1" w:styleId="CommentTextChar">
    <w:name w:val="Comment Text Char"/>
    <w:link w:val="CommentText"/>
    <w:rsid w:val="00367534"/>
    <w:rPr>
      <w:sz w:val="24"/>
      <w:szCs w:val="24"/>
    </w:rPr>
  </w:style>
  <w:style w:type="paragraph" w:styleId="CommentSubject">
    <w:name w:val="annotation subject"/>
    <w:basedOn w:val="CommentText"/>
    <w:next w:val="CommentText"/>
    <w:link w:val="CommentSubjectChar"/>
    <w:rsid w:val="00367534"/>
    <w:rPr>
      <w:b/>
      <w:bCs/>
      <w:sz w:val="20"/>
      <w:szCs w:val="20"/>
    </w:rPr>
  </w:style>
  <w:style w:type="character" w:customStyle="1" w:styleId="CommentSubjectChar">
    <w:name w:val="Comment Subject Char"/>
    <w:link w:val="CommentSubject"/>
    <w:rsid w:val="00367534"/>
    <w:rPr>
      <w:b/>
      <w:bCs/>
      <w:sz w:val="24"/>
      <w:szCs w:val="24"/>
    </w:rPr>
  </w:style>
  <w:style w:type="paragraph" w:styleId="Revision">
    <w:name w:val="Revision"/>
    <w:hidden/>
    <w:uiPriority w:val="71"/>
    <w:rsid w:val="004675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sid w:val="004C0458"/>
    <w:rPr>
      <w:sz w:val="20"/>
      <w:szCs w:val="20"/>
    </w:rPr>
  </w:style>
  <w:style w:type="character" w:styleId="FootnoteReference">
    <w:name w:val="footnote reference"/>
    <w:semiHidden/>
    <w:rsid w:val="004C0458"/>
    <w:rPr>
      <w:vertAlign w:val="superscript"/>
    </w:rPr>
  </w:style>
  <w:style w:type="character" w:styleId="Hyperlink">
    <w:name w:val="Hyperlink"/>
    <w:rsid w:val="000449B8"/>
    <w:rPr>
      <w:color w:val="0000FF"/>
      <w:u w:val="single"/>
    </w:rPr>
  </w:style>
  <w:style w:type="character" w:customStyle="1" w:styleId="HeaderChar">
    <w:name w:val="Header Char"/>
    <w:link w:val="Header"/>
    <w:uiPriority w:val="99"/>
    <w:rsid w:val="00C453BE"/>
    <w:rPr>
      <w:sz w:val="24"/>
      <w:szCs w:val="24"/>
    </w:rPr>
  </w:style>
  <w:style w:type="character" w:styleId="FollowedHyperlink">
    <w:name w:val="FollowedHyperlink"/>
    <w:rsid w:val="003678AB"/>
    <w:rPr>
      <w:color w:val="800080"/>
      <w:u w:val="single"/>
    </w:rPr>
  </w:style>
  <w:style w:type="character" w:customStyle="1" w:styleId="FootnoteTextChar">
    <w:name w:val="Footnote Text Char"/>
    <w:link w:val="FootnoteText"/>
    <w:semiHidden/>
    <w:rsid w:val="007E4444"/>
  </w:style>
  <w:style w:type="paragraph" w:styleId="BalloonText">
    <w:name w:val="Balloon Text"/>
    <w:basedOn w:val="Normal"/>
    <w:link w:val="BalloonTextChar"/>
    <w:rsid w:val="00095EAF"/>
    <w:rPr>
      <w:rFonts w:ascii="Tahoma" w:hAnsi="Tahoma" w:cs="Tahoma"/>
      <w:sz w:val="16"/>
      <w:szCs w:val="16"/>
    </w:rPr>
  </w:style>
  <w:style w:type="character" w:customStyle="1" w:styleId="BalloonTextChar">
    <w:name w:val="Balloon Text Char"/>
    <w:link w:val="BalloonText"/>
    <w:rsid w:val="00095EAF"/>
    <w:rPr>
      <w:rFonts w:ascii="Tahoma" w:hAnsi="Tahoma" w:cs="Tahoma"/>
      <w:sz w:val="16"/>
      <w:szCs w:val="16"/>
    </w:rPr>
  </w:style>
  <w:style w:type="character" w:styleId="CommentReference">
    <w:name w:val="annotation reference"/>
    <w:rsid w:val="00367534"/>
    <w:rPr>
      <w:sz w:val="18"/>
      <w:szCs w:val="18"/>
    </w:rPr>
  </w:style>
  <w:style w:type="paragraph" w:styleId="CommentText">
    <w:name w:val="annotation text"/>
    <w:basedOn w:val="Normal"/>
    <w:link w:val="CommentTextChar"/>
    <w:rsid w:val="00367534"/>
  </w:style>
  <w:style w:type="character" w:customStyle="1" w:styleId="CommentTextChar">
    <w:name w:val="Comment Text Char"/>
    <w:link w:val="CommentText"/>
    <w:rsid w:val="00367534"/>
    <w:rPr>
      <w:sz w:val="24"/>
      <w:szCs w:val="24"/>
    </w:rPr>
  </w:style>
  <w:style w:type="paragraph" w:styleId="CommentSubject">
    <w:name w:val="annotation subject"/>
    <w:basedOn w:val="CommentText"/>
    <w:next w:val="CommentText"/>
    <w:link w:val="CommentSubjectChar"/>
    <w:rsid w:val="00367534"/>
    <w:rPr>
      <w:b/>
      <w:bCs/>
      <w:sz w:val="20"/>
      <w:szCs w:val="20"/>
    </w:rPr>
  </w:style>
  <w:style w:type="character" w:customStyle="1" w:styleId="CommentSubjectChar">
    <w:name w:val="Comment Subject Char"/>
    <w:link w:val="CommentSubject"/>
    <w:rsid w:val="00367534"/>
    <w:rPr>
      <w:b/>
      <w:bCs/>
      <w:sz w:val="24"/>
      <w:szCs w:val="24"/>
    </w:rPr>
  </w:style>
  <w:style w:type="paragraph" w:styleId="Revision">
    <w:name w:val="Revision"/>
    <w:hidden/>
    <w:uiPriority w:val="71"/>
    <w:rsid w:val="00467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9936">
      <w:bodyDiv w:val="1"/>
      <w:marLeft w:val="30"/>
      <w:marRight w:val="30"/>
      <w:marTop w:val="30"/>
      <w:marBottom w:val="30"/>
      <w:divBdr>
        <w:top w:val="none" w:sz="0" w:space="0" w:color="auto"/>
        <w:left w:val="none" w:sz="0" w:space="0" w:color="auto"/>
        <w:bottom w:val="none" w:sz="0" w:space="0" w:color="auto"/>
        <w:right w:val="none" w:sz="0" w:space="0" w:color="auto"/>
      </w:divBdr>
      <w:divsChild>
        <w:div w:id="1690646148">
          <w:marLeft w:val="0"/>
          <w:marRight w:val="0"/>
          <w:marTop w:val="0"/>
          <w:marBottom w:val="0"/>
          <w:divBdr>
            <w:top w:val="none" w:sz="0" w:space="0" w:color="auto"/>
            <w:left w:val="none" w:sz="0" w:space="0" w:color="auto"/>
            <w:bottom w:val="none" w:sz="0" w:space="0" w:color="auto"/>
            <w:right w:val="none" w:sz="0" w:space="0" w:color="auto"/>
          </w:divBdr>
          <w:divsChild>
            <w:div w:id="739211415">
              <w:marLeft w:val="45"/>
              <w:marRight w:val="45"/>
              <w:marTop w:val="45"/>
              <w:marBottom w:val="45"/>
              <w:divBdr>
                <w:top w:val="none" w:sz="0" w:space="0" w:color="auto"/>
                <w:left w:val="none" w:sz="0" w:space="0" w:color="auto"/>
                <w:bottom w:val="none" w:sz="0" w:space="0" w:color="auto"/>
                <w:right w:val="none" w:sz="0" w:space="0" w:color="auto"/>
              </w:divBdr>
              <w:divsChild>
                <w:div w:id="2124880222">
                  <w:marLeft w:val="0"/>
                  <w:marRight w:val="0"/>
                  <w:marTop w:val="0"/>
                  <w:marBottom w:val="0"/>
                  <w:divBdr>
                    <w:top w:val="none" w:sz="0" w:space="0" w:color="auto"/>
                    <w:left w:val="none" w:sz="0" w:space="0" w:color="auto"/>
                    <w:bottom w:val="none" w:sz="0" w:space="0" w:color="auto"/>
                    <w:right w:val="none" w:sz="0" w:space="0" w:color="auto"/>
                  </w:divBdr>
                  <w:divsChild>
                    <w:div w:id="20139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7212">
      <w:bodyDiv w:val="1"/>
      <w:marLeft w:val="30"/>
      <w:marRight w:val="30"/>
      <w:marTop w:val="30"/>
      <w:marBottom w:val="30"/>
      <w:divBdr>
        <w:top w:val="none" w:sz="0" w:space="0" w:color="auto"/>
        <w:left w:val="none" w:sz="0" w:space="0" w:color="auto"/>
        <w:bottom w:val="none" w:sz="0" w:space="0" w:color="auto"/>
        <w:right w:val="none" w:sz="0" w:space="0" w:color="auto"/>
      </w:divBdr>
      <w:divsChild>
        <w:div w:id="714546669">
          <w:marLeft w:val="0"/>
          <w:marRight w:val="0"/>
          <w:marTop w:val="0"/>
          <w:marBottom w:val="0"/>
          <w:divBdr>
            <w:top w:val="none" w:sz="0" w:space="0" w:color="auto"/>
            <w:left w:val="none" w:sz="0" w:space="0" w:color="auto"/>
            <w:bottom w:val="none" w:sz="0" w:space="0" w:color="auto"/>
            <w:right w:val="none" w:sz="0" w:space="0" w:color="auto"/>
          </w:divBdr>
          <w:divsChild>
            <w:div w:id="1596933713">
              <w:marLeft w:val="45"/>
              <w:marRight w:val="45"/>
              <w:marTop w:val="45"/>
              <w:marBottom w:val="45"/>
              <w:divBdr>
                <w:top w:val="none" w:sz="0" w:space="0" w:color="auto"/>
                <w:left w:val="none" w:sz="0" w:space="0" w:color="auto"/>
                <w:bottom w:val="none" w:sz="0" w:space="0" w:color="auto"/>
                <w:right w:val="none" w:sz="0" w:space="0" w:color="auto"/>
              </w:divBdr>
              <w:divsChild>
                <w:div w:id="692613854">
                  <w:marLeft w:val="0"/>
                  <w:marRight w:val="0"/>
                  <w:marTop w:val="0"/>
                  <w:marBottom w:val="0"/>
                  <w:divBdr>
                    <w:top w:val="none" w:sz="0" w:space="0" w:color="auto"/>
                    <w:left w:val="none" w:sz="0" w:space="0" w:color="auto"/>
                    <w:bottom w:val="none" w:sz="0" w:space="0" w:color="auto"/>
                    <w:right w:val="none" w:sz="0" w:space="0" w:color="auto"/>
                  </w:divBdr>
                  <w:divsChild>
                    <w:div w:id="11953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1337</Words>
  <Characters>7476</Characters>
  <Application>Microsoft Office Word</Application>
  <DocSecurity>0</DocSecurity>
  <Lines>128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8828</CharactersWithSpaces>
  <SharedDoc>false</SharedDoc>
  <HyperlinkBase> </HyperlinkBase>
  <HLinks>
    <vt:vector size="12" baseType="variant">
      <vt:variant>
        <vt:i4>3997717</vt:i4>
      </vt:variant>
      <vt:variant>
        <vt:i4>3</vt:i4>
      </vt:variant>
      <vt:variant>
        <vt:i4>0</vt:i4>
      </vt:variant>
      <vt:variant>
        <vt:i4>5</vt:i4>
      </vt:variant>
      <vt:variant>
        <vt:lpwstr>http://www.powersouth.com/system_facts</vt:lpwstr>
      </vt:variant>
      <vt:variant>
        <vt:lpwstr/>
      </vt:variant>
      <vt:variant>
        <vt:i4>7798873</vt:i4>
      </vt:variant>
      <vt:variant>
        <vt:i4>0</vt:i4>
      </vt:variant>
      <vt:variant>
        <vt:i4>0</vt:i4>
      </vt:variant>
      <vt:variant>
        <vt:i4>5</vt:i4>
      </vt:variant>
      <vt:variant>
        <vt:lpwstr>http://www.powersouth.com/corporate_overview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2014-05-28T19:08:00Z</cp:lastPrinted>
  <dcterms:created xsi:type="dcterms:W3CDTF">2014-05-28T19:12:00Z</dcterms:created>
  <dcterms:modified xsi:type="dcterms:W3CDTF">2014-05-28T19:12:00Z</dcterms:modified>
  <cp:category> </cp:category>
  <cp:contentStatus> </cp:contentStatus>
</cp:coreProperties>
</file>