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rsidR="00050854" w:rsidRPr="00E34AAE" w:rsidRDefault="00050854" w:rsidP="00BF1922">
            <w:pPr>
              <w:widowControl/>
              <w:rPr>
                <w:sz w:val="22"/>
                <w:szCs w:val="22"/>
              </w:rPr>
            </w:pPr>
          </w:p>
          <w:p w:rsidR="00050854" w:rsidRPr="00303D60" w:rsidRDefault="00EF0724" w:rsidP="00303D60">
            <w:pPr>
              <w:widowControl/>
              <w:rPr>
                <w:spacing w:val="-2"/>
                <w:sz w:val="22"/>
                <w:szCs w:val="22"/>
              </w:rPr>
            </w:pPr>
            <w:r>
              <w:rPr>
                <w:spacing w:val="-2"/>
                <w:sz w:val="22"/>
                <w:szCs w:val="22"/>
              </w:rPr>
              <w:t>Marc-N</w:t>
            </w:r>
            <w:r w:rsidR="00245B5D" w:rsidRPr="00303D60">
              <w:rPr>
                <w:spacing w:val="-2"/>
                <w:sz w:val="22"/>
                <w:szCs w:val="22"/>
              </w:rPr>
              <w:t>us Charles</w:t>
            </w:r>
          </w:p>
          <w:p w:rsidR="00303D60" w:rsidRPr="00303D60" w:rsidRDefault="00303D60" w:rsidP="00303D60">
            <w:pPr>
              <w:widowControl/>
              <w:rPr>
                <w:sz w:val="22"/>
                <w:szCs w:val="22"/>
              </w:rPr>
            </w:pPr>
          </w:p>
          <w:p w:rsidR="00050854" w:rsidRPr="003407D0" w:rsidRDefault="00245B5D" w:rsidP="00303D60">
            <w:pPr>
              <w:widowControl/>
              <w:rPr>
                <w:sz w:val="22"/>
              </w:rPr>
            </w:pPr>
            <w:r w:rsidRPr="00303D60">
              <w:rPr>
                <w:sz w:val="22"/>
                <w:szCs w:val="22"/>
              </w:rPr>
              <w:t>Pompano Beach, Florida</w:t>
            </w:r>
          </w:p>
        </w:tc>
        <w:tc>
          <w:tcPr>
            <w:tcW w:w="270" w:type="dxa"/>
          </w:tcPr>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tc>
        <w:tc>
          <w:tcPr>
            <w:tcW w:w="4680" w:type="dxa"/>
          </w:tcPr>
          <w:p w:rsidR="003E2AD5" w:rsidRDefault="003E2AD5" w:rsidP="00BF1922">
            <w:pPr>
              <w:widowControl/>
              <w:rPr>
                <w:spacing w:val="-2"/>
                <w:sz w:val="22"/>
                <w:szCs w:val="22"/>
              </w:rPr>
            </w:pPr>
          </w:p>
          <w:p w:rsidR="005F002F" w:rsidRDefault="005F002F" w:rsidP="00BF1922">
            <w:pPr>
              <w:widowControl/>
              <w:ind w:left="702"/>
              <w:rPr>
                <w:spacing w:val="-2"/>
                <w:sz w:val="22"/>
                <w:szCs w:val="22"/>
              </w:rPr>
            </w:pPr>
          </w:p>
          <w:p w:rsidR="00780C18" w:rsidRPr="00303D60"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780C18" w:rsidRPr="00303D60">
              <w:rPr>
                <w:sz w:val="22"/>
                <w:szCs w:val="22"/>
              </w:rPr>
              <w:t>EB-FIELD</w:t>
            </w:r>
            <w:r w:rsidR="00245B5D" w:rsidRPr="00303D60">
              <w:rPr>
                <w:sz w:val="22"/>
                <w:szCs w:val="22"/>
              </w:rPr>
              <w:t>SCR-12-00003739</w:t>
            </w:r>
            <w:r w:rsidR="00780C18" w:rsidRPr="00303D60">
              <w:rPr>
                <w:sz w:val="22"/>
                <w:szCs w:val="22"/>
              </w:rPr>
              <w:t xml:space="preserve">  </w:t>
            </w:r>
          </w:p>
          <w:p w:rsidR="00050854" w:rsidRPr="00303D60" w:rsidRDefault="00050854" w:rsidP="00303D60">
            <w:pPr>
              <w:widowControl/>
              <w:ind w:left="706"/>
              <w:rPr>
                <w:sz w:val="22"/>
                <w:szCs w:val="22"/>
              </w:rPr>
            </w:pPr>
            <w:r w:rsidRPr="00303D60">
              <w:rPr>
                <w:sz w:val="22"/>
                <w:szCs w:val="22"/>
              </w:rPr>
              <w:t>NAL/Acct. No.</w:t>
            </w:r>
            <w:r w:rsidR="003E2AD5" w:rsidRPr="00303D60">
              <w:rPr>
                <w:sz w:val="22"/>
                <w:szCs w:val="22"/>
              </w:rPr>
              <w:t>:</w:t>
            </w:r>
            <w:r w:rsidR="00E847E3" w:rsidRPr="00303D60">
              <w:rPr>
                <w:sz w:val="22"/>
                <w:szCs w:val="22"/>
              </w:rPr>
              <w:t xml:space="preserve">  </w:t>
            </w:r>
            <w:r w:rsidR="00245B5D" w:rsidRPr="003817A3">
              <w:rPr>
                <w:sz w:val="22"/>
                <w:szCs w:val="22"/>
              </w:rPr>
              <w:t>20143260000</w:t>
            </w:r>
            <w:r w:rsidR="003817A3" w:rsidRPr="003817A3">
              <w:rPr>
                <w:sz w:val="22"/>
                <w:szCs w:val="22"/>
              </w:rPr>
              <w:t>4</w:t>
            </w:r>
          </w:p>
          <w:p w:rsidR="008B58B7" w:rsidRPr="00303D60" w:rsidRDefault="00303D60" w:rsidP="00303D60">
            <w:pPr>
              <w:widowControl/>
              <w:ind w:left="706"/>
              <w:rPr>
                <w:sz w:val="22"/>
                <w:szCs w:val="22"/>
              </w:rPr>
            </w:pPr>
            <w:r w:rsidRPr="00303D60">
              <w:rPr>
                <w:sz w:val="22"/>
                <w:szCs w:val="22"/>
              </w:rPr>
              <w:t>FRN</w:t>
            </w:r>
            <w:r w:rsidR="005F002F" w:rsidRPr="00303D60">
              <w:rPr>
                <w:sz w:val="22"/>
                <w:szCs w:val="22"/>
              </w:rPr>
              <w:t xml:space="preserve">:  </w:t>
            </w:r>
            <w:r w:rsidR="004251DE" w:rsidRPr="004251DE">
              <w:rPr>
                <w:sz w:val="22"/>
                <w:szCs w:val="22"/>
              </w:rPr>
              <w:t>0019116912</w:t>
            </w:r>
          </w:p>
          <w:p w:rsidR="00050854" w:rsidRPr="008B58B7" w:rsidRDefault="008B58B7" w:rsidP="00BF1922">
            <w:pPr>
              <w:widowControl/>
              <w:rPr>
                <w:color w:val="FF00FF"/>
                <w:sz w:val="22"/>
                <w:szCs w:val="22"/>
              </w:rPr>
            </w:pPr>
            <w:r>
              <w:rPr>
                <w:color w:val="FF00FF"/>
                <w:sz w:val="22"/>
                <w:szCs w:val="22"/>
              </w:rPr>
              <w:t xml:space="preserve">    </w:t>
            </w:r>
          </w:p>
        </w:tc>
      </w:tr>
    </w:tbl>
    <w:p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rsidR="00050854" w:rsidRPr="004251DE" w:rsidRDefault="007E2E05" w:rsidP="00BF1922">
      <w:pPr>
        <w:widowControl/>
        <w:rPr>
          <w:b/>
          <w:color w:val="000000" w:themeColor="text1"/>
          <w:spacing w:val="-2"/>
          <w:sz w:val="22"/>
          <w:szCs w:val="22"/>
        </w:rPr>
      </w:pPr>
      <w:r>
        <w:rPr>
          <w:sz w:val="22"/>
          <w:szCs w:val="22"/>
        </w:rPr>
        <w:t>Adopted:</w:t>
      </w:r>
      <w:r w:rsidR="004251DE">
        <w:rPr>
          <w:sz w:val="22"/>
          <w:szCs w:val="22"/>
        </w:rPr>
        <w:t xml:space="preserve">  June 2, 2014</w:t>
      </w:r>
      <w:r>
        <w:rPr>
          <w:sz w:val="22"/>
          <w:szCs w:val="22"/>
        </w:rPr>
        <w:tab/>
      </w:r>
      <w:r>
        <w:rPr>
          <w:sz w:val="22"/>
          <w:szCs w:val="22"/>
        </w:rPr>
        <w:tab/>
      </w:r>
      <w:r>
        <w:rPr>
          <w:sz w:val="22"/>
          <w:szCs w:val="22"/>
        </w:rPr>
        <w:tab/>
      </w:r>
      <w:r>
        <w:rPr>
          <w:sz w:val="22"/>
          <w:szCs w:val="22"/>
        </w:rPr>
        <w:tab/>
      </w:r>
      <w:r>
        <w:rPr>
          <w:sz w:val="22"/>
          <w:szCs w:val="22"/>
        </w:rPr>
        <w:tab/>
      </w:r>
      <w:r w:rsidR="004251DE">
        <w:rPr>
          <w:sz w:val="22"/>
          <w:szCs w:val="22"/>
        </w:rPr>
        <w:tab/>
      </w:r>
      <w:r w:rsidR="004251DE">
        <w:rPr>
          <w:sz w:val="22"/>
          <w:szCs w:val="22"/>
        </w:rPr>
        <w:tab/>
      </w:r>
      <w:r w:rsidR="00050854" w:rsidRPr="00E34AAE">
        <w:rPr>
          <w:sz w:val="22"/>
          <w:szCs w:val="22"/>
        </w:rPr>
        <w:t>Released</w:t>
      </w:r>
      <w:r w:rsidR="00050854" w:rsidRPr="004251DE">
        <w:rPr>
          <w:color w:val="000000" w:themeColor="text1"/>
          <w:sz w:val="22"/>
          <w:szCs w:val="22"/>
        </w:rPr>
        <w:t xml:space="preserve">: </w:t>
      </w:r>
      <w:r w:rsidR="004251DE" w:rsidRPr="004251DE">
        <w:rPr>
          <w:color w:val="000000" w:themeColor="text1"/>
          <w:sz w:val="22"/>
          <w:szCs w:val="22"/>
        </w:rPr>
        <w:t xml:space="preserve"> June 2, 2014</w:t>
      </w:r>
    </w:p>
    <w:p w:rsidR="00050854" w:rsidRPr="004251DE"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 xml:space="preserve">By the </w:t>
      </w:r>
      <w:r w:rsidRPr="00303D60">
        <w:rPr>
          <w:spacing w:val="-2"/>
          <w:sz w:val="22"/>
          <w:szCs w:val="22"/>
        </w:rPr>
        <w:t xml:space="preserve">Resident Agent, </w:t>
      </w:r>
      <w:r w:rsidR="00303D60" w:rsidRPr="00303D60">
        <w:rPr>
          <w:spacing w:val="-2"/>
          <w:sz w:val="22"/>
          <w:szCs w:val="22"/>
        </w:rPr>
        <w:t xml:space="preserve">Miami </w:t>
      </w:r>
      <w:r w:rsidRPr="00303D60">
        <w:rPr>
          <w:spacing w:val="-2"/>
          <w:sz w:val="22"/>
          <w:szCs w:val="22"/>
        </w:rPr>
        <w:t xml:space="preserve">Office, </w:t>
      </w:r>
      <w:r w:rsidR="00303D60" w:rsidRPr="00303D60">
        <w:rPr>
          <w:spacing w:val="-2"/>
          <w:sz w:val="22"/>
          <w:szCs w:val="22"/>
        </w:rPr>
        <w:t>South</w:t>
      </w:r>
      <w:r w:rsidR="00303D60">
        <w:rPr>
          <w:spacing w:val="-2"/>
          <w:sz w:val="22"/>
          <w:szCs w:val="22"/>
        </w:rPr>
        <w:t xml:space="preserve"> Central </w:t>
      </w:r>
      <w:r w:rsidR="00A546FC">
        <w:rPr>
          <w:spacing w:val="-2"/>
          <w:sz w:val="22"/>
          <w:szCs w:val="22"/>
        </w:rPr>
        <w:t>Region,</w:t>
      </w:r>
      <w:r>
        <w:rPr>
          <w:spacing w:val="-2"/>
          <w:sz w:val="22"/>
          <w:szCs w:val="22"/>
        </w:rPr>
        <w:t xml:space="preserve">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Pr="003F3CFD" w:rsidRDefault="00990FB6" w:rsidP="006F4962">
      <w:pPr>
        <w:pStyle w:val="Heading1"/>
        <w:widowControl/>
        <w:spacing w:after="120"/>
        <w:rPr>
          <w:sz w:val="22"/>
          <w:szCs w:val="22"/>
        </w:rPr>
      </w:pPr>
      <w:r w:rsidRPr="003F3CFD">
        <w:rPr>
          <w:sz w:val="22"/>
          <w:szCs w:val="22"/>
        </w:rPr>
        <w:t>INTRODUCTION</w:t>
      </w:r>
    </w:p>
    <w:p w:rsidR="00050854" w:rsidRDefault="0057443E" w:rsidP="006F4962">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We propose a penalty of $</w:t>
      </w:r>
      <w:r w:rsidR="00515AC0">
        <w:rPr>
          <w:spacing w:val="-2"/>
          <w:sz w:val="22"/>
          <w:szCs w:val="22"/>
        </w:rPr>
        <w:t>20</w:t>
      </w:r>
      <w:r>
        <w:rPr>
          <w:spacing w:val="-2"/>
          <w:sz w:val="22"/>
          <w:szCs w:val="22"/>
        </w:rPr>
        <w:t>,000 against Marc-Nus Charles f</w:t>
      </w:r>
      <w:r w:rsidR="00E45569">
        <w:rPr>
          <w:spacing w:val="-2"/>
          <w:sz w:val="22"/>
          <w:szCs w:val="22"/>
        </w:rPr>
        <w:t>or apparently operating an unlicensed FM</w:t>
      </w:r>
      <w:r>
        <w:rPr>
          <w:spacing w:val="-2"/>
          <w:sz w:val="22"/>
          <w:szCs w:val="22"/>
        </w:rPr>
        <w:t xml:space="preserve"> radio station in Pompano Beach, Florida.  The Commission warned Mr. Charles </w:t>
      </w:r>
      <w:r w:rsidR="006876EC">
        <w:rPr>
          <w:spacing w:val="-2"/>
          <w:sz w:val="22"/>
          <w:szCs w:val="22"/>
        </w:rPr>
        <w:t xml:space="preserve">in writing </w:t>
      </w:r>
      <w:r>
        <w:rPr>
          <w:spacing w:val="-2"/>
          <w:sz w:val="22"/>
          <w:szCs w:val="22"/>
        </w:rPr>
        <w:t xml:space="preserve">that </w:t>
      </w:r>
      <w:r w:rsidR="00E45569">
        <w:rPr>
          <w:spacing w:val="-2"/>
          <w:sz w:val="22"/>
          <w:szCs w:val="22"/>
        </w:rPr>
        <w:t>unlicensed</w:t>
      </w:r>
      <w:r>
        <w:rPr>
          <w:spacing w:val="-2"/>
          <w:sz w:val="22"/>
          <w:szCs w:val="22"/>
        </w:rPr>
        <w:t xml:space="preserve"> </w:t>
      </w:r>
      <w:r w:rsidR="006876EC">
        <w:rPr>
          <w:spacing w:val="-2"/>
          <w:sz w:val="22"/>
          <w:szCs w:val="22"/>
        </w:rPr>
        <w:t xml:space="preserve">radio </w:t>
      </w:r>
      <w:r w:rsidR="00720B9F">
        <w:rPr>
          <w:spacing w:val="-2"/>
          <w:sz w:val="22"/>
          <w:szCs w:val="22"/>
        </w:rPr>
        <w:t>operations violate federal law</w:t>
      </w:r>
      <w:r>
        <w:rPr>
          <w:spacing w:val="-2"/>
          <w:sz w:val="22"/>
          <w:szCs w:val="22"/>
        </w:rPr>
        <w:t>, but he nevertheless continued to operate illegally.  The fact that Mr. Charles would ignore the Commission’s warning</w:t>
      </w:r>
      <w:r w:rsidR="0033665C">
        <w:rPr>
          <w:spacing w:val="-2"/>
          <w:sz w:val="22"/>
          <w:szCs w:val="22"/>
        </w:rPr>
        <w:t>s</w:t>
      </w:r>
      <w:r>
        <w:rPr>
          <w:spacing w:val="-2"/>
          <w:sz w:val="22"/>
          <w:szCs w:val="22"/>
        </w:rPr>
        <w:t xml:space="preserve"> demonstrates a deliberate disregard for the Commission’s authorit</w:t>
      </w:r>
      <w:r w:rsidR="006876EC">
        <w:rPr>
          <w:spacing w:val="-2"/>
          <w:sz w:val="22"/>
          <w:szCs w:val="22"/>
        </w:rPr>
        <w:t xml:space="preserve">y and its rules, warranting a </w:t>
      </w:r>
      <w:r w:rsidR="0033665C">
        <w:rPr>
          <w:spacing w:val="-2"/>
          <w:sz w:val="22"/>
          <w:szCs w:val="22"/>
        </w:rPr>
        <w:t>significant</w:t>
      </w:r>
      <w:r>
        <w:rPr>
          <w:spacing w:val="-2"/>
          <w:sz w:val="22"/>
          <w:szCs w:val="22"/>
        </w:rPr>
        <w:t xml:space="preserve"> increase </w:t>
      </w:r>
      <w:r w:rsidR="0033665C">
        <w:rPr>
          <w:spacing w:val="-2"/>
          <w:sz w:val="22"/>
          <w:szCs w:val="22"/>
        </w:rPr>
        <w:t xml:space="preserve">to </w:t>
      </w:r>
      <w:r>
        <w:rPr>
          <w:spacing w:val="-2"/>
          <w:sz w:val="22"/>
          <w:szCs w:val="22"/>
        </w:rPr>
        <w:t xml:space="preserve">our normal penalty for </w:t>
      </w:r>
      <w:r w:rsidR="00720B9F">
        <w:rPr>
          <w:spacing w:val="-2"/>
          <w:sz w:val="22"/>
          <w:szCs w:val="22"/>
        </w:rPr>
        <w:t>unlicensed</w:t>
      </w:r>
      <w:r w:rsidR="0033665C">
        <w:rPr>
          <w:spacing w:val="-2"/>
          <w:sz w:val="22"/>
          <w:szCs w:val="22"/>
        </w:rPr>
        <w:t xml:space="preserve"> </w:t>
      </w:r>
      <w:r>
        <w:rPr>
          <w:spacing w:val="-2"/>
          <w:sz w:val="22"/>
          <w:szCs w:val="22"/>
        </w:rPr>
        <w:t>radio operations.</w:t>
      </w:r>
      <w:r w:rsidR="003A7878">
        <w:rPr>
          <w:spacing w:val="-2"/>
          <w:sz w:val="22"/>
          <w:szCs w:val="22"/>
        </w:rPr>
        <w:t xml:space="preserve"> </w:t>
      </w:r>
    </w:p>
    <w:p w:rsidR="008914FA" w:rsidRPr="006C72D8" w:rsidRDefault="008914FA" w:rsidP="006F4962">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In this Notice of Apparent Liability for Forfeiture (</w:t>
      </w:r>
      <w:r>
        <w:rPr>
          <w:i/>
          <w:spacing w:val="-2"/>
          <w:sz w:val="22"/>
          <w:szCs w:val="22"/>
        </w:rPr>
        <w:t>NAL</w:t>
      </w:r>
      <w:r>
        <w:rPr>
          <w:spacing w:val="-2"/>
          <w:sz w:val="22"/>
          <w:szCs w:val="22"/>
        </w:rPr>
        <w:t>), we find that Mr. Charles apparently willfully and repeatedly violated Section 301 of the Communications Act of 1934, as amended (Act),</w:t>
      </w:r>
      <w:r>
        <w:rPr>
          <w:rStyle w:val="FootnoteReference"/>
          <w:spacing w:val="-2"/>
          <w:sz w:val="22"/>
          <w:szCs w:val="22"/>
        </w:rPr>
        <w:footnoteReference w:id="2"/>
      </w:r>
      <w:r>
        <w:rPr>
          <w:spacing w:val="-2"/>
          <w:sz w:val="22"/>
          <w:szCs w:val="22"/>
        </w:rPr>
        <w:t xml:space="preserve"> </w:t>
      </w:r>
      <w:r>
        <w:rPr>
          <w:color w:val="000000"/>
          <w:spacing w:val="-2"/>
          <w:sz w:val="22"/>
          <w:szCs w:val="22"/>
        </w:rPr>
        <w:t>by operating an unlicensed radio transmitter on the frequency 92.5 MHz in Pompano Beach, Florida.</w:t>
      </w:r>
    </w:p>
    <w:p w:rsidR="00050854" w:rsidRPr="004930F5" w:rsidRDefault="00050854" w:rsidP="006F4962">
      <w:pPr>
        <w:pStyle w:val="Heading1"/>
        <w:widowControl/>
        <w:spacing w:after="120"/>
        <w:rPr>
          <w:spacing w:val="-2"/>
          <w:sz w:val="22"/>
          <w:szCs w:val="22"/>
        </w:rPr>
      </w:pPr>
      <w:r w:rsidRPr="004930F5">
        <w:rPr>
          <w:sz w:val="22"/>
          <w:szCs w:val="22"/>
        </w:rPr>
        <w:t>BACKGROUND</w:t>
      </w:r>
    </w:p>
    <w:p w:rsidR="001F3E42" w:rsidRDefault="008914FA" w:rsidP="006F4962">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 xml:space="preserve">Mr. Charles has a history of operating an unlicensed FM radio station in Pompano Beach, Florida.  On August 4 and 5, 2009, Mr. Charles operated an unlicensed FM station on the frequency 95.9 MHz </w:t>
      </w:r>
      <w:r w:rsidR="001F3E42">
        <w:rPr>
          <w:spacing w:val="-2"/>
          <w:sz w:val="22"/>
          <w:szCs w:val="22"/>
        </w:rPr>
        <w:t>in Pompano Beach, Florida.</w:t>
      </w:r>
      <w:r w:rsidR="001F3E42">
        <w:rPr>
          <w:rStyle w:val="FootnoteReference"/>
          <w:spacing w:val="-2"/>
          <w:sz w:val="22"/>
          <w:szCs w:val="22"/>
        </w:rPr>
        <w:footnoteReference w:id="3"/>
      </w:r>
      <w:r w:rsidR="001F3E42">
        <w:rPr>
          <w:spacing w:val="-2"/>
          <w:sz w:val="22"/>
          <w:szCs w:val="22"/>
        </w:rPr>
        <w:t xml:space="preserve">  Mr. Charles received a written warning, which stated that operation of an unlicensed FM radio station </w:t>
      </w:r>
      <w:r w:rsidR="00720B9F">
        <w:rPr>
          <w:spacing w:val="-2"/>
          <w:sz w:val="22"/>
          <w:szCs w:val="22"/>
        </w:rPr>
        <w:t>violated</w:t>
      </w:r>
      <w:r w:rsidR="00214820">
        <w:rPr>
          <w:spacing w:val="-2"/>
          <w:sz w:val="22"/>
          <w:szCs w:val="22"/>
        </w:rPr>
        <w:t xml:space="preserve"> t</w:t>
      </w:r>
      <w:r w:rsidR="00720B9F">
        <w:rPr>
          <w:spacing w:val="-2"/>
          <w:sz w:val="22"/>
          <w:szCs w:val="22"/>
        </w:rPr>
        <w:t>he Act</w:t>
      </w:r>
      <w:r w:rsidR="006727B3">
        <w:rPr>
          <w:spacing w:val="-2"/>
          <w:sz w:val="22"/>
          <w:szCs w:val="22"/>
        </w:rPr>
        <w:t>, must cease immediately,</w:t>
      </w:r>
      <w:r w:rsidR="00720B9F">
        <w:rPr>
          <w:spacing w:val="-2"/>
          <w:sz w:val="22"/>
          <w:szCs w:val="22"/>
        </w:rPr>
        <w:t xml:space="preserve"> </w:t>
      </w:r>
      <w:r w:rsidR="00214820">
        <w:rPr>
          <w:spacing w:val="-2"/>
          <w:sz w:val="22"/>
          <w:szCs w:val="22"/>
        </w:rPr>
        <w:t>and could subject the operator to significant forfeitures</w:t>
      </w:r>
      <w:r w:rsidR="001F3E42">
        <w:rPr>
          <w:spacing w:val="-2"/>
          <w:sz w:val="22"/>
          <w:szCs w:val="22"/>
        </w:rPr>
        <w:t>.</w:t>
      </w:r>
      <w:r w:rsidR="001F3E42">
        <w:rPr>
          <w:rStyle w:val="FootnoteReference"/>
          <w:spacing w:val="-2"/>
          <w:sz w:val="22"/>
          <w:szCs w:val="22"/>
        </w:rPr>
        <w:footnoteReference w:id="4"/>
      </w:r>
      <w:r w:rsidR="003407D0">
        <w:rPr>
          <w:spacing w:val="-2"/>
          <w:sz w:val="22"/>
          <w:szCs w:val="22"/>
        </w:rPr>
        <w:t xml:space="preserve">  Local law enforcement subsequently seized the radio equipment used by Mr. Charles to operate the unlicensed FM station on 95.9 MHz pursuant to Florida law and shut down the station.</w:t>
      </w:r>
    </w:p>
    <w:p w:rsidR="00223F70" w:rsidRPr="00536913" w:rsidRDefault="00536913" w:rsidP="006F4962">
      <w:pPr>
        <w:widowControl/>
        <w:numPr>
          <w:ilvl w:val="0"/>
          <w:numId w:val="22"/>
        </w:numPr>
        <w:tabs>
          <w:tab w:val="clear" w:pos="1260"/>
          <w:tab w:val="left" w:pos="0"/>
          <w:tab w:val="num" w:pos="1440"/>
        </w:tabs>
        <w:suppressAutoHyphens/>
        <w:spacing w:after="120"/>
        <w:ind w:left="0"/>
        <w:rPr>
          <w:spacing w:val="-2"/>
          <w:sz w:val="22"/>
          <w:szCs w:val="22"/>
        </w:rPr>
      </w:pPr>
      <w:r w:rsidRPr="00536913">
        <w:rPr>
          <w:spacing w:val="-2"/>
          <w:sz w:val="22"/>
          <w:szCs w:val="22"/>
        </w:rPr>
        <w:t xml:space="preserve">On </w:t>
      </w:r>
      <w:r w:rsidR="00720B9F">
        <w:rPr>
          <w:spacing w:val="-2"/>
          <w:sz w:val="22"/>
          <w:szCs w:val="22"/>
        </w:rPr>
        <w:t>J</w:t>
      </w:r>
      <w:r w:rsidR="00B35A8A" w:rsidRPr="00536913">
        <w:rPr>
          <w:spacing w:val="-2"/>
          <w:sz w:val="22"/>
          <w:szCs w:val="22"/>
        </w:rPr>
        <w:t>une 18</w:t>
      </w:r>
      <w:r w:rsidR="00720B9F">
        <w:rPr>
          <w:spacing w:val="-2"/>
          <w:sz w:val="22"/>
          <w:szCs w:val="22"/>
        </w:rPr>
        <w:t xml:space="preserve"> and June 27, 2013</w:t>
      </w:r>
      <w:r w:rsidR="00B35A8A" w:rsidRPr="00536913">
        <w:rPr>
          <w:spacing w:val="-2"/>
          <w:sz w:val="22"/>
          <w:szCs w:val="22"/>
        </w:rPr>
        <w:t>, agents from the Enforcement Bureau’s Miami Office (Miami Office</w:t>
      </w:r>
      <w:r w:rsidR="00797BC7">
        <w:rPr>
          <w:spacing w:val="-2"/>
          <w:sz w:val="22"/>
          <w:szCs w:val="22"/>
        </w:rPr>
        <w:t xml:space="preserve">) </w:t>
      </w:r>
      <w:r w:rsidR="00B35A8A" w:rsidRPr="00536913">
        <w:rPr>
          <w:spacing w:val="-2"/>
          <w:sz w:val="22"/>
          <w:szCs w:val="22"/>
        </w:rPr>
        <w:t>locate</w:t>
      </w:r>
      <w:r w:rsidR="00797BC7">
        <w:rPr>
          <w:spacing w:val="-2"/>
          <w:sz w:val="22"/>
          <w:szCs w:val="22"/>
        </w:rPr>
        <w:t>d</w:t>
      </w:r>
      <w:r w:rsidR="00B35A8A" w:rsidRPr="00536913">
        <w:rPr>
          <w:spacing w:val="-2"/>
          <w:sz w:val="22"/>
          <w:szCs w:val="22"/>
        </w:rPr>
        <w:t xml:space="preserve"> the source of radio frequency transmissions on the frequency 92.5 MHz to an FM</w:t>
      </w:r>
      <w:r w:rsidR="00797BC7">
        <w:rPr>
          <w:spacing w:val="-2"/>
          <w:sz w:val="22"/>
          <w:szCs w:val="22"/>
        </w:rPr>
        <w:t xml:space="preserve"> transmitting antenna located </w:t>
      </w:r>
      <w:r w:rsidR="00B35A8A" w:rsidRPr="00536913">
        <w:rPr>
          <w:spacing w:val="-2"/>
          <w:sz w:val="22"/>
          <w:szCs w:val="22"/>
        </w:rPr>
        <w:t xml:space="preserve">at a multi-family residence in Pompano Beach, Florida.  </w:t>
      </w:r>
      <w:r w:rsidR="00720B9F">
        <w:rPr>
          <w:spacing w:val="-2"/>
          <w:sz w:val="22"/>
          <w:szCs w:val="22"/>
        </w:rPr>
        <w:t>The agents traced a</w:t>
      </w:r>
      <w:r w:rsidR="008914FA">
        <w:rPr>
          <w:spacing w:val="-2"/>
          <w:sz w:val="22"/>
          <w:szCs w:val="22"/>
        </w:rPr>
        <w:t xml:space="preserve"> coaxial cable f</w:t>
      </w:r>
      <w:r w:rsidR="00797BC7">
        <w:rPr>
          <w:spacing w:val="-2"/>
          <w:sz w:val="22"/>
          <w:szCs w:val="22"/>
        </w:rPr>
        <w:t>rom the antenna into Apartment #1 of the residence</w:t>
      </w:r>
      <w:r w:rsidR="008914FA">
        <w:rPr>
          <w:spacing w:val="-2"/>
          <w:sz w:val="22"/>
          <w:szCs w:val="22"/>
        </w:rPr>
        <w:t xml:space="preserve">.  </w:t>
      </w:r>
      <w:r w:rsidR="00797BC7">
        <w:rPr>
          <w:spacing w:val="-2"/>
          <w:sz w:val="22"/>
          <w:szCs w:val="22"/>
        </w:rPr>
        <w:t>Each day</w:t>
      </w:r>
      <w:r w:rsidR="008914FA">
        <w:rPr>
          <w:spacing w:val="-2"/>
          <w:sz w:val="22"/>
          <w:szCs w:val="22"/>
        </w:rPr>
        <w:t xml:space="preserve">, </w:t>
      </w:r>
      <w:r w:rsidR="008914FA" w:rsidRPr="00536913">
        <w:rPr>
          <w:spacing w:val="-2"/>
          <w:sz w:val="22"/>
          <w:szCs w:val="22"/>
        </w:rPr>
        <w:t>the agents took field strength meas</w:t>
      </w:r>
      <w:r w:rsidR="00797BC7">
        <w:rPr>
          <w:spacing w:val="-2"/>
          <w:sz w:val="22"/>
          <w:szCs w:val="22"/>
        </w:rPr>
        <w:t xml:space="preserve">urements of the </w:t>
      </w:r>
      <w:r w:rsidR="008914FA" w:rsidRPr="00536913">
        <w:rPr>
          <w:spacing w:val="-2"/>
          <w:sz w:val="22"/>
          <w:szCs w:val="22"/>
        </w:rPr>
        <w:t>station’s signal and determi</w:t>
      </w:r>
      <w:r w:rsidR="00797BC7">
        <w:rPr>
          <w:spacing w:val="-2"/>
          <w:sz w:val="22"/>
          <w:szCs w:val="22"/>
        </w:rPr>
        <w:t>ned that it</w:t>
      </w:r>
      <w:r w:rsidR="00B023D1">
        <w:rPr>
          <w:spacing w:val="-2"/>
          <w:sz w:val="22"/>
          <w:szCs w:val="22"/>
        </w:rPr>
        <w:t xml:space="preserve"> </w:t>
      </w:r>
      <w:r w:rsidR="008914FA" w:rsidRPr="00536913">
        <w:rPr>
          <w:spacing w:val="-2"/>
          <w:sz w:val="22"/>
          <w:szCs w:val="22"/>
        </w:rPr>
        <w:t>exceeded the limits for operation under Part 15 of the Commission’s rules (Rules)</w:t>
      </w:r>
      <w:r w:rsidR="008914FA" w:rsidRPr="00536913">
        <w:rPr>
          <w:rStyle w:val="FootnoteReference"/>
          <w:spacing w:val="-2"/>
          <w:sz w:val="22"/>
          <w:szCs w:val="22"/>
        </w:rPr>
        <w:footnoteReference w:id="5"/>
      </w:r>
      <w:r w:rsidR="008914FA" w:rsidRPr="00536913">
        <w:rPr>
          <w:spacing w:val="-2"/>
          <w:sz w:val="22"/>
          <w:szCs w:val="22"/>
        </w:rPr>
        <w:t xml:space="preserve"> and therefore required a license.  </w:t>
      </w:r>
      <w:r w:rsidR="006727B3">
        <w:rPr>
          <w:spacing w:val="-2"/>
          <w:sz w:val="22"/>
          <w:szCs w:val="22"/>
        </w:rPr>
        <w:t xml:space="preserve">According to </w:t>
      </w:r>
      <w:r w:rsidR="008914FA" w:rsidRPr="00536913">
        <w:rPr>
          <w:spacing w:val="-2"/>
          <w:sz w:val="22"/>
          <w:szCs w:val="22"/>
        </w:rPr>
        <w:t>Commission records</w:t>
      </w:r>
      <w:r w:rsidR="008914FA">
        <w:rPr>
          <w:spacing w:val="-2"/>
          <w:sz w:val="22"/>
          <w:szCs w:val="22"/>
        </w:rPr>
        <w:t xml:space="preserve">, </w:t>
      </w:r>
      <w:r w:rsidR="008914FA" w:rsidRPr="00536913">
        <w:rPr>
          <w:spacing w:val="-2"/>
          <w:sz w:val="22"/>
          <w:szCs w:val="22"/>
        </w:rPr>
        <w:t xml:space="preserve">no </w:t>
      </w:r>
      <w:r w:rsidR="008914FA" w:rsidRPr="00536913">
        <w:rPr>
          <w:spacing w:val="-2"/>
          <w:sz w:val="22"/>
          <w:szCs w:val="22"/>
        </w:rPr>
        <w:lastRenderedPageBreak/>
        <w:t xml:space="preserve">authorization had been issued to </w:t>
      </w:r>
      <w:r w:rsidR="008914FA">
        <w:rPr>
          <w:spacing w:val="-2"/>
          <w:sz w:val="22"/>
          <w:szCs w:val="22"/>
        </w:rPr>
        <w:t>Mr. Charles</w:t>
      </w:r>
      <w:r w:rsidR="008914FA" w:rsidRPr="00536913">
        <w:rPr>
          <w:spacing w:val="-2"/>
          <w:sz w:val="22"/>
          <w:szCs w:val="22"/>
        </w:rPr>
        <w:t>, or to anyone else, for the operation of an FM broadcast</w:t>
      </w:r>
      <w:r w:rsidR="00797BC7">
        <w:rPr>
          <w:spacing w:val="-2"/>
          <w:sz w:val="22"/>
          <w:szCs w:val="22"/>
        </w:rPr>
        <w:t xml:space="preserve"> station at or near the multi-family residence</w:t>
      </w:r>
      <w:r w:rsidR="008914FA" w:rsidRPr="00536913">
        <w:rPr>
          <w:spacing w:val="-2"/>
          <w:sz w:val="22"/>
          <w:szCs w:val="22"/>
        </w:rPr>
        <w:t xml:space="preserve">. </w:t>
      </w:r>
      <w:r w:rsidR="008914FA">
        <w:rPr>
          <w:spacing w:val="-2"/>
          <w:sz w:val="22"/>
          <w:szCs w:val="22"/>
        </w:rPr>
        <w:t xml:space="preserve">   </w:t>
      </w:r>
      <w:r w:rsidR="002A55CE">
        <w:rPr>
          <w:spacing w:val="-2"/>
          <w:sz w:val="22"/>
          <w:szCs w:val="22"/>
        </w:rPr>
        <w:t xml:space="preserve">  </w:t>
      </w:r>
      <w:r w:rsidR="00B35A8A" w:rsidRPr="00536913">
        <w:rPr>
          <w:spacing w:val="-2"/>
          <w:sz w:val="22"/>
          <w:szCs w:val="22"/>
        </w:rPr>
        <w:t xml:space="preserve">  </w:t>
      </w:r>
    </w:p>
    <w:p w:rsidR="00B50DC1" w:rsidRDefault="002A55CE" w:rsidP="006F4962">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O</w:t>
      </w:r>
      <w:r w:rsidR="00B35A8A">
        <w:rPr>
          <w:spacing w:val="-2"/>
          <w:sz w:val="22"/>
          <w:szCs w:val="22"/>
        </w:rPr>
        <w:t xml:space="preserve">n June 18, 2013, </w:t>
      </w:r>
      <w:r w:rsidR="00797BC7">
        <w:rPr>
          <w:spacing w:val="-2"/>
          <w:sz w:val="22"/>
          <w:szCs w:val="22"/>
        </w:rPr>
        <w:t>agents from the Miami Office spoke to Mr. Charles a</w:t>
      </w:r>
      <w:r w:rsidR="006727B3">
        <w:rPr>
          <w:spacing w:val="-2"/>
          <w:sz w:val="22"/>
          <w:szCs w:val="22"/>
        </w:rPr>
        <w:t>t the residence</w:t>
      </w:r>
      <w:r w:rsidR="00797BC7">
        <w:rPr>
          <w:spacing w:val="-2"/>
          <w:sz w:val="22"/>
          <w:szCs w:val="22"/>
        </w:rPr>
        <w:t xml:space="preserve">.  Mr. Charles </w:t>
      </w:r>
      <w:r w:rsidR="00CC107D">
        <w:rPr>
          <w:spacing w:val="-2"/>
          <w:sz w:val="22"/>
          <w:szCs w:val="22"/>
        </w:rPr>
        <w:t xml:space="preserve">told </w:t>
      </w:r>
      <w:r w:rsidR="00797BC7">
        <w:rPr>
          <w:spacing w:val="-2"/>
          <w:sz w:val="22"/>
          <w:szCs w:val="22"/>
        </w:rPr>
        <w:t xml:space="preserve">the agents that </w:t>
      </w:r>
      <w:r w:rsidR="00B50DC1">
        <w:rPr>
          <w:spacing w:val="-2"/>
          <w:sz w:val="22"/>
          <w:szCs w:val="22"/>
        </w:rPr>
        <w:t xml:space="preserve">he did not live in Apartment </w:t>
      </w:r>
      <w:r w:rsidR="00797BC7">
        <w:rPr>
          <w:spacing w:val="-2"/>
          <w:sz w:val="22"/>
          <w:szCs w:val="22"/>
        </w:rPr>
        <w:t>#</w:t>
      </w:r>
      <w:r w:rsidR="00214820">
        <w:rPr>
          <w:spacing w:val="-2"/>
          <w:sz w:val="22"/>
          <w:szCs w:val="22"/>
        </w:rPr>
        <w:t xml:space="preserve">1, but </w:t>
      </w:r>
      <w:r w:rsidR="00797BC7">
        <w:rPr>
          <w:spacing w:val="-2"/>
          <w:sz w:val="22"/>
          <w:szCs w:val="22"/>
        </w:rPr>
        <w:t>that someone named</w:t>
      </w:r>
      <w:r w:rsidR="00CC107D">
        <w:rPr>
          <w:spacing w:val="-2"/>
          <w:sz w:val="22"/>
          <w:szCs w:val="22"/>
        </w:rPr>
        <w:t xml:space="preserve"> “Henr</w:t>
      </w:r>
      <w:r w:rsidR="00797BC7">
        <w:rPr>
          <w:spacing w:val="-2"/>
          <w:sz w:val="22"/>
          <w:szCs w:val="22"/>
        </w:rPr>
        <w:t xml:space="preserve">y Michael” lived there </w:t>
      </w:r>
      <w:r w:rsidR="00CC107D">
        <w:rPr>
          <w:spacing w:val="-2"/>
          <w:sz w:val="22"/>
          <w:szCs w:val="22"/>
        </w:rPr>
        <w:t xml:space="preserve">and operated the unlicensed radio station.  </w:t>
      </w:r>
      <w:r w:rsidR="00B50DC1">
        <w:rPr>
          <w:spacing w:val="-2"/>
          <w:sz w:val="22"/>
          <w:szCs w:val="22"/>
        </w:rPr>
        <w:t xml:space="preserve">Mr. Charles </w:t>
      </w:r>
      <w:r w:rsidR="00214820">
        <w:rPr>
          <w:spacing w:val="-2"/>
          <w:sz w:val="22"/>
          <w:szCs w:val="22"/>
        </w:rPr>
        <w:t xml:space="preserve">agreed to sign for </w:t>
      </w:r>
      <w:r w:rsidR="00B50DC1">
        <w:rPr>
          <w:spacing w:val="-2"/>
          <w:sz w:val="22"/>
          <w:szCs w:val="22"/>
        </w:rPr>
        <w:t>a</w:t>
      </w:r>
      <w:r w:rsidR="00214820">
        <w:rPr>
          <w:spacing w:val="-2"/>
          <w:sz w:val="22"/>
          <w:szCs w:val="22"/>
        </w:rPr>
        <w:t xml:space="preserve"> written warning addressed to Henry Michael,</w:t>
      </w:r>
      <w:r w:rsidR="00B50DC1">
        <w:rPr>
          <w:spacing w:val="-2"/>
          <w:sz w:val="22"/>
          <w:szCs w:val="22"/>
        </w:rPr>
        <w:t xml:space="preserve"> which stated that operation of an unlicensed FM radio station </w:t>
      </w:r>
      <w:r w:rsidR="00214820">
        <w:rPr>
          <w:spacing w:val="-2"/>
          <w:sz w:val="22"/>
          <w:szCs w:val="22"/>
        </w:rPr>
        <w:t>violates the Act, must cease immediately, and could subject the operator to significant forfeitures</w:t>
      </w:r>
      <w:r w:rsidR="00B50DC1">
        <w:rPr>
          <w:spacing w:val="-2"/>
          <w:sz w:val="22"/>
          <w:szCs w:val="22"/>
        </w:rPr>
        <w:t xml:space="preserve">.  </w:t>
      </w:r>
      <w:r w:rsidR="006727B3">
        <w:rPr>
          <w:spacing w:val="-2"/>
          <w:sz w:val="22"/>
          <w:szCs w:val="22"/>
        </w:rPr>
        <w:t xml:space="preserve">Further investigation </w:t>
      </w:r>
      <w:r w:rsidR="00B50DC1">
        <w:rPr>
          <w:spacing w:val="-2"/>
          <w:sz w:val="22"/>
          <w:szCs w:val="22"/>
        </w:rPr>
        <w:t xml:space="preserve">determined that Mr. Charles’s driver’s license and vehicle registration list Apartment </w:t>
      </w:r>
      <w:r w:rsidR="006727B3">
        <w:rPr>
          <w:spacing w:val="-2"/>
          <w:sz w:val="22"/>
          <w:szCs w:val="22"/>
        </w:rPr>
        <w:t>#</w:t>
      </w:r>
      <w:r w:rsidR="00B50DC1">
        <w:rPr>
          <w:spacing w:val="-2"/>
          <w:sz w:val="22"/>
          <w:szCs w:val="22"/>
        </w:rPr>
        <w:t xml:space="preserve">1 </w:t>
      </w:r>
      <w:r w:rsidR="00075D5C">
        <w:rPr>
          <w:spacing w:val="-2"/>
          <w:sz w:val="22"/>
          <w:szCs w:val="22"/>
        </w:rPr>
        <w:t xml:space="preserve">of the multi-family residence </w:t>
      </w:r>
      <w:r w:rsidR="00B50DC1">
        <w:rPr>
          <w:spacing w:val="-2"/>
          <w:sz w:val="22"/>
          <w:szCs w:val="22"/>
        </w:rPr>
        <w:t xml:space="preserve">as his address.  </w:t>
      </w:r>
      <w:r w:rsidR="00BA18A0">
        <w:rPr>
          <w:spacing w:val="-2"/>
          <w:sz w:val="22"/>
          <w:szCs w:val="22"/>
        </w:rPr>
        <w:t>The</w:t>
      </w:r>
      <w:r w:rsidR="006727B3">
        <w:rPr>
          <w:spacing w:val="-2"/>
          <w:sz w:val="22"/>
          <w:szCs w:val="22"/>
        </w:rPr>
        <w:t xml:space="preserve"> owner of the multi-family residence </w:t>
      </w:r>
      <w:r w:rsidR="00BA18A0">
        <w:rPr>
          <w:spacing w:val="-2"/>
          <w:sz w:val="22"/>
          <w:szCs w:val="22"/>
        </w:rPr>
        <w:t>al</w:t>
      </w:r>
      <w:r w:rsidR="008B5FA9">
        <w:rPr>
          <w:spacing w:val="-2"/>
          <w:sz w:val="22"/>
          <w:szCs w:val="22"/>
        </w:rPr>
        <w:t>so stated that the owner of Mr. Charles’s</w:t>
      </w:r>
      <w:r w:rsidR="00BA18A0">
        <w:rPr>
          <w:spacing w:val="-2"/>
          <w:sz w:val="22"/>
          <w:szCs w:val="22"/>
        </w:rPr>
        <w:t xml:space="preserve"> vehicle, whom he knew as “Henry</w:t>
      </w:r>
      <w:r w:rsidR="00EE5FE0">
        <w:rPr>
          <w:spacing w:val="-2"/>
          <w:sz w:val="22"/>
          <w:szCs w:val="22"/>
        </w:rPr>
        <w:t xml:space="preserve"> Mich</w:t>
      </w:r>
      <w:r w:rsidR="006727B3">
        <w:rPr>
          <w:spacing w:val="-2"/>
          <w:sz w:val="22"/>
          <w:szCs w:val="22"/>
        </w:rPr>
        <w:t>el</w:t>
      </w:r>
      <w:r w:rsidR="00EE5FE0">
        <w:rPr>
          <w:spacing w:val="-2"/>
          <w:sz w:val="22"/>
          <w:szCs w:val="22"/>
        </w:rPr>
        <w:t>le</w:t>
      </w:r>
      <w:r w:rsidR="006727B3">
        <w:rPr>
          <w:spacing w:val="-2"/>
          <w:sz w:val="22"/>
          <w:szCs w:val="22"/>
        </w:rPr>
        <w:t>,” and who matched</w:t>
      </w:r>
      <w:r w:rsidR="008B5FA9">
        <w:rPr>
          <w:spacing w:val="-2"/>
          <w:sz w:val="22"/>
          <w:szCs w:val="22"/>
        </w:rPr>
        <w:t xml:space="preserve"> Mr. Charles’s</w:t>
      </w:r>
      <w:r w:rsidR="00BA18A0">
        <w:rPr>
          <w:spacing w:val="-2"/>
          <w:sz w:val="22"/>
          <w:szCs w:val="22"/>
        </w:rPr>
        <w:t xml:space="preserve"> physical description, leased Apartment </w:t>
      </w:r>
      <w:r w:rsidR="006727B3">
        <w:rPr>
          <w:spacing w:val="-2"/>
          <w:sz w:val="22"/>
          <w:szCs w:val="22"/>
        </w:rPr>
        <w:t>#</w:t>
      </w:r>
      <w:r w:rsidR="00BA18A0">
        <w:rPr>
          <w:spacing w:val="-2"/>
          <w:sz w:val="22"/>
          <w:szCs w:val="22"/>
        </w:rPr>
        <w:t>1.</w:t>
      </w:r>
    </w:p>
    <w:p w:rsidR="00050854" w:rsidRDefault="00050854" w:rsidP="006F4962">
      <w:pPr>
        <w:pStyle w:val="Heading1"/>
        <w:widowControl/>
        <w:spacing w:after="120"/>
        <w:rPr>
          <w:sz w:val="22"/>
          <w:szCs w:val="22"/>
        </w:rPr>
      </w:pPr>
      <w:r w:rsidRPr="003F3CFD">
        <w:rPr>
          <w:sz w:val="22"/>
          <w:szCs w:val="22"/>
        </w:rPr>
        <w:t>DISCUSSION</w:t>
      </w:r>
    </w:p>
    <w:p w:rsidR="00092DD6" w:rsidRPr="00B02EF6" w:rsidRDefault="008914FA" w:rsidP="0033665C">
      <w:pPr>
        <w:widowControl/>
        <w:numPr>
          <w:ilvl w:val="0"/>
          <w:numId w:val="22"/>
        </w:numPr>
        <w:tabs>
          <w:tab w:val="clear" w:pos="1260"/>
          <w:tab w:val="num" w:pos="1440"/>
          <w:tab w:val="left" w:pos="4680"/>
          <w:tab w:val="left" w:pos="5760"/>
        </w:tabs>
        <w:spacing w:after="120"/>
        <w:ind w:left="0"/>
        <w:rPr>
          <w:spacing w:val="-3"/>
          <w:sz w:val="22"/>
          <w:szCs w:val="22"/>
        </w:rPr>
      </w:pPr>
      <w:r w:rsidRPr="00E34AAE">
        <w:rPr>
          <w:spacing w:val="-3"/>
          <w:sz w:val="22"/>
          <w:szCs w:val="22"/>
        </w:rPr>
        <w:t xml:space="preserve">Section 503(b) of the </w:t>
      </w:r>
      <w:r>
        <w:rPr>
          <w:spacing w:val="-3"/>
          <w:sz w:val="22"/>
          <w:szCs w:val="22"/>
        </w:rPr>
        <w:t xml:space="preserve">Act </w:t>
      </w:r>
      <w:r w:rsidRPr="00E34AAE">
        <w:rPr>
          <w:spacing w:val="-3"/>
          <w:sz w:val="22"/>
          <w:szCs w:val="22"/>
        </w:rPr>
        <w:t xml:space="preserve">provides that any person who willfully </w:t>
      </w:r>
      <w:r>
        <w:rPr>
          <w:spacing w:val="-3"/>
          <w:sz w:val="22"/>
          <w:szCs w:val="22"/>
        </w:rPr>
        <w:t xml:space="preserve">or repeatedly </w:t>
      </w:r>
      <w:r w:rsidRPr="00E34AAE">
        <w:rPr>
          <w:spacing w:val="-3"/>
          <w:sz w:val="22"/>
          <w:szCs w:val="22"/>
        </w:rPr>
        <w:t xml:space="preserve">fails to comply substantially with the terms and conditions of any license, or willfully </w:t>
      </w:r>
      <w:r>
        <w:rPr>
          <w:spacing w:val="-3"/>
          <w:sz w:val="22"/>
          <w:szCs w:val="22"/>
        </w:rPr>
        <w:t xml:space="preserve">or repeatedly </w:t>
      </w:r>
      <w:r w:rsidRPr="00E34AAE">
        <w:rPr>
          <w:spacing w:val="-3"/>
          <w:sz w:val="22"/>
          <w:szCs w:val="22"/>
        </w:rPr>
        <w:t>fails to comply with any of the provisions of the Act or of any rule, regulation</w:t>
      </w:r>
      <w:r>
        <w:rPr>
          <w:spacing w:val="-3"/>
          <w:sz w:val="22"/>
          <w:szCs w:val="22"/>
        </w:rPr>
        <w:t>,</w:t>
      </w:r>
      <w:r w:rsidRPr="00E34AAE">
        <w:rPr>
          <w:spacing w:val="-3"/>
          <w:sz w:val="22"/>
          <w:szCs w:val="22"/>
        </w:rPr>
        <w:t xml:space="preserve"> or order issued by the Commission thereunder, shall be liable for a forfeiture penalty.</w:t>
      </w:r>
      <w:r>
        <w:rPr>
          <w:rStyle w:val="FootnoteReference"/>
          <w:spacing w:val="-3"/>
          <w:sz w:val="22"/>
          <w:szCs w:val="22"/>
        </w:rPr>
        <w:footnoteReference w:id="6"/>
      </w:r>
      <w:r w:rsidRPr="00E34AAE">
        <w:rPr>
          <w:spacing w:val="-3"/>
          <w:sz w:val="22"/>
          <w:szCs w:val="22"/>
        </w:rPr>
        <w:t xml:space="preserve">  </w:t>
      </w:r>
      <w:r w:rsidRPr="00A12D37">
        <w:rPr>
          <w:color w:val="000000"/>
          <w:spacing w:val="-3"/>
          <w:sz w:val="22"/>
          <w:szCs w:val="22"/>
        </w:rPr>
        <w:t xml:space="preserve">Section 312(f)(1) of the Act defines </w:t>
      </w:r>
      <w:r>
        <w:rPr>
          <w:color w:val="000000"/>
          <w:spacing w:val="-3"/>
          <w:sz w:val="22"/>
          <w:szCs w:val="22"/>
        </w:rPr>
        <w:t>“</w:t>
      </w:r>
      <w:r w:rsidRPr="00A12D37">
        <w:rPr>
          <w:color w:val="000000"/>
          <w:spacing w:val="-3"/>
          <w:sz w:val="22"/>
          <w:szCs w:val="22"/>
        </w:rPr>
        <w:t>willful</w:t>
      </w:r>
      <w:r>
        <w:rPr>
          <w:color w:val="000000"/>
          <w:spacing w:val="-3"/>
          <w:sz w:val="22"/>
          <w:szCs w:val="22"/>
        </w:rPr>
        <w:t>”</w:t>
      </w:r>
      <w:r w:rsidRPr="00A12D37">
        <w:rPr>
          <w:color w:val="000000"/>
          <w:spacing w:val="-3"/>
          <w:sz w:val="22"/>
          <w:szCs w:val="22"/>
        </w:rPr>
        <w:t xml:space="preserve"> as the “conscious and deliberate commission or omission of [any] act, irrespective of any intent to violate” the law.</w:t>
      </w:r>
      <w:r w:rsidRPr="00A12D37">
        <w:rPr>
          <w:rStyle w:val="FootnoteReference"/>
          <w:color w:val="000000"/>
          <w:spacing w:val="-3"/>
          <w:sz w:val="22"/>
          <w:szCs w:val="22"/>
        </w:rPr>
        <w:footnoteReference w:id="7"/>
      </w:r>
      <w:r w:rsidRPr="00A12D37">
        <w:rPr>
          <w:color w:val="000000"/>
          <w:spacing w:val="-3"/>
          <w:sz w:val="22"/>
          <w:szCs w:val="22"/>
        </w:rPr>
        <w:t xml:space="preserve">  The legislative history to </w:t>
      </w:r>
      <w:r>
        <w:rPr>
          <w:color w:val="000000"/>
          <w:spacing w:val="-3"/>
          <w:sz w:val="22"/>
          <w:szCs w:val="22"/>
        </w:rPr>
        <w:t>S</w:t>
      </w:r>
      <w:r w:rsidRPr="00A12D37">
        <w:rPr>
          <w:color w:val="000000"/>
          <w:spacing w:val="-3"/>
          <w:sz w:val="22"/>
          <w:szCs w:val="22"/>
        </w:rPr>
        <w:t xml:space="preserve">ection 312(f)(1) of the Act clarifies that this definition of willful applies to both </w:t>
      </w:r>
      <w:r>
        <w:rPr>
          <w:color w:val="000000"/>
          <w:spacing w:val="-3"/>
          <w:sz w:val="22"/>
          <w:szCs w:val="22"/>
        </w:rPr>
        <w:t>S</w:t>
      </w:r>
      <w:r w:rsidRPr="00A12D37">
        <w:rPr>
          <w:color w:val="000000"/>
          <w:spacing w:val="-3"/>
          <w:sz w:val="22"/>
          <w:szCs w:val="22"/>
        </w:rPr>
        <w:t>ection</w:t>
      </w:r>
      <w:r>
        <w:rPr>
          <w:color w:val="000000"/>
          <w:spacing w:val="-3"/>
          <w:sz w:val="22"/>
          <w:szCs w:val="22"/>
        </w:rPr>
        <w:t>s</w:t>
      </w:r>
      <w:r w:rsidRPr="00A12D37">
        <w:rPr>
          <w:color w:val="000000"/>
          <w:spacing w:val="-3"/>
          <w:sz w:val="22"/>
          <w:szCs w:val="22"/>
        </w:rPr>
        <w:t xml:space="preserve"> 312 and 503(b) of the Act</w:t>
      </w:r>
      <w:r>
        <w:rPr>
          <w:color w:val="000000"/>
          <w:spacing w:val="-3"/>
          <w:sz w:val="22"/>
          <w:szCs w:val="22"/>
        </w:rPr>
        <w:t>,</w:t>
      </w:r>
      <w:r w:rsidRPr="00A12D37">
        <w:rPr>
          <w:rStyle w:val="FootnoteReference"/>
          <w:color w:val="000000"/>
          <w:spacing w:val="-3"/>
          <w:sz w:val="22"/>
          <w:szCs w:val="22"/>
        </w:rPr>
        <w:footnoteReference w:id="8"/>
      </w:r>
      <w:r w:rsidRPr="00A12D37">
        <w:rPr>
          <w:color w:val="000000"/>
          <w:spacing w:val="-3"/>
          <w:sz w:val="22"/>
          <w:szCs w:val="22"/>
        </w:rPr>
        <w:t xml:space="preserve"> and the Commission has so interpreted the term in the </w:t>
      </w:r>
      <w:r>
        <w:rPr>
          <w:color w:val="000000"/>
          <w:spacing w:val="-3"/>
          <w:sz w:val="22"/>
          <w:szCs w:val="22"/>
        </w:rPr>
        <w:t>S</w:t>
      </w:r>
      <w:r w:rsidRPr="00A12D37">
        <w:rPr>
          <w:color w:val="000000"/>
          <w:spacing w:val="-3"/>
          <w:sz w:val="22"/>
          <w:szCs w:val="22"/>
        </w:rPr>
        <w:t>ection 503(b) context.</w:t>
      </w:r>
      <w:r w:rsidRPr="00A12D37">
        <w:rPr>
          <w:rStyle w:val="FootnoteReference"/>
          <w:color w:val="000000"/>
          <w:spacing w:val="-3"/>
          <w:sz w:val="22"/>
          <w:szCs w:val="22"/>
        </w:rPr>
        <w:footnoteReference w:id="9"/>
      </w:r>
      <w:r w:rsidRPr="00A12D37">
        <w:rPr>
          <w:color w:val="000000"/>
          <w:spacing w:val="-3"/>
          <w:sz w:val="22"/>
          <w:szCs w:val="22"/>
        </w:rPr>
        <w:t xml:space="preserve">  </w:t>
      </w:r>
      <w:r w:rsidRPr="00A12D37">
        <w:rPr>
          <w:color w:val="000000"/>
          <w:sz w:val="22"/>
          <w:szCs w:val="22"/>
        </w:rPr>
        <w:t>The Commission may also assess a forfeiture for violations that are merely repeated, and not willful.</w:t>
      </w:r>
      <w:r w:rsidRPr="00A12D37">
        <w:rPr>
          <w:rStyle w:val="FootnoteReference"/>
          <w:color w:val="000000"/>
          <w:sz w:val="22"/>
          <w:szCs w:val="22"/>
        </w:rPr>
        <w:footnoteReference w:id="10"/>
      </w:r>
      <w:r w:rsidRPr="00A12D37">
        <w:rPr>
          <w:color w:val="000000"/>
        </w:rPr>
        <w:t xml:space="preserve">  </w:t>
      </w:r>
      <w:r w:rsidRPr="00A12D37">
        <w:rPr>
          <w:color w:val="000000"/>
          <w:spacing w:val="-3"/>
          <w:sz w:val="22"/>
          <w:szCs w:val="22"/>
        </w:rPr>
        <w:t>The term “repeated” means the commission or omission of such act more than once or for more than one day.</w:t>
      </w:r>
      <w:r w:rsidRPr="00A12D37">
        <w:rPr>
          <w:rStyle w:val="FootnoteReference"/>
          <w:color w:val="000000"/>
          <w:spacing w:val="-3"/>
          <w:sz w:val="22"/>
          <w:szCs w:val="22"/>
        </w:rPr>
        <w:footnoteReference w:id="11"/>
      </w:r>
      <w:r w:rsidRPr="00A12D37">
        <w:rPr>
          <w:color w:val="000000"/>
          <w:spacing w:val="-3"/>
          <w:sz w:val="22"/>
          <w:szCs w:val="22"/>
        </w:rPr>
        <w:t xml:space="preserve"> </w:t>
      </w:r>
    </w:p>
    <w:p w:rsidR="008914FA" w:rsidRPr="00E02219" w:rsidRDefault="00092DD6" w:rsidP="006F4962">
      <w:pPr>
        <w:widowControl/>
        <w:tabs>
          <w:tab w:val="left" w:pos="720"/>
          <w:tab w:val="num" w:pos="1440"/>
          <w:tab w:val="left" w:pos="4680"/>
          <w:tab w:val="left" w:pos="5760"/>
        </w:tabs>
        <w:spacing w:after="120"/>
        <w:ind w:firstLine="720"/>
        <w:rPr>
          <w:spacing w:val="-3"/>
          <w:sz w:val="22"/>
          <w:szCs w:val="22"/>
        </w:rPr>
      </w:pPr>
      <w:r>
        <w:rPr>
          <w:spacing w:val="-3"/>
          <w:sz w:val="22"/>
          <w:szCs w:val="22"/>
        </w:rPr>
        <w:br w:type="page"/>
      </w:r>
      <w:r w:rsidR="008914FA" w:rsidRPr="00E02219">
        <w:rPr>
          <w:b/>
          <w:spacing w:val="-3"/>
          <w:sz w:val="22"/>
          <w:szCs w:val="22"/>
        </w:rPr>
        <w:lastRenderedPageBreak/>
        <w:t>A.</w:t>
      </w:r>
      <w:r w:rsidR="008914FA" w:rsidRPr="00E02219">
        <w:rPr>
          <w:b/>
          <w:spacing w:val="-3"/>
          <w:sz w:val="22"/>
          <w:szCs w:val="22"/>
        </w:rPr>
        <w:tab/>
        <w:t>Unlicensed Broadcast Operations</w:t>
      </w:r>
    </w:p>
    <w:p w:rsidR="00693BA0" w:rsidRPr="008914FA" w:rsidRDefault="008914FA" w:rsidP="006F4962">
      <w:pPr>
        <w:widowControl/>
        <w:numPr>
          <w:ilvl w:val="0"/>
          <w:numId w:val="22"/>
        </w:numPr>
        <w:tabs>
          <w:tab w:val="clear" w:pos="1260"/>
          <w:tab w:val="num" w:pos="1440"/>
          <w:tab w:val="left" w:pos="4680"/>
          <w:tab w:val="left" w:pos="5760"/>
        </w:tabs>
        <w:spacing w:after="120"/>
        <w:ind w:left="0"/>
      </w:pPr>
      <w:r w:rsidRPr="00122932">
        <w:rPr>
          <w:color w:val="000000"/>
          <w:spacing w:val="-2"/>
          <w:sz w:val="22"/>
          <w:szCs w:val="22"/>
        </w:rPr>
        <w:t xml:space="preserve">  </w:t>
      </w:r>
      <w:r w:rsidR="00EE5FE0">
        <w:rPr>
          <w:color w:val="000000"/>
          <w:spacing w:val="-2"/>
          <w:sz w:val="22"/>
          <w:szCs w:val="22"/>
        </w:rPr>
        <w:t xml:space="preserve">We find that the </w:t>
      </w:r>
      <w:r>
        <w:rPr>
          <w:color w:val="000000"/>
          <w:spacing w:val="-2"/>
          <w:sz w:val="22"/>
          <w:szCs w:val="22"/>
        </w:rPr>
        <w:t xml:space="preserve">evidence in this case is sufficient to establish that Mr. Charles violated Section 301 of the Act.  </w:t>
      </w:r>
      <w:r w:rsidRPr="00E02219">
        <w:rPr>
          <w:spacing w:val="-3"/>
          <w:sz w:val="22"/>
          <w:szCs w:val="22"/>
        </w:rPr>
        <w:t>Section 301 of the Act states that no person shall use or operate any apparatus for the</w:t>
      </w:r>
      <w:r w:rsidRPr="00E02219">
        <w:rPr>
          <w:spacing w:val="-2"/>
          <w:sz w:val="22"/>
          <w:szCs w:val="22"/>
        </w:rPr>
        <w:t xml:space="preserve"> transmission of energy or communications or signals by radio within the United States, except under and in accordance with the</w:t>
      </w:r>
      <w:r w:rsidRPr="00122932">
        <w:rPr>
          <w:color w:val="000000"/>
          <w:spacing w:val="-2"/>
          <w:sz w:val="22"/>
          <w:szCs w:val="22"/>
        </w:rPr>
        <w:t xml:space="preserve"> Act and with a license granted under the provisions of the Act.</w:t>
      </w:r>
      <w:r w:rsidRPr="00122932">
        <w:rPr>
          <w:rStyle w:val="FootnoteReference"/>
          <w:color w:val="000000"/>
          <w:sz w:val="22"/>
          <w:szCs w:val="22"/>
        </w:rPr>
        <w:footnoteReference w:id="12"/>
      </w:r>
      <w:r>
        <w:rPr>
          <w:color w:val="000000"/>
          <w:spacing w:val="-2"/>
          <w:sz w:val="22"/>
          <w:szCs w:val="22"/>
        </w:rPr>
        <w:t xml:space="preserve">  On </w:t>
      </w:r>
      <w:r w:rsidRPr="00536913">
        <w:rPr>
          <w:spacing w:val="-2"/>
          <w:sz w:val="22"/>
          <w:szCs w:val="22"/>
        </w:rPr>
        <w:t>June 18</w:t>
      </w:r>
      <w:r>
        <w:rPr>
          <w:spacing w:val="-2"/>
          <w:sz w:val="22"/>
          <w:szCs w:val="22"/>
        </w:rPr>
        <w:t xml:space="preserve"> and June 27, 2013</w:t>
      </w:r>
      <w:r>
        <w:rPr>
          <w:color w:val="000000"/>
          <w:spacing w:val="-2"/>
          <w:sz w:val="22"/>
          <w:szCs w:val="22"/>
        </w:rPr>
        <w:t xml:space="preserve">, agents from the Miami Office determined that an unlicensed radio station on the frequency 92.5 MHz operated from </w:t>
      </w:r>
      <w:r w:rsidR="009436A7">
        <w:rPr>
          <w:color w:val="000000"/>
          <w:spacing w:val="-2"/>
          <w:sz w:val="22"/>
          <w:szCs w:val="22"/>
        </w:rPr>
        <w:t xml:space="preserve">Apartment </w:t>
      </w:r>
      <w:r w:rsidR="00EE5FE0">
        <w:rPr>
          <w:color w:val="000000"/>
          <w:spacing w:val="-2"/>
          <w:sz w:val="22"/>
          <w:szCs w:val="22"/>
        </w:rPr>
        <w:t>#</w:t>
      </w:r>
      <w:r w:rsidR="009436A7">
        <w:rPr>
          <w:color w:val="000000"/>
          <w:spacing w:val="-2"/>
          <w:sz w:val="22"/>
          <w:szCs w:val="22"/>
        </w:rPr>
        <w:t>1.  Mr. Charles sta</w:t>
      </w:r>
      <w:r w:rsidR="00EE5FE0">
        <w:rPr>
          <w:color w:val="000000"/>
          <w:spacing w:val="-2"/>
          <w:sz w:val="22"/>
          <w:szCs w:val="22"/>
        </w:rPr>
        <w:t>ted that “Henry Michael” resided</w:t>
      </w:r>
      <w:r w:rsidR="009436A7">
        <w:rPr>
          <w:color w:val="000000"/>
          <w:spacing w:val="-2"/>
          <w:sz w:val="22"/>
          <w:szCs w:val="22"/>
        </w:rPr>
        <w:t xml:space="preserve"> in Apartment 1 and operated the unlicensed station.  </w:t>
      </w:r>
      <w:r w:rsidR="00EE5FE0">
        <w:rPr>
          <w:color w:val="000000"/>
          <w:spacing w:val="-2"/>
          <w:sz w:val="22"/>
          <w:szCs w:val="22"/>
        </w:rPr>
        <w:t>However, t</w:t>
      </w:r>
      <w:r w:rsidR="009436A7">
        <w:rPr>
          <w:color w:val="000000"/>
          <w:spacing w:val="-2"/>
          <w:sz w:val="22"/>
          <w:szCs w:val="22"/>
        </w:rPr>
        <w:t xml:space="preserve">he building owner stated that a man matching Mr. Charles’s description, </w:t>
      </w:r>
      <w:r w:rsidR="00C1549C">
        <w:rPr>
          <w:color w:val="000000"/>
          <w:spacing w:val="-2"/>
          <w:sz w:val="22"/>
          <w:szCs w:val="22"/>
        </w:rPr>
        <w:t xml:space="preserve">who he knew </w:t>
      </w:r>
      <w:r w:rsidR="009436A7">
        <w:rPr>
          <w:color w:val="000000"/>
          <w:spacing w:val="-2"/>
          <w:sz w:val="22"/>
          <w:szCs w:val="22"/>
        </w:rPr>
        <w:t>as “Henr</w:t>
      </w:r>
      <w:r w:rsidR="00EE5FE0">
        <w:rPr>
          <w:color w:val="000000"/>
          <w:spacing w:val="-2"/>
          <w:sz w:val="22"/>
          <w:szCs w:val="22"/>
        </w:rPr>
        <w:t xml:space="preserve">y Michelle,” rented Apartment </w:t>
      </w:r>
      <w:r w:rsidR="00845B04">
        <w:rPr>
          <w:color w:val="000000"/>
          <w:spacing w:val="-2"/>
          <w:sz w:val="22"/>
          <w:szCs w:val="22"/>
        </w:rPr>
        <w:t>#</w:t>
      </w:r>
      <w:r w:rsidR="00EE5FE0">
        <w:rPr>
          <w:color w:val="000000"/>
          <w:spacing w:val="-2"/>
          <w:sz w:val="22"/>
          <w:szCs w:val="22"/>
        </w:rPr>
        <w:t xml:space="preserve">1 and </w:t>
      </w:r>
      <w:r>
        <w:rPr>
          <w:color w:val="000000"/>
          <w:spacing w:val="-2"/>
          <w:sz w:val="22"/>
          <w:szCs w:val="22"/>
        </w:rPr>
        <w:t>Mr. Charles</w:t>
      </w:r>
      <w:r w:rsidR="009436A7">
        <w:rPr>
          <w:color w:val="000000"/>
          <w:spacing w:val="-2"/>
          <w:sz w:val="22"/>
          <w:szCs w:val="22"/>
        </w:rPr>
        <w:t xml:space="preserve"> listed Apartment </w:t>
      </w:r>
      <w:r w:rsidR="00845B04">
        <w:rPr>
          <w:color w:val="000000"/>
          <w:spacing w:val="-2"/>
          <w:sz w:val="22"/>
          <w:szCs w:val="22"/>
        </w:rPr>
        <w:t>#</w:t>
      </w:r>
      <w:r w:rsidR="009436A7">
        <w:rPr>
          <w:color w:val="000000"/>
          <w:spacing w:val="-2"/>
          <w:sz w:val="22"/>
          <w:szCs w:val="22"/>
        </w:rPr>
        <w:t>1 as his resid</w:t>
      </w:r>
      <w:r w:rsidR="00EE5FE0">
        <w:rPr>
          <w:color w:val="000000"/>
          <w:spacing w:val="-2"/>
          <w:sz w:val="22"/>
          <w:szCs w:val="22"/>
        </w:rPr>
        <w:t xml:space="preserve">ence on his </w:t>
      </w:r>
      <w:r w:rsidR="00EE5FE0">
        <w:rPr>
          <w:spacing w:val="-2"/>
          <w:sz w:val="22"/>
          <w:szCs w:val="22"/>
        </w:rPr>
        <w:t>driver’s license and vehicle registration</w:t>
      </w:r>
      <w:r w:rsidR="009436A7">
        <w:rPr>
          <w:color w:val="000000"/>
          <w:spacing w:val="-2"/>
          <w:sz w:val="22"/>
          <w:szCs w:val="22"/>
        </w:rPr>
        <w:t xml:space="preserve">.  Mr. Charles also </w:t>
      </w:r>
      <w:r w:rsidR="00EE5FE0">
        <w:rPr>
          <w:color w:val="000000"/>
          <w:spacing w:val="-2"/>
          <w:sz w:val="22"/>
          <w:szCs w:val="22"/>
        </w:rPr>
        <w:t xml:space="preserve">previously operated an </w:t>
      </w:r>
      <w:r w:rsidR="00EE5FE0" w:rsidRPr="006F4962">
        <w:rPr>
          <w:spacing w:val="-2"/>
          <w:sz w:val="22"/>
        </w:rPr>
        <w:t xml:space="preserve">unlicensed FM radio </w:t>
      </w:r>
      <w:r w:rsidR="00EE5FE0">
        <w:rPr>
          <w:spacing w:val="-2"/>
          <w:sz w:val="22"/>
          <w:szCs w:val="22"/>
        </w:rPr>
        <w:t>station in Pompano Beach, Florida</w:t>
      </w:r>
      <w:r w:rsidR="009436A7">
        <w:rPr>
          <w:color w:val="000000"/>
          <w:spacing w:val="-2"/>
          <w:sz w:val="22"/>
          <w:szCs w:val="22"/>
        </w:rPr>
        <w:t xml:space="preserve">.  </w:t>
      </w:r>
      <w:r w:rsidR="009436A7">
        <w:rPr>
          <w:spacing w:val="-3"/>
          <w:sz w:val="22"/>
          <w:szCs w:val="22"/>
        </w:rPr>
        <w:t>Based on the totality of the evidence, we conclude that Mr. Charles is “Hen</w:t>
      </w:r>
      <w:r w:rsidR="00EE5FE0">
        <w:rPr>
          <w:spacing w:val="-3"/>
          <w:sz w:val="22"/>
          <w:szCs w:val="22"/>
        </w:rPr>
        <w:t>ry Michael” aka “Henry Michelle</w:t>
      </w:r>
      <w:r w:rsidR="009436A7">
        <w:rPr>
          <w:spacing w:val="-3"/>
          <w:sz w:val="22"/>
          <w:szCs w:val="22"/>
        </w:rPr>
        <w:t>”</w:t>
      </w:r>
      <w:r w:rsidR="00EE5FE0">
        <w:rPr>
          <w:spacing w:val="-3"/>
          <w:sz w:val="22"/>
          <w:szCs w:val="22"/>
        </w:rPr>
        <w:t xml:space="preserve"> and operated the unlicensed station from Apartment #1.</w:t>
      </w:r>
      <w:r w:rsidR="00EF5599">
        <w:rPr>
          <w:rStyle w:val="FootnoteReference"/>
          <w:spacing w:val="-3"/>
          <w:sz w:val="22"/>
          <w:szCs w:val="22"/>
        </w:rPr>
        <w:footnoteReference w:id="13"/>
      </w:r>
      <w:r w:rsidR="009436A7">
        <w:rPr>
          <w:spacing w:val="-3"/>
          <w:sz w:val="22"/>
          <w:szCs w:val="22"/>
        </w:rPr>
        <w:t xml:space="preserve">  </w:t>
      </w:r>
      <w:r w:rsidRPr="006856C3">
        <w:rPr>
          <w:color w:val="000000"/>
          <w:spacing w:val="-2"/>
          <w:sz w:val="22"/>
          <w:szCs w:val="22"/>
        </w:rPr>
        <w:t xml:space="preserve">A review of the Commission’s records revealed that no license or authorization was issued to Mr. </w:t>
      </w:r>
      <w:r w:rsidR="009436A7">
        <w:rPr>
          <w:color w:val="000000"/>
          <w:spacing w:val="-2"/>
          <w:sz w:val="22"/>
          <w:szCs w:val="22"/>
        </w:rPr>
        <w:t>Charles</w:t>
      </w:r>
      <w:r w:rsidRPr="00353607">
        <w:rPr>
          <w:color w:val="000000"/>
          <w:spacing w:val="-2"/>
          <w:sz w:val="22"/>
          <w:szCs w:val="22"/>
        </w:rPr>
        <w:t xml:space="preserve">, or to anyone else, to </w:t>
      </w:r>
      <w:r w:rsidR="009436A7">
        <w:rPr>
          <w:color w:val="000000"/>
          <w:spacing w:val="-2"/>
          <w:sz w:val="22"/>
          <w:szCs w:val="22"/>
        </w:rPr>
        <w:t>operate a radio station on 92.5</w:t>
      </w:r>
      <w:r w:rsidRPr="00353607">
        <w:rPr>
          <w:color w:val="000000"/>
          <w:spacing w:val="-2"/>
          <w:sz w:val="22"/>
          <w:szCs w:val="22"/>
        </w:rPr>
        <w:t xml:space="preserve"> MHz at this location</w:t>
      </w:r>
      <w:r w:rsidRPr="005278EF">
        <w:rPr>
          <w:color w:val="000000"/>
          <w:spacing w:val="-2"/>
          <w:sz w:val="22"/>
          <w:szCs w:val="22"/>
        </w:rPr>
        <w:t xml:space="preserve">.  </w:t>
      </w:r>
      <w:r w:rsidR="00C1549C">
        <w:rPr>
          <w:spacing w:val="-2"/>
          <w:sz w:val="22"/>
          <w:szCs w:val="22"/>
        </w:rPr>
        <w:t>As a result</w:t>
      </w:r>
      <w:r w:rsidRPr="005278EF">
        <w:rPr>
          <w:spacing w:val="-2"/>
          <w:sz w:val="22"/>
          <w:szCs w:val="22"/>
        </w:rPr>
        <w:t xml:space="preserve">, we find that Mr. </w:t>
      </w:r>
      <w:r w:rsidR="009436A7">
        <w:rPr>
          <w:spacing w:val="-2"/>
          <w:sz w:val="22"/>
          <w:szCs w:val="22"/>
        </w:rPr>
        <w:t>Charles</w:t>
      </w:r>
      <w:r w:rsidRPr="005278EF">
        <w:rPr>
          <w:b/>
          <w:color w:val="FF00FF"/>
          <w:spacing w:val="-2"/>
          <w:sz w:val="22"/>
          <w:szCs w:val="22"/>
        </w:rPr>
        <w:t xml:space="preserve"> </w:t>
      </w:r>
      <w:r w:rsidRPr="005278EF">
        <w:rPr>
          <w:spacing w:val="-2"/>
          <w:sz w:val="22"/>
          <w:szCs w:val="22"/>
        </w:rPr>
        <w:t>apparently willfully and repeatedly violated Section 301 of the Act by o</w:t>
      </w:r>
      <w:r w:rsidRPr="005278EF">
        <w:rPr>
          <w:color w:val="000000"/>
          <w:spacing w:val="-2"/>
          <w:sz w:val="22"/>
          <w:szCs w:val="22"/>
        </w:rPr>
        <w:t>perating radio transmission equipment without the required Commission authorization</w:t>
      </w:r>
      <w:r w:rsidR="00E168AE">
        <w:rPr>
          <w:color w:val="000000"/>
          <w:spacing w:val="-2"/>
          <w:sz w:val="22"/>
          <w:szCs w:val="22"/>
        </w:rPr>
        <w:t xml:space="preserve"> on June 18 and June 27, 2013</w:t>
      </w:r>
      <w:r w:rsidRPr="005278EF">
        <w:rPr>
          <w:color w:val="000000"/>
          <w:spacing w:val="-2"/>
          <w:sz w:val="22"/>
          <w:szCs w:val="22"/>
        </w:rPr>
        <w:t>.</w:t>
      </w:r>
      <w:r w:rsidR="00693BA0" w:rsidRPr="008914FA">
        <w:rPr>
          <w:spacing w:val="-3"/>
          <w:sz w:val="22"/>
          <w:szCs w:val="22"/>
        </w:rPr>
        <w:t xml:space="preserve"> </w:t>
      </w:r>
    </w:p>
    <w:p w:rsidR="00F46870" w:rsidRPr="00214820" w:rsidRDefault="00F46870" w:rsidP="006F4962">
      <w:pPr>
        <w:widowControl/>
        <w:numPr>
          <w:ilvl w:val="0"/>
          <w:numId w:val="25"/>
        </w:numPr>
        <w:tabs>
          <w:tab w:val="left" w:pos="0"/>
          <w:tab w:val="left" w:pos="720"/>
        </w:tabs>
        <w:suppressAutoHyphens/>
        <w:spacing w:after="120"/>
        <w:rPr>
          <w:b/>
          <w:spacing w:val="-2"/>
          <w:sz w:val="22"/>
          <w:szCs w:val="22"/>
        </w:rPr>
      </w:pPr>
      <w:r>
        <w:rPr>
          <w:b/>
          <w:spacing w:val="-2"/>
          <w:sz w:val="22"/>
          <w:szCs w:val="22"/>
        </w:rPr>
        <w:t>Prop</w:t>
      </w:r>
      <w:r w:rsidR="00094435">
        <w:rPr>
          <w:b/>
          <w:spacing w:val="-2"/>
          <w:sz w:val="22"/>
          <w:szCs w:val="22"/>
        </w:rPr>
        <w:t>osed Forfeiture</w:t>
      </w:r>
    </w:p>
    <w:p w:rsidR="00050854" w:rsidRPr="00BE7B49" w:rsidRDefault="00E168AE" w:rsidP="00B02EF6">
      <w:pPr>
        <w:widowControl/>
        <w:numPr>
          <w:ilvl w:val="0"/>
          <w:numId w:val="22"/>
        </w:numPr>
        <w:tabs>
          <w:tab w:val="clear" w:pos="1260"/>
          <w:tab w:val="left" w:pos="0"/>
          <w:tab w:val="num" w:pos="1440"/>
        </w:tabs>
        <w:suppressAutoHyphens/>
        <w:spacing w:after="120"/>
        <w:ind w:left="0"/>
        <w:rPr>
          <w:spacing w:val="-2"/>
          <w:sz w:val="22"/>
          <w:szCs w:val="22"/>
        </w:rPr>
      </w:pPr>
      <w:r w:rsidRPr="005278EF">
        <w:rPr>
          <w:spacing w:val="-2"/>
          <w:sz w:val="22"/>
          <w:szCs w:val="22"/>
        </w:rPr>
        <w:t>Pursuant to the Commission’s</w:t>
      </w:r>
      <w:r w:rsidRPr="005278EF">
        <w:rPr>
          <w:i/>
          <w:spacing w:val="-2"/>
          <w:sz w:val="22"/>
          <w:szCs w:val="22"/>
        </w:rPr>
        <w:t xml:space="preserve"> Forfeiture Policy Statement</w:t>
      </w:r>
      <w:r w:rsidRPr="005278EF">
        <w:rPr>
          <w:spacing w:val="-2"/>
          <w:sz w:val="22"/>
          <w:szCs w:val="22"/>
        </w:rPr>
        <w:t xml:space="preserve"> and Section 1.80 of the Rules, the base forfeiture amount for</w:t>
      </w:r>
      <w:r w:rsidRPr="005278EF">
        <w:rPr>
          <w:color w:val="000000"/>
          <w:spacing w:val="-2"/>
          <w:sz w:val="22"/>
          <w:szCs w:val="22"/>
        </w:rPr>
        <w:t xml:space="preserve"> operation without an instrument of authorization is $10,000.</w:t>
      </w:r>
      <w:r w:rsidRPr="006856C3">
        <w:rPr>
          <w:rStyle w:val="FootnoteReference"/>
          <w:color w:val="000000"/>
          <w:spacing w:val="-2"/>
          <w:sz w:val="22"/>
          <w:szCs w:val="22"/>
        </w:rPr>
        <w:footnoteReference w:id="14"/>
      </w:r>
      <w:r w:rsidRPr="006856C3">
        <w:rPr>
          <w:color w:val="000000"/>
          <w:spacing w:val="-2"/>
          <w:sz w:val="22"/>
          <w:szCs w:val="22"/>
        </w:rPr>
        <w:t xml:space="preserve">  </w:t>
      </w:r>
      <w:r w:rsidRPr="006856C3">
        <w:rPr>
          <w:spacing w:val="-2"/>
          <w:sz w:val="22"/>
          <w:szCs w:val="22"/>
        </w:rPr>
        <w:t xml:space="preserve">In assessing the monetary forfeiture amount, we must also take into account the statutory factors </w:t>
      </w:r>
      <w:r w:rsidRPr="00353607">
        <w:rPr>
          <w:spacing w:val="-2"/>
          <w:sz w:val="22"/>
          <w:szCs w:val="22"/>
        </w:rPr>
        <w:t>set forth in Section 503(b)(2)(E</w:t>
      </w:r>
      <w:r w:rsidRPr="005278EF">
        <w:rPr>
          <w:spacing w:val="-2"/>
          <w:sz w:val="22"/>
          <w:szCs w:val="22"/>
        </w:rPr>
        <w:t>) of the Act, which include the nature, circumstances, extent, and gravity of the violations, and with respect to the violator, the degree of culpability, any history of prior offenses, ability to pay, and other such matters as justice may require.</w:t>
      </w:r>
      <w:r w:rsidRPr="006856C3">
        <w:rPr>
          <w:rStyle w:val="FootnoteReference"/>
          <w:spacing w:val="-2"/>
          <w:sz w:val="22"/>
          <w:szCs w:val="22"/>
        </w:rPr>
        <w:footnoteReference w:id="15"/>
      </w:r>
      <w:r w:rsidRPr="006856C3">
        <w:rPr>
          <w:spacing w:val="-2"/>
          <w:sz w:val="22"/>
          <w:szCs w:val="22"/>
        </w:rPr>
        <w:t xml:space="preserve">  </w:t>
      </w:r>
      <w:r w:rsidR="006876EC">
        <w:rPr>
          <w:spacing w:val="-2"/>
          <w:sz w:val="22"/>
          <w:szCs w:val="22"/>
        </w:rPr>
        <w:t xml:space="preserve">In doing so, </w:t>
      </w:r>
      <w:r w:rsidR="006876EC" w:rsidRPr="006856C3">
        <w:rPr>
          <w:spacing w:val="-2"/>
          <w:sz w:val="22"/>
          <w:szCs w:val="22"/>
        </w:rPr>
        <w:t>we find that the violation in this case justifies a $1</w:t>
      </w:r>
      <w:r w:rsidR="006876EC">
        <w:rPr>
          <w:spacing w:val="-2"/>
          <w:sz w:val="22"/>
          <w:szCs w:val="22"/>
        </w:rPr>
        <w:t>0</w:t>
      </w:r>
      <w:r w:rsidR="006876EC" w:rsidRPr="006856C3">
        <w:rPr>
          <w:spacing w:val="-2"/>
          <w:sz w:val="22"/>
          <w:szCs w:val="22"/>
        </w:rPr>
        <w:t>,000 upward adjustment from the base forfeiture amount.</w:t>
      </w:r>
      <w:r w:rsidR="006876EC" w:rsidRPr="006856C3">
        <w:rPr>
          <w:rStyle w:val="FootnoteReference"/>
          <w:spacing w:val="-2"/>
          <w:sz w:val="22"/>
          <w:szCs w:val="22"/>
        </w:rPr>
        <w:footnoteReference w:id="16"/>
      </w:r>
      <w:r w:rsidR="006876EC" w:rsidRPr="006856C3">
        <w:rPr>
          <w:spacing w:val="-2"/>
          <w:sz w:val="22"/>
          <w:szCs w:val="22"/>
        </w:rPr>
        <w:t xml:space="preserve">  </w:t>
      </w:r>
      <w:r w:rsidR="006876EC">
        <w:rPr>
          <w:spacing w:val="-2"/>
          <w:sz w:val="22"/>
          <w:szCs w:val="22"/>
        </w:rPr>
        <w:t xml:space="preserve">As the record reflects, Mr. Charles </w:t>
      </w:r>
      <w:r w:rsidR="00DE0510">
        <w:rPr>
          <w:spacing w:val="-2"/>
          <w:sz w:val="22"/>
          <w:szCs w:val="22"/>
        </w:rPr>
        <w:t>received two written warnings that unlicensed radio operations violated the Act and could subject the operator to significant forfeitures.</w:t>
      </w:r>
      <w:r w:rsidR="006876EC">
        <w:rPr>
          <w:rStyle w:val="FootnoteReference"/>
          <w:spacing w:val="-2"/>
          <w:sz w:val="22"/>
          <w:szCs w:val="22"/>
        </w:rPr>
        <w:footnoteReference w:id="17"/>
      </w:r>
      <w:r w:rsidR="00845B04">
        <w:rPr>
          <w:spacing w:val="-2"/>
          <w:sz w:val="22"/>
          <w:szCs w:val="22"/>
        </w:rPr>
        <w:t xml:space="preserve">  Despite these warnings, Mr. Charles operated an unlicensed FM radio station from Apartment</w:t>
      </w:r>
      <w:r w:rsidR="00BE7B49">
        <w:rPr>
          <w:spacing w:val="-2"/>
          <w:sz w:val="22"/>
          <w:szCs w:val="22"/>
        </w:rPr>
        <w:t xml:space="preserve"> #1 on </w:t>
      </w:r>
      <w:r w:rsidR="00DE0510" w:rsidRPr="00BE7B49">
        <w:rPr>
          <w:spacing w:val="-2"/>
          <w:sz w:val="22"/>
          <w:szCs w:val="22"/>
        </w:rPr>
        <w:t>June 18 and June 27, 2013</w:t>
      </w:r>
      <w:r w:rsidR="00BE7B49">
        <w:rPr>
          <w:spacing w:val="-2"/>
          <w:sz w:val="22"/>
          <w:szCs w:val="22"/>
        </w:rPr>
        <w:t xml:space="preserve">.  </w:t>
      </w:r>
      <w:r w:rsidR="006876EC" w:rsidRPr="00BE7B49">
        <w:rPr>
          <w:spacing w:val="-2"/>
          <w:sz w:val="22"/>
          <w:szCs w:val="22"/>
        </w:rPr>
        <w:t>The fact that Mr. Charles</w:t>
      </w:r>
      <w:r w:rsidR="00BE7B49">
        <w:rPr>
          <w:spacing w:val="-2"/>
          <w:sz w:val="22"/>
          <w:szCs w:val="22"/>
        </w:rPr>
        <w:t xml:space="preserve"> would </w:t>
      </w:r>
      <w:r w:rsidR="006876EC" w:rsidRPr="00BE7B49">
        <w:rPr>
          <w:spacing w:val="-2"/>
          <w:sz w:val="22"/>
          <w:szCs w:val="22"/>
        </w:rPr>
        <w:t xml:space="preserve">commit the same violation </w:t>
      </w:r>
      <w:r w:rsidR="00BE7B49">
        <w:rPr>
          <w:spacing w:val="-2"/>
          <w:sz w:val="22"/>
          <w:szCs w:val="22"/>
        </w:rPr>
        <w:t>multiple times</w:t>
      </w:r>
      <w:r w:rsidR="00DA711A" w:rsidRPr="00BE7B49">
        <w:rPr>
          <w:spacing w:val="-2"/>
          <w:sz w:val="22"/>
          <w:szCs w:val="22"/>
        </w:rPr>
        <w:t xml:space="preserve"> </w:t>
      </w:r>
      <w:r w:rsidR="006876EC" w:rsidRPr="00BE7B49">
        <w:rPr>
          <w:spacing w:val="-2"/>
          <w:sz w:val="22"/>
          <w:szCs w:val="22"/>
        </w:rPr>
        <w:t>after being warned repea</w:t>
      </w:r>
      <w:r w:rsidR="00BE7B49">
        <w:rPr>
          <w:spacing w:val="-2"/>
          <w:sz w:val="22"/>
          <w:szCs w:val="22"/>
        </w:rPr>
        <w:t>tedly that such actions violate</w:t>
      </w:r>
      <w:r w:rsidR="006876EC" w:rsidRPr="00BE7B49">
        <w:rPr>
          <w:spacing w:val="-2"/>
          <w:sz w:val="22"/>
          <w:szCs w:val="22"/>
        </w:rPr>
        <w:t xml:space="preserve"> the Act, demonstrates not only the egre</w:t>
      </w:r>
      <w:r w:rsidR="00BE7B49">
        <w:rPr>
          <w:spacing w:val="-2"/>
          <w:sz w:val="22"/>
          <w:szCs w:val="22"/>
        </w:rPr>
        <w:t>giousness of the violations</w:t>
      </w:r>
      <w:r w:rsidR="006876EC" w:rsidRPr="00BE7B49">
        <w:rPr>
          <w:spacing w:val="-2"/>
          <w:sz w:val="22"/>
          <w:szCs w:val="22"/>
        </w:rPr>
        <w:t>, but also his deliberate disregard for</w:t>
      </w:r>
      <w:r w:rsidR="00BE7B49">
        <w:rPr>
          <w:spacing w:val="-2"/>
          <w:sz w:val="22"/>
          <w:szCs w:val="22"/>
        </w:rPr>
        <w:t xml:space="preserve"> the Act and the Commission’s authority</w:t>
      </w:r>
      <w:r w:rsidR="006876EC" w:rsidRPr="00BE7B49">
        <w:rPr>
          <w:spacing w:val="-2"/>
          <w:sz w:val="22"/>
          <w:szCs w:val="22"/>
        </w:rPr>
        <w:t xml:space="preserve">.  </w:t>
      </w:r>
      <w:r w:rsidRPr="00BE7B49">
        <w:rPr>
          <w:spacing w:val="-2"/>
          <w:sz w:val="22"/>
          <w:szCs w:val="22"/>
        </w:rPr>
        <w:t xml:space="preserve">Accordingly, applying the </w:t>
      </w:r>
      <w:r w:rsidRPr="00BE7B49">
        <w:rPr>
          <w:i/>
          <w:spacing w:val="-2"/>
          <w:sz w:val="22"/>
          <w:szCs w:val="22"/>
        </w:rPr>
        <w:t>Forfeiture Policy Statement</w:t>
      </w:r>
      <w:r w:rsidRPr="00BE7B49">
        <w:rPr>
          <w:spacing w:val="-2"/>
          <w:sz w:val="22"/>
          <w:szCs w:val="22"/>
        </w:rPr>
        <w:t xml:space="preserve">, Section 1.80 of the Rules, and the statutory factors to the instant case, we conclude that Mr. </w:t>
      </w:r>
      <w:r w:rsidR="006876EC" w:rsidRPr="00BE7B49">
        <w:rPr>
          <w:spacing w:val="-2"/>
          <w:sz w:val="22"/>
          <w:szCs w:val="22"/>
        </w:rPr>
        <w:t>Charles</w:t>
      </w:r>
      <w:r w:rsidRPr="00BE7B49">
        <w:rPr>
          <w:spacing w:val="-2"/>
          <w:sz w:val="22"/>
          <w:szCs w:val="22"/>
        </w:rPr>
        <w:t xml:space="preserve"> is apparently liable for a</w:t>
      </w:r>
      <w:r w:rsidRPr="00BE7B49">
        <w:rPr>
          <w:color w:val="FF00FF"/>
          <w:spacing w:val="-2"/>
          <w:sz w:val="22"/>
          <w:szCs w:val="22"/>
        </w:rPr>
        <w:t xml:space="preserve"> </w:t>
      </w:r>
      <w:r w:rsidRPr="00BE7B49">
        <w:rPr>
          <w:spacing w:val="-2"/>
          <w:sz w:val="22"/>
          <w:szCs w:val="22"/>
        </w:rPr>
        <w:t>forfeiture in the amount of twenty thousand dollars ($</w:t>
      </w:r>
      <w:r w:rsidR="006876EC" w:rsidRPr="00BE7B49">
        <w:rPr>
          <w:spacing w:val="-2"/>
          <w:sz w:val="22"/>
          <w:szCs w:val="22"/>
        </w:rPr>
        <w:t>20</w:t>
      </w:r>
      <w:r w:rsidRPr="00BE7B49">
        <w:rPr>
          <w:spacing w:val="-2"/>
          <w:sz w:val="22"/>
          <w:szCs w:val="22"/>
        </w:rPr>
        <w:t>,000).</w:t>
      </w:r>
      <w:r w:rsidR="00050854" w:rsidRPr="00BE7B49">
        <w:rPr>
          <w:spacing w:val="-2"/>
          <w:sz w:val="22"/>
          <w:szCs w:val="22"/>
        </w:rPr>
        <w:t xml:space="preserve">  </w:t>
      </w:r>
    </w:p>
    <w:p w:rsidR="00050854" w:rsidRPr="003F3CFD" w:rsidRDefault="00050854" w:rsidP="006F4962">
      <w:pPr>
        <w:pStyle w:val="Heading1"/>
        <w:widowControl/>
        <w:spacing w:after="120"/>
        <w:rPr>
          <w:sz w:val="22"/>
          <w:szCs w:val="22"/>
        </w:rPr>
      </w:pPr>
      <w:r w:rsidRPr="003F3CFD">
        <w:rPr>
          <w:sz w:val="22"/>
          <w:szCs w:val="22"/>
        </w:rPr>
        <w:t>ORDERING CLAUSES</w:t>
      </w:r>
    </w:p>
    <w:p w:rsidR="00C46383" w:rsidRDefault="00050854" w:rsidP="006F4962">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D57AE2">
        <w:rPr>
          <w:spacing w:val="-2"/>
          <w:sz w:val="22"/>
          <w:szCs w:val="22"/>
        </w:rPr>
        <w:t>Act,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w:t>
      </w:r>
      <w:r w:rsidR="008E2DF4">
        <w:rPr>
          <w:spacing w:val="-2"/>
          <w:sz w:val="22"/>
          <w:szCs w:val="22"/>
        </w:rPr>
        <w:t>R</w:t>
      </w:r>
      <w:r w:rsidRPr="00E34AAE">
        <w:rPr>
          <w:spacing w:val="-2"/>
          <w:sz w:val="22"/>
          <w:szCs w:val="22"/>
        </w:rPr>
        <w:t xml:space="preserve">ules, </w:t>
      </w:r>
      <w:r w:rsidR="00EF0724">
        <w:rPr>
          <w:spacing w:val="-2"/>
          <w:sz w:val="22"/>
          <w:szCs w:val="22"/>
        </w:rPr>
        <w:t>Marc-N</w:t>
      </w:r>
      <w:r w:rsidR="000F10C7">
        <w:rPr>
          <w:spacing w:val="-2"/>
          <w:sz w:val="22"/>
          <w:szCs w:val="22"/>
        </w:rPr>
        <w:t>us Charles</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6876EC">
        <w:rPr>
          <w:sz w:val="22"/>
          <w:szCs w:val="22"/>
        </w:rPr>
        <w:t>twenty</w:t>
      </w:r>
      <w:r w:rsidR="000F10C7" w:rsidRPr="0076715E">
        <w:rPr>
          <w:sz w:val="22"/>
          <w:szCs w:val="22"/>
        </w:rPr>
        <w:t xml:space="preserve"> </w:t>
      </w:r>
      <w:r w:rsidRPr="0076715E">
        <w:rPr>
          <w:sz w:val="22"/>
          <w:szCs w:val="22"/>
        </w:rPr>
        <w:t>thousand dollars ($</w:t>
      </w:r>
      <w:r w:rsidR="006876EC">
        <w:rPr>
          <w:sz w:val="22"/>
          <w:szCs w:val="22"/>
        </w:rPr>
        <w:t>20</w:t>
      </w:r>
      <w:r w:rsidRPr="0076715E">
        <w:rPr>
          <w:sz w:val="22"/>
          <w:szCs w:val="22"/>
        </w:rPr>
        <w:t>,000) for</w:t>
      </w:r>
      <w:r w:rsidRPr="00E34AAE">
        <w:rPr>
          <w:sz w:val="22"/>
          <w:szCs w:val="22"/>
        </w:rPr>
        <w:t xml:space="preserve"> violations of </w:t>
      </w:r>
      <w:r w:rsidR="00D57AE2">
        <w:rPr>
          <w:sz w:val="22"/>
          <w:szCs w:val="22"/>
        </w:rPr>
        <w:t>S</w:t>
      </w:r>
      <w:r w:rsidRPr="00E34AAE">
        <w:rPr>
          <w:sz w:val="22"/>
          <w:szCs w:val="22"/>
        </w:rPr>
        <w:t>ection</w:t>
      </w:r>
      <w:r w:rsidR="000F10C7">
        <w:rPr>
          <w:sz w:val="22"/>
          <w:szCs w:val="22"/>
        </w:rPr>
        <w:t xml:space="preserve"> 301</w:t>
      </w:r>
      <w:r w:rsidRPr="00E34AAE">
        <w:rPr>
          <w:sz w:val="22"/>
          <w:szCs w:val="22"/>
        </w:rPr>
        <w:t xml:space="preserve"> </w:t>
      </w:r>
      <w:r w:rsidRPr="00E34AAE">
        <w:rPr>
          <w:spacing w:val="-2"/>
          <w:sz w:val="22"/>
          <w:szCs w:val="22"/>
        </w:rPr>
        <w:t>o</w:t>
      </w:r>
      <w:r w:rsidRPr="00E34AAE">
        <w:rPr>
          <w:sz w:val="22"/>
          <w:szCs w:val="22"/>
        </w:rPr>
        <w:t xml:space="preserve">f the </w:t>
      </w:r>
      <w:r w:rsidR="000F10C7">
        <w:rPr>
          <w:sz w:val="22"/>
          <w:szCs w:val="22"/>
        </w:rPr>
        <w:t>Act</w:t>
      </w:r>
      <w:r w:rsidRPr="00E34AAE">
        <w:rPr>
          <w:sz w:val="22"/>
          <w:szCs w:val="22"/>
        </w:rPr>
        <w:t>.</w:t>
      </w:r>
      <w:r w:rsidRPr="00E34AAE">
        <w:rPr>
          <w:rStyle w:val="FootnoteReference"/>
          <w:sz w:val="22"/>
          <w:szCs w:val="22"/>
        </w:rPr>
        <w:footnoteReference w:id="18"/>
      </w:r>
    </w:p>
    <w:p w:rsidR="00C46383" w:rsidRDefault="00050854" w:rsidP="006F4962">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00D57AE2" w:rsidRPr="00C46383">
        <w:rPr>
          <w:spacing w:val="-2"/>
          <w:sz w:val="22"/>
          <w:szCs w:val="22"/>
        </w:rPr>
        <w:t>, pursuant to S</w:t>
      </w:r>
      <w:r w:rsidR="003E2AD5" w:rsidRPr="00C46383">
        <w:rPr>
          <w:spacing w:val="-2"/>
          <w:sz w:val="22"/>
          <w:szCs w:val="22"/>
        </w:rPr>
        <w:t xml:space="preserve">ection 1.80 of the </w:t>
      </w:r>
      <w:r w:rsidR="008E2DF4">
        <w:rPr>
          <w:spacing w:val="-2"/>
          <w:sz w:val="22"/>
          <w:szCs w:val="22"/>
        </w:rPr>
        <w:t>R</w:t>
      </w:r>
      <w:r w:rsidRPr="00C46383">
        <w:rPr>
          <w:spacing w:val="-2"/>
          <w:sz w:val="22"/>
          <w:szCs w:val="22"/>
        </w:rPr>
        <w:t>ules</w:t>
      </w:r>
      <w:r w:rsidR="002C62DA" w:rsidRPr="00C46383">
        <w:rPr>
          <w:spacing w:val="-2"/>
          <w:sz w:val="22"/>
          <w:szCs w:val="22"/>
        </w:rPr>
        <w:t>,</w:t>
      </w:r>
      <w:r w:rsidRPr="00C46383">
        <w:rPr>
          <w:spacing w:val="-2"/>
          <w:sz w:val="22"/>
          <w:szCs w:val="22"/>
        </w:rPr>
        <w:t xml:space="preserve"> within thirty </w:t>
      </w:r>
      <w:r w:rsidR="003A7878" w:rsidRPr="00C46383">
        <w:rPr>
          <w:spacing w:val="-2"/>
          <w:sz w:val="22"/>
          <w:szCs w:val="22"/>
        </w:rPr>
        <w:t xml:space="preserve">(30) calendar </w:t>
      </w:r>
      <w:r w:rsidRPr="00C46383">
        <w:rPr>
          <w:spacing w:val="-2"/>
          <w:sz w:val="22"/>
          <w:szCs w:val="22"/>
        </w:rPr>
        <w:t>days of the release date of this Notice of Apparent Liability for Forfeiture</w:t>
      </w:r>
      <w:r w:rsidR="000F10C7" w:rsidRPr="00C46383">
        <w:rPr>
          <w:spacing w:val="-2"/>
          <w:sz w:val="22"/>
          <w:szCs w:val="22"/>
        </w:rPr>
        <w:t>, Marc-</w:t>
      </w:r>
      <w:r w:rsidR="00EF0724" w:rsidRPr="00C46383">
        <w:rPr>
          <w:spacing w:val="-2"/>
          <w:sz w:val="22"/>
          <w:szCs w:val="22"/>
        </w:rPr>
        <w:t>N</w:t>
      </w:r>
      <w:r w:rsidR="000F10C7" w:rsidRPr="00C46383">
        <w:rPr>
          <w:spacing w:val="-2"/>
          <w:sz w:val="22"/>
          <w:szCs w:val="22"/>
        </w:rPr>
        <w:t>us</w:t>
      </w:r>
      <w:r w:rsidR="00EF0724" w:rsidRPr="00C46383">
        <w:rPr>
          <w:spacing w:val="-2"/>
          <w:sz w:val="22"/>
          <w:szCs w:val="22"/>
        </w:rPr>
        <w:t xml:space="preserve"> </w:t>
      </w:r>
      <w:r w:rsidR="000F10C7" w:rsidRPr="00C46383">
        <w:rPr>
          <w:spacing w:val="-2"/>
          <w:sz w:val="22"/>
          <w:szCs w:val="22"/>
        </w:rPr>
        <w:t xml:space="preserve">Charles </w:t>
      </w:r>
      <w:r w:rsidR="00145224" w:rsidRPr="00C46383">
        <w:rPr>
          <w:b/>
          <w:spacing w:val="-2"/>
          <w:sz w:val="22"/>
          <w:szCs w:val="22"/>
        </w:rPr>
        <w:t>SHALL PAY</w:t>
      </w:r>
      <w:r w:rsidRPr="00C46383">
        <w:rPr>
          <w:spacing w:val="-2"/>
          <w:sz w:val="22"/>
          <w:szCs w:val="22"/>
        </w:rPr>
        <w:t xml:space="preserve"> the full amount of the proposed forfeiture or </w:t>
      </w:r>
      <w:r w:rsidR="00145224" w:rsidRPr="00C46383">
        <w:rPr>
          <w:b/>
          <w:spacing w:val="-2"/>
          <w:sz w:val="22"/>
          <w:szCs w:val="22"/>
        </w:rPr>
        <w:t>SHALL FILE</w:t>
      </w:r>
      <w:r w:rsidRPr="00C46383">
        <w:rPr>
          <w:spacing w:val="-2"/>
          <w:sz w:val="22"/>
          <w:szCs w:val="22"/>
        </w:rPr>
        <w:t xml:space="preserve"> a written statement seeking reduction or cancellation of the proposed forfeiture.</w:t>
      </w:r>
    </w:p>
    <w:p w:rsidR="00A66F85" w:rsidRPr="00C46383" w:rsidRDefault="00A66F85" w:rsidP="006F4962">
      <w:pPr>
        <w:widowControl/>
        <w:numPr>
          <w:ilvl w:val="0"/>
          <w:numId w:val="22"/>
        </w:numPr>
        <w:tabs>
          <w:tab w:val="clear" w:pos="1260"/>
          <w:tab w:val="left" w:pos="0"/>
          <w:tab w:val="num" w:pos="1440"/>
        </w:tabs>
        <w:suppressAutoHyphens/>
        <w:spacing w:after="120"/>
        <w:ind w:left="0"/>
        <w:rPr>
          <w:spacing w:val="-2"/>
          <w:sz w:val="22"/>
          <w:szCs w:val="22"/>
        </w:rPr>
      </w:pPr>
      <w:r w:rsidRPr="00C46383">
        <w:rPr>
          <w:rFonts w:eastAsia="MS Mincho" w:cs="Arial"/>
          <w:sz w:val="22"/>
          <w:szCs w:val="22"/>
        </w:rPr>
        <w:t xml:space="preserve">Payment of the forfeiture must be made by check or similar instrument, wire transfer, or credit card, and must include the NAL/Account </w:t>
      </w:r>
      <w:r w:rsidR="00C46383">
        <w:rPr>
          <w:rFonts w:eastAsia="MS Mincho" w:cs="Arial"/>
          <w:sz w:val="22"/>
          <w:szCs w:val="22"/>
        </w:rPr>
        <w:t>N</w:t>
      </w:r>
      <w:r w:rsidRPr="00C46383">
        <w:rPr>
          <w:rFonts w:eastAsia="MS Mincho" w:cs="Arial"/>
          <w:sz w:val="22"/>
          <w:szCs w:val="22"/>
        </w:rPr>
        <w:t>u</w:t>
      </w:r>
      <w:r w:rsidR="00E2691A">
        <w:rPr>
          <w:rFonts w:eastAsia="MS Mincho" w:cs="Arial"/>
          <w:sz w:val="22"/>
          <w:szCs w:val="22"/>
        </w:rPr>
        <w:t xml:space="preserve">mber and FRN referenced above.  </w:t>
      </w:r>
      <w:r w:rsidR="00E2691A" w:rsidRPr="00C46383">
        <w:rPr>
          <w:spacing w:val="-2"/>
          <w:sz w:val="22"/>
          <w:szCs w:val="22"/>
        </w:rPr>
        <w:t>Marc-Nus</w:t>
      </w:r>
      <w:r w:rsidR="00E2691A" w:rsidRPr="006F4962">
        <w:rPr>
          <w:spacing w:val="-2"/>
          <w:sz w:val="22"/>
        </w:rPr>
        <w:t xml:space="preserve"> Charles</w:t>
      </w:r>
      <w:r w:rsidR="000F10C7" w:rsidRPr="00C46383">
        <w:rPr>
          <w:rFonts w:eastAsia="MS Mincho" w:cs="Arial"/>
          <w:sz w:val="22"/>
          <w:szCs w:val="22"/>
        </w:rPr>
        <w:t xml:space="preserve"> </w:t>
      </w:r>
      <w:r w:rsidR="0095119D" w:rsidRPr="00C46383">
        <w:rPr>
          <w:color w:val="000000"/>
          <w:sz w:val="22"/>
          <w:szCs w:val="22"/>
          <w:lang w:bidi="he-IL"/>
        </w:rPr>
        <w:t>shall also send electronic notification on the date said payment is made to</w:t>
      </w:r>
      <w:r w:rsidR="00C1549C">
        <w:rPr>
          <w:color w:val="000000"/>
          <w:sz w:val="22"/>
          <w:szCs w:val="22"/>
          <w:lang w:bidi="he-IL"/>
        </w:rPr>
        <w:t xml:space="preserve"> </w:t>
      </w:r>
      <w:hyperlink r:id="rId8" w:history="1">
        <w:r w:rsidR="0095119D" w:rsidRPr="00C46383">
          <w:rPr>
            <w:rStyle w:val="Hyperlink"/>
            <w:color w:val="auto"/>
            <w:sz w:val="22"/>
            <w:szCs w:val="22"/>
            <w:u w:val="none"/>
          </w:rPr>
          <w:t>SCR-Response@fcc.gov</w:t>
        </w:r>
      </w:hyperlink>
      <w:r w:rsidR="000F10C7" w:rsidRPr="00C46383">
        <w:rPr>
          <w:sz w:val="22"/>
          <w:szCs w:val="22"/>
        </w:rPr>
        <w:t>.  Regardle</w:t>
      </w:r>
      <w:r w:rsidRPr="00C46383">
        <w:rPr>
          <w:rFonts w:eastAsia="MS Mincho" w:cs="Arial"/>
          <w:sz w:val="22"/>
          <w:szCs w:val="22"/>
        </w:rPr>
        <w:t>ss of the form of payment, a completed FCC Form 159 (Remittance Advice) must be submitted.</w:t>
      </w:r>
      <w:r w:rsidRPr="00A66F85">
        <w:rPr>
          <w:rStyle w:val="FootnoteReference"/>
          <w:rFonts w:eastAsia="MS Mincho" w:cs="Arial"/>
          <w:sz w:val="22"/>
          <w:szCs w:val="22"/>
        </w:rPr>
        <w:footnoteReference w:id="19"/>
      </w:r>
      <w:r w:rsidRPr="00C46383">
        <w:rPr>
          <w:rFonts w:eastAsia="MS Mincho" w:cs="Arial"/>
          <w:sz w:val="22"/>
          <w:szCs w:val="22"/>
        </w:rPr>
        <w:t xml:space="preserve">  When completing the FCC Form 159, enter the Account Number in block number 23A (call sign/other ID) and enter the letters “FORF” in block number 24A (payment type code).  </w:t>
      </w:r>
      <w:r w:rsidRPr="00C46383">
        <w:rPr>
          <w:color w:val="000000"/>
          <w:sz w:val="22"/>
          <w:szCs w:val="22"/>
        </w:rPr>
        <w:t>Below are additional instructions you should follow based on the form of payment you select:</w:t>
      </w:r>
    </w:p>
    <w:p w:rsidR="00A66F85" w:rsidRPr="00A66F85" w:rsidRDefault="00A66F85" w:rsidP="0033665C">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33665C">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33665C">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 and dating the Form 159 to autho</w:t>
      </w:r>
      <w:r w:rsidR="00E2691A">
        <w:rPr>
          <w:rFonts w:eastAsia="MS Mincho"/>
          <w:sz w:val="22"/>
          <w:szCs w:val="22"/>
        </w:rPr>
        <w:t xml:space="preserve">rize the credit card payment.  </w:t>
      </w:r>
      <w:r w:rsidRPr="00A66F85">
        <w:rPr>
          <w:rFonts w:eastAsia="MS Mincho"/>
          <w:sz w:val="22"/>
          <w:szCs w:val="22"/>
        </w:rPr>
        <w:t xml:space="preserve">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C46383" w:rsidRDefault="00A66F85" w:rsidP="006F4962">
      <w:pPr>
        <w:widowControl/>
        <w:numPr>
          <w:ilvl w:val="0"/>
          <w:numId w:val="22"/>
        </w:numPr>
        <w:tabs>
          <w:tab w:val="clear" w:pos="1260"/>
          <w:tab w:val="left" w:pos="0"/>
          <w:tab w:val="num" w:pos="1440"/>
        </w:tabs>
        <w:suppressAutoHyphens/>
        <w:spacing w:after="120"/>
        <w:ind w:left="0"/>
        <w:rPr>
          <w:spacing w:val="-2"/>
          <w:sz w:val="22"/>
          <w:szCs w:val="22"/>
        </w:rPr>
      </w:pPr>
      <w:r w:rsidRPr="00A66F85">
        <w:rPr>
          <w:rFonts w:eastAsia="MS Mincho"/>
          <w:sz w:val="22"/>
          <w:szCs w:val="22"/>
        </w:rPr>
        <w:t xml:space="preserve">Any </w:t>
      </w:r>
      <w:r w:rsidRPr="00C46383">
        <w:rPr>
          <w:rFonts w:eastAsia="MS Mincho" w:cs="Arial"/>
          <w:sz w:val="22"/>
          <w:szCs w:val="22"/>
        </w:rPr>
        <w:t>request</w:t>
      </w:r>
      <w:r w:rsidRPr="00A66F85">
        <w:rPr>
          <w:rFonts w:eastAsia="MS Mincho"/>
          <w:sz w:val="22"/>
          <w:szCs w:val="22"/>
        </w:rPr>
        <w:t xml:space="preserve">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20"/>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C46383" w:rsidRDefault="007E2E05" w:rsidP="006F4962">
      <w:pPr>
        <w:widowControl/>
        <w:numPr>
          <w:ilvl w:val="0"/>
          <w:numId w:val="22"/>
        </w:numPr>
        <w:tabs>
          <w:tab w:val="clear" w:pos="1260"/>
          <w:tab w:val="left" w:pos="0"/>
          <w:tab w:val="num" w:pos="1440"/>
        </w:tabs>
        <w:suppressAutoHyphens/>
        <w:spacing w:after="120"/>
        <w:ind w:left="0"/>
        <w:rPr>
          <w:spacing w:val="-2"/>
          <w:sz w:val="22"/>
          <w:szCs w:val="22"/>
        </w:rPr>
      </w:pPr>
      <w:r w:rsidRPr="00C46383">
        <w:rPr>
          <w:sz w:val="22"/>
          <w:szCs w:val="22"/>
        </w:rPr>
        <w:t>The written statement seeking reduction or cancellation of the proposed forfeiture, if any, must include a detailed factual statement supported by appropriate documentat</w:t>
      </w:r>
      <w:r w:rsidR="00D57AE2" w:rsidRPr="00C46383">
        <w:rPr>
          <w:sz w:val="22"/>
          <w:szCs w:val="22"/>
        </w:rPr>
        <w:t>ion and affidavits pursuant to S</w:t>
      </w:r>
      <w:r w:rsidRPr="00C46383">
        <w:rPr>
          <w:sz w:val="22"/>
          <w:szCs w:val="22"/>
        </w:rPr>
        <w:t xml:space="preserve">ections </w:t>
      </w:r>
      <w:r w:rsidR="00F30E61" w:rsidRPr="00C46383">
        <w:rPr>
          <w:sz w:val="22"/>
          <w:szCs w:val="22"/>
        </w:rPr>
        <w:t xml:space="preserve">1.16 and </w:t>
      </w:r>
      <w:r w:rsidRPr="00C46383">
        <w:rPr>
          <w:sz w:val="22"/>
          <w:szCs w:val="22"/>
        </w:rPr>
        <w:t>1.80(f)(3) of the Rules.</w:t>
      </w:r>
      <w:r w:rsidR="003E2AD5">
        <w:rPr>
          <w:rStyle w:val="FootnoteReference"/>
          <w:sz w:val="22"/>
          <w:szCs w:val="22"/>
        </w:rPr>
        <w:footnoteReference w:id="21"/>
      </w:r>
      <w:r w:rsidRPr="00C46383">
        <w:rPr>
          <w:sz w:val="22"/>
          <w:szCs w:val="22"/>
        </w:rPr>
        <w:t xml:space="preserve">  Mail the written statement to Federal Communications Commission, Enforcement Bureau,</w:t>
      </w:r>
      <w:r w:rsidR="00050854" w:rsidRPr="00C46383">
        <w:rPr>
          <w:spacing w:val="-2"/>
          <w:sz w:val="22"/>
          <w:szCs w:val="22"/>
        </w:rPr>
        <w:t xml:space="preserve"> </w:t>
      </w:r>
      <w:r w:rsidR="000F10C7" w:rsidRPr="00C46383">
        <w:rPr>
          <w:spacing w:val="-2"/>
          <w:sz w:val="22"/>
          <w:szCs w:val="22"/>
        </w:rPr>
        <w:t>South Central</w:t>
      </w:r>
      <w:r w:rsidR="00EB57F9" w:rsidRPr="00C46383">
        <w:rPr>
          <w:spacing w:val="-2"/>
          <w:sz w:val="22"/>
          <w:szCs w:val="22"/>
        </w:rPr>
        <w:t xml:space="preserve"> </w:t>
      </w:r>
      <w:r w:rsidR="00050854" w:rsidRPr="00C46383">
        <w:rPr>
          <w:spacing w:val="-2"/>
          <w:sz w:val="22"/>
          <w:szCs w:val="22"/>
        </w:rPr>
        <w:t>Region,</w:t>
      </w:r>
      <w:r w:rsidR="000F10C7" w:rsidRPr="00C46383">
        <w:rPr>
          <w:spacing w:val="-2"/>
          <w:sz w:val="22"/>
          <w:szCs w:val="22"/>
        </w:rPr>
        <w:t xml:space="preserve"> Miami Office, P.O. Box 520617, Miami, FL 33152-0617, </w:t>
      </w:r>
      <w:r w:rsidR="00050854" w:rsidRPr="00C46383">
        <w:rPr>
          <w:spacing w:val="-2"/>
          <w:sz w:val="22"/>
          <w:szCs w:val="22"/>
        </w:rPr>
        <w:t>and include the NAL/Acct. No. referenced in the caption.</w:t>
      </w:r>
      <w:r w:rsidR="00683F6F" w:rsidRPr="00C46383">
        <w:rPr>
          <w:spacing w:val="-2"/>
          <w:sz w:val="22"/>
          <w:szCs w:val="22"/>
        </w:rPr>
        <w:t xml:space="preserve">  </w:t>
      </w:r>
      <w:r w:rsidR="000F10C7" w:rsidRPr="00C46383">
        <w:rPr>
          <w:spacing w:val="-2"/>
          <w:sz w:val="22"/>
          <w:szCs w:val="22"/>
        </w:rPr>
        <w:t xml:space="preserve">Marc-nus Charles </w:t>
      </w:r>
      <w:r w:rsidR="005F67D7" w:rsidRPr="00C46383">
        <w:rPr>
          <w:color w:val="000000"/>
          <w:spacing w:val="-2"/>
          <w:sz w:val="22"/>
          <w:szCs w:val="22"/>
        </w:rPr>
        <w:t xml:space="preserve">also </w:t>
      </w:r>
      <w:r w:rsidR="00683F6F" w:rsidRPr="00C46383">
        <w:rPr>
          <w:spacing w:val="-2"/>
          <w:sz w:val="22"/>
          <w:szCs w:val="22"/>
        </w:rPr>
        <w:t>shall e</w:t>
      </w:r>
      <w:r w:rsidR="00C009F7" w:rsidRPr="00C46383">
        <w:rPr>
          <w:spacing w:val="-2"/>
          <w:sz w:val="22"/>
          <w:szCs w:val="22"/>
        </w:rPr>
        <w:t>-</w:t>
      </w:r>
      <w:r w:rsidR="00683F6F" w:rsidRPr="00C46383">
        <w:rPr>
          <w:spacing w:val="-2"/>
          <w:sz w:val="22"/>
          <w:szCs w:val="22"/>
        </w:rPr>
        <w:t>mail the written response to</w:t>
      </w:r>
      <w:r w:rsidR="000F10C7" w:rsidRPr="00C46383">
        <w:rPr>
          <w:spacing w:val="-2"/>
          <w:sz w:val="22"/>
          <w:szCs w:val="22"/>
        </w:rPr>
        <w:t xml:space="preserve"> </w:t>
      </w:r>
      <w:hyperlink r:id="rId9" w:history="1">
        <w:r w:rsidR="00683F6F" w:rsidRPr="00C46383">
          <w:rPr>
            <w:rStyle w:val="Hyperlink"/>
            <w:color w:val="auto"/>
            <w:sz w:val="22"/>
            <w:szCs w:val="22"/>
            <w:u w:val="none"/>
          </w:rPr>
          <w:t>SCR-Response@fcc.gov</w:t>
        </w:r>
      </w:hyperlink>
      <w:r w:rsidR="000F10C7" w:rsidRPr="00C46383">
        <w:rPr>
          <w:sz w:val="22"/>
          <w:szCs w:val="22"/>
        </w:rPr>
        <w:t>.</w:t>
      </w:r>
    </w:p>
    <w:p w:rsidR="00C46383" w:rsidRDefault="00050854" w:rsidP="006F4962">
      <w:pPr>
        <w:widowControl/>
        <w:numPr>
          <w:ilvl w:val="0"/>
          <w:numId w:val="22"/>
        </w:numPr>
        <w:tabs>
          <w:tab w:val="clear" w:pos="1260"/>
          <w:tab w:val="left" w:pos="0"/>
          <w:tab w:val="num" w:pos="1440"/>
        </w:tabs>
        <w:suppressAutoHyphens/>
        <w:spacing w:after="120"/>
        <w:ind w:left="0"/>
        <w:rPr>
          <w:spacing w:val="-2"/>
          <w:sz w:val="22"/>
          <w:szCs w:val="22"/>
        </w:rPr>
      </w:pPr>
      <w:r w:rsidRPr="00C46383">
        <w:rPr>
          <w:spacing w:val="-2"/>
          <w:sz w:val="22"/>
          <w:szCs w:val="22"/>
        </w:rPr>
        <w:t xml:space="preserve">The Commission will not consider reducing or canceling a forfeiture in response to a claim of inability to pay unless the petitioner submits: </w:t>
      </w:r>
      <w:r w:rsidR="00F30E61" w:rsidRPr="00C46383">
        <w:rPr>
          <w:spacing w:val="-2"/>
          <w:sz w:val="22"/>
          <w:szCs w:val="22"/>
        </w:rPr>
        <w:t xml:space="preserve"> </w:t>
      </w:r>
      <w:r w:rsidRPr="00C46383">
        <w:rPr>
          <w:spacing w:val="-2"/>
          <w:sz w:val="22"/>
          <w:szCs w:val="22"/>
        </w:rPr>
        <w:t>(1) federal tax returns for the most recent three-year period; (2) financial statements prepared according to generally accepted accounting pr</w:t>
      </w:r>
      <w:r w:rsidR="00D13FA6" w:rsidRPr="00C46383">
        <w:rPr>
          <w:spacing w:val="-2"/>
          <w:sz w:val="22"/>
          <w:szCs w:val="22"/>
        </w:rPr>
        <w:t>inciples</w:t>
      </w:r>
      <w:r w:rsidRPr="00C46383">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C46383" w:rsidRDefault="00050854" w:rsidP="006F4962">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Pr="00C46383">
        <w:rPr>
          <w:spacing w:val="-2"/>
          <w:sz w:val="22"/>
          <w:szCs w:val="22"/>
        </w:rPr>
        <w:t xml:space="preserve"> a copy of this Notice of Apparent Liability for Forfeiture shall be sent by </w:t>
      </w:r>
      <w:r w:rsidR="00683F6F" w:rsidRPr="00C46383">
        <w:rPr>
          <w:spacing w:val="-2"/>
          <w:sz w:val="22"/>
          <w:szCs w:val="22"/>
        </w:rPr>
        <w:t xml:space="preserve">both </w:t>
      </w:r>
      <w:r w:rsidRPr="00C46383">
        <w:rPr>
          <w:spacing w:val="-2"/>
          <w:sz w:val="22"/>
          <w:szCs w:val="22"/>
        </w:rPr>
        <w:t xml:space="preserve">Certified Mail, Return Receipt Requested, and </w:t>
      </w:r>
      <w:r w:rsidR="008C26F7" w:rsidRPr="00C46383">
        <w:rPr>
          <w:spacing w:val="-2"/>
          <w:sz w:val="22"/>
          <w:szCs w:val="22"/>
        </w:rPr>
        <w:t xml:space="preserve">first class </w:t>
      </w:r>
      <w:r w:rsidRPr="00C46383">
        <w:rPr>
          <w:spacing w:val="-2"/>
          <w:sz w:val="22"/>
          <w:szCs w:val="22"/>
        </w:rPr>
        <w:t xml:space="preserve">mail to </w:t>
      </w:r>
      <w:r w:rsidR="000F10C7" w:rsidRPr="00C46383">
        <w:rPr>
          <w:spacing w:val="-2"/>
          <w:sz w:val="22"/>
          <w:szCs w:val="22"/>
        </w:rPr>
        <w:t>Marc-</w:t>
      </w:r>
      <w:r w:rsidR="00EF0724" w:rsidRPr="00C46383">
        <w:rPr>
          <w:spacing w:val="-2"/>
          <w:sz w:val="22"/>
          <w:szCs w:val="22"/>
        </w:rPr>
        <w:t>N</w:t>
      </w:r>
      <w:r w:rsidR="000F10C7" w:rsidRPr="00C46383">
        <w:rPr>
          <w:spacing w:val="-2"/>
          <w:sz w:val="22"/>
          <w:szCs w:val="22"/>
        </w:rPr>
        <w:t xml:space="preserve">us Charles at his address of record.  </w:t>
      </w:r>
      <w:r w:rsidRPr="00C46383">
        <w:rPr>
          <w:b/>
          <w:color w:val="FF00FF"/>
          <w:spacing w:val="-2"/>
          <w:sz w:val="22"/>
          <w:szCs w:val="22"/>
        </w:rPr>
        <w:t xml:space="preserve"> </w:t>
      </w:r>
    </w:p>
    <w:p w:rsidR="00331410" w:rsidRPr="00E34AAE" w:rsidRDefault="00331410" w:rsidP="00BF1922">
      <w:pPr>
        <w:widowControl/>
        <w:tabs>
          <w:tab w:val="left" w:pos="0"/>
        </w:tabs>
        <w:suppressAutoHyphens/>
        <w:spacing w:line="240" w:lineRule="atLeast"/>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050854" w:rsidRPr="000F10C7"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0F10C7">
        <w:rPr>
          <w:spacing w:val="-2"/>
          <w:sz w:val="22"/>
          <w:szCs w:val="22"/>
        </w:rPr>
        <w:tab/>
      </w:r>
      <w:r w:rsidR="000F10C7" w:rsidRPr="000F10C7">
        <w:rPr>
          <w:spacing w:val="-2"/>
          <w:sz w:val="22"/>
          <w:szCs w:val="22"/>
        </w:rPr>
        <w:t>Stephanie Dabkowski</w:t>
      </w:r>
    </w:p>
    <w:p w:rsidR="00050854" w:rsidRPr="000F10C7" w:rsidRDefault="00050854"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331410" w:rsidRPr="000F10C7">
        <w:rPr>
          <w:spacing w:val="-2"/>
          <w:sz w:val="22"/>
          <w:szCs w:val="22"/>
        </w:rPr>
        <w:tab/>
      </w:r>
      <w:r w:rsidR="000F10C7" w:rsidRPr="000F10C7">
        <w:rPr>
          <w:spacing w:val="-2"/>
          <w:sz w:val="22"/>
          <w:szCs w:val="22"/>
        </w:rPr>
        <w:t>Resident Agent</w:t>
      </w:r>
    </w:p>
    <w:p w:rsidR="00050854" w:rsidRPr="000F10C7" w:rsidRDefault="00050854"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0F10C7" w:rsidRPr="000F10C7">
        <w:rPr>
          <w:spacing w:val="-2"/>
          <w:sz w:val="22"/>
          <w:szCs w:val="22"/>
        </w:rPr>
        <w:t>Miami</w:t>
      </w:r>
      <w:r w:rsidR="00716561" w:rsidRPr="000F10C7">
        <w:rPr>
          <w:spacing w:val="-2"/>
          <w:sz w:val="22"/>
          <w:szCs w:val="22"/>
        </w:rPr>
        <w:t xml:space="preserve"> </w:t>
      </w:r>
      <w:r w:rsidRPr="000F10C7">
        <w:rPr>
          <w:spacing w:val="-2"/>
          <w:sz w:val="22"/>
          <w:szCs w:val="22"/>
        </w:rPr>
        <w:t>Office</w:t>
      </w:r>
    </w:p>
    <w:p w:rsidR="00050854" w:rsidRPr="000F10C7" w:rsidRDefault="000A0EEE"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0F10C7" w:rsidRPr="000F10C7">
        <w:rPr>
          <w:spacing w:val="-2"/>
          <w:sz w:val="22"/>
          <w:szCs w:val="22"/>
        </w:rPr>
        <w:t>South Central</w:t>
      </w:r>
      <w:r w:rsidR="00EB57F9" w:rsidRPr="000F10C7">
        <w:rPr>
          <w:spacing w:val="-2"/>
          <w:sz w:val="22"/>
          <w:szCs w:val="22"/>
        </w:rPr>
        <w:t xml:space="preserve"> </w:t>
      </w:r>
      <w:r w:rsidR="00050854" w:rsidRPr="000F10C7">
        <w:rPr>
          <w:spacing w:val="-2"/>
          <w:sz w:val="22"/>
          <w:szCs w:val="22"/>
        </w:rPr>
        <w:t>Region</w:t>
      </w:r>
    </w:p>
    <w:p w:rsidR="009F6C24" w:rsidRDefault="00050854" w:rsidP="003407D0">
      <w:pPr>
        <w:widowControl/>
        <w:tabs>
          <w:tab w:val="left" w:pos="0"/>
          <w:tab w:val="num" w:pos="1440"/>
        </w:tabs>
        <w:suppressAutoHyphens/>
        <w:spacing w:line="240" w:lineRule="atLeast"/>
        <w:jc w:val="both"/>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t>Enforcement Bureau</w:t>
      </w:r>
    </w:p>
    <w:sectPr w:rsidR="009F6C24" w:rsidSect="0039241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9C" w:rsidRDefault="0001779C">
      <w:r>
        <w:separator/>
      </w:r>
    </w:p>
  </w:endnote>
  <w:endnote w:type="continuationSeparator" w:id="0">
    <w:p w:rsidR="0001779C" w:rsidRDefault="0001779C">
      <w:r>
        <w:continuationSeparator/>
      </w:r>
    </w:p>
  </w:endnote>
  <w:endnote w:type="continuationNotice" w:id="1">
    <w:p w:rsidR="0001779C" w:rsidRDefault="00017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8" w:rsidRDefault="00643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Default="00B943B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B5B52">
      <w:rPr>
        <w:rStyle w:val="PageNumber"/>
        <w:noProof/>
      </w:rPr>
      <w:t>2</w:t>
    </w:r>
    <w:r>
      <w:rPr>
        <w:rStyle w:val="PageNumber"/>
      </w:rPr>
      <w:fldChar w:fldCharType="end"/>
    </w:r>
  </w:p>
  <w:p w:rsidR="00B943BA" w:rsidRDefault="00B943B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8" w:rsidRDefault="00643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9C" w:rsidRDefault="0001779C">
      <w:r>
        <w:separator/>
      </w:r>
    </w:p>
  </w:footnote>
  <w:footnote w:type="continuationSeparator" w:id="0">
    <w:p w:rsidR="0001779C" w:rsidRDefault="0001779C">
      <w:r>
        <w:separator/>
      </w:r>
    </w:p>
    <w:p w:rsidR="0001779C" w:rsidRDefault="0001779C">
      <w:r>
        <w:t>(...continued from previous page)</w:t>
      </w:r>
    </w:p>
  </w:footnote>
  <w:footnote w:type="continuationNotice" w:id="1">
    <w:p w:rsidR="0001779C" w:rsidRDefault="0001779C">
      <w:pPr>
        <w:jc w:val="right"/>
      </w:pPr>
      <w:r>
        <w:t>(continued....)</w:t>
      </w:r>
    </w:p>
  </w:footnote>
  <w:footnote w:id="2">
    <w:p w:rsidR="008914FA" w:rsidRDefault="008914FA" w:rsidP="00845B04">
      <w:pPr>
        <w:pStyle w:val="FootnoteText"/>
        <w:jc w:val="left"/>
      </w:pPr>
      <w:r>
        <w:rPr>
          <w:rStyle w:val="FootnoteReference"/>
        </w:rPr>
        <w:footnoteRef/>
      </w:r>
      <w:r>
        <w:t xml:space="preserve"> 47 U.S.C. § 301.</w:t>
      </w:r>
    </w:p>
  </w:footnote>
  <w:footnote w:id="3">
    <w:p w:rsidR="001F3E42" w:rsidRPr="001F3E42" w:rsidRDefault="001F3E42" w:rsidP="00845B04">
      <w:pPr>
        <w:pStyle w:val="FootnoteText"/>
        <w:jc w:val="left"/>
      </w:pPr>
      <w:r>
        <w:rPr>
          <w:rStyle w:val="FootnoteReference"/>
        </w:rPr>
        <w:footnoteRef/>
      </w:r>
      <w:r>
        <w:t xml:space="preserve"> </w:t>
      </w:r>
      <w:r>
        <w:rPr>
          <w:i/>
        </w:rPr>
        <w:t>See Marcnus Kesnel Charles</w:t>
      </w:r>
      <w:r>
        <w:t xml:space="preserve">, Notice of Unlicensed Operation, Document No. W200932600066 (Enf. Bur. Sept. 11, 2009) (on file in EB-FIELDSCR-12-00003739).  </w:t>
      </w:r>
      <w:r w:rsidR="00CC77A7">
        <w:t>“Marc-nus Charles” and “Marc-nus Kesnel Charles” a</w:t>
      </w:r>
      <w:r w:rsidR="00BA18A0">
        <w:t>re</w:t>
      </w:r>
      <w:r w:rsidR="00CC77A7">
        <w:t xml:space="preserve"> two </w:t>
      </w:r>
      <w:r w:rsidR="00CA057C">
        <w:t xml:space="preserve">of the many name variations associated with </w:t>
      </w:r>
      <w:r w:rsidR="0033665C">
        <w:t>Mr. Charles.</w:t>
      </w:r>
      <w:r w:rsidR="00CA057C">
        <w:t xml:space="preserve">  </w:t>
      </w:r>
      <w:r>
        <w:t xml:space="preserve">His Florida driver’s license, however, lists his </w:t>
      </w:r>
      <w:r w:rsidR="006876EC">
        <w:t xml:space="preserve">legal </w:t>
      </w:r>
      <w:r>
        <w:t>name as “Marc-Nus Charles.”</w:t>
      </w:r>
    </w:p>
  </w:footnote>
  <w:footnote w:id="4">
    <w:p w:rsidR="001F3E42" w:rsidRPr="003407D0" w:rsidRDefault="001F3E42" w:rsidP="00845B04">
      <w:pPr>
        <w:pStyle w:val="FootnoteText"/>
        <w:jc w:val="left"/>
      </w:pPr>
      <w:r>
        <w:rPr>
          <w:rStyle w:val="FootnoteReference"/>
        </w:rPr>
        <w:footnoteRef/>
      </w:r>
      <w:r>
        <w:t xml:space="preserve"> </w:t>
      </w:r>
      <w:r>
        <w:rPr>
          <w:i/>
        </w:rPr>
        <w:t>Id.</w:t>
      </w:r>
      <w:r w:rsidR="003407D0">
        <w:rPr>
          <w:i/>
        </w:rPr>
        <w:t xml:space="preserve">  </w:t>
      </w:r>
      <w:r w:rsidR="003407D0">
        <w:t>Mr. Charles failed to respond to the 2009 written warning.</w:t>
      </w:r>
    </w:p>
  </w:footnote>
  <w:footnote w:id="5">
    <w:p w:rsidR="008914FA" w:rsidRDefault="008914FA" w:rsidP="00845B04">
      <w:pPr>
        <w:pStyle w:val="FootnoteText"/>
        <w:jc w:val="left"/>
      </w:pPr>
      <w:r>
        <w:rPr>
          <w:rStyle w:val="FootnoteReference"/>
        </w:rPr>
        <w:footnoteRef/>
      </w:r>
      <w: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6">
    <w:p w:rsidR="008914FA" w:rsidRPr="006856C3" w:rsidRDefault="008914FA" w:rsidP="006F4962">
      <w:pPr>
        <w:pStyle w:val="FootnoteText"/>
        <w:jc w:val="left"/>
      </w:pPr>
      <w:r w:rsidRPr="006856C3">
        <w:rPr>
          <w:rStyle w:val="FootnoteReference"/>
        </w:rPr>
        <w:footnoteRef/>
      </w:r>
      <w:r w:rsidRPr="006856C3">
        <w:t xml:space="preserve"> 47 U.S.C. § 503(b).</w:t>
      </w:r>
    </w:p>
  </w:footnote>
  <w:footnote w:id="7">
    <w:p w:rsidR="008914FA" w:rsidRPr="00353607" w:rsidRDefault="008914FA" w:rsidP="006F4962">
      <w:pPr>
        <w:pStyle w:val="FootnoteText"/>
        <w:widowControl/>
        <w:jc w:val="left"/>
      </w:pPr>
      <w:r w:rsidRPr="00353607">
        <w:rPr>
          <w:rStyle w:val="FootnoteReference"/>
        </w:rPr>
        <w:footnoteRef/>
      </w:r>
      <w:r w:rsidRPr="00353607">
        <w:t xml:space="preserve"> 47 U.S.C. § 312(f)(1).</w:t>
      </w:r>
    </w:p>
  </w:footnote>
  <w:footnote w:id="8">
    <w:p w:rsidR="008914FA" w:rsidRPr="005278EF" w:rsidRDefault="008914FA" w:rsidP="00845B04">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5278EF">
        <w:rPr>
          <w:rStyle w:val="searchterm"/>
        </w:rPr>
        <w:t>312</w:t>
      </w:r>
      <w:r w:rsidRPr="005278EF">
        <w:rPr>
          <w:rStyle w:val="documentbody"/>
        </w:rPr>
        <w:t xml:space="preserve"> and 503, and are consistent with the Commission’s application of those terms . . . .”).</w:t>
      </w:r>
    </w:p>
  </w:footnote>
  <w:footnote w:id="9">
    <w:p w:rsidR="008914FA" w:rsidRPr="005278EF" w:rsidRDefault="008914FA" w:rsidP="00845B04">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Southern California Broadcasting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10">
    <w:p w:rsidR="008914FA" w:rsidRPr="005278EF" w:rsidRDefault="008914FA" w:rsidP="00845B04">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11">
    <w:p w:rsidR="008914FA" w:rsidRPr="00353607" w:rsidRDefault="008914FA" w:rsidP="00845B04">
      <w:pPr>
        <w:pStyle w:val="FootnoteText"/>
        <w:widowControl/>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12">
    <w:p w:rsidR="008914FA" w:rsidRPr="00353607" w:rsidRDefault="008914FA" w:rsidP="00845B04">
      <w:pPr>
        <w:pStyle w:val="FootnoteText"/>
        <w:jc w:val="left"/>
        <w:rPr>
          <w:color w:val="000000"/>
        </w:rPr>
      </w:pPr>
      <w:r w:rsidRPr="00353607">
        <w:rPr>
          <w:rStyle w:val="FootnoteReference"/>
          <w:color w:val="000000"/>
        </w:rPr>
        <w:footnoteRef/>
      </w:r>
      <w:r w:rsidRPr="00353607">
        <w:rPr>
          <w:color w:val="000000"/>
        </w:rPr>
        <w:t xml:space="preserve"> 47 U.S.C. § 301.</w:t>
      </w:r>
    </w:p>
  </w:footnote>
  <w:footnote w:id="13">
    <w:p w:rsidR="00EF5599" w:rsidRDefault="00EF5599">
      <w:pPr>
        <w:pStyle w:val="FootnoteText"/>
      </w:pPr>
      <w:r>
        <w:rPr>
          <w:rStyle w:val="FootnoteReference"/>
        </w:rPr>
        <w:footnoteRef/>
      </w:r>
      <w:r>
        <w:t xml:space="preserve"> </w:t>
      </w:r>
      <w:r w:rsidRPr="00E25EFF">
        <w:t xml:space="preserve">We note that the use of the word “operate” in Section 301 captures not just the “actual, mechanical manipulation of radio apparatus,” but also operation of a radio station generally.  </w:t>
      </w:r>
      <w:r w:rsidRPr="00E25EFF">
        <w:rPr>
          <w:i/>
        </w:rPr>
        <w:t>Campbell v. United States</w:t>
      </w:r>
      <w:r w:rsidRPr="00E25EFF">
        <w:t>, 167 F.2d 451, 453 (5th Cir. 1948) (comparing the use of the words “operate” and “operation” in Sections 301, 307, and 318 of the Act, and concluding that the word “operate” as used in Section 301 of the Act means both the technical operation of the station as well as the general conduct or management of the station)</w:t>
      </w:r>
      <w:r>
        <w:t>.</w:t>
      </w:r>
    </w:p>
  </w:footnote>
  <w:footnote w:id="14">
    <w:p w:rsidR="00E168AE" w:rsidRPr="005278EF" w:rsidRDefault="00E168AE" w:rsidP="00845B04">
      <w:pPr>
        <w:pStyle w:val="FootnoteText"/>
        <w:jc w:val="left"/>
        <w:rPr>
          <w:color w:val="000000"/>
        </w:rPr>
      </w:pPr>
      <w:r w:rsidRPr="005278EF">
        <w:rPr>
          <w:rStyle w:val="FootnoteReference"/>
          <w:color w:val="000000"/>
        </w:rPr>
        <w:footnoteRef/>
      </w:r>
      <w:r w:rsidRPr="005278EF">
        <w:rPr>
          <w:color w:val="000000"/>
        </w:rPr>
        <w:t xml:space="preserve"> </w:t>
      </w:r>
      <w:r>
        <w:rPr>
          <w:i/>
          <w:color w:val="000000"/>
        </w:rPr>
        <w:t xml:space="preserve">The </w:t>
      </w:r>
      <w:r w:rsidRPr="003F7395">
        <w:rPr>
          <w:rStyle w:val="footnote"/>
          <w:i/>
          <w:iCs/>
          <w:color w:val="000000"/>
        </w:rPr>
        <w:t>Commission’s Forfeiture Policy Statement and Amendment of  Section 1.80 of the Rules to Incorporate the Forfeiture Guidelines</w:t>
      </w:r>
      <w:r w:rsidRPr="003F7395">
        <w:rPr>
          <w:rStyle w:val="footnote"/>
          <w:color w:val="000000"/>
        </w:rPr>
        <w:t>, Report and Order, 12 FCC Rcd 17087</w:t>
      </w:r>
      <w:r>
        <w:rPr>
          <w:rStyle w:val="footnote"/>
          <w:color w:val="000000"/>
        </w:rPr>
        <w:t xml:space="preserve"> (1997) (</w:t>
      </w:r>
      <w:r w:rsidRPr="005278EF">
        <w:rPr>
          <w:i/>
          <w:color w:val="000000"/>
        </w:rPr>
        <w:t xml:space="preserve">Forfeiture Policy </w:t>
      </w:r>
      <w:r w:rsidRPr="001C41F5">
        <w:rPr>
          <w:i/>
          <w:color w:val="000000"/>
        </w:rPr>
        <w:t>Statement</w:t>
      </w:r>
      <w:r>
        <w:rPr>
          <w:color w:val="000000"/>
        </w:rPr>
        <w:t xml:space="preserve">), </w:t>
      </w:r>
      <w:r w:rsidRPr="005278EF">
        <w:rPr>
          <w:i/>
          <w:color w:val="000000"/>
        </w:rPr>
        <w:t>recons. denied</w:t>
      </w:r>
      <w:r w:rsidRPr="005278EF">
        <w:rPr>
          <w:color w:val="000000"/>
        </w:rPr>
        <w:t>, 15 FCC Rcd 303 (1999); 47 C.F.R. § 1.80.</w:t>
      </w:r>
    </w:p>
  </w:footnote>
  <w:footnote w:id="15">
    <w:p w:rsidR="00E168AE" w:rsidRPr="005278EF" w:rsidRDefault="00E168AE" w:rsidP="00845B04">
      <w:pPr>
        <w:pStyle w:val="FootnoteText"/>
        <w:jc w:val="left"/>
      </w:pPr>
      <w:r w:rsidRPr="005278EF">
        <w:rPr>
          <w:rStyle w:val="FootnoteReference"/>
        </w:rPr>
        <w:footnoteRef/>
      </w:r>
      <w:r w:rsidRPr="005278EF">
        <w:t xml:space="preserve"> 47 U.S.C. § 503(b)(2)(E).</w:t>
      </w:r>
    </w:p>
  </w:footnote>
  <w:footnote w:id="16">
    <w:p w:rsidR="006876EC" w:rsidRPr="005278EF" w:rsidRDefault="006876EC" w:rsidP="00845B04">
      <w:pPr>
        <w:pStyle w:val="FootnoteText"/>
        <w:widowControl/>
        <w:jc w:val="left"/>
        <w:rPr>
          <w:i/>
        </w:rPr>
      </w:pPr>
      <w:r w:rsidRPr="005278EF">
        <w:rPr>
          <w:rStyle w:val="FootnoteReference"/>
        </w:rPr>
        <w:footnoteRef/>
      </w:r>
      <w:r w:rsidRPr="005278EF">
        <w:t xml:space="preserve"> </w:t>
      </w:r>
      <w:r>
        <w:rPr>
          <w:i/>
        </w:rPr>
        <w:t>See, e.g.</w:t>
      </w:r>
      <w:r w:rsidR="00571713">
        <w:t>,</w:t>
      </w:r>
      <w:r>
        <w:rPr>
          <w:i/>
        </w:rPr>
        <w:t xml:space="preserve"> Whisler </w:t>
      </w:r>
      <w:r w:rsidRPr="00D65466">
        <w:rPr>
          <w:i/>
        </w:rPr>
        <w:t>Fleurinor</w:t>
      </w:r>
      <w:r>
        <w:t xml:space="preserve">, </w:t>
      </w:r>
      <w:r w:rsidR="008E2DF4" w:rsidRPr="00C23D01">
        <w:t>Notice</w:t>
      </w:r>
      <w:r w:rsidR="008E2DF4">
        <w:t xml:space="preserve"> of Apparent Liability for Forfeiture, 26 FCC Rcd 2478 (Enf. Bur. 2011) (proposing $20,000 forfeiture for repeat unlicensed operations in violation of Section 301 of the Act after receiving two written warnings), </w:t>
      </w:r>
      <w:r w:rsidR="008E2DF4">
        <w:rPr>
          <w:i/>
        </w:rPr>
        <w:t>aff’d</w:t>
      </w:r>
      <w:r w:rsidR="008E2DF4">
        <w:t xml:space="preserve">, </w:t>
      </w:r>
      <w:r>
        <w:t>Forfeiture Order, 26</w:t>
      </w:r>
      <w:r w:rsidR="008E2DF4">
        <w:t xml:space="preserve"> FCC Rcd 14437 (Enf. Bur. 2011);</w:t>
      </w:r>
      <w:r>
        <w:t xml:space="preserve"> </w:t>
      </w:r>
      <w:r>
        <w:rPr>
          <w:i/>
        </w:rPr>
        <w:t xml:space="preserve">Nounone </w:t>
      </w:r>
      <w:r w:rsidRPr="00D65466">
        <w:rPr>
          <w:i/>
        </w:rPr>
        <w:t>Lubin</w:t>
      </w:r>
      <w:r>
        <w:t xml:space="preserve">, </w:t>
      </w:r>
      <w:r w:rsidR="008E2DF4">
        <w:t xml:space="preserve">Notice of Apparent Liability for Forfeiture, 25 FCC Rcd 12654 (Enf. Bur. 2010) (proposing $20,000 forfeiture for repeat violation of Section 301 after receiving two written warnings), </w:t>
      </w:r>
      <w:r w:rsidR="008E2DF4" w:rsidRPr="001E79AF">
        <w:rPr>
          <w:i/>
        </w:rPr>
        <w:t>aff’d</w:t>
      </w:r>
      <w:r w:rsidR="001E79AF" w:rsidRPr="006F4962">
        <w:t>,</w:t>
      </w:r>
      <w:r w:rsidR="001E79AF">
        <w:t xml:space="preserve"> </w:t>
      </w:r>
      <w:r w:rsidRPr="001E79AF">
        <w:t>Forfeiture</w:t>
      </w:r>
      <w:r>
        <w:t xml:space="preserve"> Order, 26 FCC Rcd 7758 (Enf. Bur. 2011).</w:t>
      </w:r>
      <w:r>
        <w:rPr>
          <w:color w:val="010101"/>
        </w:rPr>
        <w:t xml:space="preserve"> </w:t>
      </w:r>
    </w:p>
  </w:footnote>
  <w:footnote w:id="17">
    <w:p w:rsidR="006876EC" w:rsidRPr="00424391" w:rsidRDefault="006876EC" w:rsidP="00845B04">
      <w:pPr>
        <w:pStyle w:val="FootnoteText"/>
        <w:jc w:val="left"/>
      </w:pPr>
      <w:r>
        <w:rPr>
          <w:rStyle w:val="FootnoteReference"/>
        </w:rPr>
        <w:footnoteRef/>
      </w:r>
      <w:r>
        <w:t xml:space="preserve"> </w:t>
      </w:r>
      <w:r w:rsidRPr="00DE0510">
        <w:rPr>
          <w:i/>
        </w:rPr>
        <w:t xml:space="preserve">See supra </w:t>
      </w:r>
      <w:r w:rsidRPr="00DE0510">
        <w:t>note 2 and para. 5.</w:t>
      </w:r>
      <w:r w:rsidR="00DE0510" w:rsidRPr="00DE0510">
        <w:t xml:space="preserve">  The fact that Mr. Charles </w:t>
      </w:r>
      <w:r w:rsidR="00DE0510" w:rsidRPr="00DE0510">
        <w:rPr>
          <w:spacing w:val="-2"/>
        </w:rPr>
        <w:t xml:space="preserve">agreed to sign for </w:t>
      </w:r>
      <w:r w:rsidR="00845B04">
        <w:rPr>
          <w:spacing w:val="-2"/>
        </w:rPr>
        <w:t>the written warning addressed to his assumed name</w:t>
      </w:r>
      <w:r w:rsidR="00DE0510" w:rsidRPr="00DE0510">
        <w:rPr>
          <w:spacing w:val="-2"/>
        </w:rPr>
        <w:t xml:space="preserve"> Henry Michael</w:t>
      </w:r>
      <w:r w:rsidR="00DE0510">
        <w:rPr>
          <w:spacing w:val="-2"/>
        </w:rPr>
        <w:t xml:space="preserve"> does not reduce</w:t>
      </w:r>
      <w:r w:rsidR="00845B04">
        <w:rPr>
          <w:spacing w:val="-2"/>
        </w:rPr>
        <w:t xml:space="preserve"> his apparent liability for the proposed forfeiture.  </w:t>
      </w:r>
      <w:r w:rsidR="00845B04">
        <w:rPr>
          <w:i/>
          <w:spacing w:val="-2"/>
        </w:rPr>
        <w:t>See, e.g.</w:t>
      </w:r>
      <w:r w:rsidR="00845B04">
        <w:rPr>
          <w:spacing w:val="-2"/>
        </w:rPr>
        <w:t xml:space="preserve">, </w:t>
      </w:r>
      <w:r w:rsidR="00845B04">
        <w:rPr>
          <w:i/>
          <w:spacing w:val="-2"/>
        </w:rPr>
        <w:t>Jean Richard Salvador</w:t>
      </w:r>
      <w:r w:rsidR="00845B04">
        <w:rPr>
          <w:spacing w:val="-2"/>
        </w:rPr>
        <w:t>, Notice of Apparent Liability for Forfeiture, 29 FCC Rcd 2976 (Enf. Bur. 2014) (proposing forfeiture against an individual that claimed his “friend” operated an unlicensed radio station</w:t>
      </w:r>
      <w:r w:rsidR="00E2691A">
        <w:rPr>
          <w:spacing w:val="-2"/>
        </w:rPr>
        <w:t xml:space="preserve"> when evidence indicated that the individual</w:t>
      </w:r>
      <w:r w:rsidR="00845B04">
        <w:rPr>
          <w:spacing w:val="-2"/>
        </w:rPr>
        <w:t xml:space="preserve"> exercised </w:t>
      </w:r>
      <w:r w:rsidR="00E2691A">
        <w:rPr>
          <w:spacing w:val="-2"/>
        </w:rPr>
        <w:t xml:space="preserve">actual </w:t>
      </w:r>
      <w:r w:rsidR="00845B04">
        <w:rPr>
          <w:spacing w:val="-2"/>
        </w:rPr>
        <w:t>cont</w:t>
      </w:r>
      <w:r w:rsidR="00E2691A">
        <w:rPr>
          <w:spacing w:val="-2"/>
        </w:rPr>
        <w:t xml:space="preserve">rol over the </w:t>
      </w:r>
      <w:r w:rsidR="00845B04">
        <w:rPr>
          <w:spacing w:val="-2"/>
        </w:rPr>
        <w:t xml:space="preserve">station). </w:t>
      </w:r>
      <w:r w:rsidR="00DE0510">
        <w:rPr>
          <w:spacing w:val="-2"/>
        </w:rPr>
        <w:t xml:space="preserve"> </w:t>
      </w:r>
    </w:p>
  </w:footnote>
  <w:footnote w:id="18">
    <w:p w:rsidR="00B943BA" w:rsidRPr="00C17F42" w:rsidRDefault="00B943BA" w:rsidP="00845B04">
      <w:pPr>
        <w:pStyle w:val="FootnoteText"/>
        <w:jc w:val="left"/>
      </w:pPr>
      <w:r>
        <w:rPr>
          <w:rStyle w:val="FootnoteReference"/>
        </w:rPr>
        <w:footnoteRef/>
      </w:r>
      <w:r>
        <w:t xml:space="preserve"> </w:t>
      </w:r>
      <w:r w:rsidR="000F10C7" w:rsidRPr="007C01DD">
        <w:rPr>
          <w:color w:val="000000"/>
        </w:rPr>
        <w:t>47 U.S.C. §§ 301, 503(b); 47 C.F.R. §§ 0.111, 0.204, 0.311, 0.314, 1.80.</w:t>
      </w:r>
    </w:p>
  </w:footnote>
  <w:footnote w:id="19">
    <w:p w:rsidR="00B943BA" w:rsidRDefault="00B943BA" w:rsidP="00845B04">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0">
    <w:p w:rsidR="00B943BA" w:rsidRDefault="00B943BA" w:rsidP="00B02EF6">
      <w:pPr>
        <w:pStyle w:val="FootnoteText"/>
        <w:jc w:val="left"/>
      </w:pPr>
      <w:r>
        <w:rPr>
          <w:rStyle w:val="FootnoteReference"/>
        </w:rPr>
        <w:footnoteRef/>
      </w:r>
      <w:r>
        <w:t xml:space="preserve"> </w:t>
      </w:r>
      <w:r w:rsidRPr="00D70F1F">
        <w:rPr>
          <w:i/>
        </w:rPr>
        <w:t>See</w:t>
      </w:r>
      <w:r>
        <w:t xml:space="preserve"> 47 C.F.R. § 1.1914.</w:t>
      </w:r>
    </w:p>
  </w:footnote>
  <w:footnote w:id="21">
    <w:p w:rsidR="00B943BA" w:rsidRDefault="00B943BA" w:rsidP="00B02EF6">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08" w:rsidRDefault="00643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EF0724">
      <w:rPr>
        <w:b/>
        <w:sz w:val="22"/>
        <w:szCs w:val="22"/>
      </w:rPr>
      <w:t>4</w:t>
    </w:r>
    <w:r>
      <w:rPr>
        <w:b/>
        <w:sz w:val="22"/>
        <w:szCs w:val="22"/>
      </w:rPr>
      <w:t>-</w:t>
    </w:r>
    <w:r w:rsidR="004251DE">
      <w:rPr>
        <w:b/>
        <w:sz w:val="22"/>
        <w:szCs w:val="22"/>
      </w:rPr>
      <w:t>741</w:t>
    </w:r>
  </w:p>
  <w:p w:rsidR="00B943BA" w:rsidRDefault="007B5B52">
    <w:pPr>
      <w:pStyle w:val="Header"/>
      <w:tabs>
        <w:tab w:val="clear" w:pos="8640"/>
        <w:tab w:val="right" w:pos="9360"/>
      </w:tabs>
    </w:pPr>
    <w:r>
      <w:rPr>
        <w:noProof/>
      </w:rPr>
      <w:pict>
        <v:line id="_x0000_s2053" style="position:absolute;z-index:251658240" from="0,1.75pt" to="468pt,1.75pt" o:allowincell="f" strokeweight="1.5pt"/>
      </w:pict>
    </w:r>
  </w:p>
  <w:p w:rsidR="00B943BA" w:rsidRDefault="00B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BA" w:rsidRPr="00331410" w:rsidRDefault="00B943B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EF0724">
      <w:rPr>
        <w:b/>
        <w:sz w:val="22"/>
        <w:szCs w:val="22"/>
      </w:rPr>
      <w:t>4</w:t>
    </w:r>
    <w:r>
      <w:rPr>
        <w:b/>
        <w:sz w:val="22"/>
        <w:szCs w:val="22"/>
      </w:rPr>
      <w:t>-</w:t>
    </w:r>
    <w:r w:rsidR="004251DE">
      <w:rPr>
        <w:b/>
        <w:sz w:val="22"/>
        <w:szCs w:val="22"/>
      </w:rPr>
      <w:t>741</w:t>
    </w:r>
  </w:p>
  <w:p w:rsidR="00B943BA" w:rsidRDefault="007B5B52">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5"/>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3"/>
  </w:num>
  <w:num w:numId="16">
    <w:abstractNumId w:val="4"/>
  </w:num>
  <w:num w:numId="17">
    <w:abstractNumId w:val="9"/>
  </w:num>
  <w:num w:numId="18">
    <w:abstractNumId w:val="1"/>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1779C"/>
    <w:rsid w:val="00017CDA"/>
    <w:rsid w:val="00022679"/>
    <w:rsid w:val="000279CC"/>
    <w:rsid w:val="000355E3"/>
    <w:rsid w:val="00037295"/>
    <w:rsid w:val="00050854"/>
    <w:rsid w:val="00057ADA"/>
    <w:rsid w:val="00071484"/>
    <w:rsid w:val="00075D5C"/>
    <w:rsid w:val="00077F92"/>
    <w:rsid w:val="0008139C"/>
    <w:rsid w:val="000875B1"/>
    <w:rsid w:val="00092DD6"/>
    <w:rsid w:val="00094435"/>
    <w:rsid w:val="000A0EEE"/>
    <w:rsid w:val="000A5F92"/>
    <w:rsid w:val="000A71AC"/>
    <w:rsid w:val="000B3C45"/>
    <w:rsid w:val="000C5769"/>
    <w:rsid w:val="000E0451"/>
    <w:rsid w:val="000E2560"/>
    <w:rsid w:val="000F10C7"/>
    <w:rsid w:val="00105973"/>
    <w:rsid w:val="0011114B"/>
    <w:rsid w:val="001115EE"/>
    <w:rsid w:val="0011170C"/>
    <w:rsid w:val="00120233"/>
    <w:rsid w:val="00121C0F"/>
    <w:rsid w:val="001253C3"/>
    <w:rsid w:val="00125A4D"/>
    <w:rsid w:val="00131A23"/>
    <w:rsid w:val="00145224"/>
    <w:rsid w:val="001526A2"/>
    <w:rsid w:val="00154417"/>
    <w:rsid w:val="001665F5"/>
    <w:rsid w:val="00174A12"/>
    <w:rsid w:val="00175E71"/>
    <w:rsid w:val="00190523"/>
    <w:rsid w:val="00196D5B"/>
    <w:rsid w:val="001A10F7"/>
    <w:rsid w:val="001C0B1F"/>
    <w:rsid w:val="001E2A65"/>
    <w:rsid w:val="001E79AF"/>
    <w:rsid w:val="001F3E42"/>
    <w:rsid w:val="001F566B"/>
    <w:rsid w:val="002071E0"/>
    <w:rsid w:val="00211D85"/>
    <w:rsid w:val="00214820"/>
    <w:rsid w:val="00223F70"/>
    <w:rsid w:val="00237F81"/>
    <w:rsid w:val="00245B5D"/>
    <w:rsid w:val="002511FB"/>
    <w:rsid w:val="0025300A"/>
    <w:rsid w:val="00256422"/>
    <w:rsid w:val="00260C08"/>
    <w:rsid w:val="002A55CE"/>
    <w:rsid w:val="002A732B"/>
    <w:rsid w:val="002C62DA"/>
    <w:rsid w:val="002C67E7"/>
    <w:rsid w:val="003003E1"/>
    <w:rsid w:val="00303D60"/>
    <w:rsid w:val="003170E9"/>
    <w:rsid w:val="00321805"/>
    <w:rsid w:val="00323513"/>
    <w:rsid w:val="0033085D"/>
    <w:rsid w:val="00331410"/>
    <w:rsid w:val="0033665C"/>
    <w:rsid w:val="0033797D"/>
    <w:rsid w:val="00337B75"/>
    <w:rsid w:val="003407D0"/>
    <w:rsid w:val="003422DF"/>
    <w:rsid w:val="00347CA1"/>
    <w:rsid w:val="00371336"/>
    <w:rsid w:val="003740F2"/>
    <w:rsid w:val="003817A3"/>
    <w:rsid w:val="00390F1B"/>
    <w:rsid w:val="00392410"/>
    <w:rsid w:val="003A2112"/>
    <w:rsid w:val="003A7400"/>
    <w:rsid w:val="003A7878"/>
    <w:rsid w:val="003C01F5"/>
    <w:rsid w:val="003E2AD5"/>
    <w:rsid w:val="003F3CFD"/>
    <w:rsid w:val="004110FC"/>
    <w:rsid w:val="0041443C"/>
    <w:rsid w:val="00424391"/>
    <w:rsid w:val="004251DE"/>
    <w:rsid w:val="00425706"/>
    <w:rsid w:val="00444355"/>
    <w:rsid w:val="00447AAD"/>
    <w:rsid w:val="00484313"/>
    <w:rsid w:val="00487DA5"/>
    <w:rsid w:val="004930F5"/>
    <w:rsid w:val="00493D1D"/>
    <w:rsid w:val="004C603D"/>
    <w:rsid w:val="004C6D99"/>
    <w:rsid w:val="004E00D3"/>
    <w:rsid w:val="004F6EFD"/>
    <w:rsid w:val="004F702E"/>
    <w:rsid w:val="004F7B2E"/>
    <w:rsid w:val="00502239"/>
    <w:rsid w:val="00506AC1"/>
    <w:rsid w:val="00510919"/>
    <w:rsid w:val="00512D71"/>
    <w:rsid w:val="00515AC0"/>
    <w:rsid w:val="00536913"/>
    <w:rsid w:val="00541C02"/>
    <w:rsid w:val="00562A69"/>
    <w:rsid w:val="00571009"/>
    <w:rsid w:val="00571713"/>
    <w:rsid w:val="0057443E"/>
    <w:rsid w:val="00574A7A"/>
    <w:rsid w:val="005D19E6"/>
    <w:rsid w:val="005D36D5"/>
    <w:rsid w:val="005E587D"/>
    <w:rsid w:val="005E6EE5"/>
    <w:rsid w:val="005F002F"/>
    <w:rsid w:val="005F483B"/>
    <w:rsid w:val="005F67D7"/>
    <w:rsid w:val="00607D4F"/>
    <w:rsid w:val="00624E7D"/>
    <w:rsid w:val="00643708"/>
    <w:rsid w:val="00651DE2"/>
    <w:rsid w:val="00666A6B"/>
    <w:rsid w:val="006727B3"/>
    <w:rsid w:val="00673CCA"/>
    <w:rsid w:val="00674E41"/>
    <w:rsid w:val="00681F10"/>
    <w:rsid w:val="00683F6F"/>
    <w:rsid w:val="006868B5"/>
    <w:rsid w:val="006876EC"/>
    <w:rsid w:val="00693BA0"/>
    <w:rsid w:val="006C72D8"/>
    <w:rsid w:val="006D2E91"/>
    <w:rsid w:val="006D5B48"/>
    <w:rsid w:val="006F4962"/>
    <w:rsid w:val="00716561"/>
    <w:rsid w:val="00720B9F"/>
    <w:rsid w:val="00735D4D"/>
    <w:rsid w:val="00744632"/>
    <w:rsid w:val="00754ADB"/>
    <w:rsid w:val="0076715E"/>
    <w:rsid w:val="00777E77"/>
    <w:rsid w:val="00780C18"/>
    <w:rsid w:val="00787C4B"/>
    <w:rsid w:val="007907B0"/>
    <w:rsid w:val="00794C59"/>
    <w:rsid w:val="007960C5"/>
    <w:rsid w:val="00797BC7"/>
    <w:rsid w:val="007B5B52"/>
    <w:rsid w:val="007C5711"/>
    <w:rsid w:val="007C7FB8"/>
    <w:rsid w:val="007D4B82"/>
    <w:rsid w:val="007E1626"/>
    <w:rsid w:val="007E2E05"/>
    <w:rsid w:val="007E4AAE"/>
    <w:rsid w:val="008024F6"/>
    <w:rsid w:val="00802AEA"/>
    <w:rsid w:val="00815BB3"/>
    <w:rsid w:val="00825017"/>
    <w:rsid w:val="00832D6C"/>
    <w:rsid w:val="00840A6A"/>
    <w:rsid w:val="00845B04"/>
    <w:rsid w:val="00852A75"/>
    <w:rsid w:val="00856437"/>
    <w:rsid w:val="008603F5"/>
    <w:rsid w:val="00875DB2"/>
    <w:rsid w:val="00887660"/>
    <w:rsid w:val="00890911"/>
    <w:rsid w:val="008914FA"/>
    <w:rsid w:val="008B58B7"/>
    <w:rsid w:val="008B5FA9"/>
    <w:rsid w:val="008C26F7"/>
    <w:rsid w:val="008C4978"/>
    <w:rsid w:val="008D235A"/>
    <w:rsid w:val="008E2DF4"/>
    <w:rsid w:val="008E58B0"/>
    <w:rsid w:val="0091686F"/>
    <w:rsid w:val="00920C19"/>
    <w:rsid w:val="009423ED"/>
    <w:rsid w:val="009436A7"/>
    <w:rsid w:val="0095119D"/>
    <w:rsid w:val="009578B1"/>
    <w:rsid w:val="00967758"/>
    <w:rsid w:val="009711A7"/>
    <w:rsid w:val="009712F4"/>
    <w:rsid w:val="00980DFC"/>
    <w:rsid w:val="00986009"/>
    <w:rsid w:val="00990FB6"/>
    <w:rsid w:val="009D1F23"/>
    <w:rsid w:val="009D7325"/>
    <w:rsid w:val="009E4540"/>
    <w:rsid w:val="009F6C24"/>
    <w:rsid w:val="00A10DA6"/>
    <w:rsid w:val="00A12D37"/>
    <w:rsid w:val="00A16AF9"/>
    <w:rsid w:val="00A37420"/>
    <w:rsid w:val="00A546FC"/>
    <w:rsid w:val="00A66F85"/>
    <w:rsid w:val="00A76BC5"/>
    <w:rsid w:val="00A80113"/>
    <w:rsid w:val="00AB3F15"/>
    <w:rsid w:val="00AC2B1F"/>
    <w:rsid w:val="00AE3A0F"/>
    <w:rsid w:val="00B023D1"/>
    <w:rsid w:val="00B02EF6"/>
    <w:rsid w:val="00B04DF4"/>
    <w:rsid w:val="00B35A8A"/>
    <w:rsid w:val="00B50DC1"/>
    <w:rsid w:val="00B711FC"/>
    <w:rsid w:val="00B943BA"/>
    <w:rsid w:val="00BA18A0"/>
    <w:rsid w:val="00BA5372"/>
    <w:rsid w:val="00BA6DFF"/>
    <w:rsid w:val="00BB34F3"/>
    <w:rsid w:val="00BB4E8D"/>
    <w:rsid w:val="00BB5A17"/>
    <w:rsid w:val="00BD24E7"/>
    <w:rsid w:val="00BE6E2F"/>
    <w:rsid w:val="00BE7B49"/>
    <w:rsid w:val="00BF1922"/>
    <w:rsid w:val="00BF4DA8"/>
    <w:rsid w:val="00C009F7"/>
    <w:rsid w:val="00C1549C"/>
    <w:rsid w:val="00C24320"/>
    <w:rsid w:val="00C24414"/>
    <w:rsid w:val="00C2749D"/>
    <w:rsid w:val="00C46383"/>
    <w:rsid w:val="00C46A39"/>
    <w:rsid w:val="00C55AF9"/>
    <w:rsid w:val="00C5634A"/>
    <w:rsid w:val="00C600C5"/>
    <w:rsid w:val="00C8210C"/>
    <w:rsid w:val="00C91804"/>
    <w:rsid w:val="00CA057C"/>
    <w:rsid w:val="00CA14FC"/>
    <w:rsid w:val="00CC107D"/>
    <w:rsid w:val="00CC2A5F"/>
    <w:rsid w:val="00CC77A7"/>
    <w:rsid w:val="00CD5AA2"/>
    <w:rsid w:val="00CD6842"/>
    <w:rsid w:val="00CE1311"/>
    <w:rsid w:val="00CE13E0"/>
    <w:rsid w:val="00D01709"/>
    <w:rsid w:val="00D02F61"/>
    <w:rsid w:val="00D13FA6"/>
    <w:rsid w:val="00D15A5F"/>
    <w:rsid w:val="00D24820"/>
    <w:rsid w:val="00D360EB"/>
    <w:rsid w:val="00D52690"/>
    <w:rsid w:val="00D57AE2"/>
    <w:rsid w:val="00D71CFF"/>
    <w:rsid w:val="00D7437C"/>
    <w:rsid w:val="00D943AE"/>
    <w:rsid w:val="00D97FBC"/>
    <w:rsid w:val="00DA711A"/>
    <w:rsid w:val="00DC7D2B"/>
    <w:rsid w:val="00DD5C17"/>
    <w:rsid w:val="00DE0510"/>
    <w:rsid w:val="00DF64C1"/>
    <w:rsid w:val="00E16103"/>
    <w:rsid w:val="00E168AE"/>
    <w:rsid w:val="00E2691A"/>
    <w:rsid w:val="00E45569"/>
    <w:rsid w:val="00E458B2"/>
    <w:rsid w:val="00E52C78"/>
    <w:rsid w:val="00E54E2A"/>
    <w:rsid w:val="00E842C2"/>
    <w:rsid w:val="00E847E3"/>
    <w:rsid w:val="00E86502"/>
    <w:rsid w:val="00E92EAB"/>
    <w:rsid w:val="00EA4240"/>
    <w:rsid w:val="00EB57F9"/>
    <w:rsid w:val="00EC0A33"/>
    <w:rsid w:val="00EE5FE0"/>
    <w:rsid w:val="00EE7962"/>
    <w:rsid w:val="00EF0724"/>
    <w:rsid w:val="00EF3A7E"/>
    <w:rsid w:val="00EF5599"/>
    <w:rsid w:val="00F25F9A"/>
    <w:rsid w:val="00F30E61"/>
    <w:rsid w:val="00F4123C"/>
    <w:rsid w:val="00F46870"/>
    <w:rsid w:val="00F6189B"/>
    <w:rsid w:val="00F634DD"/>
    <w:rsid w:val="00F71B85"/>
    <w:rsid w:val="00F82954"/>
    <w:rsid w:val="00FA29CB"/>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1856</Words>
  <Characters>10026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11963</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2014-05-20T17:02:00Z</cp:lastPrinted>
  <dcterms:created xsi:type="dcterms:W3CDTF">2014-06-02T15:12:00Z</dcterms:created>
  <dcterms:modified xsi:type="dcterms:W3CDTF">2014-06-02T15:12:00Z</dcterms:modified>
  <cp:category> </cp:category>
  <cp:contentStatus> </cp:contentStatus>
</cp:coreProperties>
</file>