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E6" w:rsidRDefault="00173660">
      <w:pPr>
        <w:jc w:val="center"/>
        <w:rPr>
          <w:b/>
        </w:rPr>
      </w:pPr>
      <w:bookmarkStart w:id="0" w:name="_GoBack"/>
      <w:bookmarkEnd w:id="0"/>
      <w:r>
        <w:rPr>
          <w:b/>
        </w:rPr>
        <w:t>Before the</w:t>
      </w:r>
    </w:p>
    <w:p w:rsidR="002A3FE6" w:rsidRDefault="00173660">
      <w:pPr>
        <w:jc w:val="center"/>
        <w:rPr>
          <w:b/>
        </w:rPr>
      </w:pPr>
      <w:r>
        <w:rPr>
          <w:b/>
        </w:rPr>
        <w:t>Federal Communications Commission</w:t>
      </w:r>
    </w:p>
    <w:p w:rsidR="002A3FE6" w:rsidRDefault="00173660">
      <w:pPr>
        <w:jc w:val="center"/>
        <w:rPr>
          <w:b/>
        </w:rPr>
      </w:pPr>
      <w:r>
        <w:rPr>
          <w:b/>
        </w:rPr>
        <w:t>Washington, D.C. 20554</w:t>
      </w:r>
    </w:p>
    <w:p w:rsidR="002A3FE6" w:rsidRDefault="002A3FE6">
      <w:pPr>
        <w:tabs>
          <w:tab w:val="left" w:pos="-720"/>
        </w:tabs>
        <w:suppressAutoHyphens/>
        <w:spacing w:line="227" w:lineRule="auto"/>
        <w:rPr>
          <w:spacing w:val="-2"/>
        </w:rPr>
      </w:pPr>
    </w:p>
    <w:p w:rsidR="002A3FE6" w:rsidRDefault="002A3FE6">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2A3FE6">
        <w:tc>
          <w:tcPr>
            <w:tcW w:w="4698" w:type="dxa"/>
          </w:tcPr>
          <w:p w:rsidR="002A3FE6" w:rsidRDefault="00173660">
            <w:pPr>
              <w:tabs>
                <w:tab w:val="center" w:pos="4680"/>
              </w:tabs>
              <w:suppressAutoHyphens/>
              <w:rPr>
                <w:spacing w:val="-2"/>
              </w:rPr>
            </w:pPr>
            <w:r>
              <w:rPr>
                <w:spacing w:val="-2"/>
              </w:rPr>
              <w:t>In the Matter of</w:t>
            </w:r>
          </w:p>
          <w:p w:rsidR="002A3FE6" w:rsidRDefault="002A3FE6">
            <w:pPr>
              <w:tabs>
                <w:tab w:val="center" w:pos="4680"/>
              </w:tabs>
              <w:suppressAutoHyphens/>
              <w:rPr>
                <w:spacing w:val="-2"/>
              </w:rPr>
            </w:pPr>
          </w:p>
          <w:p w:rsidR="009B6DE7" w:rsidRDefault="009B6DE7" w:rsidP="009B6DE7">
            <w:r w:rsidRPr="009B6DE7">
              <w:t>Weslaco Independent School District</w:t>
            </w:r>
            <w:r w:rsidR="00DD5290">
              <w:t>, Texas</w:t>
            </w:r>
            <w:r w:rsidRPr="009B6DE7">
              <w:t xml:space="preserve"> </w:t>
            </w:r>
          </w:p>
          <w:p w:rsidR="00A635B9" w:rsidRDefault="00A635B9" w:rsidP="009B6DE7">
            <w:r>
              <w:t>Licensee of Station Call Sign WP</w:t>
            </w:r>
            <w:r w:rsidR="009B6DE7">
              <w:t>TL714</w:t>
            </w:r>
          </w:p>
        </w:tc>
        <w:tc>
          <w:tcPr>
            <w:tcW w:w="630" w:type="dxa"/>
          </w:tcPr>
          <w:p w:rsidR="002A3FE6" w:rsidRDefault="00173660">
            <w:pPr>
              <w:tabs>
                <w:tab w:val="center" w:pos="4680"/>
              </w:tabs>
              <w:suppressAutoHyphens/>
              <w:rPr>
                <w:b/>
                <w:spacing w:val="-2"/>
              </w:rPr>
            </w:pPr>
            <w:r>
              <w:rPr>
                <w:b/>
                <w:spacing w:val="-2"/>
              </w:rPr>
              <w:t>)</w:t>
            </w:r>
          </w:p>
          <w:p w:rsidR="002A3FE6" w:rsidRDefault="00173660">
            <w:pPr>
              <w:tabs>
                <w:tab w:val="center" w:pos="4680"/>
              </w:tabs>
              <w:suppressAutoHyphens/>
              <w:rPr>
                <w:b/>
                <w:spacing w:val="-2"/>
              </w:rPr>
            </w:pPr>
            <w:r>
              <w:rPr>
                <w:b/>
                <w:spacing w:val="-2"/>
              </w:rPr>
              <w:t>)</w:t>
            </w:r>
          </w:p>
          <w:p w:rsidR="002A3FE6" w:rsidRDefault="00173660">
            <w:pPr>
              <w:tabs>
                <w:tab w:val="center" w:pos="4680"/>
              </w:tabs>
              <w:suppressAutoHyphens/>
              <w:rPr>
                <w:b/>
                <w:spacing w:val="-2"/>
              </w:rPr>
            </w:pPr>
            <w:r>
              <w:rPr>
                <w:b/>
                <w:spacing w:val="-2"/>
              </w:rPr>
              <w:t>)</w:t>
            </w:r>
          </w:p>
          <w:p w:rsidR="002A3FE6" w:rsidRPr="000C32F8" w:rsidRDefault="00173660" w:rsidP="00A635B9">
            <w:pPr>
              <w:tabs>
                <w:tab w:val="center" w:pos="4680"/>
              </w:tabs>
              <w:suppressAutoHyphens/>
              <w:rPr>
                <w:b/>
                <w:spacing w:val="-2"/>
              </w:rPr>
            </w:pPr>
            <w:r>
              <w:rPr>
                <w:b/>
                <w:spacing w:val="-2"/>
              </w:rPr>
              <w:t>)</w:t>
            </w:r>
          </w:p>
        </w:tc>
        <w:tc>
          <w:tcPr>
            <w:tcW w:w="4248" w:type="dxa"/>
          </w:tcPr>
          <w:p w:rsidR="002A3FE6" w:rsidRDefault="002A3FE6">
            <w:pPr>
              <w:tabs>
                <w:tab w:val="center" w:pos="4680"/>
              </w:tabs>
              <w:suppressAutoHyphens/>
              <w:rPr>
                <w:spacing w:val="-2"/>
              </w:rPr>
            </w:pPr>
          </w:p>
          <w:p w:rsidR="002A3FE6" w:rsidRDefault="002A3FE6">
            <w:pPr>
              <w:tabs>
                <w:tab w:val="center" w:pos="4680"/>
              </w:tabs>
              <w:suppressAutoHyphens/>
              <w:rPr>
                <w:spacing w:val="-2"/>
              </w:rPr>
            </w:pPr>
          </w:p>
          <w:p w:rsidR="002A3FE6" w:rsidRDefault="00A635B9">
            <w:pPr>
              <w:tabs>
                <w:tab w:val="center" w:pos="4680"/>
              </w:tabs>
              <w:suppressAutoHyphens/>
              <w:rPr>
                <w:spacing w:val="-2"/>
              </w:rPr>
            </w:pPr>
            <w:r>
              <w:rPr>
                <w:spacing w:val="-2"/>
              </w:rPr>
              <w:t>WT Docket No. 02-55</w:t>
            </w:r>
          </w:p>
        </w:tc>
      </w:tr>
    </w:tbl>
    <w:p w:rsidR="002A3FE6" w:rsidRDefault="002A3FE6">
      <w:pPr>
        <w:tabs>
          <w:tab w:val="left" w:pos="-720"/>
        </w:tabs>
        <w:suppressAutoHyphens/>
        <w:spacing w:line="227" w:lineRule="auto"/>
        <w:rPr>
          <w:spacing w:val="-2"/>
        </w:rPr>
      </w:pPr>
    </w:p>
    <w:p w:rsidR="002A3FE6" w:rsidRDefault="002A3FE6">
      <w:pPr>
        <w:tabs>
          <w:tab w:val="left" w:pos="-720"/>
        </w:tabs>
        <w:suppressAutoHyphens/>
        <w:spacing w:line="227" w:lineRule="auto"/>
        <w:rPr>
          <w:spacing w:val="-2"/>
        </w:rPr>
      </w:pPr>
    </w:p>
    <w:p w:rsidR="002A3FE6" w:rsidRDefault="00173660">
      <w:pPr>
        <w:jc w:val="center"/>
        <w:rPr>
          <w:b/>
        </w:rPr>
      </w:pPr>
      <w:r>
        <w:rPr>
          <w:b/>
        </w:rPr>
        <w:fldChar w:fldCharType="begin"/>
      </w:r>
      <w:r>
        <w:rPr>
          <w:b/>
        </w:rPr>
        <w:instrText xml:space="preserve"> AUTOTEXTLIST  \* MERGEFORMAT </w:instrText>
      </w:r>
      <w:r>
        <w:rPr>
          <w:b/>
        </w:rPr>
        <w:fldChar w:fldCharType="separate"/>
      </w:r>
      <w:r w:rsidR="00A635B9" w:rsidRPr="00A635B9">
        <w:rPr>
          <w:b/>
        </w:rPr>
        <w:t>ORDER</w:t>
      </w:r>
      <w:r>
        <w:rPr>
          <w:b/>
        </w:rPr>
        <w:fldChar w:fldCharType="end"/>
      </w:r>
    </w:p>
    <w:p w:rsidR="002A3FE6" w:rsidRDefault="002A3FE6">
      <w:pPr>
        <w:tabs>
          <w:tab w:val="left" w:pos="-720"/>
        </w:tabs>
        <w:suppressAutoHyphens/>
        <w:spacing w:line="227" w:lineRule="auto"/>
        <w:rPr>
          <w:spacing w:val="-2"/>
        </w:rPr>
      </w:pPr>
    </w:p>
    <w:p w:rsidR="002A3FE6" w:rsidRDefault="00173660">
      <w:pPr>
        <w:tabs>
          <w:tab w:val="left" w:pos="720"/>
          <w:tab w:val="left" w:pos="5760"/>
        </w:tabs>
        <w:suppressAutoHyphens/>
        <w:spacing w:line="227" w:lineRule="auto"/>
        <w:rPr>
          <w:spacing w:val="-2"/>
        </w:rPr>
      </w:pPr>
      <w:r>
        <w:rPr>
          <w:b/>
          <w:spacing w:val="-2"/>
        </w:rPr>
        <w:t xml:space="preserve">Adopted:  </w:t>
      </w:r>
      <w:r w:rsidR="00A635B9">
        <w:rPr>
          <w:spacing w:val="-2"/>
        </w:rPr>
        <w:t>May 30, 2014</w:t>
      </w:r>
      <w:r w:rsidR="00A635B9">
        <w:rPr>
          <w:spacing w:val="-2"/>
        </w:rPr>
        <w:tab/>
        <w:t xml:space="preserve">                 </w:t>
      </w:r>
      <w:r>
        <w:rPr>
          <w:b/>
          <w:spacing w:val="-2"/>
        </w:rPr>
        <w:t xml:space="preserve">Released: </w:t>
      </w:r>
      <w:r w:rsidR="00A635B9" w:rsidRPr="00F20A0F">
        <w:rPr>
          <w:spacing w:val="-2"/>
        </w:rPr>
        <w:t>May 30, 2014</w:t>
      </w:r>
    </w:p>
    <w:p w:rsidR="002A3FE6" w:rsidRDefault="002A3FE6"/>
    <w:p w:rsidR="002A3FE6" w:rsidRDefault="00173660" w:rsidP="00F20A0F">
      <w:pPr>
        <w:jc w:val="left"/>
        <w:rPr>
          <w:spacing w:val="-2"/>
        </w:rPr>
      </w:pPr>
      <w:r>
        <w:t xml:space="preserve">By the </w:t>
      </w:r>
      <w:r w:rsidR="00A635B9">
        <w:rPr>
          <w:spacing w:val="-2"/>
        </w:rPr>
        <w:t>Deputy Chief, Policy and Licensing Division, Public Safe</w:t>
      </w:r>
      <w:r w:rsidR="000C32F8">
        <w:rPr>
          <w:spacing w:val="-2"/>
        </w:rPr>
        <w:t>ty and Homeland Security Bureau</w:t>
      </w:r>
      <w:r>
        <w:rPr>
          <w:spacing w:val="-2"/>
        </w:rPr>
        <w:t>:</w:t>
      </w:r>
    </w:p>
    <w:p w:rsidR="002A3FE6" w:rsidRDefault="002A3FE6" w:rsidP="00F20A0F">
      <w:pPr>
        <w:jc w:val="left"/>
        <w:rPr>
          <w:spacing w:val="-2"/>
        </w:rPr>
      </w:pPr>
    </w:p>
    <w:p w:rsidR="00B3173A" w:rsidRDefault="000C32F8" w:rsidP="00B3173A">
      <w:pPr>
        <w:pStyle w:val="Heading1"/>
      </w:pPr>
      <w:r w:rsidRPr="000C32F8">
        <w:t>Introduction</w:t>
      </w:r>
      <w:r>
        <w:t xml:space="preserve">.  </w:t>
      </w:r>
    </w:p>
    <w:p w:rsidR="001D1606" w:rsidRDefault="001D1606" w:rsidP="000C32F8">
      <w:pPr>
        <w:pStyle w:val="ParaNum"/>
        <w:jc w:val="left"/>
      </w:pPr>
      <w:r>
        <w:t>Under consideration is the May 23, 2014 Further Request for Extension of Time to Submit Cost Estimate for Frequency Reconfiguration (Request) filed by the Weslaco Independent School District</w:t>
      </w:r>
      <w:r w:rsidR="00DD5290">
        <w:t>, Texas</w:t>
      </w:r>
      <w:r>
        <w:t xml:space="preserve"> (W</w:t>
      </w:r>
      <w:r w:rsidR="000F34CD">
        <w:t>eslaco)</w:t>
      </w:r>
      <w:r>
        <w:t xml:space="preserve"> seeking an extension of time until July 1, 2014 to submit a cost estimate to Sprint Corporation</w:t>
      </w:r>
      <w:r w:rsidR="000F34CD">
        <w:t xml:space="preserve"> (Sprint)</w:t>
      </w:r>
      <w:r>
        <w:t xml:space="preserve"> and the 800 MHz Transition Administrator.  For the reason set out below we grant the Request.</w:t>
      </w:r>
    </w:p>
    <w:p w:rsidR="00B3173A" w:rsidRDefault="00B3173A" w:rsidP="00B3173A">
      <w:pPr>
        <w:pStyle w:val="Heading1"/>
      </w:pPr>
      <w:r>
        <w:t>BACKGROUND</w:t>
      </w:r>
      <w:r w:rsidR="000C32F8">
        <w:t xml:space="preserve">.  </w:t>
      </w:r>
    </w:p>
    <w:p w:rsidR="009B6DE7" w:rsidRDefault="009B6DE7" w:rsidP="000C32F8">
      <w:pPr>
        <w:pStyle w:val="ParaNum"/>
        <w:jc w:val="left"/>
        <w:rPr>
          <w:szCs w:val="22"/>
        </w:rPr>
      </w:pPr>
      <w:r w:rsidRPr="000350B3">
        <w:rPr>
          <w:szCs w:val="22"/>
        </w:rPr>
        <w:t xml:space="preserve">Section 1.46(a) of the Commission’s rules states that “[i]t is the policy of the Commission that extensions of </w:t>
      </w:r>
      <w:r w:rsidRPr="009B6DE7">
        <w:t>time</w:t>
      </w:r>
      <w:r w:rsidRPr="000350B3">
        <w:rPr>
          <w:szCs w:val="22"/>
        </w:rPr>
        <w:t xml:space="preserve"> shall not be routinely granted.”</w:t>
      </w:r>
      <w:r w:rsidRPr="000350B3">
        <w:rPr>
          <w:szCs w:val="22"/>
          <w:vertAlign w:val="superscript"/>
        </w:rPr>
        <w:footnoteReference w:id="2"/>
      </w:r>
      <w:r w:rsidRPr="000350B3">
        <w:rPr>
          <w:szCs w:val="22"/>
        </w:rPr>
        <w:t xml:space="preserve">  The </w:t>
      </w:r>
      <w:r>
        <w:rPr>
          <w:szCs w:val="22"/>
        </w:rPr>
        <w:t xml:space="preserve">Public Safety and Homeland Security Bureau </w:t>
      </w:r>
      <w:r w:rsidRPr="000350B3">
        <w:rPr>
          <w:szCs w:val="22"/>
        </w:rPr>
        <w:t xml:space="preserve">has emphasized that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t>
      </w:r>
      <w:r>
        <w:rPr>
          <w:szCs w:val="22"/>
        </w:rPr>
        <w:t xml:space="preserve"> </w:t>
      </w:r>
      <w:r w:rsidRPr="000350B3">
        <w:rPr>
          <w:szCs w:val="22"/>
        </w:rPr>
        <w:t>We therefore afford a high degree of scrutiny to the reasons licensees advance for extensions of time.”</w:t>
      </w:r>
      <w:r w:rsidRPr="000350B3">
        <w:rPr>
          <w:szCs w:val="22"/>
          <w:vertAlign w:val="superscript"/>
        </w:rPr>
        <w:footnoteReference w:id="3"/>
      </w:r>
    </w:p>
    <w:p w:rsidR="00B3173A" w:rsidRDefault="00B3173A" w:rsidP="00B3173A">
      <w:pPr>
        <w:pStyle w:val="Heading1"/>
      </w:pPr>
      <w:r>
        <w:t>DISCUSSION</w:t>
      </w:r>
    </w:p>
    <w:p w:rsidR="00F227F9" w:rsidRDefault="009B6DE7" w:rsidP="000C32F8">
      <w:pPr>
        <w:pStyle w:val="ParaNum"/>
        <w:jc w:val="left"/>
        <w:rPr>
          <w:szCs w:val="22"/>
        </w:rPr>
      </w:pPr>
      <w:r w:rsidRPr="000350B3">
        <w:rPr>
          <w:szCs w:val="22"/>
        </w:rPr>
        <w:t xml:space="preserve">Applying that heightened scrutiny here, we conclude that the requested </w:t>
      </w:r>
      <w:r>
        <w:rPr>
          <w:szCs w:val="22"/>
        </w:rPr>
        <w:t xml:space="preserve">one month </w:t>
      </w:r>
      <w:r w:rsidRPr="000350B3">
        <w:rPr>
          <w:szCs w:val="22"/>
        </w:rPr>
        <w:t xml:space="preserve">extension is warranted.  </w:t>
      </w:r>
      <w:r>
        <w:rPr>
          <w:szCs w:val="22"/>
        </w:rPr>
        <w:t>Weslaco received two previous extensions of time until June 1, 2014 to submit its cost estimate,</w:t>
      </w:r>
      <w:r>
        <w:rPr>
          <w:rStyle w:val="FootnoteReference"/>
          <w:szCs w:val="22"/>
        </w:rPr>
        <w:footnoteReference w:id="4"/>
      </w:r>
      <w:r w:rsidRPr="000350B3">
        <w:rPr>
          <w:szCs w:val="22"/>
        </w:rPr>
        <w:t xml:space="preserve"> </w:t>
      </w:r>
      <w:r>
        <w:rPr>
          <w:szCs w:val="22"/>
        </w:rPr>
        <w:t xml:space="preserve">but </w:t>
      </w:r>
      <w:r w:rsidRPr="000350B3">
        <w:rPr>
          <w:szCs w:val="22"/>
        </w:rPr>
        <w:t>claims that additional time is required</w:t>
      </w:r>
      <w:r>
        <w:rPr>
          <w:szCs w:val="22"/>
        </w:rPr>
        <w:t>.  Weslaco states that its vendor, Motorola, advised that the Motorola Reconfiguration Implementation Phase Agreement (RIPA) cost proposal could not be delivered until May 17, 2014.</w:t>
      </w:r>
      <w:r>
        <w:rPr>
          <w:rStyle w:val="FootnoteReference"/>
          <w:szCs w:val="22"/>
        </w:rPr>
        <w:footnoteReference w:id="5"/>
      </w:r>
      <w:r>
        <w:rPr>
          <w:szCs w:val="22"/>
        </w:rPr>
        <w:t xml:space="preserve">  Without further explanation, Weslaco states, that “the assumptions underlying the May 17</w:t>
      </w:r>
      <w:r w:rsidRPr="00630B6D">
        <w:rPr>
          <w:szCs w:val="22"/>
          <w:vertAlign w:val="superscript"/>
        </w:rPr>
        <w:t>th</w:t>
      </w:r>
      <w:r>
        <w:rPr>
          <w:szCs w:val="22"/>
        </w:rPr>
        <w:t xml:space="preserve"> date subsequently were substantially revised calling for significant revisions to </w:t>
      </w:r>
      <w:r>
        <w:rPr>
          <w:szCs w:val="22"/>
        </w:rPr>
        <w:lastRenderedPageBreak/>
        <w:t>the RIPA</w:t>
      </w:r>
      <w:r w:rsidR="00F227F9">
        <w:rPr>
          <w:szCs w:val="22"/>
        </w:rPr>
        <w:t>,</w:t>
      </w:r>
      <w:r>
        <w:rPr>
          <w:szCs w:val="22"/>
        </w:rPr>
        <w:t>”</w:t>
      </w:r>
      <w:r>
        <w:rPr>
          <w:rStyle w:val="FootnoteReference"/>
          <w:szCs w:val="22"/>
        </w:rPr>
        <w:footnoteReference w:id="6"/>
      </w:r>
      <w:r w:rsidR="00F227F9">
        <w:rPr>
          <w:szCs w:val="22"/>
        </w:rPr>
        <w:t xml:space="preserve"> and that Motorola will not commit to supplying a revised RIPA until June 25, 2014.</w:t>
      </w:r>
    </w:p>
    <w:p w:rsidR="009B6DE7" w:rsidRPr="003E1235" w:rsidRDefault="00F227F9" w:rsidP="000C32F8">
      <w:pPr>
        <w:pStyle w:val="ParaNum"/>
        <w:jc w:val="left"/>
        <w:rPr>
          <w:szCs w:val="22"/>
        </w:rPr>
      </w:pPr>
      <w:r>
        <w:rPr>
          <w:szCs w:val="22"/>
        </w:rPr>
        <w:t>We remain concerned about the delay encountered by licensees in obtaining cost proposals from Motorola.  The delay in obtaining a revised cost proposal from Motorola appears, however, to be a matter outside W</w:t>
      </w:r>
      <w:r w:rsidR="000F34CD">
        <w:rPr>
          <w:szCs w:val="22"/>
        </w:rPr>
        <w:t>eslaco</w:t>
      </w:r>
      <w:r>
        <w:rPr>
          <w:szCs w:val="22"/>
        </w:rPr>
        <w:t>’s control</w:t>
      </w:r>
      <w:r w:rsidR="000F34CD">
        <w:rPr>
          <w:szCs w:val="22"/>
        </w:rPr>
        <w:t>, and we credit Weslaco’s undertaking to review</w:t>
      </w:r>
      <w:r w:rsidR="003E1235">
        <w:rPr>
          <w:szCs w:val="22"/>
        </w:rPr>
        <w:t xml:space="preserve"> the Motorola cost proposal</w:t>
      </w:r>
      <w:r w:rsidR="000F34CD">
        <w:rPr>
          <w:szCs w:val="22"/>
        </w:rPr>
        <w:t xml:space="preserve"> and submit its </w:t>
      </w:r>
      <w:r w:rsidR="003E1235">
        <w:rPr>
          <w:szCs w:val="22"/>
        </w:rPr>
        <w:t xml:space="preserve">own </w:t>
      </w:r>
      <w:r w:rsidR="000F34CD">
        <w:rPr>
          <w:szCs w:val="22"/>
        </w:rPr>
        <w:t>cost estimate to Sprint and the 800 MHz Transition Administrator within one week.  Accordingly, we are granting the Request with the understanding that we will not be receptive to further requests for extension of time from Weslaco.</w:t>
      </w:r>
    </w:p>
    <w:p w:rsidR="00B3173A" w:rsidRDefault="000C32F8" w:rsidP="00B3173A">
      <w:pPr>
        <w:pStyle w:val="Heading1"/>
      </w:pPr>
      <w:r w:rsidRPr="000C32F8">
        <w:t>Ordering Clauses</w:t>
      </w:r>
      <w:r>
        <w:t xml:space="preserve">.  </w:t>
      </w:r>
    </w:p>
    <w:p w:rsidR="009B6DE7" w:rsidRPr="006F0C77" w:rsidRDefault="009B6DE7" w:rsidP="000C32F8">
      <w:pPr>
        <w:pStyle w:val="ParaNum"/>
        <w:jc w:val="left"/>
        <w:rPr>
          <w:szCs w:val="22"/>
        </w:rPr>
      </w:pPr>
      <w:r w:rsidRPr="006F0C77">
        <w:rPr>
          <w:szCs w:val="22"/>
        </w:rPr>
        <w:t xml:space="preserve">Accordingly IT IS ORDERED that the </w:t>
      </w:r>
      <w:r w:rsidRPr="006F0C77">
        <w:rPr>
          <w:rFonts w:eastAsia="Arial Unicode MS" w:hAnsi="Arial Unicode MS" w:cs="Arial Unicode MS"/>
          <w:szCs w:val="22"/>
        </w:rPr>
        <w:t>Further Request For Extension of Time to Submit Cost Estimate for Frequency Reconfiguration</w:t>
      </w:r>
      <w:r w:rsidRPr="006F0C77">
        <w:rPr>
          <w:b/>
          <w:bCs/>
          <w:szCs w:val="22"/>
        </w:rPr>
        <w:t xml:space="preserve"> </w:t>
      </w:r>
      <w:r w:rsidRPr="006F0C77">
        <w:rPr>
          <w:szCs w:val="22"/>
        </w:rPr>
        <w:t xml:space="preserve">filed May 23, 2014 by the </w:t>
      </w:r>
      <w:r>
        <w:rPr>
          <w:szCs w:val="22"/>
        </w:rPr>
        <w:t>Weslaco</w:t>
      </w:r>
      <w:r w:rsidRPr="006F0C77">
        <w:rPr>
          <w:szCs w:val="22"/>
        </w:rPr>
        <w:t xml:space="preserve"> Independent School District, Texas IS GRANTED.</w:t>
      </w:r>
    </w:p>
    <w:p w:rsidR="009B6DE7" w:rsidRDefault="009B6DE7" w:rsidP="000C32F8">
      <w:pPr>
        <w:pStyle w:val="ParaNum"/>
        <w:jc w:val="left"/>
        <w:rPr>
          <w:szCs w:val="22"/>
        </w:rPr>
      </w:pPr>
      <w:r w:rsidRPr="000350B3">
        <w:rPr>
          <w:szCs w:val="22"/>
        </w:rPr>
        <w:t xml:space="preserve">IT IS FURTHER ORDERED that </w:t>
      </w:r>
      <w:r>
        <w:rPr>
          <w:szCs w:val="22"/>
        </w:rPr>
        <w:t xml:space="preserve">the Weslaco Independent School District </w:t>
      </w:r>
      <w:r w:rsidRPr="000350B3">
        <w:rPr>
          <w:szCs w:val="22"/>
        </w:rPr>
        <w:t xml:space="preserve">shall file a cost estimate with Sprint </w:t>
      </w:r>
      <w:r>
        <w:rPr>
          <w:szCs w:val="22"/>
        </w:rPr>
        <w:t xml:space="preserve">Corp. </w:t>
      </w:r>
      <w:r w:rsidRPr="000350B3">
        <w:rPr>
          <w:szCs w:val="22"/>
        </w:rPr>
        <w:t xml:space="preserve">and the 800 MHz Transition Administrator no later than </w:t>
      </w:r>
      <w:r>
        <w:rPr>
          <w:szCs w:val="22"/>
        </w:rPr>
        <w:t>July 1</w:t>
      </w:r>
      <w:r w:rsidRPr="000350B3">
        <w:rPr>
          <w:szCs w:val="22"/>
        </w:rPr>
        <w:t>, 2014.</w:t>
      </w:r>
    </w:p>
    <w:p w:rsidR="009B6DE7" w:rsidRPr="000C32F8" w:rsidRDefault="003E1235" w:rsidP="000C32F8">
      <w:pPr>
        <w:pStyle w:val="ParaNum"/>
        <w:jc w:val="left"/>
        <w:rPr>
          <w:szCs w:val="22"/>
        </w:rPr>
      </w:pPr>
      <w:r w:rsidRPr="003E1235">
        <w:rPr>
          <w:szCs w:val="22"/>
        </w:rPr>
        <w:t>This action is taken under delegated authority pursuant to Sections 0.191(a) and 0.392 of the Commission's Rules, 47 C.F.R. §§ 0.191(a), 0.392.</w:t>
      </w:r>
    </w:p>
    <w:p w:rsidR="009B6DE7" w:rsidRPr="000350B3" w:rsidRDefault="009B6DE7" w:rsidP="000C32F8">
      <w:pPr>
        <w:keepNext/>
        <w:keepLines/>
        <w:ind w:left="4320"/>
        <w:jc w:val="left"/>
        <w:rPr>
          <w:szCs w:val="22"/>
        </w:rPr>
      </w:pPr>
      <w:r w:rsidRPr="000350B3">
        <w:rPr>
          <w:szCs w:val="22"/>
        </w:rPr>
        <w:t>FEDERAL COMMUNICATIONS COMMISSION</w:t>
      </w:r>
    </w:p>
    <w:p w:rsidR="009B6DE7" w:rsidRDefault="009B6DE7" w:rsidP="000C32F8">
      <w:pPr>
        <w:keepNext/>
        <w:keepLines/>
        <w:ind w:left="4320"/>
        <w:jc w:val="left"/>
        <w:rPr>
          <w:szCs w:val="22"/>
        </w:rPr>
      </w:pPr>
    </w:p>
    <w:p w:rsidR="009B6DE7" w:rsidRPr="000350B3" w:rsidRDefault="009B6DE7" w:rsidP="000C32F8">
      <w:pPr>
        <w:keepNext/>
        <w:keepLines/>
        <w:ind w:left="4320"/>
        <w:jc w:val="left"/>
        <w:rPr>
          <w:szCs w:val="22"/>
        </w:rPr>
      </w:pPr>
    </w:p>
    <w:p w:rsidR="009B6DE7" w:rsidRPr="000350B3" w:rsidRDefault="009B6DE7" w:rsidP="000C32F8">
      <w:pPr>
        <w:keepNext/>
        <w:keepLines/>
        <w:ind w:left="4320"/>
        <w:jc w:val="left"/>
        <w:rPr>
          <w:szCs w:val="22"/>
        </w:rPr>
      </w:pPr>
    </w:p>
    <w:p w:rsidR="009B6DE7" w:rsidRPr="000350B3" w:rsidRDefault="009B6DE7" w:rsidP="000C32F8">
      <w:pPr>
        <w:keepNext/>
        <w:keepLines/>
        <w:ind w:left="4320"/>
        <w:jc w:val="left"/>
        <w:rPr>
          <w:szCs w:val="22"/>
        </w:rPr>
      </w:pPr>
      <w:r w:rsidRPr="000350B3">
        <w:rPr>
          <w:szCs w:val="22"/>
        </w:rPr>
        <w:t>Michael J. Wilhelm</w:t>
      </w:r>
    </w:p>
    <w:p w:rsidR="009B6DE7" w:rsidRPr="000350B3" w:rsidRDefault="009B6DE7" w:rsidP="000C32F8">
      <w:pPr>
        <w:keepNext/>
        <w:keepLines/>
        <w:ind w:left="4320"/>
        <w:jc w:val="left"/>
        <w:rPr>
          <w:szCs w:val="22"/>
        </w:rPr>
      </w:pPr>
      <w:r w:rsidRPr="000350B3">
        <w:rPr>
          <w:szCs w:val="22"/>
        </w:rPr>
        <w:t>Deputy Chief, Policy and Licensing Division</w:t>
      </w:r>
    </w:p>
    <w:p w:rsidR="00A635B9" w:rsidRPr="000C32F8" w:rsidRDefault="009B6DE7" w:rsidP="000C32F8">
      <w:pPr>
        <w:keepNext/>
        <w:keepLines/>
        <w:ind w:left="4320"/>
        <w:jc w:val="left"/>
        <w:rPr>
          <w:szCs w:val="22"/>
        </w:rPr>
      </w:pPr>
      <w:r w:rsidRPr="000350B3">
        <w:rPr>
          <w:szCs w:val="22"/>
        </w:rPr>
        <w:t>Public Safe</w:t>
      </w:r>
      <w:r w:rsidR="000C32F8">
        <w:rPr>
          <w:szCs w:val="22"/>
        </w:rPr>
        <w:t>ty and Homeland Security Bureau</w:t>
      </w:r>
    </w:p>
    <w:sectPr w:rsidR="00A635B9" w:rsidRPr="000C32F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50" w:rsidRDefault="008D3D50">
      <w:pPr>
        <w:spacing w:line="20" w:lineRule="exact"/>
      </w:pPr>
    </w:p>
  </w:endnote>
  <w:endnote w:type="continuationSeparator" w:id="0">
    <w:p w:rsidR="008D3D50" w:rsidRDefault="008D3D50">
      <w:r>
        <w:t xml:space="preserve"> </w:t>
      </w:r>
    </w:p>
  </w:endnote>
  <w:endnote w:type="continuationNotice" w:id="1">
    <w:p w:rsidR="008D3D50" w:rsidRDefault="008D3D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6" w:rsidRDefault="00173660">
    <w:pPr>
      <w:pStyle w:val="Footer"/>
      <w:framePr w:wrap="around" w:vAnchor="text" w:hAnchor="margin" w:xAlign="center" w:y="1"/>
    </w:pPr>
    <w:r>
      <w:fldChar w:fldCharType="begin"/>
    </w:r>
    <w:r>
      <w:instrText xml:space="preserve">PAGE  </w:instrText>
    </w:r>
    <w:r>
      <w:fldChar w:fldCharType="end"/>
    </w:r>
  </w:p>
  <w:p w:rsidR="002A3FE6" w:rsidRDefault="002A3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6" w:rsidRDefault="00173660">
    <w:pPr>
      <w:pStyle w:val="Footer"/>
      <w:framePr w:wrap="around" w:vAnchor="text" w:hAnchor="margin" w:xAlign="center" w:y="1"/>
    </w:pPr>
    <w:r>
      <w:fldChar w:fldCharType="begin"/>
    </w:r>
    <w:r>
      <w:instrText xml:space="preserve">PAGE  </w:instrText>
    </w:r>
    <w:r>
      <w:fldChar w:fldCharType="separate"/>
    </w:r>
    <w:r w:rsidR="006833D2">
      <w:rPr>
        <w:noProof/>
      </w:rPr>
      <w:t>1</w:t>
    </w:r>
    <w:r>
      <w:fldChar w:fldCharType="end"/>
    </w:r>
  </w:p>
  <w:p w:rsidR="002A3FE6" w:rsidRDefault="002A3FE6">
    <w:pPr>
      <w:spacing w:before="140" w:line="100" w:lineRule="exact"/>
      <w:rPr>
        <w:sz w:val="10"/>
      </w:rPr>
    </w:pPr>
  </w:p>
  <w:p w:rsidR="002A3FE6" w:rsidRDefault="002A3FE6">
    <w:pPr>
      <w:suppressAutoHyphens/>
      <w:spacing w:line="227" w:lineRule="auto"/>
    </w:pPr>
  </w:p>
  <w:p w:rsidR="002A3FE6" w:rsidRDefault="002A3F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6" w:rsidRDefault="002A3FE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50" w:rsidRDefault="008D3D50">
      <w:r>
        <w:separator/>
      </w:r>
    </w:p>
  </w:footnote>
  <w:footnote w:type="continuationSeparator" w:id="0">
    <w:p w:rsidR="008D3D50" w:rsidRDefault="008D3D50">
      <w:pPr>
        <w:rPr>
          <w:sz w:val="20"/>
        </w:rPr>
      </w:pPr>
      <w:r>
        <w:rPr>
          <w:sz w:val="20"/>
        </w:rPr>
        <w:t xml:space="preserve">(Continued from previous page)  </w:t>
      </w:r>
      <w:r>
        <w:rPr>
          <w:sz w:val="20"/>
        </w:rPr>
        <w:separator/>
      </w:r>
    </w:p>
  </w:footnote>
  <w:footnote w:type="continuationNotice" w:id="1">
    <w:p w:rsidR="008D3D50" w:rsidRDefault="008D3D50">
      <w:pPr>
        <w:rPr>
          <w:sz w:val="20"/>
        </w:rPr>
      </w:pPr>
      <w:r>
        <w:rPr>
          <w:sz w:val="20"/>
        </w:rPr>
        <w:t>(continued….)</w:t>
      </w:r>
    </w:p>
  </w:footnote>
  <w:footnote w:id="2">
    <w:p w:rsidR="009B6DE7" w:rsidRPr="00F87902" w:rsidRDefault="009B6DE7" w:rsidP="009B6DE7">
      <w:pPr>
        <w:pStyle w:val="FootnoteText"/>
      </w:pPr>
      <w:r w:rsidRPr="00F87902">
        <w:rPr>
          <w:rStyle w:val="FootnoteReference"/>
        </w:rPr>
        <w:footnoteRef/>
      </w:r>
      <w:r w:rsidRPr="00F87902">
        <w:t xml:space="preserve"> 47 C.F.R. § 1.46(a).</w:t>
      </w:r>
    </w:p>
  </w:footnote>
  <w:footnote w:id="3">
    <w:p w:rsidR="009B6DE7" w:rsidRPr="00F87902" w:rsidRDefault="009B6DE7" w:rsidP="009B6DE7">
      <w:pPr>
        <w:pStyle w:val="Default"/>
        <w:spacing w:after="120"/>
        <w:rPr>
          <w:sz w:val="20"/>
          <w:szCs w:val="20"/>
        </w:rPr>
      </w:pPr>
      <w:r w:rsidRPr="00F87902">
        <w:rPr>
          <w:rStyle w:val="FootnoteReference"/>
          <w:sz w:val="20"/>
          <w:szCs w:val="20"/>
        </w:rPr>
        <w:footnoteRef/>
      </w:r>
      <w:r w:rsidRPr="00F87902">
        <w:rPr>
          <w:sz w:val="20"/>
          <w:szCs w:val="20"/>
        </w:rPr>
        <w:t xml:space="preserve"> Regents of the University of California, WT Docket No. 02-55, </w:t>
      </w:r>
      <w:r w:rsidRPr="00F87902">
        <w:rPr>
          <w:i/>
          <w:sz w:val="20"/>
          <w:szCs w:val="20"/>
        </w:rPr>
        <w:t xml:space="preserve">Order, </w:t>
      </w:r>
      <w:r w:rsidRPr="00F87902">
        <w:rPr>
          <w:sz w:val="20"/>
          <w:szCs w:val="20"/>
        </w:rPr>
        <w:t>28 FCC Rcd 15920, 15921 (PSHSB 2013).</w:t>
      </w:r>
    </w:p>
  </w:footnote>
  <w:footnote w:id="4">
    <w:p w:rsidR="009B6DE7" w:rsidRPr="00F87902" w:rsidRDefault="009B6DE7" w:rsidP="009B6DE7">
      <w:pPr>
        <w:pStyle w:val="Default"/>
        <w:spacing w:after="120"/>
        <w:rPr>
          <w:sz w:val="20"/>
          <w:szCs w:val="20"/>
        </w:rPr>
      </w:pPr>
      <w:r w:rsidRPr="00F87902">
        <w:rPr>
          <w:rStyle w:val="FootnoteReference"/>
          <w:sz w:val="20"/>
          <w:szCs w:val="20"/>
        </w:rPr>
        <w:footnoteRef/>
      </w:r>
      <w:r w:rsidRPr="00F87902">
        <w:rPr>
          <w:sz w:val="20"/>
          <w:szCs w:val="20"/>
        </w:rPr>
        <w:t xml:space="preserve"> Improving Public Safety Communications in the 800 MHz Band, WT Docket No. 02-55, </w:t>
      </w:r>
      <w:r w:rsidRPr="00F87902">
        <w:rPr>
          <w:i/>
          <w:sz w:val="20"/>
          <w:szCs w:val="20"/>
        </w:rPr>
        <w:t xml:space="preserve">Order, </w:t>
      </w:r>
      <w:r w:rsidRPr="00F87902">
        <w:rPr>
          <w:sz w:val="20"/>
          <w:szCs w:val="20"/>
        </w:rPr>
        <w:t xml:space="preserve">29 FCC Rcd 2163, </w:t>
      </w:r>
      <w:r w:rsidRPr="00F836BE">
        <w:rPr>
          <w:sz w:val="20"/>
          <w:szCs w:val="20"/>
        </w:rPr>
        <w:t>Appendix A</w:t>
      </w:r>
      <w:r w:rsidRPr="00F87902">
        <w:rPr>
          <w:sz w:val="20"/>
          <w:szCs w:val="20"/>
        </w:rPr>
        <w:t xml:space="preserve"> (PSHSB 2014).</w:t>
      </w:r>
    </w:p>
  </w:footnote>
  <w:footnote w:id="5">
    <w:p w:rsidR="009B6DE7" w:rsidRDefault="009B6DE7" w:rsidP="009B6DE7">
      <w:pPr>
        <w:pStyle w:val="FootnoteText"/>
      </w:pPr>
      <w:r>
        <w:rPr>
          <w:rStyle w:val="FootnoteReference"/>
        </w:rPr>
        <w:footnoteRef/>
      </w:r>
      <w:r w:rsidR="003E1235">
        <w:t xml:space="preserve"> </w:t>
      </w:r>
      <w:r>
        <w:t>Request at 1.</w:t>
      </w:r>
    </w:p>
  </w:footnote>
  <w:footnote w:id="6">
    <w:p w:rsidR="009B6DE7" w:rsidRDefault="009B6DE7" w:rsidP="009B6DE7">
      <w:pPr>
        <w:pStyle w:val="FootnoteText"/>
      </w:pPr>
      <w:r>
        <w:rPr>
          <w:rStyle w:val="FootnoteReference"/>
        </w:rPr>
        <w:footnoteRef/>
      </w:r>
      <w:r>
        <w:t xml:space="preserve"> </w:t>
      </w:r>
      <w:r w:rsidRPr="0066362D">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88" w:rsidRDefault="0083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6" w:rsidRDefault="00173660">
    <w:pPr>
      <w:pStyle w:val="Header"/>
      <w:pBdr>
        <w:bottom w:val="single" w:sz="12" w:space="1" w:color="auto"/>
      </w:pBdr>
      <w:rPr>
        <w:b w:val="0"/>
      </w:rPr>
    </w:pPr>
    <w:r>
      <w:tab/>
      <w:t>Federal Communications Commission</w:t>
    </w:r>
    <w:r>
      <w:tab/>
    </w:r>
    <w:r w:rsidR="000C32F8">
      <w:t>DA 14-745</w:t>
    </w:r>
  </w:p>
  <w:p w:rsidR="002A3FE6" w:rsidRDefault="000972E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348F1425" wp14:editId="7004A349">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2A3FE6" w:rsidRDefault="002A3FE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6" w:rsidRDefault="00173660">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 w:numId="5">
    <w:abstractNumId w:val="2"/>
  </w:num>
  <w:num w:numId="6">
    <w:abstractNumId w:val="2"/>
  </w:num>
  <w:num w:numId="7">
    <w:abstractNumId w:val="2"/>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B9"/>
    <w:rsid w:val="000972E3"/>
    <w:rsid w:val="000C32F8"/>
    <w:rsid w:val="000F34CD"/>
    <w:rsid w:val="00173660"/>
    <w:rsid w:val="001A60E8"/>
    <w:rsid w:val="001D1606"/>
    <w:rsid w:val="002A3FE6"/>
    <w:rsid w:val="003978F5"/>
    <w:rsid w:val="003A3E3C"/>
    <w:rsid w:val="003A64F6"/>
    <w:rsid w:val="003E1235"/>
    <w:rsid w:val="0058469D"/>
    <w:rsid w:val="00631BF5"/>
    <w:rsid w:val="006833D2"/>
    <w:rsid w:val="0070518C"/>
    <w:rsid w:val="00836C88"/>
    <w:rsid w:val="008D3D50"/>
    <w:rsid w:val="009271A2"/>
    <w:rsid w:val="00987734"/>
    <w:rsid w:val="009B6DE7"/>
    <w:rsid w:val="00A635B9"/>
    <w:rsid w:val="00AE5019"/>
    <w:rsid w:val="00B3173A"/>
    <w:rsid w:val="00CD6BD0"/>
    <w:rsid w:val="00DD5290"/>
    <w:rsid w:val="00EA1496"/>
    <w:rsid w:val="00EB415C"/>
    <w:rsid w:val="00EE7BE4"/>
    <w:rsid w:val="00F20A0F"/>
    <w:rsid w:val="00F227F9"/>
    <w:rsid w:val="00F4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basedOn w:val="DefaultParagraphFont"/>
    <w:link w:val="FootnoteText"/>
    <w:semiHidden/>
    <w:rsid w:val="009B6DE7"/>
  </w:style>
  <w:style w:type="paragraph" w:customStyle="1" w:styleId="Default">
    <w:name w:val="Default"/>
    <w:rsid w:val="009B6DE7"/>
    <w:pPr>
      <w:autoSpaceDE w:val="0"/>
      <w:autoSpaceDN w:val="0"/>
      <w:adjustRightInd w:val="0"/>
    </w:pPr>
    <w:rPr>
      <w:color w:val="000000"/>
      <w:sz w:val="24"/>
      <w:szCs w:val="24"/>
    </w:rPr>
  </w:style>
  <w:style w:type="paragraph" w:styleId="ListParagraph">
    <w:name w:val="List Paragraph"/>
    <w:basedOn w:val="Normal"/>
    <w:uiPriority w:val="34"/>
    <w:qFormat/>
    <w:rsid w:val="003E1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basedOn w:val="DefaultParagraphFont"/>
    <w:link w:val="FootnoteText"/>
    <w:semiHidden/>
    <w:rsid w:val="009B6DE7"/>
  </w:style>
  <w:style w:type="paragraph" w:customStyle="1" w:styleId="Default">
    <w:name w:val="Default"/>
    <w:rsid w:val="009B6DE7"/>
    <w:pPr>
      <w:autoSpaceDE w:val="0"/>
      <w:autoSpaceDN w:val="0"/>
      <w:adjustRightInd w:val="0"/>
    </w:pPr>
    <w:rPr>
      <w:color w:val="000000"/>
      <w:sz w:val="24"/>
      <w:szCs w:val="24"/>
    </w:rPr>
  </w:style>
  <w:style w:type="paragraph" w:styleId="ListParagraph">
    <w:name w:val="List Paragraph"/>
    <w:basedOn w:val="Normal"/>
    <w:uiPriority w:val="34"/>
    <w:qFormat/>
    <w:rsid w:val="003E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525</Words>
  <Characters>2860</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3389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1999-03-16T17:50:00Z</cp:lastPrinted>
  <dcterms:created xsi:type="dcterms:W3CDTF">2014-05-30T15:04:00Z</dcterms:created>
  <dcterms:modified xsi:type="dcterms:W3CDTF">2014-05-30T15:04:00Z</dcterms:modified>
  <cp:category> </cp:category>
  <cp:contentStatus> </cp:contentStatus>
</cp:coreProperties>
</file>