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05" w:rsidRDefault="00C44A05">
      <w:pPr>
        <w:rPr>
          <w:sz w:val="23"/>
        </w:rPr>
        <w:sectPr w:rsidR="00C44A0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C44A05" w:rsidRDefault="002E3AAE">
      <w:pPr>
        <w:suppressAutoHyphens/>
        <w:jc w:val="right"/>
        <w:rPr>
          <w:b/>
        </w:rPr>
      </w:pPr>
      <w:r>
        <w:rPr>
          <w:b/>
        </w:rPr>
        <w:lastRenderedPageBreak/>
        <w:t>DA 1</w:t>
      </w:r>
      <w:r w:rsidR="002030A2">
        <w:rPr>
          <w:b/>
        </w:rPr>
        <w:t>4</w:t>
      </w:r>
      <w:r w:rsidR="00C44A05">
        <w:rPr>
          <w:b/>
        </w:rPr>
        <w:t>-</w:t>
      </w:r>
      <w:r w:rsidR="00346254">
        <w:rPr>
          <w:b/>
        </w:rPr>
        <w:t>749</w:t>
      </w:r>
    </w:p>
    <w:p w:rsidR="00C44A05" w:rsidRDefault="005A634F">
      <w:pPr>
        <w:suppressAutoHyphens/>
        <w:spacing w:after="240"/>
        <w:jc w:val="right"/>
        <w:rPr>
          <w:b/>
        </w:rPr>
      </w:pPr>
      <w:r>
        <w:rPr>
          <w:b/>
        </w:rPr>
        <w:t xml:space="preserve">Released:  </w:t>
      </w:r>
      <w:r w:rsidR="007073F8">
        <w:rPr>
          <w:b/>
        </w:rPr>
        <w:t>May 30</w:t>
      </w:r>
      <w:r w:rsidR="00C44A05">
        <w:rPr>
          <w:b/>
        </w:rPr>
        <w:t>, 201</w:t>
      </w:r>
      <w:r w:rsidR="002030A2">
        <w:rPr>
          <w:b/>
        </w:rPr>
        <w:t>4</w:t>
      </w:r>
    </w:p>
    <w:p w:rsidR="002030A2" w:rsidRDefault="00095991" w:rsidP="002030A2">
      <w:pPr>
        <w:suppressAutoHyphens/>
        <w:jc w:val="center"/>
        <w:rPr>
          <w:b/>
        </w:rPr>
      </w:pPr>
      <w:r>
        <w:rPr>
          <w:b/>
        </w:rPr>
        <w:t xml:space="preserve">Domestic Section 214 </w:t>
      </w:r>
      <w:r w:rsidR="00C44A05">
        <w:rPr>
          <w:b/>
        </w:rPr>
        <w:t xml:space="preserve">Application </w:t>
      </w:r>
      <w:r w:rsidR="002A2A0F">
        <w:rPr>
          <w:b/>
        </w:rPr>
        <w:t>Granted for the</w:t>
      </w:r>
      <w:r w:rsidR="00C44A05">
        <w:rPr>
          <w:b/>
        </w:rPr>
        <w:t xml:space="preserve"> </w:t>
      </w:r>
      <w:r w:rsidR="002030A2">
        <w:rPr>
          <w:b/>
        </w:rPr>
        <w:t xml:space="preserve">Transfer of Control of NTS, Inc. to </w:t>
      </w:r>
    </w:p>
    <w:p w:rsidR="002030A2" w:rsidRDefault="002030A2" w:rsidP="002030A2">
      <w:pPr>
        <w:suppressAutoHyphens/>
        <w:jc w:val="center"/>
        <w:rPr>
          <w:b/>
        </w:rPr>
      </w:pPr>
      <w:r>
        <w:rPr>
          <w:b/>
        </w:rPr>
        <w:t>T3 North Intermediate Holdings, LLC</w:t>
      </w:r>
    </w:p>
    <w:p w:rsidR="00C44A05" w:rsidRDefault="00C44A05">
      <w:pPr>
        <w:suppressAutoHyphens/>
        <w:jc w:val="center"/>
        <w:rPr>
          <w:b/>
        </w:rPr>
      </w:pPr>
      <w:r>
        <w:rPr>
          <w:b/>
        </w:rPr>
        <w:t xml:space="preserve"> </w:t>
      </w:r>
    </w:p>
    <w:p w:rsidR="00C44A05" w:rsidRDefault="00C44A05">
      <w:pPr>
        <w:suppressAutoHyphens/>
        <w:spacing w:after="240"/>
        <w:jc w:val="center"/>
        <w:rPr>
          <w:b/>
        </w:rPr>
      </w:pPr>
      <w:r>
        <w:rPr>
          <w:b/>
        </w:rPr>
        <w:t>WC Docket No. 1</w:t>
      </w:r>
      <w:r w:rsidR="007A6503">
        <w:rPr>
          <w:b/>
        </w:rPr>
        <w:t>3</w:t>
      </w:r>
      <w:r>
        <w:rPr>
          <w:b/>
        </w:rPr>
        <w:t>-</w:t>
      </w:r>
      <w:r w:rsidR="002030A2">
        <w:rPr>
          <w:b/>
        </w:rPr>
        <w:t>269</w:t>
      </w:r>
      <w:r>
        <w:rPr>
          <w:b/>
        </w:rPr>
        <w:t xml:space="preserve"> </w:t>
      </w:r>
    </w:p>
    <w:p w:rsidR="008D2336" w:rsidRDefault="002030A2" w:rsidP="00AC4223">
      <w:pPr>
        <w:autoSpaceDE w:val="0"/>
        <w:autoSpaceDN w:val="0"/>
        <w:adjustRightInd w:val="0"/>
        <w:ind w:firstLine="720"/>
        <w:jc w:val="left"/>
      </w:pPr>
      <w:r w:rsidRPr="002030A2">
        <w:rPr>
          <w:snapToGrid/>
          <w:kern w:val="0"/>
          <w:szCs w:val="22"/>
        </w:rPr>
        <w:t>NTS, Inc. (NTS) and T3 North Intermediate Holdings, LLC (T3 Intermediate) (</w:t>
      </w:r>
      <w:r w:rsidR="007073F8">
        <w:rPr>
          <w:snapToGrid/>
          <w:kern w:val="0"/>
          <w:szCs w:val="22"/>
        </w:rPr>
        <w:t>together, Applicants) filed an a</w:t>
      </w:r>
      <w:r w:rsidRPr="002030A2">
        <w:rPr>
          <w:snapToGrid/>
          <w:kern w:val="0"/>
          <w:szCs w:val="22"/>
        </w:rPr>
        <w:t xml:space="preserve">pplication pursuant </w:t>
      </w:r>
      <w:r w:rsidR="0092407A" w:rsidRPr="0092407A">
        <w:rPr>
          <w:snapToGrid/>
          <w:kern w:val="0"/>
          <w:szCs w:val="22"/>
        </w:rPr>
        <w:t>to section</w:t>
      </w:r>
      <w:r w:rsidR="0092407A" w:rsidRPr="00AC4223">
        <w:rPr>
          <w:snapToGrid/>
          <w:kern w:val="0"/>
          <w:szCs w:val="22"/>
        </w:rPr>
        <w:t xml:space="preserve"> 214 of the Communications Act of 1934,</w:t>
      </w:r>
      <w:r w:rsidR="00973A7F">
        <w:rPr>
          <w:snapToGrid/>
          <w:kern w:val="0"/>
          <w:szCs w:val="22"/>
        </w:rPr>
        <w:t xml:space="preserve"> as amended</w:t>
      </w:r>
      <w:r w:rsidR="006C7E36">
        <w:rPr>
          <w:snapToGrid/>
          <w:kern w:val="0"/>
          <w:szCs w:val="22"/>
        </w:rPr>
        <w:t xml:space="preserve"> (Act)</w:t>
      </w:r>
      <w:r w:rsidR="00973A7F">
        <w:rPr>
          <w:snapToGrid/>
          <w:kern w:val="0"/>
          <w:szCs w:val="22"/>
        </w:rPr>
        <w:t>,</w:t>
      </w:r>
      <w:r w:rsidR="0092407A" w:rsidRPr="0092407A">
        <w:rPr>
          <w:snapToGrid/>
          <w:kern w:val="0"/>
          <w:szCs w:val="22"/>
        </w:rPr>
        <w:t xml:space="preserve"> </w:t>
      </w:r>
      <w:r w:rsidR="00095991">
        <w:rPr>
          <w:snapToGrid/>
          <w:kern w:val="0"/>
          <w:szCs w:val="22"/>
        </w:rPr>
        <w:t xml:space="preserve">to transfer </w:t>
      </w:r>
      <w:r>
        <w:rPr>
          <w:snapToGrid/>
          <w:kern w:val="0"/>
          <w:szCs w:val="22"/>
        </w:rPr>
        <w:t>control of NTS to T3 Intermediate</w:t>
      </w:r>
      <w:r w:rsidR="00095991">
        <w:rPr>
          <w:snapToGrid/>
          <w:kern w:val="0"/>
          <w:szCs w:val="22"/>
        </w:rPr>
        <w:t>.</w:t>
      </w:r>
      <w:r w:rsidR="00261866">
        <w:rPr>
          <w:rStyle w:val="FootnoteReference"/>
          <w:snapToGrid/>
          <w:kern w:val="0"/>
          <w:szCs w:val="22"/>
        </w:rPr>
        <w:footnoteReference w:id="1"/>
      </w:r>
      <w:r w:rsidR="0092407A">
        <w:rPr>
          <w:snapToGrid/>
          <w:kern w:val="0"/>
          <w:szCs w:val="22"/>
        </w:rPr>
        <w:t xml:space="preserve">  </w:t>
      </w:r>
      <w:r w:rsidR="00C44A05">
        <w:t xml:space="preserve">The </w:t>
      </w:r>
      <w:r w:rsidR="00AC4223">
        <w:t>Wireline Competition Bureau (</w:t>
      </w:r>
      <w:r w:rsidR="006205B8">
        <w:t xml:space="preserve">Bureau) </w:t>
      </w:r>
      <w:r w:rsidR="00AC4223">
        <w:t>ha</w:t>
      </w:r>
      <w:r w:rsidR="00095991">
        <w:t>s</w:t>
      </w:r>
      <w:r w:rsidR="0092407A">
        <w:t xml:space="preserve"> </w:t>
      </w:r>
      <w:r w:rsidR="00C44A05">
        <w:t>det</w:t>
      </w:r>
      <w:r w:rsidR="00AC4223">
        <w:t>ermined that</w:t>
      </w:r>
      <w:r w:rsidR="00095991">
        <w:t xml:space="preserve"> a</w:t>
      </w:r>
      <w:r w:rsidR="00AC4223">
        <w:t xml:space="preserve"> grant of th</w:t>
      </w:r>
      <w:r w:rsidR="00095991">
        <w:t>is</w:t>
      </w:r>
      <w:r w:rsidR="00AC4223">
        <w:t xml:space="preserve"> </w:t>
      </w:r>
      <w:r w:rsidR="0044654D">
        <w:t>A</w:t>
      </w:r>
      <w:r w:rsidR="00C44A05">
        <w:t>pplication</w:t>
      </w:r>
      <w:r w:rsidR="00751B0D">
        <w:t>, as conditioned,</w:t>
      </w:r>
      <w:r w:rsidR="00C44A05">
        <w:t xml:space="preserve"> serves the public</w:t>
      </w:r>
      <w:r w:rsidR="0044654D">
        <w:t xml:space="preserve"> interest, and accordingly the A</w:t>
      </w:r>
      <w:r w:rsidR="00C44A05">
        <w:t>pplication</w:t>
      </w:r>
      <w:r w:rsidR="00095991">
        <w:t xml:space="preserve"> is</w:t>
      </w:r>
      <w:r w:rsidR="00C44A05">
        <w:t xml:space="preserve"> </w:t>
      </w:r>
      <w:r w:rsidR="00751B0D">
        <w:t>granted with the condition stated herein.</w:t>
      </w:r>
      <w:r w:rsidR="00C44A05">
        <w:t xml:space="preserve">   </w:t>
      </w:r>
    </w:p>
    <w:p w:rsidR="008D2336" w:rsidRDefault="008D2336" w:rsidP="00AC4223">
      <w:pPr>
        <w:autoSpaceDE w:val="0"/>
        <w:autoSpaceDN w:val="0"/>
        <w:adjustRightInd w:val="0"/>
        <w:ind w:firstLine="720"/>
        <w:jc w:val="left"/>
      </w:pPr>
    </w:p>
    <w:p w:rsidR="00CF4953" w:rsidRDefault="00C44A05" w:rsidP="00CF4953">
      <w:pPr>
        <w:autoSpaceDE w:val="0"/>
        <w:autoSpaceDN w:val="0"/>
        <w:adjustRightInd w:val="0"/>
        <w:ind w:firstLine="720"/>
        <w:jc w:val="left"/>
        <w:rPr>
          <w:szCs w:val="22"/>
        </w:rPr>
      </w:pPr>
      <w:r>
        <w:t xml:space="preserve"> </w:t>
      </w:r>
      <w:r w:rsidR="007D3186">
        <w:rPr>
          <w:szCs w:val="22"/>
        </w:rPr>
        <w:t>NTS provides fiber-based, competitive telecommunications services through its U.S.-based subsidiary licensees in Texas, Louisiana, Mississippi, Arizona, Colorado, Kansas, New Mexico, and Oklahoma.  Its subsidiaries are NTS Communications, Inc. (NTSC), PRIDE Network, Inc. (PRIDE) (wholly owned by NTSC), NTS Telephone Company, LLC (wholly owned by NTSC), and Xfone USA, Inc.</w:t>
      </w:r>
      <w:r w:rsidR="007D3186">
        <w:rPr>
          <w:rStyle w:val="FootnoteReference"/>
          <w:szCs w:val="22"/>
        </w:rPr>
        <w:footnoteReference w:id="2"/>
      </w:r>
      <w:r w:rsidR="007D3186">
        <w:rPr>
          <w:szCs w:val="22"/>
        </w:rPr>
        <w:t xml:space="preserve">  T3 Intermediate is a direct wholly owned subsidiary of T3 North Holdings, LLC (T3 Holdings).  Applicants state that both T3 Holdings and T3 Intermediate were created for the purpose of this proposed transaction and have no affiliates that provide telecommunications services.</w:t>
      </w:r>
      <w:r w:rsidR="008B7D63">
        <w:rPr>
          <w:rStyle w:val="FootnoteReference"/>
          <w:szCs w:val="22"/>
        </w:rPr>
        <w:footnoteReference w:id="3"/>
      </w:r>
      <w:r w:rsidR="007D3186">
        <w:rPr>
          <w:szCs w:val="22"/>
        </w:rPr>
        <w:t xml:space="preserve">  </w:t>
      </w:r>
      <w:r w:rsidR="00A40173">
        <w:rPr>
          <w:szCs w:val="22"/>
        </w:rPr>
        <w:t xml:space="preserve">Pursuant to the terms of the proposed transaction, </w:t>
      </w:r>
      <w:r w:rsidR="0084325F">
        <w:rPr>
          <w:szCs w:val="22"/>
        </w:rPr>
        <w:t>NTS will be a direct, wholly owned subsidiary o</w:t>
      </w:r>
      <w:r w:rsidR="006205B8">
        <w:rPr>
          <w:szCs w:val="22"/>
        </w:rPr>
        <w:t>f T3 Intermediate, and the NTS l</w:t>
      </w:r>
      <w:r w:rsidR="0084325F">
        <w:rPr>
          <w:szCs w:val="22"/>
        </w:rPr>
        <w:t>icensees will remain wholly owned direct or indirect subsidiaries of NTS.</w:t>
      </w:r>
      <w:r w:rsidR="00CF4953">
        <w:rPr>
          <w:rStyle w:val="FootnoteReference"/>
          <w:szCs w:val="22"/>
        </w:rPr>
        <w:footnoteReference w:id="4"/>
      </w:r>
    </w:p>
    <w:p w:rsidR="000225E4" w:rsidRDefault="000225E4" w:rsidP="00CF4953">
      <w:pPr>
        <w:autoSpaceDE w:val="0"/>
        <w:autoSpaceDN w:val="0"/>
        <w:adjustRightInd w:val="0"/>
        <w:ind w:firstLine="720"/>
        <w:jc w:val="left"/>
        <w:rPr>
          <w:szCs w:val="22"/>
        </w:rPr>
      </w:pPr>
    </w:p>
    <w:p w:rsidR="006205B8" w:rsidRDefault="000225E4" w:rsidP="00CF4953">
      <w:pPr>
        <w:autoSpaceDE w:val="0"/>
        <w:autoSpaceDN w:val="0"/>
        <w:adjustRightInd w:val="0"/>
        <w:ind w:firstLine="720"/>
        <w:jc w:val="left"/>
        <w:rPr>
          <w:color w:val="000000"/>
          <w:szCs w:val="22"/>
        </w:rPr>
      </w:pPr>
      <w:r w:rsidRPr="000225E4">
        <w:rPr>
          <w:snapToGrid/>
          <w:kern w:val="0"/>
        </w:rPr>
        <w:t xml:space="preserve">On December 18, 2013, the Department of Justice, including the Federal Bureau of Investigation, with the concurrence of the Department of Homeland Security </w:t>
      </w:r>
      <w:r w:rsidRPr="000225E4">
        <w:rPr>
          <w:snapToGrid/>
          <w:kern w:val="0"/>
          <w:szCs w:val="24"/>
        </w:rPr>
        <w:t>(collectively, the Executive Branch Agencies)</w:t>
      </w:r>
      <w:r w:rsidRPr="000225E4">
        <w:rPr>
          <w:snapToGrid/>
          <w:kern w:val="0"/>
        </w:rPr>
        <w:t>, filed a letter requesting that the Commission defer action</w:t>
      </w:r>
      <w:r w:rsidR="007073F8">
        <w:rPr>
          <w:snapToGrid/>
          <w:kern w:val="0"/>
          <w:szCs w:val="24"/>
        </w:rPr>
        <w:t xml:space="preserve"> on this A</w:t>
      </w:r>
      <w:r w:rsidRPr="000225E4">
        <w:rPr>
          <w:snapToGrid/>
          <w:kern w:val="0"/>
          <w:szCs w:val="24"/>
        </w:rPr>
        <w:t>pplication while they review</w:t>
      </w:r>
      <w:r w:rsidR="0087664E">
        <w:rPr>
          <w:snapToGrid/>
          <w:kern w:val="0"/>
          <w:szCs w:val="24"/>
        </w:rPr>
        <w:t>ed</w:t>
      </w:r>
      <w:r w:rsidRPr="000225E4">
        <w:rPr>
          <w:snapToGrid/>
          <w:kern w:val="0"/>
          <w:szCs w:val="24"/>
        </w:rPr>
        <w:t xml:space="preserve"> potential national security, law enforcement, and public safety issues</w:t>
      </w:r>
      <w:r w:rsidRPr="000225E4">
        <w:rPr>
          <w:snapToGrid/>
          <w:kern w:val="0"/>
        </w:rPr>
        <w:t>.</w:t>
      </w:r>
      <w:r w:rsidRPr="000225E4">
        <w:rPr>
          <w:snapToGrid/>
          <w:kern w:val="0"/>
          <w:vertAlign w:val="superscript"/>
        </w:rPr>
        <w:footnoteReference w:id="5"/>
      </w:r>
      <w:r w:rsidR="00D61E70">
        <w:rPr>
          <w:snapToGrid/>
          <w:kern w:val="0"/>
        </w:rPr>
        <w:t xml:space="preserve">  </w:t>
      </w:r>
      <w:r w:rsidR="00D61E70" w:rsidRPr="00D61E70">
        <w:rPr>
          <w:snapToGrid/>
          <w:kern w:val="0"/>
          <w:szCs w:val="22"/>
        </w:rPr>
        <w:t xml:space="preserve">In response to the </w:t>
      </w:r>
      <w:r w:rsidR="00D61E70" w:rsidRPr="00D61E70">
        <w:rPr>
          <w:snapToGrid/>
          <w:kern w:val="0"/>
          <w:szCs w:val="22"/>
        </w:rPr>
        <w:lastRenderedPageBreak/>
        <w:t xml:space="preserve">request, </w:t>
      </w:r>
      <w:r w:rsidR="006205B8">
        <w:rPr>
          <w:snapToGrid/>
          <w:kern w:val="0"/>
          <w:szCs w:val="22"/>
        </w:rPr>
        <w:t>the Bureau r</w:t>
      </w:r>
      <w:r w:rsidR="007073F8">
        <w:rPr>
          <w:snapToGrid/>
          <w:kern w:val="0"/>
          <w:szCs w:val="22"/>
        </w:rPr>
        <w:t>emoved the A</w:t>
      </w:r>
      <w:r w:rsidR="00D61E70" w:rsidRPr="00D61E70">
        <w:rPr>
          <w:snapToGrid/>
          <w:kern w:val="0"/>
          <w:szCs w:val="22"/>
        </w:rPr>
        <w:t>pplication from streamlined review.</w:t>
      </w:r>
      <w:r w:rsidR="00D61E70" w:rsidRPr="00D61E70">
        <w:rPr>
          <w:snapToGrid/>
          <w:kern w:val="0"/>
          <w:szCs w:val="22"/>
          <w:vertAlign w:val="superscript"/>
        </w:rPr>
        <w:footnoteReference w:id="6"/>
      </w:r>
      <w:r w:rsidR="00D61E70" w:rsidRPr="00D61E70">
        <w:rPr>
          <w:snapToGrid/>
          <w:kern w:val="0"/>
          <w:szCs w:val="22"/>
        </w:rPr>
        <w:t xml:space="preserve">  </w:t>
      </w:r>
      <w:r w:rsidR="00D61E70" w:rsidRPr="00AD3311">
        <w:rPr>
          <w:rFonts w:cs="TimesNewRoman"/>
          <w:snapToGrid/>
          <w:color w:val="010101"/>
          <w:kern w:val="0"/>
          <w:szCs w:val="22"/>
        </w:rPr>
        <w:t xml:space="preserve">On </w:t>
      </w:r>
      <w:r w:rsidR="00AD3311" w:rsidRPr="00AD3311">
        <w:rPr>
          <w:rFonts w:cs="TimesNewRoman"/>
          <w:snapToGrid/>
          <w:color w:val="010101"/>
          <w:kern w:val="0"/>
          <w:szCs w:val="22"/>
        </w:rPr>
        <w:t>May 28, 2014</w:t>
      </w:r>
      <w:r w:rsidR="00D61E70" w:rsidRPr="00AD3311">
        <w:rPr>
          <w:rFonts w:cs="TimesNewRoman"/>
          <w:snapToGrid/>
          <w:color w:val="010101"/>
          <w:kern w:val="0"/>
          <w:szCs w:val="22"/>
        </w:rPr>
        <w:t>, the Executive Branch Agencies withdrew their request to defer action, stating that</w:t>
      </w:r>
      <w:r w:rsidR="007073F8">
        <w:rPr>
          <w:rFonts w:cs="TimesNewRoman"/>
          <w:snapToGrid/>
          <w:color w:val="010101"/>
          <w:kern w:val="0"/>
          <w:szCs w:val="22"/>
        </w:rPr>
        <w:t xml:space="preserve"> they have no objection to the A</w:t>
      </w:r>
      <w:r w:rsidR="00D61E70" w:rsidRPr="00AD3311">
        <w:rPr>
          <w:rFonts w:cs="TimesNewRoman"/>
          <w:snapToGrid/>
          <w:color w:val="010101"/>
          <w:kern w:val="0"/>
          <w:szCs w:val="22"/>
        </w:rPr>
        <w:t>pplication.</w:t>
      </w:r>
      <w:r w:rsidR="00D61E70" w:rsidRPr="00D61E70">
        <w:rPr>
          <w:rFonts w:cs="TimesNewRoman"/>
          <w:snapToGrid/>
          <w:color w:val="010101"/>
          <w:kern w:val="0"/>
          <w:szCs w:val="22"/>
          <w:vertAlign w:val="superscript"/>
        </w:rPr>
        <w:footnoteReference w:id="7"/>
      </w:r>
      <w:r w:rsidR="006205B8">
        <w:rPr>
          <w:rFonts w:cs="TimesNewRoman"/>
          <w:b/>
          <w:snapToGrid/>
          <w:color w:val="010101"/>
          <w:kern w:val="0"/>
          <w:szCs w:val="22"/>
        </w:rPr>
        <w:t xml:space="preserve">  </w:t>
      </w:r>
      <w:r w:rsidR="006205B8" w:rsidRPr="006205B8">
        <w:rPr>
          <w:snapToGrid/>
          <w:kern w:val="0"/>
          <w:szCs w:val="22"/>
        </w:rPr>
        <w:t xml:space="preserve">Consistent with Commission precedent, </w:t>
      </w:r>
      <w:r w:rsidR="006205B8">
        <w:rPr>
          <w:snapToGrid/>
          <w:kern w:val="0"/>
          <w:szCs w:val="22"/>
        </w:rPr>
        <w:t xml:space="preserve">the Bureau </w:t>
      </w:r>
      <w:r w:rsidR="006205B8" w:rsidRPr="006205B8">
        <w:rPr>
          <w:snapToGrid/>
          <w:kern w:val="0"/>
          <w:szCs w:val="22"/>
        </w:rPr>
        <w:t>accords the appropriate level of deference to the Executive Branch Agencies’ expertise on national security and law enforcement issues.</w:t>
      </w:r>
      <w:r w:rsidR="006205B8" w:rsidRPr="006205B8">
        <w:rPr>
          <w:snapToGrid/>
          <w:kern w:val="0"/>
          <w:szCs w:val="22"/>
          <w:vertAlign w:val="superscript"/>
        </w:rPr>
        <w:footnoteReference w:id="8"/>
      </w:r>
      <w:r w:rsidR="006205B8" w:rsidRPr="006205B8">
        <w:rPr>
          <w:snapToGrid/>
          <w:kern w:val="0"/>
          <w:szCs w:val="22"/>
        </w:rPr>
        <w:t xml:space="preserve">  </w:t>
      </w:r>
    </w:p>
    <w:p w:rsidR="00406A7E" w:rsidRDefault="002928B3" w:rsidP="002928B3">
      <w:pPr>
        <w:widowControl/>
        <w:ind w:firstLine="720"/>
        <w:jc w:val="left"/>
        <w:rPr>
          <w:rFonts w:eastAsia="Calibri"/>
          <w:color w:val="000000"/>
          <w:kern w:val="0"/>
          <w:szCs w:val="22"/>
        </w:rPr>
      </w:pPr>
      <w:r>
        <w:rPr>
          <w:rFonts w:eastAsia="Calibri"/>
          <w:color w:val="000000"/>
          <w:kern w:val="0"/>
          <w:szCs w:val="22"/>
        </w:rPr>
        <w:t>On December 1</w:t>
      </w:r>
      <w:r w:rsidR="00B700C8">
        <w:rPr>
          <w:rFonts w:eastAsia="Calibri"/>
          <w:color w:val="000000"/>
          <w:kern w:val="0"/>
          <w:szCs w:val="22"/>
        </w:rPr>
        <w:t>6</w:t>
      </w:r>
      <w:r>
        <w:rPr>
          <w:rFonts w:eastAsia="Calibri"/>
          <w:color w:val="000000"/>
          <w:kern w:val="0"/>
          <w:szCs w:val="22"/>
        </w:rPr>
        <w:t>, 2013, NTS</w:t>
      </w:r>
      <w:r w:rsidR="00B700C8">
        <w:rPr>
          <w:rFonts w:eastAsia="Calibri"/>
          <w:color w:val="000000"/>
          <w:kern w:val="0"/>
          <w:szCs w:val="22"/>
        </w:rPr>
        <w:t>C</w:t>
      </w:r>
      <w:r>
        <w:rPr>
          <w:rFonts w:eastAsia="Calibri"/>
          <w:color w:val="000000"/>
          <w:kern w:val="0"/>
          <w:szCs w:val="22"/>
        </w:rPr>
        <w:t xml:space="preserve"> </w:t>
      </w:r>
      <w:r w:rsidR="00CF4953" w:rsidRPr="00CF4953">
        <w:rPr>
          <w:rFonts w:eastAsia="Calibri"/>
          <w:color w:val="000000"/>
          <w:kern w:val="0"/>
          <w:szCs w:val="22"/>
        </w:rPr>
        <w:t xml:space="preserve">entered into a Consent Decree with the Enforcement Bureau addressing </w:t>
      </w:r>
      <w:r w:rsidR="001D3393">
        <w:rPr>
          <w:rFonts w:eastAsia="Calibri"/>
          <w:color w:val="000000"/>
          <w:kern w:val="0"/>
          <w:szCs w:val="22"/>
        </w:rPr>
        <w:t xml:space="preserve">its </w:t>
      </w:r>
      <w:r>
        <w:rPr>
          <w:rFonts w:eastAsia="Calibri"/>
          <w:color w:val="000000"/>
          <w:kern w:val="0"/>
          <w:szCs w:val="22"/>
        </w:rPr>
        <w:t xml:space="preserve">compliance with Universal Service Fund </w:t>
      </w:r>
      <w:r w:rsidR="00CF4953" w:rsidRPr="00CF4953">
        <w:rPr>
          <w:rFonts w:eastAsia="Calibri"/>
          <w:color w:val="000000"/>
          <w:kern w:val="0"/>
          <w:szCs w:val="22"/>
        </w:rPr>
        <w:t>requirements</w:t>
      </w:r>
      <w:r w:rsidR="0087664E">
        <w:rPr>
          <w:rFonts w:eastAsia="Calibri"/>
          <w:color w:val="000000"/>
          <w:kern w:val="0"/>
          <w:szCs w:val="22"/>
        </w:rPr>
        <w:t xml:space="preserve"> under the </w:t>
      </w:r>
      <w:r w:rsidR="006205B8">
        <w:rPr>
          <w:rFonts w:eastAsia="Calibri"/>
          <w:color w:val="000000"/>
          <w:kern w:val="0"/>
          <w:szCs w:val="22"/>
        </w:rPr>
        <w:t>Act</w:t>
      </w:r>
      <w:r w:rsidR="0087664E">
        <w:rPr>
          <w:rFonts w:eastAsia="Calibri"/>
          <w:color w:val="000000"/>
          <w:kern w:val="0"/>
          <w:szCs w:val="22"/>
        </w:rPr>
        <w:t xml:space="preserve"> and section 54.706(a) of the Commission’s rules</w:t>
      </w:r>
      <w:r w:rsidR="001D3393">
        <w:rPr>
          <w:rFonts w:eastAsia="Calibri"/>
          <w:color w:val="000000"/>
          <w:kern w:val="0"/>
          <w:szCs w:val="22"/>
        </w:rPr>
        <w:t>.</w:t>
      </w:r>
      <w:r w:rsidR="001D3393">
        <w:rPr>
          <w:rStyle w:val="FootnoteReference"/>
          <w:rFonts w:eastAsia="Calibri"/>
          <w:kern w:val="0"/>
          <w:szCs w:val="22"/>
        </w:rPr>
        <w:footnoteReference w:id="9"/>
      </w:r>
      <w:r w:rsidR="001D3393">
        <w:rPr>
          <w:rFonts w:eastAsia="Calibri"/>
          <w:color w:val="000000"/>
          <w:kern w:val="0"/>
          <w:szCs w:val="22"/>
        </w:rPr>
        <w:t xml:space="preserve">  The Consent Decree</w:t>
      </w:r>
      <w:r w:rsidR="00915753">
        <w:rPr>
          <w:rFonts w:eastAsia="Calibri"/>
          <w:color w:val="000000"/>
          <w:kern w:val="0"/>
          <w:szCs w:val="22"/>
        </w:rPr>
        <w:t xml:space="preserve"> requir</w:t>
      </w:r>
      <w:r w:rsidR="001D3393">
        <w:rPr>
          <w:rFonts w:eastAsia="Calibri"/>
          <w:color w:val="000000"/>
          <w:kern w:val="0"/>
          <w:szCs w:val="22"/>
        </w:rPr>
        <w:t>es</w:t>
      </w:r>
      <w:r w:rsidR="00915753">
        <w:rPr>
          <w:rFonts w:eastAsia="Calibri"/>
          <w:color w:val="000000"/>
          <w:kern w:val="0"/>
          <w:szCs w:val="22"/>
        </w:rPr>
        <w:t xml:space="preserve"> </w:t>
      </w:r>
      <w:r>
        <w:rPr>
          <w:rFonts w:eastAsia="Calibri"/>
          <w:color w:val="000000"/>
          <w:kern w:val="0"/>
          <w:szCs w:val="22"/>
        </w:rPr>
        <w:t>NTS</w:t>
      </w:r>
      <w:r w:rsidR="00B700C8">
        <w:rPr>
          <w:rFonts w:eastAsia="Calibri"/>
          <w:color w:val="000000"/>
          <w:kern w:val="0"/>
          <w:szCs w:val="22"/>
        </w:rPr>
        <w:t>C</w:t>
      </w:r>
      <w:r w:rsidR="00915753">
        <w:rPr>
          <w:rFonts w:eastAsia="Calibri"/>
          <w:color w:val="000000"/>
          <w:kern w:val="0"/>
          <w:szCs w:val="22"/>
        </w:rPr>
        <w:t xml:space="preserve"> to develop</w:t>
      </w:r>
      <w:r w:rsidR="001D3393">
        <w:rPr>
          <w:rFonts w:eastAsia="Calibri"/>
          <w:color w:val="000000"/>
          <w:kern w:val="0"/>
          <w:szCs w:val="22"/>
        </w:rPr>
        <w:t xml:space="preserve"> </w:t>
      </w:r>
      <w:r w:rsidR="00915753">
        <w:rPr>
          <w:rFonts w:eastAsia="Calibri"/>
          <w:color w:val="000000"/>
          <w:kern w:val="0"/>
          <w:szCs w:val="22"/>
        </w:rPr>
        <w:t xml:space="preserve">and implement a plan and file reports with the Commission to ensure future </w:t>
      </w:r>
      <w:r w:rsidR="001D3393">
        <w:rPr>
          <w:rFonts w:eastAsia="Calibri"/>
          <w:color w:val="000000"/>
          <w:kern w:val="0"/>
          <w:szCs w:val="22"/>
        </w:rPr>
        <w:t xml:space="preserve">compliance with </w:t>
      </w:r>
      <w:r w:rsidR="00915753">
        <w:rPr>
          <w:rFonts w:eastAsia="Calibri"/>
          <w:color w:val="000000"/>
          <w:kern w:val="0"/>
          <w:szCs w:val="22"/>
        </w:rPr>
        <w:t>the Act and Commission rules and with the terms of the Consent Decree</w:t>
      </w:r>
      <w:r w:rsidR="00CF4953" w:rsidRPr="00CF4953">
        <w:rPr>
          <w:rFonts w:eastAsia="Calibri"/>
          <w:color w:val="000000"/>
          <w:kern w:val="0"/>
          <w:szCs w:val="22"/>
        </w:rPr>
        <w:t>.</w:t>
      </w:r>
      <w:r w:rsidR="001D3393">
        <w:rPr>
          <w:rStyle w:val="FootnoteReference"/>
          <w:rFonts w:eastAsia="Calibri"/>
          <w:kern w:val="0"/>
          <w:szCs w:val="22"/>
        </w:rPr>
        <w:footnoteReference w:id="10"/>
      </w:r>
      <w:r w:rsidR="00CF4953" w:rsidRPr="00CF4953">
        <w:rPr>
          <w:rFonts w:eastAsia="Calibri"/>
          <w:color w:val="000000"/>
          <w:kern w:val="0"/>
          <w:szCs w:val="22"/>
        </w:rPr>
        <w:t xml:space="preserve">  </w:t>
      </w:r>
      <w:r>
        <w:rPr>
          <w:rFonts w:eastAsia="Calibri"/>
          <w:color w:val="000000"/>
          <w:kern w:val="0"/>
          <w:szCs w:val="22"/>
        </w:rPr>
        <w:t>Applicants</w:t>
      </w:r>
      <w:r w:rsidR="00915753">
        <w:rPr>
          <w:rFonts w:eastAsia="Calibri"/>
          <w:color w:val="000000"/>
          <w:kern w:val="0"/>
          <w:szCs w:val="22"/>
        </w:rPr>
        <w:t xml:space="preserve"> ha</w:t>
      </w:r>
      <w:r>
        <w:rPr>
          <w:rFonts w:eastAsia="Calibri"/>
          <w:color w:val="000000"/>
          <w:kern w:val="0"/>
          <w:szCs w:val="22"/>
        </w:rPr>
        <w:t>ve</w:t>
      </w:r>
      <w:r w:rsidR="00915753">
        <w:rPr>
          <w:rFonts w:eastAsia="Calibri"/>
          <w:color w:val="000000"/>
          <w:kern w:val="0"/>
          <w:szCs w:val="22"/>
        </w:rPr>
        <w:t xml:space="preserve"> filed supplemental information in this section 214 docket stating that, for purposes of the Consent Decree, </w:t>
      </w:r>
      <w:r>
        <w:rPr>
          <w:rFonts w:eastAsia="Calibri"/>
          <w:color w:val="000000"/>
          <w:kern w:val="0"/>
          <w:szCs w:val="22"/>
        </w:rPr>
        <w:t xml:space="preserve">T3 Intermediate </w:t>
      </w:r>
      <w:r w:rsidR="00915753">
        <w:rPr>
          <w:rFonts w:eastAsia="Calibri"/>
          <w:color w:val="000000"/>
          <w:kern w:val="0"/>
          <w:szCs w:val="22"/>
        </w:rPr>
        <w:t xml:space="preserve">will be deemed a successor, assignee, or transferee of </w:t>
      </w:r>
      <w:r>
        <w:rPr>
          <w:rFonts w:eastAsia="Calibri"/>
          <w:color w:val="000000"/>
          <w:kern w:val="0"/>
          <w:szCs w:val="22"/>
        </w:rPr>
        <w:t>NTS</w:t>
      </w:r>
      <w:r w:rsidR="00B700C8">
        <w:rPr>
          <w:rFonts w:eastAsia="Calibri"/>
          <w:color w:val="000000"/>
          <w:kern w:val="0"/>
          <w:szCs w:val="22"/>
        </w:rPr>
        <w:t>C</w:t>
      </w:r>
      <w:r w:rsidR="00915753">
        <w:rPr>
          <w:rFonts w:eastAsia="Calibri"/>
          <w:color w:val="000000"/>
          <w:kern w:val="0"/>
          <w:szCs w:val="22"/>
        </w:rPr>
        <w:t xml:space="preserve"> </w:t>
      </w:r>
      <w:r w:rsidR="00B700C8">
        <w:rPr>
          <w:rFonts w:eastAsia="Calibri"/>
          <w:color w:val="000000"/>
          <w:kern w:val="0"/>
          <w:szCs w:val="22"/>
        </w:rPr>
        <w:t>upon</w:t>
      </w:r>
      <w:r w:rsidR="00915753">
        <w:rPr>
          <w:rFonts w:eastAsia="Calibri"/>
          <w:color w:val="000000"/>
          <w:kern w:val="0"/>
          <w:szCs w:val="22"/>
        </w:rPr>
        <w:t xml:space="preserve"> consummation of the proposed transaction and that it will be </w:t>
      </w:r>
      <w:r w:rsidR="000663EF">
        <w:rPr>
          <w:rFonts w:eastAsia="Calibri"/>
          <w:color w:val="000000"/>
          <w:kern w:val="0"/>
          <w:szCs w:val="22"/>
        </w:rPr>
        <w:t>“</w:t>
      </w:r>
      <w:r w:rsidR="00915753">
        <w:rPr>
          <w:rFonts w:eastAsia="Calibri"/>
          <w:color w:val="000000"/>
          <w:kern w:val="0"/>
          <w:szCs w:val="22"/>
        </w:rPr>
        <w:t xml:space="preserve">bound by </w:t>
      </w:r>
      <w:r>
        <w:rPr>
          <w:rFonts w:eastAsia="Calibri"/>
          <w:color w:val="000000"/>
          <w:kern w:val="0"/>
          <w:szCs w:val="22"/>
        </w:rPr>
        <w:t>NTS</w:t>
      </w:r>
      <w:r w:rsidR="00B700C8">
        <w:rPr>
          <w:rFonts w:eastAsia="Calibri"/>
          <w:color w:val="000000"/>
          <w:kern w:val="0"/>
          <w:szCs w:val="22"/>
        </w:rPr>
        <w:t>C</w:t>
      </w:r>
      <w:r>
        <w:rPr>
          <w:rFonts w:eastAsia="Calibri"/>
          <w:color w:val="000000"/>
          <w:kern w:val="0"/>
          <w:szCs w:val="22"/>
        </w:rPr>
        <w:t>’s</w:t>
      </w:r>
      <w:r w:rsidR="00915753">
        <w:rPr>
          <w:rFonts w:eastAsia="Calibri"/>
          <w:color w:val="000000"/>
          <w:kern w:val="0"/>
          <w:szCs w:val="22"/>
        </w:rPr>
        <w:t xml:space="preserve"> obligations as set for</w:t>
      </w:r>
      <w:r w:rsidR="001D3393">
        <w:rPr>
          <w:rFonts w:eastAsia="Calibri"/>
          <w:color w:val="000000"/>
          <w:kern w:val="0"/>
          <w:szCs w:val="22"/>
        </w:rPr>
        <w:t>th in</w:t>
      </w:r>
      <w:r w:rsidR="00915753">
        <w:rPr>
          <w:rFonts w:eastAsia="Calibri"/>
          <w:color w:val="000000"/>
          <w:kern w:val="0"/>
          <w:szCs w:val="22"/>
        </w:rPr>
        <w:t xml:space="preserve"> the Consent Decree</w:t>
      </w:r>
      <w:r w:rsidR="000663EF">
        <w:rPr>
          <w:rFonts w:eastAsia="Calibri"/>
          <w:color w:val="000000"/>
          <w:kern w:val="0"/>
          <w:szCs w:val="22"/>
        </w:rPr>
        <w:t xml:space="preserve"> for the remaining term of the Consent Decree</w:t>
      </w:r>
      <w:r w:rsidR="00B700C8">
        <w:rPr>
          <w:rFonts w:eastAsia="Calibri"/>
          <w:color w:val="000000"/>
          <w:kern w:val="0"/>
          <w:szCs w:val="22"/>
        </w:rPr>
        <w:t>.”</w:t>
      </w:r>
      <w:r w:rsidR="00B700C8">
        <w:rPr>
          <w:rStyle w:val="FootnoteReference"/>
          <w:rFonts w:eastAsia="Calibri"/>
          <w:kern w:val="0"/>
          <w:szCs w:val="22"/>
        </w:rPr>
        <w:footnoteReference w:id="11"/>
      </w:r>
      <w:r w:rsidR="00AD3311">
        <w:rPr>
          <w:rFonts w:eastAsia="Calibri"/>
          <w:color w:val="000000"/>
          <w:kern w:val="0"/>
          <w:szCs w:val="22"/>
        </w:rPr>
        <w:t xml:space="preserve">  </w:t>
      </w:r>
      <w:r w:rsidR="00AD3311" w:rsidRPr="00AD3311">
        <w:rPr>
          <w:rFonts w:eastAsia="Calibri"/>
          <w:color w:val="000000"/>
          <w:kern w:val="0"/>
          <w:szCs w:val="22"/>
        </w:rPr>
        <w:t xml:space="preserve">T3 Intermediate also agrees to </w:t>
      </w:r>
      <w:r w:rsidR="00AD3311" w:rsidRPr="00AD3311">
        <w:rPr>
          <w:szCs w:val="22"/>
        </w:rPr>
        <w:t xml:space="preserve">accelerate </w:t>
      </w:r>
      <w:r w:rsidR="0066042D">
        <w:rPr>
          <w:szCs w:val="22"/>
        </w:rPr>
        <w:t xml:space="preserve">payment of the remaining </w:t>
      </w:r>
      <w:r w:rsidR="00AD3311" w:rsidRPr="00AD3311">
        <w:rPr>
          <w:szCs w:val="22"/>
        </w:rPr>
        <w:t>voluntary contribution </w:t>
      </w:r>
      <w:r w:rsidR="00D64292">
        <w:rPr>
          <w:szCs w:val="22"/>
        </w:rPr>
        <w:t xml:space="preserve">contained in the Consent Decree </w:t>
      </w:r>
      <w:r w:rsidR="00AD3311" w:rsidRPr="00AD3311">
        <w:rPr>
          <w:szCs w:val="22"/>
        </w:rPr>
        <w:t xml:space="preserve">to be paid in full within 30 days </w:t>
      </w:r>
      <w:r w:rsidR="00B700C8">
        <w:rPr>
          <w:szCs w:val="22"/>
        </w:rPr>
        <w:t xml:space="preserve">following </w:t>
      </w:r>
      <w:r w:rsidR="00AD3311" w:rsidRPr="00AD3311">
        <w:rPr>
          <w:szCs w:val="22"/>
        </w:rPr>
        <w:t>consummation of the transaction. </w:t>
      </w:r>
      <w:r w:rsidR="00915753" w:rsidRPr="00AD3311">
        <w:rPr>
          <w:rStyle w:val="FootnoteReference"/>
          <w:rFonts w:eastAsia="Calibri"/>
          <w:kern w:val="0"/>
          <w:szCs w:val="22"/>
        </w:rPr>
        <w:footnoteReference w:id="12"/>
      </w:r>
      <w:r w:rsidR="00915753">
        <w:rPr>
          <w:rFonts w:eastAsia="Calibri"/>
          <w:color w:val="000000"/>
          <w:kern w:val="0"/>
          <w:szCs w:val="22"/>
        </w:rPr>
        <w:t xml:space="preserve">  </w:t>
      </w:r>
      <w:r>
        <w:rPr>
          <w:rFonts w:eastAsia="Calibri"/>
          <w:color w:val="000000"/>
          <w:kern w:val="0"/>
          <w:szCs w:val="22"/>
        </w:rPr>
        <w:t>T3 Intermediate st</w:t>
      </w:r>
      <w:r w:rsidR="00915753">
        <w:rPr>
          <w:rFonts w:eastAsia="Calibri"/>
          <w:color w:val="000000"/>
          <w:kern w:val="0"/>
          <w:szCs w:val="22"/>
        </w:rPr>
        <w:t>ates that it accepts these commitments as a condition to the grant of the Application.</w:t>
      </w:r>
      <w:r w:rsidR="00CF4953">
        <w:rPr>
          <w:rStyle w:val="FootnoteReference"/>
          <w:rFonts w:eastAsia="Calibri"/>
          <w:kern w:val="0"/>
          <w:szCs w:val="22"/>
        </w:rPr>
        <w:footnoteReference w:id="13"/>
      </w:r>
      <w:r w:rsidR="00CF4953">
        <w:rPr>
          <w:rFonts w:eastAsia="Calibri"/>
          <w:color w:val="000000"/>
          <w:kern w:val="0"/>
          <w:szCs w:val="22"/>
        </w:rPr>
        <w:t xml:space="preserve">  </w:t>
      </w:r>
    </w:p>
    <w:p w:rsidR="00406A7E" w:rsidRDefault="00406A7E" w:rsidP="002928B3">
      <w:pPr>
        <w:widowControl/>
        <w:ind w:firstLine="720"/>
        <w:jc w:val="left"/>
        <w:rPr>
          <w:rFonts w:eastAsia="Calibri"/>
          <w:color w:val="000000"/>
          <w:kern w:val="0"/>
          <w:szCs w:val="22"/>
        </w:rPr>
      </w:pPr>
    </w:p>
    <w:p w:rsidR="00CF4953" w:rsidRPr="00CF4953" w:rsidRDefault="00CF4953" w:rsidP="002928B3">
      <w:pPr>
        <w:widowControl/>
        <w:ind w:firstLine="720"/>
        <w:jc w:val="left"/>
        <w:rPr>
          <w:rFonts w:eastAsia="Calibri"/>
          <w:color w:val="000000"/>
          <w:kern w:val="0"/>
          <w:szCs w:val="22"/>
        </w:rPr>
      </w:pPr>
      <w:r w:rsidRPr="00CF4953">
        <w:rPr>
          <w:rFonts w:eastAsia="Calibri"/>
          <w:color w:val="000000"/>
          <w:kern w:val="0"/>
          <w:szCs w:val="22"/>
        </w:rPr>
        <w:lastRenderedPageBreak/>
        <w:t xml:space="preserve">We accept </w:t>
      </w:r>
      <w:r w:rsidR="002928B3">
        <w:rPr>
          <w:rFonts w:eastAsia="Calibri"/>
          <w:color w:val="000000"/>
          <w:kern w:val="0"/>
          <w:szCs w:val="22"/>
        </w:rPr>
        <w:t>T3 Intermediate’s</w:t>
      </w:r>
      <w:r w:rsidRPr="00CF4953">
        <w:rPr>
          <w:rFonts w:eastAsia="Calibri"/>
          <w:color w:val="000000"/>
          <w:kern w:val="0"/>
          <w:szCs w:val="22"/>
        </w:rPr>
        <w:t xml:space="preserve"> commitment</w:t>
      </w:r>
      <w:r w:rsidR="00915753">
        <w:rPr>
          <w:rFonts w:eastAsia="Calibri"/>
          <w:color w:val="000000"/>
          <w:kern w:val="0"/>
          <w:szCs w:val="22"/>
        </w:rPr>
        <w:t xml:space="preserve"> for purposes of the Consent Decree </w:t>
      </w:r>
      <w:r w:rsidRPr="00CF4953">
        <w:rPr>
          <w:rFonts w:eastAsia="Calibri"/>
          <w:color w:val="000000"/>
          <w:kern w:val="0"/>
          <w:szCs w:val="22"/>
        </w:rPr>
        <w:t xml:space="preserve">and make </w:t>
      </w:r>
      <w:r w:rsidR="00326741">
        <w:rPr>
          <w:rFonts w:eastAsia="Calibri"/>
          <w:color w:val="000000"/>
          <w:kern w:val="0"/>
          <w:szCs w:val="22"/>
        </w:rPr>
        <w:t xml:space="preserve">the terms of the commitment </w:t>
      </w:r>
      <w:r w:rsidRPr="00CF4953">
        <w:rPr>
          <w:rFonts w:eastAsia="Calibri"/>
          <w:color w:val="000000"/>
          <w:kern w:val="0"/>
          <w:szCs w:val="22"/>
        </w:rPr>
        <w:t>a binding and enforceable condition of our approval.</w:t>
      </w:r>
      <w:r w:rsidRPr="00FE65AB">
        <w:rPr>
          <w:szCs w:val="22"/>
          <w:vertAlign w:val="superscript"/>
        </w:rPr>
        <w:footnoteReference w:id="14"/>
      </w:r>
      <w:r w:rsidRPr="00CF4953">
        <w:rPr>
          <w:rFonts w:eastAsia="Calibri"/>
          <w:color w:val="000000"/>
          <w:kern w:val="0"/>
          <w:szCs w:val="22"/>
        </w:rPr>
        <w:t>  Our public interest authority enables us, where appropriate, to impose and enforce narrowly tailored, transaction-specific conditions to ensure that the public interest is served.</w:t>
      </w:r>
      <w:r w:rsidRPr="00CF4953">
        <w:rPr>
          <w:szCs w:val="22"/>
          <w:vertAlign w:val="superscript"/>
        </w:rPr>
        <w:t xml:space="preserve"> </w:t>
      </w:r>
      <w:r w:rsidRPr="00FE65AB">
        <w:rPr>
          <w:szCs w:val="22"/>
          <w:vertAlign w:val="superscript"/>
        </w:rPr>
        <w:footnoteReference w:id="15"/>
      </w:r>
      <w:r w:rsidRPr="00FE65AB">
        <w:rPr>
          <w:szCs w:val="22"/>
          <w:vertAlign w:val="superscript"/>
        </w:rPr>
        <w:t xml:space="preserve"> </w:t>
      </w:r>
      <w:r w:rsidRPr="00CF4953">
        <w:rPr>
          <w:rFonts w:eastAsia="Calibri"/>
          <w:kern w:val="0"/>
          <w:szCs w:val="22"/>
          <w:vertAlign w:val="superscript"/>
        </w:rPr>
        <w:t xml:space="preserve"> </w:t>
      </w:r>
      <w:r w:rsidRPr="00CF4953">
        <w:rPr>
          <w:rFonts w:eastAsia="Calibri"/>
          <w:color w:val="000000"/>
          <w:kern w:val="0"/>
          <w:szCs w:val="22"/>
        </w:rPr>
        <w:t>Commission precedent requires that a</w:t>
      </w:r>
      <w:r w:rsidR="00915753">
        <w:rPr>
          <w:rFonts w:eastAsia="Calibri"/>
          <w:color w:val="000000"/>
          <w:kern w:val="0"/>
          <w:szCs w:val="22"/>
        </w:rPr>
        <w:t xml:space="preserve"> licensee</w:t>
      </w:r>
      <w:r w:rsidRPr="00CF4953">
        <w:rPr>
          <w:rFonts w:eastAsia="Calibri"/>
          <w:color w:val="000000"/>
          <w:kern w:val="0"/>
          <w:szCs w:val="22"/>
        </w:rPr>
        <w:t xml:space="preserve"> must operate in a manner consistent with the Act and the Commission’s rules.</w:t>
      </w:r>
      <w:r w:rsidRPr="00FE65AB">
        <w:rPr>
          <w:rStyle w:val="FootnoteReference"/>
          <w:szCs w:val="22"/>
        </w:rPr>
        <w:footnoteReference w:id="16"/>
      </w:r>
      <w:r w:rsidRPr="00FE65AB">
        <w:rPr>
          <w:color w:val="000000"/>
          <w:szCs w:val="22"/>
        </w:rPr>
        <w:t xml:space="preserve"> </w:t>
      </w:r>
      <w:r>
        <w:rPr>
          <w:color w:val="000000"/>
          <w:szCs w:val="22"/>
        </w:rPr>
        <w:t xml:space="preserve"> </w:t>
      </w:r>
      <w:r w:rsidRPr="00CF4953">
        <w:rPr>
          <w:rFonts w:eastAsia="Calibri"/>
          <w:color w:val="000000"/>
          <w:kern w:val="0"/>
          <w:szCs w:val="22"/>
        </w:rPr>
        <w:t xml:space="preserve">We conclude that </w:t>
      </w:r>
      <w:r w:rsidR="002928B3">
        <w:rPr>
          <w:rFonts w:eastAsia="Calibri"/>
          <w:color w:val="000000"/>
          <w:kern w:val="0"/>
          <w:szCs w:val="22"/>
        </w:rPr>
        <w:t>T3 Intermediate’s</w:t>
      </w:r>
      <w:r w:rsidRPr="00CF4953">
        <w:rPr>
          <w:rFonts w:eastAsia="Calibri"/>
          <w:color w:val="000000"/>
          <w:kern w:val="0"/>
          <w:szCs w:val="22"/>
        </w:rPr>
        <w:t xml:space="preserve"> commitment will further the public interest, and we are satisfied that </w:t>
      </w:r>
      <w:r w:rsidR="002928B3">
        <w:rPr>
          <w:rFonts w:eastAsia="Calibri"/>
          <w:color w:val="000000"/>
          <w:kern w:val="0"/>
          <w:szCs w:val="22"/>
        </w:rPr>
        <w:t xml:space="preserve">T3 Intermediate </w:t>
      </w:r>
      <w:r w:rsidRPr="00CF4953">
        <w:rPr>
          <w:rFonts w:eastAsia="Calibri"/>
          <w:color w:val="000000"/>
          <w:kern w:val="0"/>
          <w:szCs w:val="22"/>
        </w:rPr>
        <w:t>is qualified to hold an authorization</w:t>
      </w:r>
      <w:r w:rsidR="001D3393">
        <w:rPr>
          <w:rFonts w:eastAsia="Calibri"/>
          <w:color w:val="000000"/>
          <w:kern w:val="0"/>
          <w:szCs w:val="22"/>
        </w:rPr>
        <w:t xml:space="preserve"> to </w:t>
      </w:r>
      <w:r w:rsidR="006C7E36">
        <w:rPr>
          <w:rFonts w:eastAsia="Calibri"/>
          <w:color w:val="000000"/>
          <w:kern w:val="0"/>
          <w:szCs w:val="22"/>
        </w:rPr>
        <w:t xml:space="preserve">acquire and </w:t>
      </w:r>
      <w:r w:rsidR="001D3393">
        <w:rPr>
          <w:rFonts w:eastAsia="Calibri"/>
          <w:color w:val="000000"/>
          <w:kern w:val="0"/>
          <w:szCs w:val="22"/>
        </w:rPr>
        <w:t xml:space="preserve">serve </w:t>
      </w:r>
      <w:r w:rsidR="002928B3">
        <w:rPr>
          <w:rFonts w:eastAsia="Calibri"/>
          <w:color w:val="000000"/>
          <w:kern w:val="0"/>
          <w:szCs w:val="22"/>
        </w:rPr>
        <w:t>NTS’s</w:t>
      </w:r>
      <w:r w:rsidR="001D3393">
        <w:rPr>
          <w:rFonts w:eastAsia="Calibri"/>
          <w:color w:val="000000"/>
          <w:kern w:val="0"/>
          <w:szCs w:val="22"/>
        </w:rPr>
        <w:t xml:space="preserve"> customers under the terms of the proposed transaction</w:t>
      </w:r>
      <w:r w:rsidRPr="00CF4953">
        <w:rPr>
          <w:rFonts w:eastAsia="Calibri"/>
          <w:color w:val="000000"/>
          <w:kern w:val="0"/>
          <w:szCs w:val="22"/>
        </w:rPr>
        <w:t>.</w:t>
      </w:r>
      <w:r w:rsidR="001D3393">
        <w:rPr>
          <w:rStyle w:val="FootnoteReference"/>
          <w:rFonts w:eastAsia="Calibri"/>
          <w:kern w:val="0"/>
          <w:szCs w:val="22"/>
        </w:rPr>
        <w:footnoteReference w:id="17"/>
      </w:r>
      <w:r w:rsidRPr="00CF4953">
        <w:rPr>
          <w:rFonts w:eastAsia="Calibri"/>
          <w:color w:val="000000"/>
          <w:kern w:val="0"/>
          <w:szCs w:val="22"/>
        </w:rPr>
        <w:t xml:space="preserve">  </w:t>
      </w:r>
    </w:p>
    <w:p w:rsidR="008D2336" w:rsidRDefault="008D2336" w:rsidP="00D77037">
      <w:pPr>
        <w:widowControl/>
        <w:autoSpaceDE w:val="0"/>
        <w:autoSpaceDN w:val="0"/>
        <w:adjustRightInd w:val="0"/>
        <w:ind w:firstLine="720"/>
        <w:jc w:val="left"/>
        <w:rPr>
          <w:szCs w:val="22"/>
        </w:rPr>
      </w:pPr>
    </w:p>
    <w:p w:rsidR="00B31DE2" w:rsidRPr="00D77037" w:rsidRDefault="007970C6" w:rsidP="00D77037">
      <w:pPr>
        <w:widowControl/>
        <w:autoSpaceDE w:val="0"/>
        <w:autoSpaceDN w:val="0"/>
        <w:adjustRightInd w:val="0"/>
        <w:ind w:firstLine="720"/>
        <w:jc w:val="left"/>
      </w:pPr>
      <w:r>
        <w:rPr>
          <w:szCs w:val="22"/>
        </w:rPr>
        <w:t xml:space="preserve"> </w:t>
      </w:r>
      <w:r w:rsidR="00CF4953">
        <w:rPr>
          <w:szCs w:val="22"/>
        </w:rPr>
        <w:t>W</w:t>
      </w:r>
      <w:r w:rsidR="008D2336">
        <w:t xml:space="preserve">e find that the transaction is likely to result in certain public interest benefits, including </w:t>
      </w:r>
      <w:r w:rsidR="00CF4953">
        <w:t xml:space="preserve">allowing the existing customers of </w:t>
      </w:r>
      <w:r w:rsidR="002928B3">
        <w:t xml:space="preserve">NTS to benefit from what Applicants assert will be </w:t>
      </w:r>
      <w:r w:rsidR="006205B8">
        <w:t>access to additional financial and other resources that will enhance their ability to compete more effectively in markets for local exchange, long distance, broadband, and video services</w:t>
      </w:r>
      <w:r w:rsidR="00CF4953">
        <w:t>.</w:t>
      </w:r>
      <w:r w:rsidR="008D2336">
        <w:rPr>
          <w:rStyle w:val="FootnoteReference"/>
        </w:rPr>
        <w:footnoteReference w:id="18"/>
      </w:r>
      <w:r w:rsidR="008D2336">
        <w:t xml:space="preserve">  In a</w:t>
      </w:r>
      <w:r w:rsidR="00F102B4">
        <w:t xml:space="preserve">ddition, Applicants affirm that, after completion of the customer transfer, </w:t>
      </w:r>
      <w:r w:rsidR="006205B8">
        <w:t xml:space="preserve">T3 Intermediate </w:t>
      </w:r>
      <w:r w:rsidR="00F102B4">
        <w:t xml:space="preserve">will provide </w:t>
      </w:r>
      <w:r w:rsidR="006205B8">
        <w:t>NTS’s</w:t>
      </w:r>
      <w:r w:rsidR="00F102B4">
        <w:t xml:space="preserve"> customers with existing services without any change to the rates, terms, and conditions</w:t>
      </w:r>
      <w:r w:rsidR="00C53214">
        <w:t xml:space="preserve"> of service</w:t>
      </w:r>
      <w:r w:rsidR="00F102B4">
        <w:t>.</w:t>
      </w:r>
      <w:r w:rsidR="00F102B4">
        <w:rPr>
          <w:rStyle w:val="FootnoteReference"/>
        </w:rPr>
        <w:footnoteReference w:id="19"/>
      </w:r>
      <w:r w:rsidR="00F102B4">
        <w:t xml:space="preserve">  </w:t>
      </w:r>
      <w:r w:rsidR="00DF42C8">
        <w:t xml:space="preserve">Accordingly, and subject to the condition stated above, we find that </w:t>
      </w:r>
      <w:r w:rsidR="00DF42C8">
        <w:rPr>
          <w:szCs w:val="22"/>
        </w:rPr>
        <w:t>grant of the A</w:t>
      </w:r>
      <w:r w:rsidR="00DF42C8" w:rsidRPr="00B15A22">
        <w:rPr>
          <w:szCs w:val="22"/>
        </w:rPr>
        <w:t>pplication will serve the public interest, convenience, and necessity.</w:t>
      </w:r>
      <w:r>
        <w:rPr>
          <w:szCs w:val="22"/>
        </w:rPr>
        <w:t xml:space="preserve"> </w:t>
      </w:r>
    </w:p>
    <w:p w:rsidR="002907F6" w:rsidRDefault="002907F6" w:rsidP="00B31DE2">
      <w:pPr>
        <w:widowControl/>
        <w:autoSpaceDE w:val="0"/>
        <w:autoSpaceDN w:val="0"/>
        <w:adjustRightInd w:val="0"/>
        <w:ind w:firstLine="720"/>
        <w:jc w:val="left"/>
        <w:rPr>
          <w:szCs w:val="22"/>
        </w:rPr>
      </w:pPr>
    </w:p>
    <w:p w:rsidR="00C502CA" w:rsidRPr="00B31DE2" w:rsidRDefault="007970C6" w:rsidP="00B31DE2">
      <w:pPr>
        <w:widowControl/>
        <w:autoSpaceDE w:val="0"/>
        <w:autoSpaceDN w:val="0"/>
        <w:adjustRightInd w:val="0"/>
        <w:ind w:firstLine="720"/>
        <w:jc w:val="left"/>
      </w:pPr>
      <w:r>
        <w:rPr>
          <w:szCs w:val="22"/>
        </w:rPr>
        <w:t>Pursuant to s</w:t>
      </w:r>
      <w:r w:rsidR="00C502CA" w:rsidRPr="00C502CA">
        <w:rPr>
          <w:szCs w:val="22"/>
        </w:rPr>
        <w:t xml:space="preserve">ections 4(i) </w:t>
      </w:r>
      <w:r>
        <w:rPr>
          <w:szCs w:val="22"/>
        </w:rPr>
        <w:t xml:space="preserve">and </w:t>
      </w:r>
      <w:r w:rsidR="00C502CA" w:rsidRPr="00C502CA">
        <w:rPr>
          <w:szCs w:val="22"/>
        </w:rPr>
        <w:t>214 of the</w:t>
      </w:r>
      <w:r w:rsidR="006C7E36">
        <w:rPr>
          <w:szCs w:val="22"/>
        </w:rPr>
        <w:t xml:space="preserve"> Act</w:t>
      </w:r>
      <w:r>
        <w:rPr>
          <w:szCs w:val="22"/>
        </w:rPr>
        <w:t xml:space="preserve"> and s</w:t>
      </w:r>
      <w:r w:rsidR="00C502CA" w:rsidRPr="00C502CA">
        <w:rPr>
          <w:szCs w:val="22"/>
        </w:rPr>
        <w:t>ection 0.291</w:t>
      </w:r>
      <w:r w:rsidR="00C53214">
        <w:rPr>
          <w:szCs w:val="22"/>
        </w:rPr>
        <w:t xml:space="preserve"> </w:t>
      </w:r>
      <w:r w:rsidR="00C502CA" w:rsidRPr="00C502CA">
        <w:rPr>
          <w:szCs w:val="22"/>
        </w:rPr>
        <w:t xml:space="preserve">of the Commission’s rules, </w:t>
      </w:r>
      <w:r w:rsidR="00F35AFA">
        <w:rPr>
          <w:szCs w:val="22"/>
        </w:rPr>
        <w:t>the Bureau,</w:t>
      </w:r>
      <w:r>
        <w:rPr>
          <w:szCs w:val="22"/>
        </w:rPr>
        <w:t xml:space="preserve"> </w:t>
      </w:r>
      <w:r w:rsidR="00C502CA" w:rsidRPr="00C502CA">
        <w:rPr>
          <w:szCs w:val="22"/>
        </w:rPr>
        <w:t>under delegated authority</w:t>
      </w:r>
      <w:r w:rsidR="0068159A">
        <w:rPr>
          <w:szCs w:val="22"/>
        </w:rPr>
        <w:t>,</w:t>
      </w:r>
      <w:r w:rsidR="00C502CA" w:rsidRPr="00C502CA">
        <w:rPr>
          <w:szCs w:val="22"/>
        </w:rPr>
        <w:t xml:space="preserve"> approve</w:t>
      </w:r>
      <w:r w:rsidR="00C53214">
        <w:rPr>
          <w:szCs w:val="22"/>
        </w:rPr>
        <w:t>s</w:t>
      </w:r>
      <w:r w:rsidR="00C502CA" w:rsidRPr="00C502CA">
        <w:rPr>
          <w:szCs w:val="22"/>
        </w:rPr>
        <w:t xml:space="preserve"> t</w:t>
      </w:r>
      <w:r>
        <w:rPr>
          <w:szCs w:val="22"/>
        </w:rPr>
        <w:t xml:space="preserve">he </w:t>
      </w:r>
      <w:r w:rsidR="0068159A">
        <w:rPr>
          <w:szCs w:val="22"/>
        </w:rPr>
        <w:t>A</w:t>
      </w:r>
      <w:r>
        <w:rPr>
          <w:szCs w:val="22"/>
        </w:rPr>
        <w:t xml:space="preserve">pplication </w:t>
      </w:r>
      <w:r w:rsidR="000A0930">
        <w:rPr>
          <w:szCs w:val="22"/>
        </w:rPr>
        <w:t>subject to the condition stated above</w:t>
      </w:r>
      <w:r>
        <w:rPr>
          <w:szCs w:val="22"/>
        </w:rPr>
        <w:t>.</w:t>
      </w:r>
      <w:r w:rsidR="00D64292" w:rsidRPr="00D64292">
        <w:rPr>
          <w:szCs w:val="22"/>
          <w:vertAlign w:val="superscript"/>
        </w:rPr>
        <w:t xml:space="preserve"> </w:t>
      </w:r>
      <w:r w:rsidR="00D64292" w:rsidRPr="00C502CA">
        <w:rPr>
          <w:szCs w:val="22"/>
          <w:vertAlign w:val="superscript"/>
        </w:rPr>
        <w:footnoteReference w:id="20"/>
      </w:r>
    </w:p>
    <w:p w:rsidR="00442B09" w:rsidRDefault="00442B09" w:rsidP="00C44A0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jc w:val="left"/>
        <w:rPr>
          <w:color w:val="000000"/>
        </w:rPr>
      </w:pPr>
    </w:p>
    <w:p w:rsidR="0038088F" w:rsidRDefault="0038088F" w:rsidP="00C44A0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jc w:val="left"/>
      </w:pPr>
      <w:r>
        <w:rPr>
          <w:color w:val="000000"/>
        </w:rPr>
        <w:t>For further information, please contact Jodie May, (202) 418-0913, Competition Policy Divisi</w:t>
      </w:r>
      <w:r w:rsidR="00C53214">
        <w:rPr>
          <w:color w:val="000000"/>
        </w:rPr>
        <w:t>on, Wireline Competition Bureau</w:t>
      </w:r>
      <w:r>
        <w:rPr>
          <w:color w:val="000000"/>
          <w:szCs w:val="22"/>
        </w:rPr>
        <w:t>.</w:t>
      </w:r>
    </w:p>
    <w:p w:rsidR="0038088F" w:rsidRDefault="0038088F" w:rsidP="00C44A0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jc w:val="left"/>
      </w:pPr>
    </w:p>
    <w:p w:rsidR="00C44A05" w:rsidRDefault="00C44A05" w:rsidP="00C44A0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jc w:val="center"/>
      </w:pPr>
      <w:r>
        <w:t>-FCC-</w:t>
      </w:r>
    </w:p>
    <w:sectPr w:rsidR="00C44A05">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D7" w:rsidRDefault="00BE12D7">
      <w:pPr>
        <w:spacing w:line="20" w:lineRule="exact"/>
      </w:pPr>
    </w:p>
  </w:endnote>
  <w:endnote w:type="continuationSeparator" w:id="0">
    <w:p w:rsidR="00BE12D7" w:rsidRDefault="00BE12D7">
      <w:r>
        <w:t xml:space="preserve"> </w:t>
      </w:r>
    </w:p>
  </w:endnote>
  <w:endnote w:type="continuationNotice" w:id="1">
    <w:p w:rsidR="00BE12D7" w:rsidRDefault="00BE12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0" w:rsidRDefault="00171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CF0" w:rsidRDefault="00171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0" w:rsidRDefault="00171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AB4">
      <w:rPr>
        <w:rStyle w:val="PageNumber"/>
        <w:noProof/>
      </w:rPr>
      <w:t>2</w:t>
    </w:r>
    <w:r>
      <w:rPr>
        <w:rStyle w:val="PageNumber"/>
      </w:rPr>
      <w:fldChar w:fldCharType="end"/>
    </w:r>
  </w:p>
  <w:p w:rsidR="00171CF0" w:rsidRDefault="00171CF0">
    <w:pPr>
      <w:pStyle w:val="Footer"/>
    </w:pPr>
  </w:p>
  <w:p w:rsidR="00171CF0" w:rsidRDefault="00171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0" w:rsidRDefault="00171CF0">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D7" w:rsidRDefault="00BE12D7">
      <w:r>
        <w:separator/>
      </w:r>
    </w:p>
  </w:footnote>
  <w:footnote w:type="continuationSeparator" w:id="0">
    <w:p w:rsidR="00BE12D7" w:rsidRDefault="00BE12D7">
      <w:r>
        <w:continuationSeparator/>
      </w:r>
    </w:p>
  </w:footnote>
  <w:footnote w:id="1">
    <w:p w:rsidR="00171CF0" w:rsidRDefault="00171CF0" w:rsidP="0016378F">
      <w:pPr>
        <w:pStyle w:val="FootnoteText"/>
        <w:spacing w:after="120"/>
      </w:pPr>
      <w:r>
        <w:rPr>
          <w:rStyle w:val="FootnoteReference"/>
        </w:rPr>
        <w:footnoteRef/>
      </w:r>
      <w:r>
        <w:t xml:space="preserve"> 47 U.S.C. § 214; </w:t>
      </w:r>
      <w:r>
        <w:rPr>
          <w:i/>
        </w:rPr>
        <w:t>NTS, Inc., Transferor, and T3 North Intermediate Holdings, LLC, Transferee, Consolidated Application for Consent to Transfer of Control</w:t>
      </w:r>
      <w:r>
        <w:t xml:space="preserve">, WC Docket No. 13-269, Public Notice, 28 FCC Rcd 16611 (Wireline Comp. Bur. 2013) (Application).  Applicants also filed applications for transfer of control associated with authorizations for international service and Cable Television Relay Service.  Any action on this domestic section 214 application is without prejudice to Commission action on other related, pending applications.      </w:t>
      </w:r>
    </w:p>
  </w:footnote>
  <w:footnote w:id="2">
    <w:p w:rsidR="00171CF0" w:rsidRDefault="00171CF0">
      <w:pPr>
        <w:pStyle w:val="FootnoteText"/>
      </w:pPr>
      <w:r>
        <w:rPr>
          <w:rStyle w:val="FootnoteReference"/>
        </w:rPr>
        <w:footnoteRef/>
      </w:r>
      <w:r>
        <w:t xml:space="preserve"> Application at 4-5 and Exh. B.</w:t>
      </w:r>
    </w:p>
  </w:footnote>
  <w:footnote w:id="3">
    <w:p w:rsidR="00171CF0" w:rsidRPr="008B7D63" w:rsidRDefault="00171CF0">
      <w:pPr>
        <w:pStyle w:val="FootnoteText"/>
      </w:pPr>
      <w:r>
        <w:rPr>
          <w:rStyle w:val="FootnoteReference"/>
        </w:rPr>
        <w:footnoteRef/>
      </w:r>
      <w:r>
        <w:t xml:space="preserve"> </w:t>
      </w:r>
      <w:r>
        <w:rPr>
          <w:i/>
        </w:rPr>
        <w:t>Id</w:t>
      </w:r>
      <w:r>
        <w:t>. at 5-6 and Exh. B.</w:t>
      </w:r>
    </w:p>
  </w:footnote>
  <w:footnote w:id="4">
    <w:p w:rsidR="00171CF0" w:rsidRPr="0084325F" w:rsidRDefault="00171CF0">
      <w:pPr>
        <w:pStyle w:val="FootnoteText"/>
      </w:pPr>
      <w:r>
        <w:rPr>
          <w:rStyle w:val="FootnoteReference"/>
        </w:rPr>
        <w:footnoteRef/>
      </w:r>
      <w:r>
        <w:t xml:space="preserve"> </w:t>
      </w:r>
      <w:r>
        <w:rPr>
          <w:i/>
        </w:rPr>
        <w:t>Id</w:t>
      </w:r>
      <w:r>
        <w:t>. at 2-4.</w:t>
      </w:r>
    </w:p>
  </w:footnote>
  <w:footnote w:id="5">
    <w:p w:rsidR="00171CF0" w:rsidRPr="004836C2" w:rsidRDefault="00171CF0" w:rsidP="000225E4">
      <w:pPr>
        <w:pStyle w:val="FootnoteText"/>
        <w:rPr>
          <w:rFonts w:ascii="Times New (W1)" w:hAnsi="Times New (W1)"/>
        </w:rPr>
      </w:pPr>
      <w:r>
        <w:rPr>
          <w:rStyle w:val="FootnoteReference"/>
        </w:rPr>
        <w:footnoteRef/>
      </w:r>
      <w:r w:rsidR="00326741">
        <w:t xml:space="preserve"> </w:t>
      </w:r>
      <w:r>
        <w:rPr>
          <w:i/>
        </w:rPr>
        <w:t>See</w:t>
      </w:r>
      <w:r>
        <w:t xml:space="preserve"> </w:t>
      </w:r>
      <w:r>
        <w:rPr>
          <w:rFonts w:ascii="Times New (W1)" w:hAnsi="Times New (W1)"/>
        </w:rPr>
        <w:t>Letter from Caroline Brown, U.S. Department of Justice, to Marlene H. Dortch, Secretary, FCC, WC</w:t>
      </w:r>
      <w:r>
        <w:t xml:space="preserve"> Docket No. 13-269 </w:t>
      </w:r>
      <w:r>
        <w:rPr>
          <w:rFonts w:ascii="Times New (W1)" w:hAnsi="Times New (W1)"/>
        </w:rPr>
        <w:t>(filed Dec. 18, 2013).</w:t>
      </w:r>
    </w:p>
  </w:footnote>
  <w:footnote w:id="6">
    <w:p w:rsidR="00171CF0" w:rsidRDefault="00171CF0" w:rsidP="00D61E70">
      <w:pPr>
        <w:pStyle w:val="FootnoteText"/>
      </w:pPr>
      <w:r>
        <w:rPr>
          <w:rStyle w:val="FootnoteReference"/>
        </w:rPr>
        <w:footnoteRef/>
      </w:r>
      <w:r w:rsidR="00326741">
        <w:rPr>
          <w:i/>
        </w:rPr>
        <w:t xml:space="preserve"> </w:t>
      </w:r>
      <w:r w:rsidRPr="0068159A">
        <w:rPr>
          <w:i/>
        </w:rPr>
        <w:t xml:space="preserve">Notice of Removal of Domestic Section 214 Application from Streamlined </w:t>
      </w:r>
      <w:r>
        <w:rPr>
          <w:i/>
        </w:rPr>
        <w:t>T</w:t>
      </w:r>
      <w:r w:rsidRPr="0068159A">
        <w:rPr>
          <w:i/>
        </w:rPr>
        <w:t>reatment</w:t>
      </w:r>
      <w:r>
        <w:t>, WC Docket No. 13-269, Public Notice, 29 FCC Rcd 46 (Wireline Comp. Bur.  2014).</w:t>
      </w:r>
    </w:p>
  </w:footnote>
  <w:footnote w:id="7">
    <w:p w:rsidR="00171CF0" w:rsidRDefault="00171CF0" w:rsidP="00D61E70">
      <w:pPr>
        <w:pStyle w:val="FootnoteText"/>
      </w:pPr>
      <w:r>
        <w:rPr>
          <w:rStyle w:val="FootnoteReference"/>
        </w:rPr>
        <w:footnoteRef/>
      </w:r>
      <w:r>
        <w:t xml:space="preserve"> </w:t>
      </w:r>
      <w:r>
        <w:rPr>
          <w:rFonts w:ascii="Times New (W1)" w:hAnsi="Times New (W1)"/>
        </w:rPr>
        <w:t>Letter from Caroline Brown, U.S. Department of Justice, to Marlene H. Dortch, Secretary, FCC, WC Docket No. 13-269 (filed May 28, 2014).</w:t>
      </w:r>
    </w:p>
  </w:footnote>
  <w:footnote w:id="8">
    <w:p w:rsidR="00171CF0" w:rsidRDefault="00171CF0" w:rsidP="006205B8">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Rules and Policies on Foreign Participation in the U.S. Telecommunications Market</w:t>
      </w:r>
      <w:r>
        <w:t>,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 w:id="9">
    <w:p w:rsidR="00171CF0" w:rsidRDefault="00171CF0" w:rsidP="001D3393">
      <w:pPr>
        <w:pStyle w:val="FootnoteText"/>
      </w:pPr>
      <w:r>
        <w:rPr>
          <w:rStyle w:val="FootnoteReference"/>
        </w:rPr>
        <w:footnoteRef/>
      </w:r>
      <w:r>
        <w:t xml:space="preserve"> </w:t>
      </w:r>
      <w:r w:rsidRPr="00BA012D">
        <w:rPr>
          <w:i/>
        </w:rPr>
        <w:t>NTS Communications, Inc. Apparent Liability for Forfeiture</w:t>
      </w:r>
      <w:r>
        <w:t>, File No. EB-09-IH-1219, Order, 28 FCC Rcd 16515 (Enf. Bur. 2013) (</w:t>
      </w:r>
      <w:r w:rsidRPr="007A230F">
        <w:rPr>
          <w:i/>
        </w:rPr>
        <w:t>NTSC Order</w:t>
      </w:r>
      <w:r>
        <w:t xml:space="preserve">) (citing 47 U.S.C. § 254(d); 47 C.F.R. § 54.706(a) and adopting a Consent Decree resolving and terminating an investigation against NTSC for apparent violations of Universal Service Fund requirements).  </w:t>
      </w:r>
    </w:p>
  </w:footnote>
  <w:footnote w:id="10">
    <w:p w:rsidR="00171CF0" w:rsidRPr="001D3393" w:rsidRDefault="00171CF0">
      <w:pPr>
        <w:pStyle w:val="FootnoteText"/>
      </w:pPr>
      <w:r>
        <w:rPr>
          <w:rStyle w:val="FootnoteReference"/>
        </w:rPr>
        <w:footnoteRef/>
      </w:r>
      <w:r>
        <w:t xml:space="preserve"> </w:t>
      </w:r>
      <w:r w:rsidR="00326741">
        <w:rPr>
          <w:i/>
        </w:rPr>
        <w:t>NTSC Order</w:t>
      </w:r>
      <w:r>
        <w:t xml:space="preserve"> at Attach.</w:t>
      </w:r>
    </w:p>
  </w:footnote>
  <w:footnote w:id="11">
    <w:p w:rsidR="00171CF0" w:rsidRDefault="00171CF0">
      <w:pPr>
        <w:pStyle w:val="FootnoteText"/>
      </w:pPr>
      <w:r>
        <w:rPr>
          <w:rStyle w:val="FootnoteReference"/>
        </w:rPr>
        <w:footnoteRef/>
      </w:r>
      <w:r>
        <w:t xml:space="preserve"> Letter from Mace Rosenstein and Michael Beder, Counsel to T3 Intermediate, to Marlene H. Dortch, Secretary, FCC, WC Docket No. 13-269, File Nos. ITC-T/C-20131105-00293, ITC-T/C-20131105-00295, at 2 (filed May 29, 2014).</w:t>
      </w:r>
    </w:p>
  </w:footnote>
  <w:footnote w:id="12">
    <w:p w:rsidR="00171CF0" w:rsidRDefault="00171CF0">
      <w:pPr>
        <w:pStyle w:val="FootnoteText"/>
      </w:pPr>
      <w:r>
        <w:rPr>
          <w:rStyle w:val="FootnoteReference"/>
        </w:rPr>
        <w:footnoteRef/>
      </w:r>
      <w:r>
        <w:t xml:space="preserve"> </w:t>
      </w:r>
      <w:r w:rsidRPr="00B700C8">
        <w:rPr>
          <w:i/>
        </w:rPr>
        <w:t>Id</w:t>
      </w:r>
      <w:r>
        <w:t>. at 2.</w:t>
      </w:r>
    </w:p>
  </w:footnote>
  <w:footnote w:id="13">
    <w:p w:rsidR="00171CF0" w:rsidRPr="00B700C8" w:rsidRDefault="00171CF0">
      <w:pPr>
        <w:pStyle w:val="FootnoteText"/>
      </w:pPr>
      <w:r>
        <w:rPr>
          <w:rStyle w:val="FootnoteReference"/>
        </w:rPr>
        <w:footnoteRef/>
      </w:r>
      <w:r>
        <w:t xml:space="preserve"> </w:t>
      </w:r>
      <w:r>
        <w:rPr>
          <w:i/>
        </w:rPr>
        <w:t>Id</w:t>
      </w:r>
      <w:r>
        <w:t>.  T3 Intermediate has stated that it accepts the commitments as a condition to the Commission’s grant of all of its pending applications.</w:t>
      </w:r>
    </w:p>
  </w:footnote>
  <w:footnote w:id="14">
    <w:p w:rsidR="00171CF0" w:rsidRDefault="00171CF0" w:rsidP="00CF4953">
      <w:pPr>
        <w:pStyle w:val="FootnoteText"/>
        <w:spacing w:after="120"/>
        <w:rPr>
          <w:color w:val="000000"/>
        </w:rPr>
      </w:pPr>
      <w:r>
        <w:rPr>
          <w:rStyle w:val="FootnoteCharacters"/>
          <w:color w:val="000000"/>
        </w:rPr>
        <w:footnoteRef/>
      </w:r>
      <w:r>
        <w:rPr>
          <w:color w:val="000000"/>
        </w:rPr>
        <w:t xml:space="preserve"> </w:t>
      </w:r>
      <w:r>
        <w:rPr>
          <w:i/>
          <w:color w:val="000000"/>
        </w:rPr>
        <w:t xml:space="preserve">See, e.g., </w:t>
      </w:r>
      <w:r>
        <w:rPr>
          <w:i/>
        </w:rPr>
        <w:t xml:space="preserve">Application of AT&amp;T Inc. and BellSouth Corporation to Transfer Control, </w:t>
      </w:r>
      <w:r w:rsidRPr="00A81FD2">
        <w:t>WC Docket No. 06-</w:t>
      </w:r>
      <w:r>
        <w:rPr>
          <w:i/>
        </w:rPr>
        <w:t xml:space="preserve">74, </w:t>
      </w:r>
      <w:r>
        <w:t>Memorandum Opinion and Order, 22 FCC Rcd 5662, 5674, para. 22 (2007)</w:t>
      </w:r>
      <w:r>
        <w:rPr>
          <w:color w:val="000000"/>
        </w:rPr>
        <w:t>.</w:t>
      </w:r>
    </w:p>
  </w:footnote>
  <w:footnote w:id="15">
    <w:p w:rsidR="00171CF0" w:rsidRDefault="00171CF0" w:rsidP="00CF4953">
      <w:pPr>
        <w:pStyle w:val="FootnoteText"/>
        <w:spacing w:after="120"/>
        <w:rPr>
          <w:color w:val="000000"/>
        </w:rPr>
      </w:pPr>
      <w:r>
        <w:rPr>
          <w:rStyle w:val="FootnoteCharacters"/>
          <w:color w:val="000000"/>
        </w:rPr>
        <w:footnoteRef/>
      </w:r>
      <w:r>
        <w:rPr>
          <w:color w:val="000000"/>
        </w:rPr>
        <w:t xml:space="preserve"> </w:t>
      </w:r>
      <w:r>
        <w:rPr>
          <w:i/>
          <w:color w:val="000000"/>
        </w:rPr>
        <w:t>See id</w:t>
      </w:r>
      <w:r>
        <w:rPr>
          <w:color w:val="000000"/>
        </w:rPr>
        <w:t>.</w:t>
      </w:r>
    </w:p>
  </w:footnote>
  <w:footnote w:id="16">
    <w:p w:rsidR="00171CF0" w:rsidRPr="002D68BB" w:rsidRDefault="00171CF0" w:rsidP="00CF4953">
      <w:pPr>
        <w:pStyle w:val="FootnoteText"/>
        <w:spacing w:after="120"/>
      </w:pPr>
      <w:r>
        <w:rPr>
          <w:rStyle w:val="FootnoteReference"/>
        </w:rPr>
        <w:footnoteRef/>
      </w:r>
      <w:r>
        <w:rPr>
          <w:snapToGrid w:val="0"/>
          <w:kern w:val="28"/>
        </w:rPr>
        <w:t xml:space="preserve"> </w:t>
      </w:r>
      <w:r>
        <w:rPr>
          <w:i/>
          <w:snapToGrid w:val="0"/>
          <w:kern w:val="28"/>
        </w:rPr>
        <w:t xml:space="preserve">See </w:t>
      </w:r>
      <w:r w:rsidRPr="00FE65AB">
        <w:rPr>
          <w:i/>
          <w:color w:val="000000"/>
        </w:rPr>
        <w:t>Policy Regarding Character Qualifications in Broadcast Licensing Proceedings</w:t>
      </w:r>
      <w:r w:rsidRPr="002D68BB">
        <w:rPr>
          <w:color w:val="000000"/>
        </w:rPr>
        <w:t xml:space="preserve">, Gen. Docket No. 81-500, Docket No. 78-108, 102 F.C.C.2d 1179, 1189, 1209, paras. 21, 55-56 (1986).  </w:t>
      </w:r>
      <w:r w:rsidRPr="002D68BB">
        <w:t xml:space="preserve">  </w:t>
      </w:r>
    </w:p>
  </w:footnote>
  <w:footnote w:id="17">
    <w:p w:rsidR="00171CF0" w:rsidRPr="001D3393" w:rsidRDefault="00171CF0">
      <w:pPr>
        <w:pStyle w:val="FootnoteText"/>
      </w:pPr>
      <w:r>
        <w:rPr>
          <w:rStyle w:val="FootnoteReference"/>
        </w:rPr>
        <w:footnoteRef/>
      </w:r>
      <w:r>
        <w:t xml:space="preserve"> </w:t>
      </w:r>
      <w:r>
        <w:rPr>
          <w:i/>
        </w:rPr>
        <w:t>See NTSC Order</w:t>
      </w:r>
      <w:r>
        <w:t>, 28 FCC Rcd at 16515, para. 4 (concluding that the investigation raises no substantial or material questions of fact as to whether NTSC possesses the basic qualifications, including those related to character, to hold or obtain any Commission license or authorization).</w:t>
      </w:r>
    </w:p>
  </w:footnote>
  <w:footnote w:id="18">
    <w:p w:rsidR="00171CF0" w:rsidRDefault="00171CF0" w:rsidP="008D2336">
      <w:pPr>
        <w:pStyle w:val="FootnoteText"/>
        <w:spacing w:after="120"/>
      </w:pPr>
      <w:r>
        <w:rPr>
          <w:rStyle w:val="FootnoteReference"/>
        </w:rPr>
        <w:footnoteRef/>
      </w:r>
      <w:r>
        <w:t xml:space="preserve"> Application at 4. </w:t>
      </w:r>
    </w:p>
  </w:footnote>
  <w:footnote w:id="19">
    <w:p w:rsidR="00171CF0" w:rsidRDefault="00171CF0">
      <w:pPr>
        <w:pStyle w:val="FootnoteText"/>
      </w:pPr>
      <w:r>
        <w:rPr>
          <w:rStyle w:val="FootnoteReference"/>
        </w:rPr>
        <w:footnoteRef/>
      </w:r>
      <w:r>
        <w:t xml:space="preserve"> </w:t>
      </w:r>
      <w:r>
        <w:rPr>
          <w:i/>
        </w:rPr>
        <w:t>Id</w:t>
      </w:r>
      <w:r>
        <w:t xml:space="preserve">. </w:t>
      </w:r>
    </w:p>
  </w:footnote>
  <w:footnote w:id="20">
    <w:p w:rsidR="00171CF0" w:rsidRDefault="00171CF0" w:rsidP="00D64292">
      <w:pPr>
        <w:pStyle w:val="FootnoteText"/>
        <w:spacing w:after="120"/>
        <w:rPr>
          <w:rStyle w:val="FootnoteTextChar1"/>
        </w:rPr>
      </w:pPr>
      <w:r>
        <w:rPr>
          <w:rStyle w:val="FootnoteReference"/>
        </w:rPr>
        <w:footnoteRef/>
      </w:r>
      <w:r>
        <w:rPr>
          <w:rStyle w:val="FootnoteTextChar1"/>
        </w:rPr>
        <w:t xml:space="preserve"> 47 U.S.C. §§ 154(i), 214; 47 C.F.R. §0.291.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04" w:rsidRDefault="003D3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04" w:rsidRDefault="003D3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0" w:rsidRDefault="00E90594">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171CF0" w:rsidRDefault="00171CF0">
    <w:pPr>
      <w:suppressAutoHyphens/>
      <w:ind w:firstLine="1080"/>
      <w:rPr>
        <w:rFonts w:ascii="Arial Narrow" w:hAnsi="Arial Narrow"/>
      </w:rPr>
    </w:pPr>
    <w:r>
      <w:rPr>
        <w:rFonts w:ascii="News Gothic MT" w:hAnsi="News Gothic MT"/>
        <w:b/>
        <w:sz w:val="96"/>
      </w:rPr>
      <w:t>PUBLIC NOTICE</w:t>
    </w:r>
  </w:p>
  <w:p w:rsidR="00171CF0" w:rsidRDefault="00171CF0">
    <w:pPr>
      <w:suppressAutoHyphens/>
      <w:rPr>
        <w:rFonts w:ascii="Arial Narrow" w:hAnsi="Arial Narrow"/>
      </w:rPr>
    </w:pPr>
  </w:p>
  <w:p w:rsidR="00171CF0" w:rsidRDefault="00E905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171CF0" w:rsidRDefault="00171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171CF0" w:rsidRDefault="00171CF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171CF0" w:rsidRDefault="00171CF0"/>
                </w:txbxContent>
              </v:textbox>
            </v:shape>
          </w:pict>
        </mc:Fallback>
      </mc:AlternateContent>
    </w:r>
    <w:r w:rsidR="00171CF0">
      <w:rPr>
        <w:rFonts w:ascii="Arial Narrow" w:hAnsi="Arial Narrow"/>
        <w:b/>
      </w:rPr>
      <w:tab/>
    </w:r>
    <w:r w:rsidR="00171CF0">
      <w:rPr>
        <w:rFonts w:ascii="Arial Narrow" w:hAnsi="Arial Narrow"/>
        <w:b/>
      </w:rPr>
      <w:tab/>
      <w:t>Federal Communications Commission</w:t>
    </w:r>
  </w:p>
  <w:p w:rsidR="00171CF0" w:rsidRDefault="00171CF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171CF0" w:rsidRDefault="00171CF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171CF0" w:rsidRDefault="00171CF0">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171CF0" w:rsidRDefault="00171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tplc="79C4B7FE">
      <w:start w:val="1"/>
      <w:numFmt w:val="decimal"/>
      <w:lvlText w:val="%1."/>
      <w:lvlJc w:val="left"/>
      <w:pPr>
        <w:tabs>
          <w:tab w:val="num" w:pos="720"/>
        </w:tabs>
        <w:ind w:left="720" w:hanging="360"/>
      </w:pPr>
    </w:lvl>
    <w:lvl w:ilvl="1" w:tplc="1CFE9374" w:tentative="1">
      <w:start w:val="1"/>
      <w:numFmt w:val="lowerLetter"/>
      <w:lvlText w:val="%2."/>
      <w:lvlJc w:val="left"/>
      <w:pPr>
        <w:tabs>
          <w:tab w:val="num" w:pos="1440"/>
        </w:tabs>
        <w:ind w:left="1440" w:hanging="360"/>
      </w:pPr>
    </w:lvl>
    <w:lvl w:ilvl="2" w:tplc="5EE02E7A" w:tentative="1">
      <w:start w:val="1"/>
      <w:numFmt w:val="lowerRoman"/>
      <w:lvlText w:val="%3."/>
      <w:lvlJc w:val="right"/>
      <w:pPr>
        <w:tabs>
          <w:tab w:val="num" w:pos="2160"/>
        </w:tabs>
        <w:ind w:left="2160" w:hanging="180"/>
      </w:pPr>
    </w:lvl>
    <w:lvl w:ilvl="3" w:tplc="8A1AA948" w:tentative="1">
      <w:start w:val="1"/>
      <w:numFmt w:val="decimal"/>
      <w:lvlText w:val="%4."/>
      <w:lvlJc w:val="left"/>
      <w:pPr>
        <w:tabs>
          <w:tab w:val="num" w:pos="2880"/>
        </w:tabs>
        <w:ind w:left="2880" w:hanging="360"/>
      </w:pPr>
    </w:lvl>
    <w:lvl w:ilvl="4" w:tplc="A4700344" w:tentative="1">
      <w:start w:val="1"/>
      <w:numFmt w:val="lowerLetter"/>
      <w:lvlText w:val="%5."/>
      <w:lvlJc w:val="left"/>
      <w:pPr>
        <w:tabs>
          <w:tab w:val="num" w:pos="3600"/>
        </w:tabs>
        <w:ind w:left="3600" w:hanging="360"/>
      </w:pPr>
    </w:lvl>
    <w:lvl w:ilvl="5" w:tplc="97622ACA" w:tentative="1">
      <w:start w:val="1"/>
      <w:numFmt w:val="lowerRoman"/>
      <w:lvlText w:val="%6."/>
      <w:lvlJc w:val="right"/>
      <w:pPr>
        <w:tabs>
          <w:tab w:val="num" w:pos="4320"/>
        </w:tabs>
        <w:ind w:left="4320" w:hanging="180"/>
      </w:pPr>
    </w:lvl>
    <w:lvl w:ilvl="6" w:tplc="DF708FF8" w:tentative="1">
      <w:start w:val="1"/>
      <w:numFmt w:val="decimal"/>
      <w:lvlText w:val="%7."/>
      <w:lvlJc w:val="left"/>
      <w:pPr>
        <w:tabs>
          <w:tab w:val="num" w:pos="5040"/>
        </w:tabs>
        <w:ind w:left="5040" w:hanging="360"/>
      </w:pPr>
    </w:lvl>
    <w:lvl w:ilvl="7" w:tplc="9F0C09F2" w:tentative="1">
      <w:start w:val="1"/>
      <w:numFmt w:val="lowerLetter"/>
      <w:lvlText w:val="%8."/>
      <w:lvlJc w:val="left"/>
      <w:pPr>
        <w:tabs>
          <w:tab w:val="num" w:pos="5760"/>
        </w:tabs>
        <w:ind w:left="5760" w:hanging="360"/>
      </w:pPr>
    </w:lvl>
    <w:lvl w:ilvl="8" w:tplc="02D0263C"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0B1D20"/>
    <w:multiLevelType w:val="hybridMultilevel"/>
    <w:tmpl w:val="35E88974"/>
    <w:lvl w:ilvl="0" w:tplc="EC5646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4E2D6667"/>
    <w:multiLevelType w:val="hybridMultilevel"/>
    <w:tmpl w:val="55006EB2"/>
    <w:lvl w:ilvl="0" w:tplc="D176341A">
      <w:start w:val="1"/>
      <w:numFmt w:val="decimal"/>
      <w:lvlText w:val="%1."/>
      <w:lvlJc w:val="left"/>
      <w:pPr>
        <w:tabs>
          <w:tab w:val="num" w:pos="630"/>
        </w:tabs>
        <w:ind w:left="630" w:hanging="360"/>
      </w:pPr>
      <w:rPr>
        <w:b w:val="0"/>
      </w:rPr>
    </w:lvl>
    <w:lvl w:ilvl="1" w:tplc="1DC80AA6" w:tentative="1">
      <w:start w:val="1"/>
      <w:numFmt w:val="lowerLetter"/>
      <w:lvlText w:val="%2."/>
      <w:lvlJc w:val="left"/>
      <w:pPr>
        <w:tabs>
          <w:tab w:val="num" w:pos="1350"/>
        </w:tabs>
        <w:ind w:left="1350" w:hanging="360"/>
      </w:pPr>
    </w:lvl>
    <w:lvl w:ilvl="2" w:tplc="E9FADCF4" w:tentative="1">
      <w:start w:val="1"/>
      <w:numFmt w:val="lowerRoman"/>
      <w:lvlText w:val="%3."/>
      <w:lvlJc w:val="right"/>
      <w:pPr>
        <w:tabs>
          <w:tab w:val="num" w:pos="2070"/>
        </w:tabs>
        <w:ind w:left="2070" w:hanging="180"/>
      </w:pPr>
    </w:lvl>
    <w:lvl w:ilvl="3" w:tplc="1616A1E0" w:tentative="1">
      <w:start w:val="1"/>
      <w:numFmt w:val="decimal"/>
      <w:lvlText w:val="%4."/>
      <w:lvlJc w:val="left"/>
      <w:pPr>
        <w:tabs>
          <w:tab w:val="num" w:pos="2790"/>
        </w:tabs>
        <w:ind w:left="2790" w:hanging="360"/>
      </w:pPr>
    </w:lvl>
    <w:lvl w:ilvl="4" w:tplc="989C1CC0" w:tentative="1">
      <w:start w:val="1"/>
      <w:numFmt w:val="lowerLetter"/>
      <w:lvlText w:val="%5."/>
      <w:lvlJc w:val="left"/>
      <w:pPr>
        <w:tabs>
          <w:tab w:val="num" w:pos="3510"/>
        </w:tabs>
        <w:ind w:left="3510" w:hanging="360"/>
      </w:pPr>
    </w:lvl>
    <w:lvl w:ilvl="5" w:tplc="60A27DA6" w:tentative="1">
      <w:start w:val="1"/>
      <w:numFmt w:val="lowerRoman"/>
      <w:lvlText w:val="%6."/>
      <w:lvlJc w:val="right"/>
      <w:pPr>
        <w:tabs>
          <w:tab w:val="num" w:pos="4230"/>
        </w:tabs>
        <w:ind w:left="4230" w:hanging="180"/>
      </w:pPr>
    </w:lvl>
    <w:lvl w:ilvl="6" w:tplc="DCDEC456" w:tentative="1">
      <w:start w:val="1"/>
      <w:numFmt w:val="decimal"/>
      <w:lvlText w:val="%7."/>
      <w:lvlJc w:val="left"/>
      <w:pPr>
        <w:tabs>
          <w:tab w:val="num" w:pos="4950"/>
        </w:tabs>
        <w:ind w:left="4950" w:hanging="360"/>
      </w:pPr>
    </w:lvl>
    <w:lvl w:ilvl="7" w:tplc="9DF077AA" w:tentative="1">
      <w:start w:val="1"/>
      <w:numFmt w:val="lowerLetter"/>
      <w:lvlText w:val="%8."/>
      <w:lvlJc w:val="left"/>
      <w:pPr>
        <w:tabs>
          <w:tab w:val="num" w:pos="5670"/>
        </w:tabs>
        <w:ind w:left="5670" w:hanging="360"/>
      </w:pPr>
    </w:lvl>
    <w:lvl w:ilvl="8" w:tplc="39747A94" w:tentative="1">
      <w:start w:val="1"/>
      <w:numFmt w:val="lowerRoman"/>
      <w:lvlText w:val="%9."/>
      <w:lvlJc w:val="right"/>
      <w:pPr>
        <w:tabs>
          <w:tab w:val="num" w:pos="6390"/>
        </w:tabs>
        <w:ind w:left="639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73DF0DF6"/>
    <w:multiLevelType w:val="hybridMultilevel"/>
    <w:tmpl w:val="79902C04"/>
    <w:lvl w:ilvl="0" w:tplc="2BA810F2">
      <w:start w:val="1"/>
      <w:numFmt w:val="decimal"/>
      <w:lvlText w:val="%1."/>
      <w:lvlJc w:val="left"/>
      <w:pPr>
        <w:tabs>
          <w:tab w:val="num" w:pos="360"/>
        </w:tabs>
        <w:ind w:left="360" w:hanging="360"/>
      </w:pPr>
    </w:lvl>
    <w:lvl w:ilvl="1" w:tplc="4FCA714A" w:tentative="1">
      <w:start w:val="1"/>
      <w:numFmt w:val="lowerLetter"/>
      <w:lvlText w:val="%2."/>
      <w:lvlJc w:val="left"/>
      <w:pPr>
        <w:tabs>
          <w:tab w:val="num" w:pos="1080"/>
        </w:tabs>
        <w:ind w:left="1080" w:hanging="360"/>
      </w:pPr>
    </w:lvl>
    <w:lvl w:ilvl="2" w:tplc="87F8C896" w:tentative="1">
      <w:start w:val="1"/>
      <w:numFmt w:val="lowerRoman"/>
      <w:lvlText w:val="%3."/>
      <w:lvlJc w:val="right"/>
      <w:pPr>
        <w:tabs>
          <w:tab w:val="num" w:pos="1800"/>
        </w:tabs>
        <w:ind w:left="1800" w:hanging="180"/>
      </w:pPr>
    </w:lvl>
    <w:lvl w:ilvl="3" w:tplc="A968AD4C" w:tentative="1">
      <w:start w:val="1"/>
      <w:numFmt w:val="decimal"/>
      <w:lvlText w:val="%4."/>
      <w:lvlJc w:val="left"/>
      <w:pPr>
        <w:tabs>
          <w:tab w:val="num" w:pos="2520"/>
        </w:tabs>
        <w:ind w:left="2520" w:hanging="360"/>
      </w:pPr>
    </w:lvl>
    <w:lvl w:ilvl="4" w:tplc="EEDE617A" w:tentative="1">
      <w:start w:val="1"/>
      <w:numFmt w:val="lowerLetter"/>
      <w:lvlText w:val="%5."/>
      <w:lvlJc w:val="left"/>
      <w:pPr>
        <w:tabs>
          <w:tab w:val="num" w:pos="3240"/>
        </w:tabs>
        <w:ind w:left="3240" w:hanging="360"/>
      </w:pPr>
    </w:lvl>
    <w:lvl w:ilvl="5" w:tplc="F982A91A" w:tentative="1">
      <w:start w:val="1"/>
      <w:numFmt w:val="lowerRoman"/>
      <w:lvlText w:val="%6."/>
      <w:lvlJc w:val="right"/>
      <w:pPr>
        <w:tabs>
          <w:tab w:val="num" w:pos="3960"/>
        </w:tabs>
        <w:ind w:left="3960" w:hanging="180"/>
      </w:pPr>
    </w:lvl>
    <w:lvl w:ilvl="6" w:tplc="DB8AF9EE" w:tentative="1">
      <w:start w:val="1"/>
      <w:numFmt w:val="decimal"/>
      <w:lvlText w:val="%7."/>
      <w:lvlJc w:val="left"/>
      <w:pPr>
        <w:tabs>
          <w:tab w:val="num" w:pos="4680"/>
        </w:tabs>
        <w:ind w:left="4680" w:hanging="360"/>
      </w:pPr>
    </w:lvl>
    <w:lvl w:ilvl="7" w:tplc="C22234AE" w:tentative="1">
      <w:start w:val="1"/>
      <w:numFmt w:val="lowerLetter"/>
      <w:lvlText w:val="%8."/>
      <w:lvlJc w:val="left"/>
      <w:pPr>
        <w:tabs>
          <w:tab w:val="num" w:pos="5400"/>
        </w:tabs>
        <w:ind w:left="5400" w:hanging="360"/>
      </w:pPr>
    </w:lvl>
    <w:lvl w:ilvl="8" w:tplc="7BAE4F86" w:tentative="1">
      <w:start w:val="1"/>
      <w:numFmt w:val="lowerRoman"/>
      <w:lvlText w:val="%9."/>
      <w:lvlJc w:val="right"/>
      <w:pPr>
        <w:tabs>
          <w:tab w:val="num" w:pos="6120"/>
        </w:tabs>
        <w:ind w:left="6120" w:hanging="180"/>
      </w:pPr>
    </w:lvl>
  </w:abstractNum>
  <w:abstractNum w:abstractNumId="9">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5"/>
  </w:num>
  <w:num w:numId="31">
    <w:abstractNumId w:val="9"/>
  </w:num>
  <w:num w:numId="32">
    <w:abstractNumId w:val="6"/>
  </w:num>
  <w:num w:numId="33">
    <w:abstractNumId w:val="8"/>
  </w:num>
  <w:num w:numId="34">
    <w:abstractNumId w:val="1"/>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1D"/>
    <w:rsid w:val="0000605D"/>
    <w:rsid w:val="000225E4"/>
    <w:rsid w:val="00023B6B"/>
    <w:rsid w:val="00025CAA"/>
    <w:rsid w:val="000343DE"/>
    <w:rsid w:val="00062F6A"/>
    <w:rsid w:val="00064AB4"/>
    <w:rsid w:val="000663EF"/>
    <w:rsid w:val="0008340B"/>
    <w:rsid w:val="00095991"/>
    <w:rsid w:val="000A0930"/>
    <w:rsid w:val="000B670A"/>
    <w:rsid w:val="000C3DD7"/>
    <w:rsid w:val="000C4023"/>
    <w:rsid w:val="000D1C53"/>
    <w:rsid w:val="000D479E"/>
    <w:rsid w:val="000E05B9"/>
    <w:rsid w:val="00103E0A"/>
    <w:rsid w:val="00106850"/>
    <w:rsid w:val="001541E0"/>
    <w:rsid w:val="0015665C"/>
    <w:rsid w:val="0016378F"/>
    <w:rsid w:val="00163A03"/>
    <w:rsid w:val="00171CF0"/>
    <w:rsid w:val="001817B2"/>
    <w:rsid w:val="001859F9"/>
    <w:rsid w:val="001944A3"/>
    <w:rsid w:val="00196530"/>
    <w:rsid w:val="001D3393"/>
    <w:rsid w:val="001D501E"/>
    <w:rsid w:val="002030A2"/>
    <w:rsid w:val="002133B9"/>
    <w:rsid w:val="00216BC5"/>
    <w:rsid w:val="00221494"/>
    <w:rsid w:val="002328B6"/>
    <w:rsid w:val="00235C40"/>
    <w:rsid w:val="00257A31"/>
    <w:rsid w:val="00261866"/>
    <w:rsid w:val="0026625E"/>
    <w:rsid w:val="00275B8C"/>
    <w:rsid w:val="00287A0F"/>
    <w:rsid w:val="002907F6"/>
    <w:rsid w:val="002928B3"/>
    <w:rsid w:val="002A2A0F"/>
    <w:rsid w:val="002A711F"/>
    <w:rsid w:val="002C4490"/>
    <w:rsid w:val="002C711B"/>
    <w:rsid w:val="002D6798"/>
    <w:rsid w:val="002D68BB"/>
    <w:rsid w:val="002D7CBF"/>
    <w:rsid w:val="002E3AAE"/>
    <w:rsid w:val="002F2EF9"/>
    <w:rsid w:val="002F4C5A"/>
    <w:rsid w:val="00317604"/>
    <w:rsid w:val="00326741"/>
    <w:rsid w:val="00346254"/>
    <w:rsid w:val="0035038E"/>
    <w:rsid w:val="00353739"/>
    <w:rsid w:val="003546F3"/>
    <w:rsid w:val="00363484"/>
    <w:rsid w:val="00375E25"/>
    <w:rsid w:val="0038088F"/>
    <w:rsid w:val="00386F44"/>
    <w:rsid w:val="003A4571"/>
    <w:rsid w:val="003D3104"/>
    <w:rsid w:val="003E746A"/>
    <w:rsid w:val="00406A7E"/>
    <w:rsid w:val="00420C0D"/>
    <w:rsid w:val="0042480C"/>
    <w:rsid w:val="004334FF"/>
    <w:rsid w:val="004400F9"/>
    <w:rsid w:val="00442B09"/>
    <w:rsid w:val="0044654D"/>
    <w:rsid w:val="004626E4"/>
    <w:rsid w:val="00470C6F"/>
    <w:rsid w:val="004713AB"/>
    <w:rsid w:val="0047258A"/>
    <w:rsid w:val="0048680B"/>
    <w:rsid w:val="00486CA3"/>
    <w:rsid w:val="004B3E9A"/>
    <w:rsid w:val="004F1800"/>
    <w:rsid w:val="004F2F82"/>
    <w:rsid w:val="00511974"/>
    <w:rsid w:val="00512E2D"/>
    <w:rsid w:val="0054108E"/>
    <w:rsid w:val="00543CFC"/>
    <w:rsid w:val="005471EE"/>
    <w:rsid w:val="00550BE8"/>
    <w:rsid w:val="00553D57"/>
    <w:rsid w:val="005577AC"/>
    <w:rsid w:val="00573032"/>
    <w:rsid w:val="005A4CF6"/>
    <w:rsid w:val="005A634F"/>
    <w:rsid w:val="005B13BE"/>
    <w:rsid w:val="005C06DB"/>
    <w:rsid w:val="005C655D"/>
    <w:rsid w:val="005D351C"/>
    <w:rsid w:val="005E117B"/>
    <w:rsid w:val="00604D47"/>
    <w:rsid w:val="00605887"/>
    <w:rsid w:val="006205B8"/>
    <w:rsid w:val="00634D5E"/>
    <w:rsid w:val="0066042D"/>
    <w:rsid w:val="00664E53"/>
    <w:rsid w:val="00666D9F"/>
    <w:rsid w:val="00671C8F"/>
    <w:rsid w:val="00672521"/>
    <w:rsid w:val="006759BF"/>
    <w:rsid w:val="0068159A"/>
    <w:rsid w:val="006840A2"/>
    <w:rsid w:val="006855B9"/>
    <w:rsid w:val="006950D3"/>
    <w:rsid w:val="006B3E0E"/>
    <w:rsid w:val="006C1C0E"/>
    <w:rsid w:val="006C7E36"/>
    <w:rsid w:val="006F3DDB"/>
    <w:rsid w:val="007073F8"/>
    <w:rsid w:val="00741DFD"/>
    <w:rsid w:val="00745DF0"/>
    <w:rsid w:val="00751B0D"/>
    <w:rsid w:val="00760EB0"/>
    <w:rsid w:val="00764F09"/>
    <w:rsid w:val="007722AE"/>
    <w:rsid w:val="00775930"/>
    <w:rsid w:val="00783E18"/>
    <w:rsid w:val="0078614B"/>
    <w:rsid w:val="007970C6"/>
    <w:rsid w:val="007A230F"/>
    <w:rsid w:val="007A6503"/>
    <w:rsid w:val="007C2A10"/>
    <w:rsid w:val="007D3186"/>
    <w:rsid w:val="007D3E3F"/>
    <w:rsid w:val="007E2008"/>
    <w:rsid w:val="007E40A4"/>
    <w:rsid w:val="00806FD9"/>
    <w:rsid w:val="00823C53"/>
    <w:rsid w:val="0083181F"/>
    <w:rsid w:val="00842A31"/>
    <w:rsid w:val="0084325F"/>
    <w:rsid w:val="008502D5"/>
    <w:rsid w:val="00871876"/>
    <w:rsid w:val="0087664E"/>
    <w:rsid w:val="008774B1"/>
    <w:rsid w:val="0088089C"/>
    <w:rsid w:val="008B7D63"/>
    <w:rsid w:val="008D0745"/>
    <w:rsid w:val="008D2336"/>
    <w:rsid w:val="008E0400"/>
    <w:rsid w:val="008E7815"/>
    <w:rsid w:val="00907B89"/>
    <w:rsid w:val="00915753"/>
    <w:rsid w:val="0091711D"/>
    <w:rsid w:val="0092407A"/>
    <w:rsid w:val="00924C0E"/>
    <w:rsid w:val="009321F7"/>
    <w:rsid w:val="009462FA"/>
    <w:rsid w:val="00973A7F"/>
    <w:rsid w:val="0097753F"/>
    <w:rsid w:val="0098044F"/>
    <w:rsid w:val="00980947"/>
    <w:rsid w:val="009A07E7"/>
    <w:rsid w:val="009B006B"/>
    <w:rsid w:val="009B4EAA"/>
    <w:rsid w:val="009E3788"/>
    <w:rsid w:val="009F45B1"/>
    <w:rsid w:val="009F6322"/>
    <w:rsid w:val="00A05DFA"/>
    <w:rsid w:val="00A35F2F"/>
    <w:rsid w:val="00A3639D"/>
    <w:rsid w:val="00A40173"/>
    <w:rsid w:val="00A41B60"/>
    <w:rsid w:val="00A569E5"/>
    <w:rsid w:val="00A81FD2"/>
    <w:rsid w:val="00A97082"/>
    <w:rsid w:val="00A97634"/>
    <w:rsid w:val="00AA2DBB"/>
    <w:rsid w:val="00AA7433"/>
    <w:rsid w:val="00AC4223"/>
    <w:rsid w:val="00AC4E68"/>
    <w:rsid w:val="00AD3311"/>
    <w:rsid w:val="00AE6DE2"/>
    <w:rsid w:val="00B065AD"/>
    <w:rsid w:val="00B15A22"/>
    <w:rsid w:val="00B31DE2"/>
    <w:rsid w:val="00B346E9"/>
    <w:rsid w:val="00B412BE"/>
    <w:rsid w:val="00B603B8"/>
    <w:rsid w:val="00B700C8"/>
    <w:rsid w:val="00B83880"/>
    <w:rsid w:val="00B97D08"/>
    <w:rsid w:val="00BA012D"/>
    <w:rsid w:val="00BA3794"/>
    <w:rsid w:val="00BB4C04"/>
    <w:rsid w:val="00BC177F"/>
    <w:rsid w:val="00BD2D65"/>
    <w:rsid w:val="00BD70AA"/>
    <w:rsid w:val="00BE12D7"/>
    <w:rsid w:val="00BF3337"/>
    <w:rsid w:val="00C102C0"/>
    <w:rsid w:val="00C3206F"/>
    <w:rsid w:val="00C33D0B"/>
    <w:rsid w:val="00C37BFF"/>
    <w:rsid w:val="00C44A05"/>
    <w:rsid w:val="00C45F52"/>
    <w:rsid w:val="00C502CA"/>
    <w:rsid w:val="00C53214"/>
    <w:rsid w:val="00C70015"/>
    <w:rsid w:val="00C72FBB"/>
    <w:rsid w:val="00CA7BE0"/>
    <w:rsid w:val="00CB6AB2"/>
    <w:rsid w:val="00CE4EE5"/>
    <w:rsid w:val="00CF4953"/>
    <w:rsid w:val="00D1749A"/>
    <w:rsid w:val="00D504F3"/>
    <w:rsid w:val="00D53F3F"/>
    <w:rsid w:val="00D56CA0"/>
    <w:rsid w:val="00D61E70"/>
    <w:rsid w:val="00D64292"/>
    <w:rsid w:val="00D65C5B"/>
    <w:rsid w:val="00D73FF8"/>
    <w:rsid w:val="00D747C8"/>
    <w:rsid w:val="00D77037"/>
    <w:rsid w:val="00D87E10"/>
    <w:rsid w:val="00DA0117"/>
    <w:rsid w:val="00DA3C50"/>
    <w:rsid w:val="00DA73FC"/>
    <w:rsid w:val="00DB155E"/>
    <w:rsid w:val="00DD311E"/>
    <w:rsid w:val="00DF42C8"/>
    <w:rsid w:val="00E61E97"/>
    <w:rsid w:val="00E64DEA"/>
    <w:rsid w:val="00E90594"/>
    <w:rsid w:val="00EA36B4"/>
    <w:rsid w:val="00EB58CD"/>
    <w:rsid w:val="00EB605C"/>
    <w:rsid w:val="00ED4677"/>
    <w:rsid w:val="00EE270C"/>
    <w:rsid w:val="00EE6B55"/>
    <w:rsid w:val="00F102B4"/>
    <w:rsid w:val="00F13CC3"/>
    <w:rsid w:val="00F3214F"/>
    <w:rsid w:val="00F35AFA"/>
    <w:rsid w:val="00F42975"/>
    <w:rsid w:val="00F45681"/>
    <w:rsid w:val="00F50E9C"/>
    <w:rsid w:val="00FA3297"/>
    <w:rsid w:val="00FC1AA6"/>
    <w:rsid w:val="00FC29A6"/>
    <w:rsid w:val="00FD7B79"/>
    <w:rsid w:val="00FE3784"/>
    <w:rsid w:val="00FE65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paragraph" w:customStyle="1" w:styleId="NumberedList">
    <w:name w:val="Numbered List"/>
    <w:basedOn w:val="Normal"/>
    <w:rsid w:val="00AC71AB"/>
    <w:pPr>
      <w:widowControl/>
      <w:numPr>
        <w:numId w:val="35"/>
      </w:numPr>
      <w:tabs>
        <w:tab w:val="clear" w:pos="1080"/>
      </w:tabs>
      <w:spacing w:after="220"/>
      <w:ind w:firstLine="0"/>
      <w:jc w:val="left"/>
    </w:pPr>
    <w:rPr>
      <w:snapToGrid/>
      <w:kern w:val="0"/>
    </w:rPr>
  </w:style>
  <w:style w:type="character" w:styleId="CommentReference">
    <w:name w:val="annotation reference"/>
    <w:semiHidden/>
    <w:rsid w:val="00B36B05"/>
    <w:rPr>
      <w:sz w:val="16"/>
      <w:szCs w:val="16"/>
    </w:rPr>
  </w:style>
  <w:style w:type="paragraph" w:styleId="CommentText">
    <w:name w:val="annotation text"/>
    <w:basedOn w:val="Normal"/>
    <w:semiHidden/>
    <w:rsid w:val="00B36B05"/>
    <w:rPr>
      <w:sz w:val="20"/>
    </w:rPr>
  </w:style>
  <w:style w:type="paragraph" w:styleId="CommentSubject">
    <w:name w:val="annotation subject"/>
    <w:basedOn w:val="CommentText"/>
    <w:next w:val="CommentText"/>
    <w:semiHidden/>
    <w:rsid w:val="00B36B05"/>
    <w:rPr>
      <w:b/>
      <w:bCs/>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A948C6"/>
    <w:rPr>
      <w:lang w:val="en-US" w:eastAsia="en-US" w:bidi="ar-SA"/>
    </w:rPr>
  </w:style>
  <w:style w:type="character" w:customStyle="1" w:styleId="FootnoteCharacters">
    <w:name w:val="Footnote Characters"/>
    <w:rsid w:val="00DA0117"/>
    <w:rPr>
      <w:vertAlign w:val="superscript"/>
    </w:rPr>
  </w:style>
  <w:style w:type="paragraph" w:styleId="Revision">
    <w:name w:val="Revision"/>
    <w:hidden/>
    <w:uiPriority w:val="71"/>
    <w:rsid w:val="008E781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paragraph" w:customStyle="1" w:styleId="NumberedList">
    <w:name w:val="Numbered List"/>
    <w:basedOn w:val="Normal"/>
    <w:rsid w:val="00AC71AB"/>
    <w:pPr>
      <w:widowControl/>
      <w:numPr>
        <w:numId w:val="35"/>
      </w:numPr>
      <w:tabs>
        <w:tab w:val="clear" w:pos="1080"/>
      </w:tabs>
      <w:spacing w:after="220"/>
      <w:ind w:firstLine="0"/>
      <w:jc w:val="left"/>
    </w:pPr>
    <w:rPr>
      <w:snapToGrid/>
      <w:kern w:val="0"/>
    </w:rPr>
  </w:style>
  <w:style w:type="character" w:styleId="CommentReference">
    <w:name w:val="annotation reference"/>
    <w:semiHidden/>
    <w:rsid w:val="00B36B05"/>
    <w:rPr>
      <w:sz w:val="16"/>
      <w:szCs w:val="16"/>
    </w:rPr>
  </w:style>
  <w:style w:type="paragraph" w:styleId="CommentText">
    <w:name w:val="annotation text"/>
    <w:basedOn w:val="Normal"/>
    <w:semiHidden/>
    <w:rsid w:val="00B36B05"/>
    <w:rPr>
      <w:sz w:val="20"/>
    </w:rPr>
  </w:style>
  <w:style w:type="paragraph" w:styleId="CommentSubject">
    <w:name w:val="annotation subject"/>
    <w:basedOn w:val="CommentText"/>
    <w:next w:val="CommentText"/>
    <w:semiHidden/>
    <w:rsid w:val="00B36B05"/>
    <w:rPr>
      <w:b/>
      <w:bCs/>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A948C6"/>
    <w:rPr>
      <w:lang w:val="en-US" w:eastAsia="en-US" w:bidi="ar-SA"/>
    </w:rPr>
  </w:style>
  <w:style w:type="character" w:customStyle="1" w:styleId="FootnoteCharacters">
    <w:name w:val="Footnote Characters"/>
    <w:rsid w:val="00DA0117"/>
    <w:rPr>
      <w:vertAlign w:val="superscript"/>
    </w:rPr>
  </w:style>
  <w:style w:type="paragraph" w:styleId="Revision">
    <w:name w:val="Revision"/>
    <w:hidden/>
    <w:uiPriority w:val="71"/>
    <w:rsid w:val="008E781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016">
      <w:bodyDiv w:val="1"/>
      <w:marLeft w:val="30"/>
      <w:marRight w:val="30"/>
      <w:marTop w:val="30"/>
      <w:marBottom w:val="30"/>
      <w:divBdr>
        <w:top w:val="none" w:sz="0" w:space="0" w:color="auto"/>
        <w:left w:val="none" w:sz="0" w:space="0" w:color="auto"/>
        <w:bottom w:val="none" w:sz="0" w:space="0" w:color="auto"/>
        <w:right w:val="none" w:sz="0" w:space="0" w:color="auto"/>
      </w:divBdr>
      <w:divsChild>
        <w:div w:id="1669287578">
          <w:marLeft w:val="0"/>
          <w:marRight w:val="0"/>
          <w:marTop w:val="0"/>
          <w:marBottom w:val="0"/>
          <w:divBdr>
            <w:top w:val="none" w:sz="0" w:space="0" w:color="auto"/>
            <w:left w:val="none" w:sz="0" w:space="0" w:color="auto"/>
            <w:bottom w:val="none" w:sz="0" w:space="0" w:color="auto"/>
            <w:right w:val="none" w:sz="0" w:space="0" w:color="auto"/>
          </w:divBdr>
          <w:divsChild>
            <w:div w:id="812411694">
              <w:marLeft w:val="45"/>
              <w:marRight w:val="45"/>
              <w:marTop w:val="45"/>
              <w:marBottom w:val="45"/>
              <w:divBdr>
                <w:top w:val="none" w:sz="0" w:space="0" w:color="auto"/>
                <w:left w:val="none" w:sz="0" w:space="0" w:color="auto"/>
                <w:bottom w:val="none" w:sz="0" w:space="0" w:color="auto"/>
                <w:right w:val="none" w:sz="0" w:space="0" w:color="auto"/>
              </w:divBdr>
              <w:divsChild>
                <w:div w:id="1280604857">
                  <w:marLeft w:val="0"/>
                  <w:marRight w:val="0"/>
                  <w:marTop w:val="0"/>
                  <w:marBottom w:val="0"/>
                  <w:divBdr>
                    <w:top w:val="none" w:sz="0" w:space="0" w:color="auto"/>
                    <w:left w:val="none" w:sz="0" w:space="0" w:color="auto"/>
                    <w:bottom w:val="none" w:sz="0" w:space="0" w:color="auto"/>
                    <w:right w:val="none" w:sz="0" w:space="0" w:color="auto"/>
                  </w:divBdr>
                  <w:divsChild>
                    <w:div w:id="715276738">
                      <w:marLeft w:val="0"/>
                      <w:marRight w:val="0"/>
                      <w:marTop w:val="0"/>
                      <w:marBottom w:val="0"/>
                      <w:divBdr>
                        <w:top w:val="none" w:sz="0" w:space="0" w:color="auto"/>
                        <w:left w:val="none" w:sz="0" w:space="0" w:color="auto"/>
                        <w:bottom w:val="none" w:sz="0" w:space="0" w:color="auto"/>
                        <w:right w:val="none" w:sz="0" w:space="0" w:color="auto"/>
                      </w:divBdr>
                    </w:div>
                    <w:div w:id="986083959">
                      <w:marLeft w:val="0"/>
                      <w:marRight w:val="0"/>
                      <w:marTop w:val="0"/>
                      <w:marBottom w:val="0"/>
                      <w:divBdr>
                        <w:top w:val="none" w:sz="0" w:space="0" w:color="auto"/>
                        <w:left w:val="none" w:sz="0" w:space="0" w:color="auto"/>
                        <w:bottom w:val="none" w:sz="0" w:space="0" w:color="auto"/>
                        <w:right w:val="none" w:sz="0" w:space="0" w:color="auto"/>
                      </w:divBdr>
                    </w:div>
                    <w:div w:id="1000540545">
                      <w:marLeft w:val="0"/>
                      <w:marRight w:val="0"/>
                      <w:marTop w:val="0"/>
                      <w:marBottom w:val="0"/>
                      <w:divBdr>
                        <w:top w:val="none" w:sz="0" w:space="0" w:color="auto"/>
                        <w:left w:val="none" w:sz="0" w:space="0" w:color="auto"/>
                        <w:bottom w:val="none" w:sz="0" w:space="0" w:color="auto"/>
                        <w:right w:val="none" w:sz="0" w:space="0" w:color="auto"/>
                      </w:divBdr>
                    </w:div>
                    <w:div w:id="19363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4397</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2007-10-23T20:08:00Z</cp:lastPrinted>
  <dcterms:created xsi:type="dcterms:W3CDTF">2014-05-30T16:42:00Z</dcterms:created>
  <dcterms:modified xsi:type="dcterms:W3CDTF">2014-05-30T16:42:00Z</dcterms:modified>
  <cp:category> </cp:category>
  <cp:contentStatus> </cp:contentStatus>
</cp:coreProperties>
</file>