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6" w:rsidRDefault="00D77249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C53486" w:rsidRDefault="00D77249">
      <w:pPr>
        <w:jc w:val="center"/>
        <w:rPr>
          <w:b/>
        </w:rPr>
      </w:pPr>
      <w:r>
        <w:rPr>
          <w:b/>
        </w:rPr>
        <w:t>Federal Communications Commission</w:t>
      </w:r>
    </w:p>
    <w:p w:rsidR="00C53486" w:rsidRDefault="00D77249">
      <w:pPr>
        <w:jc w:val="center"/>
        <w:rPr>
          <w:b/>
        </w:rPr>
      </w:pPr>
      <w:r>
        <w:rPr>
          <w:b/>
        </w:rPr>
        <w:t>Washington, D.C. 20554</w:t>
      </w: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C53486">
        <w:tc>
          <w:tcPr>
            <w:tcW w:w="4698" w:type="dxa"/>
          </w:tcPr>
          <w:p w:rsidR="00C53486" w:rsidRDefault="00D7724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DC7BEC">
            <w:r>
              <w:t>Henry K. Zappia</w:t>
            </w:r>
          </w:p>
          <w:p w:rsidR="00A635B9" w:rsidRDefault="001533D2">
            <w:r>
              <w:t>Request for Waiver and Extension of Time</w:t>
            </w:r>
          </w:p>
        </w:tc>
        <w:tc>
          <w:tcPr>
            <w:tcW w:w="630" w:type="dxa"/>
          </w:tcPr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Default="00D7724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53486" w:rsidRPr="002161AD" w:rsidRDefault="00D77249" w:rsidP="00A635B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C5348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53486" w:rsidRDefault="00A635B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02-55</w:t>
            </w:r>
          </w:p>
        </w:tc>
      </w:tr>
    </w:tbl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D77249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 \* MERGEFORMAT </w:instrText>
      </w:r>
      <w:r>
        <w:rPr>
          <w:b/>
        </w:rPr>
        <w:fldChar w:fldCharType="separate"/>
      </w:r>
      <w:r w:rsidR="00A635B9" w:rsidRPr="00A635B9">
        <w:rPr>
          <w:b/>
        </w:rPr>
        <w:t>ORDER</w:t>
      </w:r>
      <w:r>
        <w:rPr>
          <w:b/>
        </w:rPr>
        <w:fldChar w:fldCharType="end"/>
      </w:r>
    </w:p>
    <w:p w:rsidR="00C53486" w:rsidRDefault="00C5348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C53486" w:rsidRDefault="00D77249">
      <w:pPr>
        <w:tabs>
          <w:tab w:val="left" w:pos="720"/>
          <w:tab w:val="left" w:pos="57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1533D2">
        <w:rPr>
          <w:spacing w:val="-2"/>
        </w:rPr>
        <w:t xml:space="preserve">June </w:t>
      </w:r>
      <w:r w:rsidR="00DD1402">
        <w:rPr>
          <w:spacing w:val="-2"/>
        </w:rPr>
        <w:t>4</w:t>
      </w:r>
      <w:r w:rsidR="00A635B9">
        <w:rPr>
          <w:spacing w:val="-2"/>
        </w:rPr>
        <w:t>, 2014</w:t>
      </w:r>
      <w:r w:rsidR="00A635B9">
        <w:rPr>
          <w:spacing w:val="-2"/>
        </w:rPr>
        <w:tab/>
        <w:t xml:space="preserve">                 </w:t>
      </w:r>
      <w:r>
        <w:rPr>
          <w:b/>
          <w:spacing w:val="-2"/>
        </w:rPr>
        <w:t xml:space="preserve">Released: </w:t>
      </w:r>
      <w:r w:rsidR="001533D2">
        <w:rPr>
          <w:spacing w:val="-2"/>
        </w:rPr>
        <w:t xml:space="preserve">June </w:t>
      </w:r>
      <w:r w:rsidR="00DD1402">
        <w:rPr>
          <w:spacing w:val="-2"/>
        </w:rPr>
        <w:t>4</w:t>
      </w:r>
      <w:r w:rsidR="00A635B9" w:rsidRPr="00F20A0F">
        <w:rPr>
          <w:spacing w:val="-2"/>
        </w:rPr>
        <w:t>, 2014</w:t>
      </w:r>
    </w:p>
    <w:p w:rsidR="00C53486" w:rsidRDefault="00C53486"/>
    <w:p w:rsidR="00C53486" w:rsidRDefault="00D77249" w:rsidP="00927E3D">
      <w:pPr>
        <w:widowControl/>
        <w:jc w:val="left"/>
        <w:rPr>
          <w:spacing w:val="-2"/>
        </w:rPr>
      </w:pPr>
      <w:r>
        <w:t xml:space="preserve">By the </w:t>
      </w:r>
      <w:r w:rsidR="00A635B9">
        <w:rPr>
          <w:spacing w:val="-2"/>
        </w:rPr>
        <w:t>Deputy Chief, Policy and Licensing Division, Public Safe</w:t>
      </w:r>
      <w:r w:rsidR="002161AD">
        <w:rPr>
          <w:spacing w:val="-2"/>
        </w:rPr>
        <w:t>ty and Homeland Security Bureau</w:t>
      </w:r>
      <w:r>
        <w:rPr>
          <w:spacing w:val="-2"/>
        </w:rPr>
        <w:t>:</w:t>
      </w:r>
    </w:p>
    <w:p w:rsidR="00C53486" w:rsidRDefault="00C53486" w:rsidP="00927E3D">
      <w:pPr>
        <w:widowControl/>
        <w:jc w:val="left"/>
        <w:rPr>
          <w:spacing w:val="-2"/>
        </w:rPr>
      </w:pPr>
    </w:p>
    <w:p w:rsidR="00C53486" w:rsidRDefault="00A635B9" w:rsidP="00927E3D">
      <w:pPr>
        <w:pStyle w:val="Heading1"/>
        <w:widowControl/>
        <w:jc w:val="left"/>
      </w:pPr>
      <w:r>
        <w:t>introduction</w:t>
      </w:r>
      <w:r>
        <w:tab/>
      </w:r>
    </w:p>
    <w:p w:rsidR="00A635B9" w:rsidRDefault="00A635B9" w:rsidP="00927E3D">
      <w:pPr>
        <w:pStyle w:val="ParaNum"/>
        <w:widowControl/>
        <w:jc w:val="left"/>
      </w:pPr>
      <w:r>
        <w:t>Under consideration is the May 2</w:t>
      </w:r>
      <w:r w:rsidR="001533D2">
        <w:t>8</w:t>
      </w:r>
      <w:r>
        <w:t xml:space="preserve">, 2014 </w:t>
      </w:r>
      <w:r w:rsidR="001533D2">
        <w:t xml:space="preserve">Request for Waiver </w:t>
      </w:r>
      <w:r w:rsidR="00DC7BEC">
        <w:t>Related to Commission November 20, 2013 Deadline for Submission of Estimates</w:t>
      </w:r>
      <w:r>
        <w:t xml:space="preserve"> </w:t>
      </w:r>
      <w:r w:rsidR="00987734">
        <w:t xml:space="preserve">(Request) </w:t>
      </w:r>
      <w:r>
        <w:t xml:space="preserve">filed by the </w:t>
      </w:r>
      <w:r w:rsidR="00DC7BEC">
        <w:t>Henry K. Zappia (Zappia</w:t>
      </w:r>
      <w:r>
        <w:t xml:space="preserve">).  </w:t>
      </w:r>
      <w:r w:rsidR="00122B2C">
        <w:t>Zappia</w:t>
      </w:r>
      <w:r>
        <w:t xml:space="preserve"> seeks an extension of time until </w:t>
      </w:r>
      <w:r w:rsidR="00122B2C">
        <w:t>July 21</w:t>
      </w:r>
      <w:r w:rsidR="00987734">
        <w:t xml:space="preserve">, 2014 to submit a cost estimate for reconfiguration of its 800 MHz communications system.  Previously, </w:t>
      </w:r>
      <w:r w:rsidR="00122B2C">
        <w:t>Zappia</w:t>
      </w:r>
      <w:r w:rsidR="00987734">
        <w:t xml:space="preserve"> was granted an extension of time, for the same purpose, until </w:t>
      </w:r>
      <w:r w:rsidR="00122B2C">
        <w:t>May 30</w:t>
      </w:r>
      <w:r w:rsidR="00987734">
        <w:t>, 2014.</w:t>
      </w:r>
      <w:r w:rsidR="001A60E8">
        <w:rPr>
          <w:rStyle w:val="FootnoteReference"/>
        </w:rPr>
        <w:footnoteReference w:id="2"/>
      </w:r>
      <w:r w:rsidR="00987734">
        <w:t xml:space="preserve">  For the reasons set out below, the Request is </w:t>
      </w:r>
      <w:r w:rsidR="00833E48">
        <w:t>granted</w:t>
      </w:r>
      <w:r w:rsidR="00987734">
        <w:t>.</w:t>
      </w:r>
    </w:p>
    <w:p w:rsidR="00987734" w:rsidRDefault="00AE5019" w:rsidP="00927E3D">
      <w:pPr>
        <w:pStyle w:val="Heading1"/>
        <w:widowControl/>
        <w:jc w:val="left"/>
      </w:pPr>
      <w:r>
        <w:t>background</w:t>
      </w:r>
    </w:p>
    <w:p w:rsidR="00987734" w:rsidRDefault="00122B2C" w:rsidP="00927E3D">
      <w:pPr>
        <w:pStyle w:val="ParaNum"/>
        <w:widowControl/>
        <w:jc w:val="left"/>
      </w:pPr>
      <w:r>
        <w:t>Zappia</w:t>
      </w:r>
      <w:r w:rsidR="00833E48">
        <w:t xml:space="preserve"> operates a </w:t>
      </w:r>
      <w:r>
        <w:t>number of facilities in the Tucson, Arizona, area.</w:t>
      </w:r>
      <w:r w:rsidR="001B5548">
        <w:rPr>
          <w:rStyle w:val="FootnoteReference"/>
        </w:rPr>
        <w:footnoteReference w:id="3"/>
      </w:r>
      <w:r>
        <w:t xml:space="preserve">  Zappia has entered into a contract for Motorola to plan and perform the rebanding of Zappia’s “vintage” fixed network equipment and most of Zappia’s subscribers</w:t>
      </w:r>
      <w:r w:rsidR="000972E3">
        <w:t>.</w:t>
      </w:r>
      <w:r w:rsidR="001B5548">
        <w:rPr>
          <w:rStyle w:val="FootnoteReference"/>
        </w:rPr>
        <w:footnoteReference w:id="4"/>
      </w:r>
      <w:r>
        <w:t xml:space="preserve">  For example, Zappia operates primarily employing an “unsupported Type 1 signaling which has not been the norm for Motorola equipment for a number of years.”</w:t>
      </w:r>
      <w:r w:rsidR="001B5548">
        <w:rPr>
          <w:rStyle w:val="FootnoteReference"/>
        </w:rPr>
        <w:footnoteReference w:id="5"/>
      </w:r>
      <w:r>
        <w:t xml:space="preserve">  Much of Zappia’s subscriber equipment is </w:t>
      </w:r>
      <w:r w:rsidR="001B5548">
        <w:t>also “old”.</w:t>
      </w:r>
      <w:r w:rsidR="001B5548">
        <w:rPr>
          <w:rStyle w:val="FootnoteReference"/>
        </w:rPr>
        <w:footnoteReference w:id="6"/>
      </w:r>
      <w:r w:rsidR="001B5548">
        <w:t xml:space="preserve">  Zappia states that </w:t>
      </w:r>
      <w:r w:rsidR="007739B0">
        <w:t>he</w:t>
      </w:r>
      <w:r w:rsidR="001B5548">
        <w:t xml:space="preserve"> has been working with Motorola to provide a “seamless transition”.</w:t>
      </w:r>
      <w:r w:rsidR="001B5548">
        <w:rPr>
          <w:rStyle w:val="FootnoteReference"/>
        </w:rPr>
        <w:footnoteReference w:id="7"/>
      </w:r>
      <w:r w:rsidR="001B5548">
        <w:t xml:space="preserve">  To date, however, Motorola has not delivered its Statement of Work (SOW)</w:t>
      </w:r>
      <w:r>
        <w:t xml:space="preserve"> </w:t>
      </w:r>
      <w:r w:rsidR="001B5548">
        <w:t>to Zappia, following which Zappia would need to add estimates for internal personnel time to capture all estimated costs.</w:t>
      </w:r>
      <w:r w:rsidR="001B5548">
        <w:rPr>
          <w:rStyle w:val="FootnoteReference"/>
        </w:rPr>
        <w:footnoteReference w:id="8"/>
      </w:r>
      <w:r w:rsidR="001B5548">
        <w:t xml:space="preserve">  Zappia notes that Motorola intended to deliver a “first draft” of the SOW by May 30, 2014, but Motorola now estimates delivery </w:t>
      </w:r>
      <w:r w:rsidR="007739B0">
        <w:t xml:space="preserve">of a final document </w:t>
      </w:r>
      <w:r w:rsidR="001B5548">
        <w:t>by July 15, 2014.</w:t>
      </w:r>
      <w:r w:rsidR="00C850C1" w:rsidRPr="00C850C1">
        <w:rPr>
          <w:rStyle w:val="FootnoteReference"/>
        </w:rPr>
        <w:t xml:space="preserve"> </w:t>
      </w:r>
      <w:r w:rsidR="00C850C1">
        <w:rPr>
          <w:rStyle w:val="FootnoteReference"/>
        </w:rPr>
        <w:footnoteReference w:id="9"/>
      </w:r>
      <w:r w:rsidR="001B5548">
        <w:t xml:space="preserve">  Zappia estimates an additional five </w:t>
      </w:r>
      <w:r w:rsidR="00434417">
        <w:t>days</w:t>
      </w:r>
      <w:r w:rsidR="00C850C1">
        <w:t xml:space="preserve"> (</w:t>
      </w:r>
      <w:r w:rsidR="00C850C1" w:rsidRPr="00C850C1">
        <w:rPr>
          <w:i/>
        </w:rPr>
        <w:t>i.e.</w:t>
      </w:r>
      <w:r w:rsidR="00C850C1">
        <w:t xml:space="preserve"> July 21, 2014) </w:t>
      </w:r>
      <w:r w:rsidR="00434417">
        <w:t>to create final cost estimates for internal staff and associated vendors.</w:t>
      </w:r>
      <w:r w:rsidR="00C850C1">
        <w:rPr>
          <w:rStyle w:val="FootnoteReference"/>
        </w:rPr>
        <w:footnoteReference w:id="10"/>
      </w:r>
      <w:r w:rsidR="00434417">
        <w:t xml:space="preserve">   </w:t>
      </w:r>
      <w:r w:rsidR="001B5548">
        <w:t xml:space="preserve">  </w:t>
      </w:r>
      <w:r>
        <w:t xml:space="preserve"> </w:t>
      </w:r>
    </w:p>
    <w:p w:rsidR="00C53486" w:rsidRDefault="00AE5019" w:rsidP="00927E3D">
      <w:pPr>
        <w:pStyle w:val="Heading1"/>
        <w:widowControl/>
        <w:jc w:val="left"/>
      </w:pPr>
      <w:r>
        <w:lastRenderedPageBreak/>
        <w:t>decision</w:t>
      </w:r>
    </w:p>
    <w:p w:rsidR="00F4757C" w:rsidRPr="005E0A4B" w:rsidRDefault="0058469D" w:rsidP="00927E3D">
      <w:pPr>
        <w:pStyle w:val="ParaNum"/>
        <w:widowControl/>
        <w:jc w:val="left"/>
        <w:rPr>
          <w:szCs w:val="22"/>
        </w:rPr>
      </w:pPr>
      <w:r w:rsidRPr="0058469D">
        <w:t>Section 1.46(a) of the Commission’s rules states that “[i]t is the policy of the Commission that extensions of time shall not be routinely granted.”</w:t>
      </w:r>
      <w:r w:rsidRPr="0058469D">
        <w:rPr>
          <w:vertAlign w:val="superscript"/>
        </w:rPr>
        <w:footnoteReference w:id="11"/>
      </w:r>
      <w:r w:rsidRPr="0058469D">
        <w:t xml:space="preserve">  The Bureau has emphasized that the “import of that rule is especially relevant to 800 MHz rebanding where delay in rebanding by one licensee can cause a ‘domino effect’ delay in the rebanding efforts of other licensees that have met the Commission’s 800 MHz band reconfiguration deadlines with a consequent delay of the overall program. </w:t>
      </w:r>
      <w:r w:rsidR="007C2E7D">
        <w:t xml:space="preserve"> </w:t>
      </w:r>
      <w:r w:rsidRPr="0058469D">
        <w:t xml:space="preserve">We therefore afford a high degree of scrutiny to the reasons licensees </w:t>
      </w:r>
      <w:r w:rsidRPr="005E0A4B">
        <w:rPr>
          <w:szCs w:val="22"/>
        </w:rPr>
        <w:t>advance for extensions of time.”</w:t>
      </w:r>
      <w:r w:rsidRPr="005E0A4B">
        <w:rPr>
          <w:szCs w:val="22"/>
          <w:vertAlign w:val="superscript"/>
        </w:rPr>
        <w:footnoteReference w:id="12"/>
      </w:r>
      <w:r w:rsidRPr="005E0A4B">
        <w:rPr>
          <w:szCs w:val="22"/>
        </w:rPr>
        <w:t xml:space="preserve">  </w:t>
      </w:r>
    </w:p>
    <w:p w:rsidR="005E0A4B" w:rsidRPr="005E0A4B" w:rsidRDefault="005E0A4B" w:rsidP="00927E3D">
      <w:pPr>
        <w:pStyle w:val="ParaNum"/>
        <w:widowControl/>
        <w:jc w:val="left"/>
      </w:pPr>
      <w:r w:rsidRPr="005E0A4B">
        <w:t>We have applied the requisite</w:t>
      </w:r>
      <w:r>
        <w:t xml:space="preserve"> high degree of scrutiny to </w:t>
      </w:r>
      <w:r w:rsidR="00122B2C">
        <w:t>Zappia</w:t>
      </w:r>
      <w:r>
        <w:t>’</w:t>
      </w:r>
      <w:r w:rsidRPr="005E0A4B">
        <w:t xml:space="preserve">s Request and find that </w:t>
      </w:r>
      <w:r w:rsidR="00122B2C">
        <w:t>Zappia</w:t>
      </w:r>
      <w:r w:rsidRPr="005E0A4B">
        <w:t xml:space="preserve"> has exercised diligence </w:t>
      </w:r>
      <w:r w:rsidR="0003394B">
        <w:t>but has been prevented from preparing its cost estimate for submission to Sprint Corporation and the 800 MHz Transition Administrator by the la</w:t>
      </w:r>
      <w:r w:rsidR="00B02E53">
        <w:t xml:space="preserve">ck of a timely </w:t>
      </w:r>
      <w:r w:rsidR="0003394B">
        <w:t>SOW and cost proposal from Motorola.</w:t>
      </w:r>
      <w:r w:rsidR="00AC208E">
        <w:t xml:space="preserve"> </w:t>
      </w:r>
      <w:r w:rsidR="00C850C1">
        <w:t xml:space="preserve"> </w:t>
      </w:r>
      <w:r w:rsidR="00AC208E">
        <w:t>Motorola’s delay in providing its S</w:t>
      </w:r>
      <w:r w:rsidR="00B02E53">
        <w:t xml:space="preserve">OW </w:t>
      </w:r>
      <w:r w:rsidR="00AC208E">
        <w:t xml:space="preserve">and cost proposal is a matter apparently outside </w:t>
      </w:r>
      <w:r w:rsidR="00122B2C">
        <w:t>Zappia</w:t>
      </w:r>
      <w:r w:rsidR="00AC208E">
        <w:t xml:space="preserve">’s control. </w:t>
      </w:r>
      <w:r w:rsidR="007739B0" w:rsidRPr="007739B0">
        <w:t>Therefore, we are granting Zappia’s Request.</w:t>
      </w:r>
      <w:r w:rsidR="007739B0">
        <w:t xml:space="preserve"> </w:t>
      </w:r>
      <w:r w:rsidR="00AC208E">
        <w:t xml:space="preserve"> We remain concerned that Motorola, the vendor for many Mexico border area U.S. licensees, </w:t>
      </w:r>
      <w:r w:rsidR="00F543C9">
        <w:t>is</w:t>
      </w:r>
      <w:r w:rsidR="00C13304">
        <w:t xml:space="preserve"> the source of delay underlying</w:t>
      </w:r>
      <w:r w:rsidR="00F543C9">
        <w:t xml:space="preserve"> several requests for extension of time by rebanding licensees</w:t>
      </w:r>
      <w:r w:rsidR="007739B0">
        <w:t>, and we urge Motorola to devote sufficient resources to the rebanding effort in the Mexico border area</w:t>
      </w:r>
      <w:r w:rsidR="00F543C9">
        <w:t>.</w:t>
      </w:r>
      <w:r w:rsidR="00C850C1">
        <w:t xml:space="preserve">  </w:t>
      </w:r>
    </w:p>
    <w:p w:rsidR="00C53486" w:rsidRDefault="0058469D" w:rsidP="00927E3D">
      <w:pPr>
        <w:pStyle w:val="Heading1"/>
        <w:widowControl/>
        <w:jc w:val="left"/>
      </w:pPr>
      <w:r>
        <w:t>ordering clauses</w:t>
      </w:r>
    </w:p>
    <w:p w:rsidR="0058469D" w:rsidRDefault="0058469D" w:rsidP="00927E3D">
      <w:pPr>
        <w:pStyle w:val="ParaNum"/>
        <w:widowControl/>
        <w:jc w:val="left"/>
      </w:pPr>
      <w:r>
        <w:t xml:space="preserve">Accordingly IT IS ORDERED, that the </w:t>
      </w:r>
      <w:r w:rsidR="00C850C1">
        <w:t>Request for Waiver Related to Commission November 20, 2013 Deadline for Submission of Estimates</w:t>
      </w:r>
      <w:r w:rsidR="00EA1496">
        <w:t>, submitted May 2</w:t>
      </w:r>
      <w:r w:rsidR="005E0A4B">
        <w:t>8</w:t>
      </w:r>
      <w:r w:rsidR="00EA1496">
        <w:t xml:space="preserve">, 2014 by </w:t>
      </w:r>
      <w:r w:rsidR="00C850C1">
        <w:t>Henry K.</w:t>
      </w:r>
      <w:r w:rsidR="00EA1496">
        <w:t xml:space="preserve"> </w:t>
      </w:r>
      <w:r w:rsidR="00122B2C">
        <w:t>Zappia</w:t>
      </w:r>
      <w:r w:rsidR="00EA1496">
        <w:t xml:space="preserve">, IS </w:t>
      </w:r>
      <w:r w:rsidR="00F543C9">
        <w:t>GRANTED</w:t>
      </w:r>
      <w:r w:rsidR="00EA1496">
        <w:t>.</w:t>
      </w:r>
    </w:p>
    <w:p w:rsidR="00EA1496" w:rsidRDefault="00EA1496" w:rsidP="00927E3D">
      <w:pPr>
        <w:pStyle w:val="ParaNum"/>
        <w:widowControl/>
        <w:jc w:val="left"/>
      </w:pPr>
      <w:r>
        <w:t xml:space="preserve">IT IS FURTHER ORDERED, that </w:t>
      </w:r>
      <w:r w:rsidR="00C850C1">
        <w:t>Henry K.</w:t>
      </w:r>
      <w:r>
        <w:t xml:space="preserve"> </w:t>
      </w:r>
      <w:r w:rsidR="00122B2C">
        <w:t>Zappia</w:t>
      </w:r>
      <w:r>
        <w:t>, shall file a cost estimate with Sprint Corporation and the 800 MHz Transition</w:t>
      </w:r>
      <w:r w:rsidR="005E0A4B">
        <w:t xml:space="preserve"> Administrator on or before </w:t>
      </w:r>
      <w:r w:rsidR="00C850C1">
        <w:t>July 21</w:t>
      </w:r>
      <w:r>
        <w:t>, 2014.</w:t>
      </w:r>
    </w:p>
    <w:p w:rsidR="00927E3D" w:rsidRDefault="00C850C1" w:rsidP="00927E3D">
      <w:pPr>
        <w:pStyle w:val="ParaNum"/>
        <w:widowControl/>
        <w:jc w:val="left"/>
      </w:pPr>
      <w:r>
        <w:t>IT IS FURTHER ORDERED that, if Henry K.</w:t>
      </w:r>
      <w:r w:rsidR="00EA1496">
        <w:t xml:space="preserve"> </w:t>
      </w:r>
      <w:r w:rsidR="00122B2C">
        <w:t>Zappia</w:t>
      </w:r>
      <w:r w:rsidR="00EA1496">
        <w:t xml:space="preserve"> fails to file a cost estimate with Sprint Corporation and the 800 MHz Transition Administrator by </w:t>
      </w:r>
      <w:r>
        <w:t>July 21</w:t>
      </w:r>
      <w:r w:rsidR="00EA1496">
        <w:t xml:space="preserve">, 2014, </w:t>
      </w:r>
      <w:r>
        <w:t xml:space="preserve">Henry K. Zappia </w:t>
      </w:r>
      <w:r w:rsidR="00EA1496">
        <w:t xml:space="preserve">shall file a further request for extension of time within which to do so, in which </w:t>
      </w:r>
      <w:r>
        <w:t>Henry K.</w:t>
      </w:r>
      <w:r w:rsidR="00EA1496">
        <w:t xml:space="preserve"> </w:t>
      </w:r>
      <w:r w:rsidR="00122B2C">
        <w:t>Zappia</w:t>
      </w:r>
      <w:r w:rsidR="00EA1496">
        <w:t xml:space="preserve">, sets forth its efforts to comply with the instant </w:t>
      </w:r>
      <w:r w:rsidR="00EA1496" w:rsidRPr="00EA1496">
        <w:rPr>
          <w:i/>
        </w:rPr>
        <w:t>Order</w:t>
      </w:r>
      <w:r w:rsidR="00EA1496">
        <w:rPr>
          <w:i/>
        </w:rPr>
        <w:t xml:space="preserve">, </w:t>
      </w:r>
      <w:r w:rsidR="00EA1496">
        <w:t>being specific as to dates and descriptions of those efforts.</w:t>
      </w:r>
    </w:p>
    <w:p w:rsidR="00927E3D" w:rsidRDefault="00927E3D">
      <w:pPr>
        <w:widowControl/>
        <w:jc w:val="left"/>
      </w:pPr>
      <w:r>
        <w:br w:type="page"/>
      </w:r>
    </w:p>
    <w:p w:rsidR="00F20A0F" w:rsidRDefault="00F20A0F" w:rsidP="00927E3D">
      <w:pPr>
        <w:pStyle w:val="ParaNum"/>
        <w:widowControl/>
        <w:jc w:val="left"/>
      </w:pPr>
      <w:r w:rsidRPr="00F20A0F">
        <w:t>This action is taken under delegated authority pursuant to Sections 0.191(a) and 0.392 of the Commission's Rules, 47 C.F.R. §§ 0.191(a), 0.392.</w:t>
      </w:r>
    </w:p>
    <w:p w:rsidR="00F20A0F" w:rsidRDefault="00F20A0F" w:rsidP="00927E3D">
      <w:pPr>
        <w:pStyle w:val="ParaNum"/>
        <w:widowControl/>
        <w:numPr>
          <w:ilvl w:val="0"/>
          <w:numId w:val="0"/>
        </w:numPr>
        <w:spacing w:after="0"/>
        <w:ind w:left="4320"/>
        <w:jc w:val="left"/>
      </w:pPr>
      <w:r>
        <w:t>FEDERAL COMMUNICATIONS COMMISSION</w:t>
      </w:r>
    </w:p>
    <w:p w:rsidR="00F20A0F" w:rsidRDefault="00F20A0F" w:rsidP="00927E3D">
      <w:pPr>
        <w:pStyle w:val="ParaNum"/>
        <w:widowControl/>
        <w:numPr>
          <w:ilvl w:val="0"/>
          <w:numId w:val="0"/>
        </w:numPr>
        <w:spacing w:after="0"/>
        <w:jc w:val="left"/>
      </w:pPr>
    </w:p>
    <w:p w:rsidR="00C850C1" w:rsidRDefault="00C850C1" w:rsidP="00927E3D">
      <w:pPr>
        <w:pStyle w:val="ParaNum"/>
        <w:widowControl/>
        <w:numPr>
          <w:ilvl w:val="0"/>
          <w:numId w:val="0"/>
        </w:numPr>
        <w:spacing w:after="0"/>
        <w:jc w:val="left"/>
      </w:pPr>
    </w:p>
    <w:p w:rsidR="00C850C1" w:rsidRDefault="00C850C1" w:rsidP="00927E3D">
      <w:pPr>
        <w:pStyle w:val="ParaNum"/>
        <w:widowControl/>
        <w:numPr>
          <w:ilvl w:val="0"/>
          <w:numId w:val="0"/>
        </w:numPr>
        <w:spacing w:after="0"/>
        <w:jc w:val="left"/>
      </w:pPr>
    </w:p>
    <w:p w:rsidR="00C850C1" w:rsidRDefault="00C850C1" w:rsidP="00927E3D">
      <w:pPr>
        <w:pStyle w:val="ParaNum"/>
        <w:widowControl/>
        <w:numPr>
          <w:ilvl w:val="0"/>
          <w:numId w:val="0"/>
        </w:numPr>
        <w:spacing w:after="0"/>
        <w:jc w:val="left"/>
      </w:pPr>
    </w:p>
    <w:p w:rsidR="00F20A0F" w:rsidRDefault="00F20A0F" w:rsidP="00927E3D">
      <w:pPr>
        <w:pStyle w:val="ParaNum"/>
        <w:widowControl/>
        <w:numPr>
          <w:ilvl w:val="0"/>
          <w:numId w:val="0"/>
        </w:numPr>
        <w:spacing w:after="0"/>
        <w:ind w:left="4320"/>
        <w:jc w:val="left"/>
      </w:pPr>
      <w:r>
        <w:t>Michael J. Wilhelm</w:t>
      </w:r>
    </w:p>
    <w:p w:rsidR="00F20A0F" w:rsidRDefault="00F20A0F" w:rsidP="00927E3D">
      <w:pPr>
        <w:pStyle w:val="ParaNum"/>
        <w:widowControl/>
        <w:numPr>
          <w:ilvl w:val="0"/>
          <w:numId w:val="0"/>
        </w:numPr>
        <w:spacing w:after="0"/>
        <w:ind w:left="4320"/>
        <w:jc w:val="left"/>
      </w:pPr>
      <w:r>
        <w:t xml:space="preserve">Deputy Chief, Policy and </w:t>
      </w:r>
      <w:r w:rsidR="0030627B">
        <w:t>Licensing</w:t>
      </w:r>
      <w:r>
        <w:t xml:space="preserve"> Division </w:t>
      </w:r>
    </w:p>
    <w:p w:rsidR="00A635B9" w:rsidRDefault="00F20A0F" w:rsidP="00927E3D">
      <w:pPr>
        <w:pStyle w:val="ParaNum"/>
        <w:widowControl/>
        <w:numPr>
          <w:ilvl w:val="0"/>
          <w:numId w:val="0"/>
        </w:numPr>
        <w:spacing w:after="0"/>
        <w:ind w:left="4320"/>
        <w:jc w:val="left"/>
      </w:pPr>
      <w:r>
        <w:t>Public Safety and Homeland Security Bureau</w:t>
      </w:r>
    </w:p>
    <w:sectPr w:rsidR="00A635B9" w:rsidSect="00927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5E" w:rsidRDefault="00F36C5E">
      <w:pPr>
        <w:spacing w:line="20" w:lineRule="exact"/>
      </w:pPr>
    </w:p>
  </w:endnote>
  <w:endnote w:type="continuationSeparator" w:id="0">
    <w:p w:rsidR="00F36C5E" w:rsidRDefault="00F36C5E">
      <w:r>
        <w:t xml:space="preserve"> </w:t>
      </w:r>
    </w:p>
  </w:endnote>
  <w:endnote w:type="continuationNotice" w:id="1">
    <w:p w:rsidR="00F36C5E" w:rsidRDefault="00F36C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53486" w:rsidRDefault="00C53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1106A">
      <w:rPr>
        <w:noProof/>
      </w:rPr>
      <w:t>3</w:t>
    </w:r>
    <w:r>
      <w:fldChar w:fldCharType="end"/>
    </w:r>
  </w:p>
  <w:p w:rsidR="00C53486" w:rsidRDefault="00C53486">
    <w:pPr>
      <w:spacing w:before="140" w:line="100" w:lineRule="exact"/>
      <w:rPr>
        <w:sz w:val="10"/>
      </w:rPr>
    </w:pPr>
  </w:p>
  <w:p w:rsidR="00C53486" w:rsidRDefault="00C53486">
    <w:pPr>
      <w:suppressAutoHyphens/>
      <w:spacing w:line="227" w:lineRule="auto"/>
    </w:pPr>
  </w:p>
  <w:p w:rsidR="00C53486" w:rsidRDefault="00C534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C53486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5E" w:rsidRDefault="00F36C5E">
      <w:r>
        <w:separator/>
      </w:r>
    </w:p>
  </w:footnote>
  <w:footnote w:type="continuationSeparator" w:id="0">
    <w:p w:rsidR="00F36C5E" w:rsidRDefault="00F36C5E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36C5E" w:rsidRDefault="00F36C5E">
      <w:pPr>
        <w:rPr>
          <w:sz w:val="20"/>
        </w:rPr>
      </w:pPr>
      <w:r>
        <w:rPr>
          <w:sz w:val="20"/>
        </w:rPr>
        <w:t>(continued….)</w:t>
      </w:r>
    </w:p>
  </w:footnote>
  <w:footnote w:id="2">
    <w:p w:rsidR="001A60E8" w:rsidRPr="002161AD" w:rsidRDefault="001A60E8" w:rsidP="002161AD">
      <w:pPr>
        <w:pStyle w:val="Default"/>
        <w:spacing w:after="12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2161AD" w:rsidRPr="00F87902">
        <w:rPr>
          <w:sz w:val="20"/>
          <w:szCs w:val="20"/>
        </w:rPr>
        <w:t xml:space="preserve">Improving Public Safety Communications in the 800 MHz Band, WT Docket No. 02-55, </w:t>
      </w:r>
      <w:r w:rsidR="002161AD" w:rsidRPr="00F87902">
        <w:rPr>
          <w:i/>
          <w:sz w:val="20"/>
          <w:szCs w:val="20"/>
        </w:rPr>
        <w:t xml:space="preserve">Order, </w:t>
      </w:r>
      <w:r w:rsidR="002161AD" w:rsidRPr="00F87902">
        <w:rPr>
          <w:sz w:val="20"/>
          <w:szCs w:val="20"/>
        </w:rPr>
        <w:t xml:space="preserve">29 FCC Rcd 2163, </w:t>
      </w:r>
      <w:r w:rsidR="002161AD" w:rsidRPr="00F836BE">
        <w:rPr>
          <w:sz w:val="20"/>
          <w:szCs w:val="20"/>
        </w:rPr>
        <w:t xml:space="preserve">Appendix </w:t>
      </w:r>
      <w:r w:rsidR="00122B2C">
        <w:rPr>
          <w:sz w:val="20"/>
          <w:szCs w:val="20"/>
        </w:rPr>
        <w:t>A</w:t>
      </w:r>
      <w:r w:rsidR="002161AD" w:rsidRPr="00F87902">
        <w:rPr>
          <w:sz w:val="20"/>
          <w:szCs w:val="20"/>
        </w:rPr>
        <w:t xml:space="preserve"> (PSHSB 2014).</w:t>
      </w:r>
    </w:p>
  </w:footnote>
  <w:footnote w:id="3">
    <w:p w:rsidR="001B5548" w:rsidRDefault="001B5548">
      <w:pPr>
        <w:pStyle w:val="FootnoteText"/>
      </w:pPr>
      <w:r>
        <w:rPr>
          <w:rStyle w:val="FootnoteReference"/>
        </w:rPr>
        <w:footnoteRef/>
      </w:r>
      <w:r>
        <w:t xml:space="preserve"> Request at 1.</w:t>
      </w:r>
    </w:p>
  </w:footnote>
  <w:footnote w:id="4">
    <w:p w:rsidR="001B5548" w:rsidRDefault="001B55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5548">
        <w:rPr>
          <w:i/>
        </w:rPr>
        <w:t>Id</w:t>
      </w:r>
      <w:r>
        <w:t>. at 2.</w:t>
      </w:r>
    </w:p>
  </w:footnote>
  <w:footnote w:id="5">
    <w:p w:rsidR="001B5548" w:rsidRDefault="001B5548" w:rsidP="001B55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5548">
        <w:rPr>
          <w:i/>
        </w:rPr>
        <w:t>Id</w:t>
      </w:r>
      <w:r>
        <w:t xml:space="preserve">. </w:t>
      </w:r>
    </w:p>
  </w:footnote>
  <w:footnote w:id="6">
    <w:p w:rsidR="001B5548" w:rsidRDefault="001B5548" w:rsidP="001B55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5548">
        <w:rPr>
          <w:i/>
        </w:rPr>
        <w:t>Id</w:t>
      </w:r>
      <w:r>
        <w:t xml:space="preserve">. </w:t>
      </w:r>
    </w:p>
  </w:footnote>
  <w:footnote w:id="7">
    <w:p w:rsidR="001B5548" w:rsidRDefault="001B5548" w:rsidP="001B55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5548">
        <w:rPr>
          <w:i/>
        </w:rPr>
        <w:t>Id</w:t>
      </w:r>
      <w:r>
        <w:t xml:space="preserve">. </w:t>
      </w:r>
    </w:p>
  </w:footnote>
  <w:footnote w:id="8">
    <w:p w:rsidR="001B5548" w:rsidRDefault="001B5548" w:rsidP="001B55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5548">
        <w:rPr>
          <w:i/>
        </w:rPr>
        <w:t>Id</w:t>
      </w:r>
      <w:r>
        <w:t xml:space="preserve">. </w:t>
      </w:r>
    </w:p>
  </w:footnote>
  <w:footnote w:id="9">
    <w:p w:rsidR="00C850C1" w:rsidRDefault="00C850C1" w:rsidP="00C850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5548">
        <w:rPr>
          <w:i/>
        </w:rPr>
        <w:t>Id</w:t>
      </w:r>
      <w:r>
        <w:t xml:space="preserve">. </w:t>
      </w:r>
    </w:p>
  </w:footnote>
  <w:footnote w:id="10">
    <w:p w:rsidR="00C850C1" w:rsidRDefault="00C850C1" w:rsidP="00C850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5548">
        <w:rPr>
          <w:i/>
        </w:rPr>
        <w:t>Id</w:t>
      </w:r>
      <w:r>
        <w:t>. at 3.</w:t>
      </w:r>
    </w:p>
  </w:footnote>
  <w:footnote w:id="11">
    <w:p w:rsidR="0058469D" w:rsidRDefault="0058469D" w:rsidP="0058469D">
      <w:pPr>
        <w:pStyle w:val="FootnoteText"/>
      </w:pPr>
      <w:r>
        <w:rPr>
          <w:rStyle w:val="FootnoteReference"/>
        </w:rPr>
        <w:footnoteRef/>
      </w:r>
      <w:r>
        <w:t xml:space="preserve"> 47 C.F.R. § 1.46(a).</w:t>
      </w:r>
    </w:p>
  </w:footnote>
  <w:footnote w:id="12">
    <w:p w:rsidR="0058469D" w:rsidRPr="00A80C4B" w:rsidRDefault="0058469D" w:rsidP="0058469D">
      <w:pPr>
        <w:pStyle w:val="FootnoteText"/>
      </w:pPr>
      <w:r>
        <w:rPr>
          <w:rStyle w:val="FootnoteReference"/>
        </w:rPr>
        <w:footnoteRef/>
      </w:r>
      <w:r>
        <w:t xml:space="preserve"> Regents of the University of California, </w:t>
      </w:r>
      <w:r w:rsidR="002161AD">
        <w:t xml:space="preserve">WT Docket No. 02-55, </w:t>
      </w:r>
      <w:r w:rsidRPr="00A80C4B">
        <w:rPr>
          <w:i/>
        </w:rPr>
        <w:t>Order</w:t>
      </w:r>
      <w:r>
        <w:rPr>
          <w:i/>
        </w:rPr>
        <w:t xml:space="preserve">, </w:t>
      </w:r>
      <w:r>
        <w:t>28 FCC Rcd 15920, 15921 (PSHSB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E6" w:rsidRDefault="001D7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</w:r>
    <w:r w:rsidR="002161AD">
      <w:t>DA 14-</w:t>
    </w:r>
    <w:r w:rsidR="00DD1402">
      <w:t>770</w:t>
    </w:r>
  </w:p>
  <w:p w:rsidR="00C53486" w:rsidRDefault="000972E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3FB935" wp14:editId="24B0F00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J7SiGboAgAAMgYAAA4AAAAAAAAAAAAA&#10;AAAALgIAAGRycy9lMm9Eb2MueG1sUEsBAi0AFAAGAAgAAAAhACI87tHXAAAAAwEAAA8AAAAAAAAA&#10;AAAAAAAAQgUAAGRycy9kb3ducmV2LnhtbFBLBQYAAAAABAAEAPMAAABGBgAAAAA=&#10;" o:allowincell="f" fillcolor="black" stroked="f" strokeweight=".05pt">
              <w10:wrap anchorx="margin"/>
            </v:rect>
          </w:pict>
        </mc:Fallback>
      </mc:AlternateContent>
    </w:r>
  </w:p>
  <w:p w:rsidR="00C53486" w:rsidRDefault="00C53486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86" w:rsidRDefault="00D77249">
    <w:pPr>
      <w:pStyle w:val="Header"/>
      <w:pBdr>
        <w:bottom w:val="single" w:sz="12" w:space="1" w:color="auto"/>
      </w:pBdr>
      <w:rPr>
        <w:b w:val="0"/>
      </w:rPr>
    </w:pPr>
    <w:r>
      <w:tab/>
      <w:t>Fed</w:t>
    </w:r>
    <w:r w:rsidR="00DD1402">
      <w:t>eral Communications Commission</w:t>
    </w:r>
    <w:r w:rsidR="00DD1402">
      <w:tab/>
      <w:t>DA 14-770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9"/>
    <w:rsid w:val="0003394B"/>
    <w:rsid w:val="000972E3"/>
    <w:rsid w:val="000A54F5"/>
    <w:rsid w:val="00100DC2"/>
    <w:rsid w:val="00122B2C"/>
    <w:rsid w:val="001533D2"/>
    <w:rsid w:val="001A60E8"/>
    <w:rsid w:val="001B5548"/>
    <w:rsid w:val="001D77E6"/>
    <w:rsid w:val="002161AD"/>
    <w:rsid w:val="002744ED"/>
    <w:rsid w:val="0030627B"/>
    <w:rsid w:val="003978F5"/>
    <w:rsid w:val="003A3E3C"/>
    <w:rsid w:val="003D6CC1"/>
    <w:rsid w:val="00402FED"/>
    <w:rsid w:val="00434417"/>
    <w:rsid w:val="00443221"/>
    <w:rsid w:val="0058469D"/>
    <w:rsid w:val="00591640"/>
    <w:rsid w:val="005E0A4B"/>
    <w:rsid w:val="0070518C"/>
    <w:rsid w:val="007739B0"/>
    <w:rsid w:val="007C2E7D"/>
    <w:rsid w:val="007F7585"/>
    <w:rsid w:val="00833E48"/>
    <w:rsid w:val="008C7E6C"/>
    <w:rsid w:val="00927E3D"/>
    <w:rsid w:val="00987734"/>
    <w:rsid w:val="009D3B33"/>
    <w:rsid w:val="00A635B9"/>
    <w:rsid w:val="00AC208E"/>
    <w:rsid w:val="00AC3766"/>
    <w:rsid w:val="00AE5019"/>
    <w:rsid w:val="00B02E53"/>
    <w:rsid w:val="00B1106A"/>
    <w:rsid w:val="00C13304"/>
    <w:rsid w:val="00C414B3"/>
    <w:rsid w:val="00C53486"/>
    <w:rsid w:val="00C850C1"/>
    <w:rsid w:val="00CD6BD0"/>
    <w:rsid w:val="00D51742"/>
    <w:rsid w:val="00D77249"/>
    <w:rsid w:val="00DC7BEC"/>
    <w:rsid w:val="00DD1402"/>
    <w:rsid w:val="00EA1496"/>
    <w:rsid w:val="00EB415C"/>
    <w:rsid w:val="00EE7BE4"/>
    <w:rsid w:val="00F20A0F"/>
    <w:rsid w:val="00F36C5E"/>
    <w:rsid w:val="00F4757C"/>
    <w:rsid w:val="00F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autoRedefine/>
    <w:semiHidden/>
    <w:pPr>
      <w:tabs>
        <w:tab w:val="left" w:pos="720"/>
        <w:tab w:val="left" w:pos="1440"/>
      </w:tabs>
      <w:spacing w:after="120"/>
      <w:ind w:right="144"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  <w:jc w:val="left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Default">
    <w:name w:val="Default"/>
    <w:rsid w:val="002161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94B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autoRedefine/>
    <w:semiHidden/>
    <w:pPr>
      <w:tabs>
        <w:tab w:val="left" w:pos="720"/>
        <w:tab w:val="left" w:pos="1440"/>
      </w:tabs>
      <w:spacing w:after="120"/>
      <w:ind w:right="144"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  <w:jc w:val="left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Default">
    <w:name w:val="Default"/>
    <w:rsid w:val="002161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3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94B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Wilhelm\Desktop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696</Words>
  <Characters>3597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</vt:lpstr>
    </vt:vector>
  </TitlesOfParts>
  <Manager/>
  <Company/>
  <LinksUpToDate>false</LinksUpToDate>
  <CharactersWithSpaces>4308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2014-06-03T18:39:00Z</cp:lastPrinted>
  <dcterms:created xsi:type="dcterms:W3CDTF">2014-06-03T18:44:00Z</dcterms:created>
  <dcterms:modified xsi:type="dcterms:W3CDTF">2014-06-03T18:44:00Z</dcterms:modified>
  <cp:category> </cp:category>
  <cp:contentStatus> </cp:contentStatus>
</cp:coreProperties>
</file>