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C44" w:rsidRPr="00B128B5" w:rsidRDefault="003F4C44">
      <w:pPr>
        <w:pStyle w:val="Title"/>
        <w:widowControl/>
        <w:tabs>
          <w:tab w:val="left" w:pos="3768"/>
          <w:tab w:val="center" w:pos="4680"/>
        </w:tabs>
        <w:jc w:val="left"/>
      </w:pPr>
      <w:bookmarkStart w:id="0" w:name="_GoBack"/>
      <w:bookmarkEnd w:id="0"/>
      <w:r w:rsidRPr="00B128B5">
        <w:tab/>
      </w:r>
      <w:r w:rsidRPr="00B128B5">
        <w:tab/>
        <w:t>Before the</w:t>
      </w:r>
    </w:p>
    <w:p w:rsidR="003F4C44" w:rsidRPr="00B128B5" w:rsidRDefault="003F4C44">
      <w:pPr>
        <w:pStyle w:val="Title"/>
        <w:widowControl/>
      </w:pPr>
      <w:r w:rsidRPr="00B128B5">
        <w:t>Federal Communications Commission</w:t>
      </w:r>
    </w:p>
    <w:p w:rsidR="003F4C44" w:rsidRPr="00B128B5" w:rsidRDefault="003F4C44">
      <w:pPr>
        <w:pStyle w:val="Title"/>
        <w:widowControl/>
      </w:pPr>
      <w:r w:rsidRPr="00B128B5">
        <w:t>Washington, D.C. 20554</w:t>
      </w:r>
    </w:p>
    <w:p w:rsidR="003F4C44" w:rsidRPr="00B128B5" w:rsidRDefault="003F4C44">
      <w:pPr>
        <w:widowControl/>
        <w:tabs>
          <w:tab w:val="left" w:pos="-720"/>
        </w:tabs>
        <w:suppressAutoHyphens/>
        <w:spacing w:line="227" w:lineRule="auto"/>
        <w:jc w:val="both"/>
        <w:rPr>
          <w:spacing w:val="-2"/>
        </w:rPr>
      </w:pPr>
    </w:p>
    <w:p w:rsidR="003F4C44" w:rsidRPr="00B128B5" w:rsidRDefault="003F4C44">
      <w:pPr>
        <w:widowControl/>
        <w:tabs>
          <w:tab w:val="left" w:pos="-720"/>
        </w:tabs>
        <w:suppressAutoHyphens/>
        <w:spacing w:line="227" w:lineRule="auto"/>
        <w:jc w:val="both"/>
        <w:rPr>
          <w:spacing w:val="-2"/>
        </w:rPr>
      </w:pPr>
    </w:p>
    <w:tbl>
      <w:tblPr>
        <w:tblW w:w="0" w:type="auto"/>
        <w:tblLayout w:type="fixed"/>
        <w:tblLook w:val="0000" w:firstRow="0" w:lastRow="0" w:firstColumn="0" w:lastColumn="0" w:noHBand="0" w:noVBand="0"/>
      </w:tblPr>
      <w:tblGrid>
        <w:gridCol w:w="4698"/>
        <w:gridCol w:w="630"/>
        <w:gridCol w:w="4248"/>
      </w:tblGrid>
      <w:tr w:rsidR="003F4C44" w:rsidRPr="00B128B5">
        <w:tc>
          <w:tcPr>
            <w:tcW w:w="4698" w:type="dxa"/>
          </w:tcPr>
          <w:p w:rsidR="003F4C44" w:rsidRPr="00B128B5" w:rsidRDefault="003F4C44">
            <w:pPr>
              <w:widowControl/>
              <w:tabs>
                <w:tab w:val="center" w:pos="4680"/>
              </w:tabs>
              <w:suppressAutoHyphens/>
              <w:rPr>
                <w:spacing w:val="-2"/>
              </w:rPr>
            </w:pPr>
            <w:r w:rsidRPr="00B128B5">
              <w:rPr>
                <w:spacing w:val="-2"/>
              </w:rPr>
              <w:t>In the Matter of Applications of</w:t>
            </w:r>
          </w:p>
          <w:p w:rsidR="003F4C44" w:rsidRPr="00B128B5" w:rsidRDefault="003F4C44">
            <w:pPr>
              <w:widowControl/>
              <w:tabs>
                <w:tab w:val="center" w:pos="4680"/>
              </w:tabs>
              <w:suppressAutoHyphens/>
              <w:rPr>
                <w:spacing w:val="-2"/>
              </w:rPr>
            </w:pPr>
          </w:p>
          <w:p w:rsidR="003F4C44" w:rsidRPr="00B128B5" w:rsidRDefault="00726FBF">
            <w:pPr>
              <w:widowControl/>
              <w:tabs>
                <w:tab w:val="center" w:pos="4680"/>
              </w:tabs>
              <w:suppressAutoHyphens/>
              <w:rPr>
                <w:spacing w:val="-2"/>
              </w:rPr>
            </w:pPr>
            <w:r w:rsidRPr="00B128B5">
              <w:rPr>
                <w:caps/>
                <w:spacing w:val="-2"/>
              </w:rPr>
              <w:t>SPECTRUM HOLDINGS TECHNOLOGIES, LLC</w:t>
            </w:r>
          </w:p>
          <w:p w:rsidR="003F4C44" w:rsidRPr="00B128B5" w:rsidRDefault="003F4C44">
            <w:pPr>
              <w:widowControl/>
              <w:tabs>
                <w:tab w:val="center" w:pos="4680"/>
              </w:tabs>
              <w:suppressAutoHyphens/>
              <w:rPr>
                <w:spacing w:val="-2"/>
              </w:rPr>
            </w:pPr>
          </w:p>
          <w:p w:rsidR="00726FBF" w:rsidRPr="00B128B5" w:rsidRDefault="00726FBF" w:rsidP="00726FBF">
            <w:pPr>
              <w:ind w:right="-18"/>
            </w:pPr>
            <w:r w:rsidRPr="00B128B5">
              <w:t xml:space="preserve">Construction Notification for </w:t>
            </w:r>
            <w:r w:rsidR="005344E6" w:rsidRPr="00B128B5">
              <w:t>7</w:t>
            </w:r>
            <w:r w:rsidR="00C77625" w:rsidRPr="00B128B5">
              <w:t>3</w:t>
            </w:r>
            <w:r w:rsidRPr="00B128B5">
              <w:t xml:space="preserve"> Local Multipoint Distribution Service Stations </w:t>
            </w:r>
          </w:p>
          <w:p w:rsidR="003F4C44" w:rsidRPr="00B128B5" w:rsidRDefault="003F4C44">
            <w:pPr>
              <w:widowControl/>
              <w:tabs>
                <w:tab w:val="center" w:pos="4680"/>
              </w:tabs>
              <w:suppressAutoHyphens/>
            </w:pPr>
          </w:p>
        </w:tc>
        <w:tc>
          <w:tcPr>
            <w:tcW w:w="630" w:type="dxa"/>
          </w:tcPr>
          <w:p w:rsidR="003F4C44" w:rsidRPr="00B128B5" w:rsidRDefault="003F4C44">
            <w:pPr>
              <w:widowControl/>
              <w:tabs>
                <w:tab w:val="center" w:pos="4680"/>
              </w:tabs>
              <w:suppressAutoHyphens/>
              <w:rPr>
                <w:b/>
                <w:spacing w:val="-2"/>
              </w:rPr>
            </w:pPr>
            <w:r w:rsidRPr="00B128B5">
              <w:rPr>
                <w:b/>
                <w:spacing w:val="-2"/>
              </w:rPr>
              <w:t>)</w:t>
            </w:r>
            <w:r w:rsidRPr="00B128B5">
              <w:rPr>
                <w:b/>
                <w:spacing w:val="-2"/>
              </w:rPr>
              <w:br/>
              <w:t>)</w:t>
            </w:r>
            <w:r w:rsidRPr="00B128B5">
              <w:rPr>
                <w:b/>
                <w:spacing w:val="-2"/>
              </w:rPr>
              <w:br/>
              <w:t>)</w:t>
            </w:r>
            <w:r w:rsidRPr="00B128B5">
              <w:rPr>
                <w:b/>
                <w:spacing w:val="-2"/>
              </w:rPr>
              <w:br/>
              <w:t>)</w:t>
            </w:r>
            <w:r w:rsidRPr="00B128B5">
              <w:rPr>
                <w:b/>
                <w:spacing w:val="-2"/>
              </w:rPr>
              <w:br/>
              <w:t>)</w:t>
            </w:r>
            <w:r w:rsidRPr="00B128B5">
              <w:rPr>
                <w:b/>
                <w:spacing w:val="-2"/>
              </w:rPr>
              <w:br/>
              <w:t>)</w:t>
            </w:r>
          </w:p>
          <w:p w:rsidR="003F4C44" w:rsidRPr="00B128B5" w:rsidRDefault="003F4C44">
            <w:pPr>
              <w:widowControl/>
              <w:tabs>
                <w:tab w:val="center" w:pos="4680"/>
              </w:tabs>
              <w:suppressAutoHyphens/>
              <w:rPr>
                <w:b/>
                <w:spacing w:val="-2"/>
              </w:rPr>
            </w:pPr>
            <w:r w:rsidRPr="00B128B5">
              <w:rPr>
                <w:b/>
                <w:spacing w:val="-2"/>
              </w:rPr>
              <w:t>)</w:t>
            </w:r>
          </w:p>
          <w:p w:rsidR="003F4C44" w:rsidRPr="00B128B5" w:rsidRDefault="003F4C44">
            <w:pPr>
              <w:widowControl/>
              <w:tabs>
                <w:tab w:val="center" w:pos="4680"/>
              </w:tabs>
              <w:suppressAutoHyphens/>
              <w:rPr>
                <w:b/>
                <w:spacing w:val="-2"/>
              </w:rPr>
            </w:pPr>
            <w:r w:rsidRPr="00B128B5">
              <w:rPr>
                <w:b/>
                <w:spacing w:val="-2"/>
              </w:rPr>
              <w:t>)</w:t>
            </w:r>
          </w:p>
        </w:tc>
        <w:tc>
          <w:tcPr>
            <w:tcW w:w="4248" w:type="dxa"/>
          </w:tcPr>
          <w:p w:rsidR="003F4C44" w:rsidRPr="00B128B5" w:rsidRDefault="003F4C44">
            <w:pPr>
              <w:widowControl/>
              <w:tabs>
                <w:tab w:val="center" w:pos="4680"/>
              </w:tabs>
              <w:suppressAutoHyphens/>
              <w:rPr>
                <w:spacing w:val="-2"/>
              </w:rPr>
            </w:pPr>
          </w:p>
          <w:p w:rsidR="003F4C44" w:rsidRPr="00B128B5" w:rsidRDefault="003F4C44">
            <w:pPr>
              <w:widowControl/>
              <w:tabs>
                <w:tab w:val="center" w:pos="4680"/>
              </w:tabs>
              <w:suppressAutoHyphens/>
              <w:rPr>
                <w:spacing w:val="-2"/>
              </w:rPr>
            </w:pPr>
          </w:p>
          <w:p w:rsidR="003F4C44" w:rsidRPr="00B128B5" w:rsidRDefault="003F4C44" w:rsidP="0061457C">
            <w:pPr>
              <w:pStyle w:val="TOAHeading"/>
              <w:widowControl/>
              <w:tabs>
                <w:tab w:val="clear" w:pos="9360"/>
                <w:tab w:val="center" w:pos="4680"/>
              </w:tabs>
              <w:rPr>
                <w:i/>
                <w:spacing w:val="-2"/>
              </w:rPr>
            </w:pPr>
            <w:r w:rsidRPr="00B128B5">
              <w:rPr>
                <w:spacing w:val="-2"/>
              </w:rPr>
              <w:t xml:space="preserve">File Nos. </w:t>
            </w:r>
            <w:r w:rsidRPr="00B128B5">
              <w:rPr>
                <w:bCs/>
                <w:szCs w:val="22"/>
              </w:rPr>
              <w:t>000</w:t>
            </w:r>
            <w:r w:rsidR="00057D3D" w:rsidRPr="00B128B5">
              <w:rPr>
                <w:bCs/>
                <w:szCs w:val="22"/>
              </w:rPr>
              <w:t xml:space="preserve">5312838, </w:t>
            </w:r>
            <w:r w:rsidR="0061457C" w:rsidRPr="00B128B5">
              <w:rPr>
                <w:bCs/>
                <w:i/>
                <w:szCs w:val="22"/>
              </w:rPr>
              <w:t>et al.</w:t>
            </w:r>
          </w:p>
        </w:tc>
      </w:tr>
    </w:tbl>
    <w:p w:rsidR="003F4C44" w:rsidRPr="00B128B5" w:rsidRDefault="003F4C44">
      <w:pPr>
        <w:pStyle w:val="Title"/>
        <w:widowControl/>
      </w:pPr>
    </w:p>
    <w:p w:rsidR="003F4C44" w:rsidRPr="00B128B5" w:rsidRDefault="003F4C44">
      <w:pPr>
        <w:pStyle w:val="Title"/>
        <w:widowControl/>
      </w:pPr>
      <w:r w:rsidRPr="00B128B5">
        <w:t>MEMORANDUM OPINION AND ORDER</w:t>
      </w:r>
    </w:p>
    <w:p w:rsidR="003F4C44" w:rsidRPr="00B128B5" w:rsidRDefault="003F4C44">
      <w:pPr>
        <w:widowControl/>
        <w:tabs>
          <w:tab w:val="left" w:pos="-720"/>
        </w:tabs>
        <w:suppressAutoHyphens/>
        <w:spacing w:line="227" w:lineRule="auto"/>
        <w:jc w:val="both"/>
        <w:rPr>
          <w:spacing w:val="-2"/>
        </w:rPr>
      </w:pPr>
    </w:p>
    <w:p w:rsidR="003F4C44" w:rsidRPr="00B128B5" w:rsidRDefault="003F4C44">
      <w:pPr>
        <w:widowControl/>
        <w:tabs>
          <w:tab w:val="left" w:pos="-720"/>
        </w:tabs>
        <w:suppressAutoHyphens/>
        <w:spacing w:line="227" w:lineRule="auto"/>
        <w:jc w:val="both"/>
        <w:rPr>
          <w:spacing w:val="-2"/>
        </w:rPr>
      </w:pPr>
    </w:p>
    <w:p w:rsidR="003F4C44" w:rsidRPr="00B128B5" w:rsidRDefault="003F4C44">
      <w:pPr>
        <w:widowControl/>
        <w:tabs>
          <w:tab w:val="left" w:pos="720"/>
          <w:tab w:val="left" w:pos="5760"/>
        </w:tabs>
        <w:suppressAutoHyphens/>
        <w:spacing w:line="227" w:lineRule="auto"/>
        <w:jc w:val="both"/>
        <w:rPr>
          <w:spacing w:val="-2"/>
        </w:rPr>
      </w:pPr>
      <w:r w:rsidRPr="00B128B5">
        <w:rPr>
          <w:b/>
          <w:spacing w:val="-2"/>
        </w:rPr>
        <w:t xml:space="preserve">Adopted:  </w:t>
      </w:r>
      <w:r w:rsidR="00B128B5">
        <w:rPr>
          <w:b/>
          <w:spacing w:val="-2"/>
        </w:rPr>
        <w:t xml:space="preserve">June </w:t>
      </w:r>
      <w:r w:rsidR="00176219">
        <w:rPr>
          <w:b/>
          <w:spacing w:val="-2"/>
        </w:rPr>
        <w:t>5</w:t>
      </w:r>
      <w:r w:rsidRPr="00B128B5">
        <w:rPr>
          <w:b/>
          <w:spacing w:val="-2"/>
        </w:rPr>
        <w:t>, 201</w:t>
      </w:r>
      <w:r w:rsidR="005D4D92" w:rsidRPr="00B128B5">
        <w:rPr>
          <w:b/>
          <w:spacing w:val="-2"/>
        </w:rPr>
        <w:t>4</w:t>
      </w:r>
      <w:r w:rsidRPr="00B128B5">
        <w:rPr>
          <w:b/>
          <w:spacing w:val="-2"/>
        </w:rPr>
        <w:tab/>
      </w:r>
      <w:r w:rsidRPr="00B128B5">
        <w:rPr>
          <w:b/>
          <w:spacing w:val="-2"/>
        </w:rPr>
        <w:tab/>
      </w:r>
      <w:r w:rsidR="00CF7B3D" w:rsidRPr="00B128B5">
        <w:rPr>
          <w:b/>
          <w:spacing w:val="-2"/>
        </w:rPr>
        <w:t xml:space="preserve">       </w:t>
      </w:r>
      <w:r w:rsidRPr="00B128B5">
        <w:rPr>
          <w:b/>
          <w:spacing w:val="-2"/>
        </w:rPr>
        <w:t xml:space="preserve">Released:  </w:t>
      </w:r>
      <w:r w:rsidR="00B128B5">
        <w:rPr>
          <w:b/>
          <w:spacing w:val="-2"/>
        </w:rPr>
        <w:t xml:space="preserve">June </w:t>
      </w:r>
      <w:r w:rsidR="00176219">
        <w:rPr>
          <w:b/>
          <w:spacing w:val="-2"/>
        </w:rPr>
        <w:t>6</w:t>
      </w:r>
      <w:r w:rsidRPr="00B128B5">
        <w:rPr>
          <w:b/>
          <w:spacing w:val="-2"/>
        </w:rPr>
        <w:t>, 201</w:t>
      </w:r>
      <w:r w:rsidR="005D4D92" w:rsidRPr="00B128B5">
        <w:rPr>
          <w:b/>
          <w:spacing w:val="-2"/>
        </w:rPr>
        <w:t>4</w:t>
      </w:r>
      <w:r w:rsidRPr="00B128B5">
        <w:rPr>
          <w:b/>
          <w:spacing w:val="-2"/>
        </w:rPr>
        <w:t xml:space="preserve"> </w:t>
      </w:r>
    </w:p>
    <w:p w:rsidR="003F4C44" w:rsidRPr="00B128B5" w:rsidRDefault="003F4C44">
      <w:pPr>
        <w:widowControl/>
      </w:pPr>
    </w:p>
    <w:p w:rsidR="003F4C44" w:rsidRPr="00B128B5" w:rsidRDefault="003F4C44">
      <w:pPr>
        <w:widowControl/>
        <w:rPr>
          <w:spacing w:val="-2"/>
        </w:rPr>
      </w:pPr>
      <w:r w:rsidRPr="00B128B5">
        <w:t>By the Deputy Chief, Broadband Division, Wireless Telecommunications Bureau</w:t>
      </w:r>
      <w:r w:rsidRPr="00B128B5">
        <w:rPr>
          <w:spacing w:val="-2"/>
        </w:rPr>
        <w:t>:</w:t>
      </w:r>
    </w:p>
    <w:p w:rsidR="003F4C44" w:rsidRPr="00B128B5" w:rsidRDefault="003F4C44">
      <w:pPr>
        <w:widowControl/>
        <w:rPr>
          <w:spacing w:val="-2"/>
        </w:rPr>
      </w:pPr>
    </w:p>
    <w:p w:rsidR="003F4C44" w:rsidRPr="00B128B5" w:rsidRDefault="003F4C44">
      <w:pPr>
        <w:pStyle w:val="Heading1"/>
      </w:pPr>
      <w:r w:rsidRPr="00B128B5">
        <w:t xml:space="preserve">Introduction </w:t>
      </w:r>
    </w:p>
    <w:p w:rsidR="003F4C44" w:rsidRPr="00B128B5" w:rsidRDefault="003F4C44" w:rsidP="00F51060">
      <w:pPr>
        <w:pStyle w:val="ParaNum"/>
        <w:widowControl/>
        <w:numPr>
          <w:ilvl w:val="0"/>
          <w:numId w:val="31"/>
        </w:numPr>
        <w:tabs>
          <w:tab w:val="clear" w:pos="1080"/>
          <w:tab w:val="num" w:pos="1440"/>
        </w:tabs>
      </w:pPr>
      <w:r w:rsidRPr="00B128B5">
        <w:t xml:space="preserve">In this </w:t>
      </w:r>
      <w:r w:rsidRPr="00B128B5">
        <w:rPr>
          <w:i/>
        </w:rPr>
        <w:t>Memorandum Opinion and Order</w:t>
      </w:r>
      <w:r w:rsidRPr="00B128B5">
        <w:t>, we find that</w:t>
      </w:r>
      <w:r w:rsidR="00057D3D" w:rsidRPr="00B128B5">
        <w:t xml:space="preserve"> Spectrum Holdings Technologies, LLC</w:t>
      </w:r>
      <w:r w:rsidRPr="00B128B5">
        <w:t xml:space="preserve"> (“</w:t>
      </w:r>
      <w:r w:rsidR="00057D3D" w:rsidRPr="00B128B5">
        <w:t>SHT</w:t>
      </w:r>
      <w:r w:rsidRPr="00B128B5">
        <w:t xml:space="preserve">”) has failed to demonstrate substantial service for its </w:t>
      </w:r>
      <w:r w:rsidR="005344E6" w:rsidRPr="00B128B5">
        <w:t>7</w:t>
      </w:r>
      <w:r w:rsidR="00C77625" w:rsidRPr="00B128B5">
        <w:t>3</w:t>
      </w:r>
      <w:r w:rsidR="00057D3D" w:rsidRPr="00B128B5">
        <w:t xml:space="preserve"> Local Multipoint Distribution Service Stations listed on </w:t>
      </w:r>
      <w:r w:rsidR="0061457C" w:rsidRPr="00B128B5">
        <w:t xml:space="preserve">Appendix </w:t>
      </w:r>
      <w:r w:rsidR="00057D3D" w:rsidRPr="00B128B5">
        <w:t>A</w:t>
      </w:r>
      <w:r w:rsidR="00575D90" w:rsidRPr="00B128B5">
        <w:t xml:space="preserve"> (“</w:t>
      </w:r>
      <w:r w:rsidR="005344E6" w:rsidRPr="00B128B5">
        <w:t>7</w:t>
      </w:r>
      <w:r w:rsidR="00C77625" w:rsidRPr="00B128B5">
        <w:t>3</w:t>
      </w:r>
      <w:r w:rsidR="00575D90" w:rsidRPr="00B128B5">
        <w:t xml:space="preserve"> Stations”)</w:t>
      </w:r>
      <w:r w:rsidR="00057D3D" w:rsidRPr="00B128B5">
        <w:t>.</w:t>
      </w:r>
      <w:r w:rsidRPr="00B128B5">
        <w:t xml:space="preserve">  Based on this determination, the licenses </w:t>
      </w:r>
      <w:r w:rsidR="00ED09D0" w:rsidRPr="00B128B5">
        <w:t xml:space="preserve">for these stations </w:t>
      </w:r>
      <w:r w:rsidRPr="00B128B5">
        <w:t xml:space="preserve">automatically terminated, by operation of Commission rule, as of </w:t>
      </w:r>
      <w:r w:rsidR="00057D3D" w:rsidRPr="00B128B5">
        <w:t>Ju</w:t>
      </w:r>
      <w:r w:rsidR="00877EED" w:rsidRPr="00B128B5">
        <w:t>ly 31</w:t>
      </w:r>
      <w:r w:rsidR="00057D3D" w:rsidRPr="00B128B5">
        <w:t>, 2012</w:t>
      </w:r>
      <w:r w:rsidRPr="00B128B5">
        <w:t>.</w:t>
      </w:r>
    </w:p>
    <w:p w:rsidR="00057D3D" w:rsidRPr="00B128B5" w:rsidRDefault="00057D3D" w:rsidP="00057D3D">
      <w:pPr>
        <w:ind w:right="-18"/>
      </w:pPr>
    </w:p>
    <w:p w:rsidR="003F4C44" w:rsidRPr="00B128B5" w:rsidRDefault="003F4C44">
      <w:pPr>
        <w:pStyle w:val="Heading1"/>
      </w:pPr>
      <w:r w:rsidRPr="00B128B5">
        <w:t>Background</w:t>
      </w:r>
    </w:p>
    <w:p w:rsidR="00F51060" w:rsidRPr="00B128B5" w:rsidRDefault="00F51060" w:rsidP="00F51060">
      <w:pPr>
        <w:pStyle w:val="ParaNum"/>
        <w:widowControl/>
        <w:numPr>
          <w:ilvl w:val="0"/>
          <w:numId w:val="31"/>
        </w:numPr>
        <w:tabs>
          <w:tab w:val="clear" w:pos="1080"/>
          <w:tab w:val="num" w:pos="1440"/>
        </w:tabs>
      </w:pPr>
      <w:r w:rsidRPr="00B128B5">
        <w:t>In 1997, the Commission allocated 1,300 megahertz of LMDS spectrum in each basic trading area (“BTA”) across the United States.</w:t>
      </w:r>
      <w:r w:rsidRPr="00B128B5">
        <w:rPr>
          <w:rStyle w:val="FootnoteReference"/>
        </w:rPr>
        <w:footnoteReference w:id="2"/>
      </w:r>
      <w:r w:rsidRPr="00B128B5">
        <w:t xml:space="preserve">  Specifically, the Commission allocated two LMDS licenses per BTA – an “A Block” and a “B Block” in each.</w:t>
      </w:r>
      <w:r w:rsidRPr="00B128B5">
        <w:rPr>
          <w:rStyle w:val="FootnoteReference"/>
        </w:rPr>
        <w:footnoteReference w:id="3"/>
      </w:r>
      <w:r w:rsidRPr="00B128B5">
        <w:t xml:space="preserve">  The A Block license is comprised of 1,150 megahertz of total bandwidth, and the B Block license</w:t>
      </w:r>
      <w:r w:rsidR="00115FDE" w:rsidRPr="00B128B5">
        <w:t xml:space="preserve"> is</w:t>
      </w:r>
      <w:r w:rsidRPr="00B128B5">
        <w:t xml:space="preserve"> comprised of 150 megahertz of total bandwidth.</w:t>
      </w:r>
      <w:r w:rsidRPr="00B128B5">
        <w:rPr>
          <w:rStyle w:val="FootnoteReference"/>
        </w:rPr>
        <w:footnoteReference w:id="4"/>
      </w:r>
      <w:r w:rsidRPr="00B128B5">
        <w:t xml:space="preserve">  </w:t>
      </w:r>
      <w:r w:rsidRPr="00B128B5">
        <w:lastRenderedPageBreak/>
        <w:t>The A Block consists of the sub bands 27.50-28.35 GHz (the A1 Band); 29.10-29.25 GHz (the A2 Band); and 31.075-31.225 GHz (the A3 Band).</w:t>
      </w:r>
      <w:r w:rsidRPr="00B128B5">
        <w:rPr>
          <w:rStyle w:val="FootnoteReference"/>
        </w:rPr>
        <w:footnoteReference w:id="5"/>
      </w:r>
      <w:r w:rsidRPr="00B128B5">
        <w:t xml:space="preserve">  The B Block consists of the sub bands 31.00-31.075 (the B1 Band) and 31.225-31.30 GHz (the B2 Band).</w:t>
      </w:r>
      <w:r w:rsidRPr="00B128B5">
        <w:rPr>
          <w:rStyle w:val="FootnoteReference"/>
        </w:rPr>
        <w:footnoteReference w:id="6"/>
      </w:r>
      <w:r w:rsidRPr="00B128B5">
        <w:t xml:space="preserve">  The same entity may hold the licenses for both the A and B Blocks of spectrum in an individual BTA, but each license is auctioned and licensed separately.  </w:t>
      </w:r>
    </w:p>
    <w:p w:rsidR="00F51060" w:rsidRPr="00B128B5" w:rsidRDefault="00F51060" w:rsidP="00F51060">
      <w:pPr>
        <w:pStyle w:val="ParaNum"/>
        <w:widowControl/>
        <w:numPr>
          <w:ilvl w:val="0"/>
          <w:numId w:val="31"/>
        </w:numPr>
        <w:tabs>
          <w:tab w:val="clear" w:pos="1080"/>
          <w:tab w:val="num" w:pos="1440"/>
        </w:tabs>
      </w:pPr>
      <w:r w:rsidRPr="00B128B5">
        <w:t>LMDS licensees are regulated under Part 101 of the Commission’s rules, which generally governs terrestrial microwave operations, and may provide any service consistent with the Commission’s rules and the licensee’s regulatory status,</w:t>
      </w:r>
      <w:r w:rsidRPr="00B128B5">
        <w:rPr>
          <w:rStyle w:val="FootnoteReference"/>
        </w:rPr>
        <w:footnoteReference w:id="7"/>
      </w:r>
      <w:r w:rsidRPr="00B128B5">
        <w:t xml:space="preserve"> subject to a ten-year term from the initial license grant date.</w:t>
      </w:r>
      <w:r w:rsidRPr="00B128B5">
        <w:rPr>
          <w:rStyle w:val="FootnoteReference"/>
        </w:rPr>
        <w:footnoteReference w:id="8"/>
      </w:r>
      <w:r w:rsidRPr="00B128B5">
        <w:t xml:space="preserve">  At the end of the ten-year period, licensees are required to submit an acceptable showing to the Commission demonstrating that they are providing “substantial service” in each licensed area.</w:t>
      </w:r>
      <w:r w:rsidRPr="00B128B5">
        <w:rPr>
          <w:rStyle w:val="FootnoteReference"/>
          <w:szCs w:val="22"/>
        </w:rPr>
        <w:footnoteReference w:id="9"/>
      </w:r>
      <w:r w:rsidRPr="00B128B5">
        <w:t xml:space="preserve">  Failure by any licensee to meet this requirement result</w:t>
      </w:r>
      <w:r w:rsidR="00781A3A" w:rsidRPr="00B128B5">
        <w:t>s</w:t>
      </w:r>
      <w:r w:rsidRPr="00B128B5">
        <w:t xml:space="preserve"> in forfeiture of the license and the licensee </w:t>
      </w:r>
      <w:r w:rsidR="00781A3A" w:rsidRPr="00B128B5">
        <w:t>is</w:t>
      </w:r>
      <w:r w:rsidRPr="00B128B5">
        <w:t xml:space="preserve"> ineligible to regain it.</w:t>
      </w:r>
      <w:r w:rsidRPr="00B128B5">
        <w:rPr>
          <w:rStyle w:val="FootnoteReference"/>
        </w:rPr>
        <w:footnoteReference w:id="10"/>
      </w:r>
      <w:r w:rsidRPr="00B128B5">
        <w:t xml:space="preserve">  </w:t>
      </w:r>
    </w:p>
    <w:p w:rsidR="00F51060" w:rsidRPr="00B128B5" w:rsidRDefault="00F51060" w:rsidP="00F51060">
      <w:pPr>
        <w:pStyle w:val="ParaNum"/>
        <w:widowControl/>
        <w:numPr>
          <w:ilvl w:val="0"/>
          <w:numId w:val="31"/>
        </w:numPr>
        <w:tabs>
          <w:tab w:val="clear" w:pos="1080"/>
          <w:tab w:val="num" w:pos="1440"/>
        </w:tabs>
      </w:pPr>
      <w:r w:rsidRPr="00B128B5">
        <w:t>Since allocating the LMDS spectrum, the Commission has thus far held two LMDS auctions: Auction 17 and Auction 23.</w:t>
      </w:r>
      <w:r w:rsidRPr="00B128B5">
        <w:rPr>
          <w:rStyle w:val="FootnoteReference"/>
          <w:szCs w:val="22"/>
        </w:rPr>
        <w:footnoteReference w:id="11"/>
      </w:r>
      <w:r w:rsidRPr="00B128B5">
        <w:t xml:space="preserve">  Auction No. 17, the first LMDS auction, began on February 18, 1998, and closed on March 25, 1998.</w:t>
      </w:r>
      <w:r w:rsidRPr="00B128B5">
        <w:rPr>
          <w:rStyle w:val="FootnoteReference"/>
          <w:szCs w:val="22"/>
        </w:rPr>
        <w:footnoteReference w:id="12"/>
      </w:r>
      <w:r w:rsidRPr="00B128B5">
        <w:t xml:space="preserve">  The license</w:t>
      </w:r>
      <w:r w:rsidR="00E277CB" w:rsidRPr="00B128B5">
        <w:t>s</w:t>
      </w:r>
      <w:r w:rsidRPr="00B128B5">
        <w:t xml:space="preserve"> for </w:t>
      </w:r>
      <w:r w:rsidR="00575D90" w:rsidRPr="00B128B5">
        <w:t xml:space="preserve">the </w:t>
      </w:r>
      <w:r w:rsidR="005344E6" w:rsidRPr="00B128B5">
        <w:t>7</w:t>
      </w:r>
      <w:r w:rsidR="00F36A68" w:rsidRPr="00B128B5">
        <w:t xml:space="preserve">3 </w:t>
      </w:r>
      <w:r w:rsidRPr="00B128B5">
        <w:t>Station</w:t>
      </w:r>
      <w:r w:rsidR="00E277CB" w:rsidRPr="00B128B5">
        <w:t xml:space="preserve">s </w:t>
      </w:r>
      <w:r w:rsidRPr="00B128B5">
        <w:t>w</w:t>
      </w:r>
      <w:r w:rsidR="00E277CB" w:rsidRPr="00B128B5">
        <w:t>ere</w:t>
      </w:r>
      <w:r w:rsidRPr="00B128B5">
        <w:t xml:space="preserve"> o</w:t>
      </w:r>
      <w:r w:rsidR="003D4A3B" w:rsidRPr="00B128B5">
        <w:t xml:space="preserve">riginally issued </w:t>
      </w:r>
      <w:r w:rsidRPr="00B128B5">
        <w:t xml:space="preserve">on </w:t>
      </w:r>
      <w:r w:rsidR="00CB0F88" w:rsidRPr="00B128B5">
        <w:t>September 22, 1998</w:t>
      </w:r>
      <w:r w:rsidRPr="00B128B5">
        <w:t>, as a result of Auction No. 17.</w:t>
      </w:r>
      <w:r w:rsidRPr="00B128B5">
        <w:rPr>
          <w:rStyle w:val="FootnoteReference"/>
        </w:rPr>
        <w:footnoteReference w:id="13"/>
      </w:r>
      <w:r w:rsidRPr="00B128B5">
        <w:t xml:space="preserve"> </w:t>
      </w:r>
    </w:p>
    <w:p w:rsidR="00435EA6" w:rsidRPr="00B128B5" w:rsidRDefault="000B0070" w:rsidP="00435EA6">
      <w:pPr>
        <w:pStyle w:val="ParaNum"/>
        <w:widowControl/>
        <w:numPr>
          <w:ilvl w:val="0"/>
          <w:numId w:val="31"/>
        </w:numPr>
        <w:tabs>
          <w:tab w:val="clear" w:pos="1080"/>
          <w:tab w:val="left" w:pos="1800"/>
        </w:tabs>
      </w:pPr>
      <w:r w:rsidRPr="00B128B5">
        <w:t xml:space="preserve">SHT </w:t>
      </w:r>
      <w:r w:rsidR="00F51060" w:rsidRPr="00B128B5">
        <w:t xml:space="preserve">was originally required to demonstrate substantial service on </w:t>
      </w:r>
      <w:r w:rsidRPr="00B128B5">
        <w:t>September 22</w:t>
      </w:r>
      <w:r w:rsidR="00F51060" w:rsidRPr="00B128B5">
        <w:t>, 2008, or 10 years after the initial license grant date.</w:t>
      </w:r>
      <w:r w:rsidR="00F51060" w:rsidRPr="00B128B5">
        <w:rPr>
          <w:rStyle w:val="FootnoteReference"/>
        </w:rPr>
        <w:footnoteReference w:id="14"/>
      </w:r>
      <w:r w:rsidR="00F51060" w:rsidRPr="00B128B5">
        <w:t xml:space="preserve">  </w:t>
      </w:r>
      <w:r w:rsidR="00AB5EB3" w:rsidRPr="00B128B5">
        <w:t>On April 11, 2008, i</w:t>
      </w:r>
      <w:r w:rsidR="00435EA6" w:rsidRPr="00B128B5">
        <w:t xml:space="preserve">n the </w:t>
      </w:r>
      <w:r w:rsidR="00435EA6" w:rsidRPr="00B128B5">
        <w:rPr>
          <w:i/>
        </w:rPr>
        <w:t>LMDS Order</w:t>
      </w:r>
      <w:r w:rsidR="00435EA6" w:rsidRPr="00B128B5">
        <w:t>,</w:t>
      </w:r>
      <w:r w:rsidR="00435EA6" w:rsidRPr="00B128B5">
        <w:rPr>
          <w:i/>
        </w:rPr>
        <w:t xml:space="preserve"> </w:t>
      </w:r>
      <w:r w:rsidR="00435EA6" w:rsidRPr="00B128B5">
        <w:t>the Wireless Telecommunications Bureau (the “Bureau”)</w:t>
      </w:r>
      <w:r w:rsidR="00435EA6" w:rsidRPr="00B128B5">
        <w:rPr>
          <w:szCs w:val="22"/>
        </w:rPr>
        <w:t xml:space="preserve"> granted the requests for extension of the construction deadlines filed by a large group of LMDS </w:t>
      </w:r>
      <w:r w:rsidR="00575D90" w:rsidRPr="00B128B5">
        <w:rPr>
          <w:szCs w:val="22"/>
        </w:rPr>
        <w:t>licensees</w:t>
      </w:r>
      <w:r w:rsidR="00435EA6" w:rsidRPr="00B128B5">
        <w:rPr>
          <w:szCs w:val="22"/>
        </w:rPr>
        <w:t xml:space="preserve"> to extend their deadlines to meet the substantial service requirements to June 1, 2012, resulting in a nearly four year construction e</w:t>
      </w:r>
      <w:r w:rsidR="00435EA6" w:rsidRPr="00B128B5">
        <w:t xml:space="preserve">xtension for each of the </w:t>
      </w:r>
      <w:r w:rsidR="00435EA6" w:rsidRPr="00B128B5">
        <w:lastRenderedPageBreak/>
        <w:t>license</w:t>
      </w:r>
      <w:r w:rsidR="00AB5EB3" w:rsidRPr="00B128B5">
        <w:t>s,</w:t>
      </w:r>
      <w:r w:rsidR="00AB5EB3" w:rsidRPr="00B128B5">
        <w:rPr>
          <w:szCs w:val="22"/>
        </w:rPr>
        <w:t xml:space="preserve"> including</w:t>
      </w:r>
      <w:r w:rsidR="00575D90" w:rsidRPr="00B128B5">
        <w:rPr>
          <w:szCs w:val="22"/>
        </w:rPr>
        <w:t xml:space="preserve"> </w:t>
      </w:r>
      <w:r w:rsidR="00E66F74" w:rsidRPr="00B128B5">
        <w:rPr>
          <w:szCs w:val="22"/>
        </w:rPr>
        <w:t xml:space="preserve">licenses for </w:t>
      </w:r>
      <w:r w:rsidR="00575D90" w:rsidRPr="00B128B5">
        <w:rPr>
          <w:szCs w:val="22"/>
        </w:rPr>
        <w:t xml:space="preserve">the </w:t>
      </w:r>
      <w:r w:rsidR="00F36A68" w:rsidRPr="00B128B5">
        <w:rPr>
          <w:szCs w:val="22"/>
        </w:rPr>
        <w:t>73</w:t>
      </w:r>
      <w:r w:rsidR="00575D90" w:rsidRPr="00B128B5">
        <w:rPr>
          <w:szCs w:val="22"/>
        </w:rPr>
        <w:t xml:space="preserve"> Stations</w:t>
      </w:r>
      <w:r w:rsidR="00AB5EB3" w:rsidRPr="00B128B5">
        <w:t>.</w:t>
      </w:r>
      <w:r w:rsidR="00AB5EB3" w:rsidRPr="00B128B5">
        <w:rPr>
          <w:rStyle w:val="FootnoteReference"/>
        </w:rPr>
        <w:footnoteReference w:id="15"/>
      </w:r>
      <w:r w:rsidR="00575D90" w:rsidRPr="00B128B5">
        <w:t xml:space="preserve"> </w:t>
      </w:r>
      <w:r w:rsidR="00435EA6" w:rsidRPr="00B128B5">
        <w:t xml:space="preserve">The Bureau found that the LMDS licensees faced factors beyond their control, including difficulties in obtaining viable and affordable </w:t>
      </w:r>
      <w:r w:rsidR="00ED69BB" w:rsidRPr="00B128B5">
        <w:t>equipment that</w:t>
      </w:r>
      <w:r w:rsidR="00435EA6" w:rsidRPr="00B128B5">
        <w:t xml:space="preserve"> warranted an extension.</w:t>
      </w:r>
      <w:r w:rsidR="00435EA6" w:rsidRPr="00B128B5">
        <w:rPr>
          <w:rStyle w:val="FootnoteReference"/>
        </w:rPr>
        <w:footnoteReference w:id="16"/>
      </w:r>
      <w:r w:rsidR="00435EA6" w:rsidRPr="00B128B5">
        <w:t xml:space="preserve">  In making this finding, the Bureau noted that the licensees seeking relief from the construction deadlines represented a majority of LMDS licensees for whom buildout requirements were approaching, and that they all faced these same basic obstacles to timely construction.</w:t>
      </w:r>
      <w:r w:rsidR="00435EA6" w:rsidRPr="00B128B5">
        <w:rPr>
          <w:rStyle w:val="FootnoteReference"/>
        </w:rPr>
        <w:footnoteReference w:id="17"/>
      </w:r>
      <w:r w:rsidR="00435EA6" w:rsidRPr="00B128B5">
        <w:t xml:space="preserve">  Thus, these obstacles were not a product of an individual licensee’s short-sightedness or its unfortunate business decisions; rather, the difficulties in procuring the basic equipment necessary for LMDS operations were widespread, stemming from the state of the market.  Based on the record evidence, the Bureau anticipated that various developments in the market – arising in large part from the rollout of new services that could provide opportunities for LMDS operations – would help rectify these difficulties.  Thus, the Bureau found that LMDS licensees could potentially use their licenses to provide wireless backhaul services to licensees in the 700 MHz band, the Advanced Wireless Services-1 (“AWS-1”) band, and other bands suitable for mobile broadband service, all of which at that time had recently been auctioned, licensed, or put into use.</w:t>
      </w:r>
      <w:r w:rsidR="00435EA6" w:rsidRPr="00B128B5">
        <w:rPr>
          <w:rStyle w:val="FootnoteReference"/>
        </w:rPr>
        <w:footnoteReference w:id="18"/>
      </w:r>
      <w:r w:rsidR="00435EA6" w:rsidRPr="00B128B5">
        <w:t xml:space="preserve">  The Bureau anticipated that these bands would develop robustly, along with other mobile and fixed wireless services, and that resulting opportunities for associated LMDS service (such as wireless backhaul) would help spur production of equipment designed for LMDS use and thus facilitate timely construction by LMDS licensees, under the extended buildout deadline set by the Bureau.</w:t>
      </w:r>
      <w:r w:rsidR="00435EA6" w:rsidRPr="00B128B5">
        <w:rPr>
          <w:rStyle w:val="FootnoteReference"/>
        </w:rPr>
        <w:footnoteReference w:id="19"/>
      </w:r>
    </w:p>
    <w:p w:rsidR="00A41233" w:rsidRPr="00B128B5" w:rsidRDefault="008A737B" w:rsidP="001A070E">
      <w:pPr>
        <w:pStyle w:val="ParaNum"/>
        <w:widowControl/>
        <w:numPr>
          <w:ilvl w:val="0"/>
          <w:numId w:val="31"/>
        </w:numPr>
        <w:tabs>
          <w:tab w:val="clear" w:pos="1080"/>
        </w:tabs>
      </w:pPr>
      <w:r w:rsidRPr="00B128B5">
        <w:t>On Ju</w:t>
      </w:r>
      <w:r w:rsidR="0073479C" w:rsidRPr="00B128B5">
        <w:t>ly 23</w:t>
      </w:r>
      <w:r w:rsidRPr="00B128B5">
        <w:t>, 2012, the Commission granted SHT’s request for a 60-day extension of time, until July 31, 2012, to comply with the substantial service obligations.</w:t>
      </w:r>
      <w:r w:rsidRPr="00B128B5">
        <w:rPr>
          <w:rStyle w:val="FootnoteReference"/>
        </w:rPr>
        <w:footnoteReference w:id="20"/>
      </w:r>
      <w:r w:rsidRPr="00B128B5">
        <w:t xml:space="preserve">  </w:t>
      </w:r>
      <w:r w:rsidR="001A14C5" w:rsidRPr="00B128B5">
        <w:t xml:space="preserve">In accordance with </w:t>
      </w:r>
      <w:r w:rsidR="006C10D2" w:rsidRPr="00B128B5">
        <w:t>s</w:t>
      </w:r>
      <w:r w:rsidR="001A14C5" w:rsidRPr="00B128B5">
        <w:t xml:space="preserve">ection 101.1011 of the Commission’s </w:t>
      </w:r>
      <w:r w:rsidR="006C10D2" w:rsidRPr="00B128B5">
        <w:t>r</w:t>
      </w:r>
      <w:r w:rsidR="001A14C5" w:rsidRPr="00B128B5">
        <w:t>ules, o</w:t>
      </w:r>
      <w:r w:rsidR="00EA5073" w:rsidRPr="00B128B5">
        <w:t>n July 17, 2012</w:t>
      </w:r>
      <w:r w:rsidR="00B24A62" w:rsidRPr="00B128B5">
        <w:t>,</w:t>
      </w:r>
      <w:r w:rsidR="00EA5073" w:rsidRPr="00B128B5">
        <w:t xml:space="preserve"> SHT filed </w:t>
      </w:r>
      <w:r w:rsidR="001B1F75" w:rsidRPr="00B128B5">
        <w:t>C</w:t>
      </w:r>
      <w:r w:rsidR="00653165" w:rsidRPr="00B128B5">
        <w:t xml:space="preserve">onstruction </w:t>
      </w:r>
      <w:r w:rsidR="001B1F75" w:rsidRPr="00B128B5">
        <w:t>N</w:t>
      </w:r>
      <w:r w:rsidR="00653165" w:rsidRPr="00B128B5">
        <w:t xml:space="preserve">otifications </w:t>
      </w:r>
      <w:r w:rsidR="00EA5073" w:rsidRPr="00B128B5">
        <w:t>covering a large number of LMDS licenses includi</w:t>
      </w:r>
      <w:r w:rsidR="00CA7AA8" w:rsidRPr="00B128B5">
        <w:t xml:space="preserve">ng those covering </w:t>
      </w:r>
      <w:r w:rsidR="00A32F56" w:rsidRPr="00B128B5">
        <w:t xml:space="preserve">the </w:t>
      </w:r>
      <w:r w:rsidR="005344E6" w:rsidRPr="00B128B5">
        <w:t>7</w:t>
      </w:r>
      <w:r w:rsidR="00F36A68" w:rsidRPr="00B128B5">
        <w:t>3</w:t>
      </w:r>
      <w:r w:rsidR="00A32F56" w:rsidRPr="00B128B5">
        <w:t xml:space="preserve"> </w:t>
      </w:r>
      <w:r w:rsidR="00CA7AA8" w:rsidRPr="00B128B5">
        <w:t>Stations.</w:t>
      </w:r>
      <w:r w:rsidR="00EA5073" w:rsidRPr="00B128B5">
        <w:rPr>
          <w:rStyle w:val="FootnoteReference"/>
        </w:rPr>
        <w:footnoteReference w:id="21"/>
      </w:r>
      <w:r w:rsidR="00EA5073" w:rsidRPr="00B128B5">
        <w:rPr>
          <w:rStyle w:val="FootnoteReference"/>
        </w:rPr>
        <w:t xml:space="preserve"> </w:t>
      </w:r>
      <w:r w:rsidR="00EA5073" w:rsidRPr="00B128B5">
        <w:t xml:space="preserve"> SHT attached its substantial service showings to the </w:t>
      </w:r>
      <w:r w:rsidR="00653165" w:rsidRPr="00B128B5">
        <w:t>construction notifications</w:t>
      </w:r>
      <w:r w:rsidR="00EA5073" w:rsidRPr="00B128B5">
        <w:t>.</w:t>
      </w:r>
      <w:r w:rsidR="00EA5073" w:rsidRPr="00B128B5">
        <w:rPr>
          <w:rStyle w:val="FootnoteReference"/>
        </w:rPr>
        <w:footnoteReference w:id="22"/>
      </w:r>
      <w:r w:rsidR="00EA5073" w:rsidRPr="00B128B5">
        <w:t xml:space="preserve">  </w:t>
      </w:r>
      <w:r w:rsidR="00174E9B" w:rsidRPr="00B128B5">
        <w:t>SHT state</w:t>
      </w:r>
      <w:r w:rsidR="00150E1F" w:rsidRPr="00B128B5">
        <w:t>d</w:t>
      </w:r>
      <w:r w:rsidR="00174E9B" w:rsidRPr="00B128B5">
        <w:t xml:space="preserve"> </w:t>
      </w:r>
      <w:r w:rsidR="00BB7555" w:rsidRPr="00B128B5">
        <w:t>that it clearly satisfies the safe harbor requirement for point-to-multipoint licensees</w:t>
      </w:r>
      <w:r w:rsidR="003E4FF4" w:rsidRPr="00B128B5">
        <w:t xml:space="preserve"> because it has recently constructed point-to-multipoint hub facilities which </w:t>
      </w:r>
      <w:r w:rsidR="00BB7555" w:rsidRPr="00B128B5">
        <w:t>provid</w:t>
      </w:r>
      <w:r w:rsidR="003E4FF4" w:rsidRPr="00B128B5">
        <w:t>e</w:t>
      </w:r>
      <w:r w:rsidR="00BB7555" w:rsidRPr="00B128B5">
        <w:t xml:space="preserve"> fixed wireless coverage to over 20</w:t>
      </w:r>
      <w:r w:rsidR="00150E1F" w:rsidRPr="00B128B5">
        <w:t xml:space="preserve"> percent</w:t>
      </w:r>
      <w:r w:rsidR="00BB7555" w:rsidRPr="00B128B5">
        <w:t xml:space="preserve"> of the population in each of the subject BTA’s.</w:t>
      </w:r>
      <w:r w:rsidR="00BB7555" w:rsidRPr="00B128B5">
        <w:rPr>
          <w:rStyle w:val="FootnoteReference"/>
        </w:rPr>
        <w:footnoteReference w:id="23"/>
      </w:r>
      <w:r w:rsidR="00E4089D" w:rsidRPr="00B128B5">
        <w:t xml:space="preserve">  </w:t>
      </w:r>
      <w:r w:rsidR="00824F11" w:rsidRPr="00B128B5">
        <w:t>SHT thus ask</w:t>
      </w:r>
      <w:r w:rsidR="00150E1F" w:rsidRPr="00B128B5">
        <w:t>ed</w:t>
      </w:r>
      <w:r w:rsidR="00824F11" w:rsidRPr="00B128B5">
        <w:t xml:space="preserve"> the Commission to grant SHT’s renewal requests for the 7</w:t>
      </w:r>
      <w:r w:rsidR="00F36A68" w:rsidRPr="00B128B5">
        <w:t>3</w:t>
      </w:r>
      <w:r w:rsidR="00824F11" w:rsidRPr="00B128B5">
        <w:t xml:space="preserve"> Stations for a full 10 year term.</w:t>
      </w:r>
      <w:r w:rsidR="00824F11" w:rsidRPr="00B128B5">
        <w:rPr>
          <w:rStyle w:val="FootnoteReference"/>
        </w:rPr>
        <w:footnoteReference w:id="24"/>
      </w:r>
      <w:r w:rsidR="00824F11" w:rsidRPr="00B128B5">
        <w:rPr>
          <w:sz w:val="23"/>
          <w:szCs w:val="23"/>
        </w:rPr>
        <w:t xml:space="preserve"> </w:t>
      </w:r>
      <w:r w:rsidR="00824F11" w:rsidRPr="00B128B5">
        <w:rPr>
          <w:szCs w:val="22"/>
        </w:rPr>
        <w:t xml:space="preserve"> </w:t>
      </w:r>
      <w:r w:rsidR="00E4089D" w:rsidRPr="00B128B5">
        <w:t xml:space="preserve">The </w:t>
      </w:r>
      <w:r w:rsidR="00442629" w:rsidRPr="00B128B5">
        <w:t xml:space="preserve">Wireless Telecommunications Bureau (“Bureau”) </w:t>
      </w:r>
      <w:r w:rsidR="00E4089D" w:rsidRPr="00B128B5">
        <w:t xml:space="preserve">returned </w:t>
      </w:r>
      <w:r w:rsidR="00824F11" w:rsidRPr="00B128B5">
        <w:t xml:space="preserve">these notifications stating that the FCC’s independent analysis of the system described “will not provide coverage to at least 20% of the population” in the licensed </w:t>
      </w:r>
      <w:r w:rsidR="00FC7A3E" w:rsidRPr="00B128B5">
        <w:t>service area</w:t>
      </w:r>
      <w:r w:rsidR="00847310" w:rsidRPr="00B128B5">
        <w:t>.</w:t>
      </w:r>
      <w:r w:rsidR="00824F11" w:rsidRPr="00B128B5">
        <w:rPr>
          <w:rStyle w:val="FootnoteReference"/>
        </w:rPr>
        <w:footnoteReference w:id="25"/>
      </w:r>
      <w:r w:rsidR="00824F11" w:rsidRPr="00B128B5">
        <w:t xml:space="preserve">  SHT was permitted to submit an engineering analysis that demonstrated that SHT was able to provid</w:t>
      </w:r>
      <w:r w:rsidR="0091245F" w:rsidRPr="00B128B5">
        <w:t>e service to the required 20 percent of the population in each service area.</w:t>
      </w:r>
      <w:r w:rsidR="00824F11" w:rsidRPr="00B128B5">
        <w:rPr>
          <w:rStyle w:val="FootnoteReference"/>
        </w:rPr>
        <w:footnoteReference w:id="26"/>
      </w:r>
      <w:r w:rsidR="00BB7555" w:rsidRPr="00B128B5">
        <w:t xml:space="preserve"> </w:t>
      </w:r>
    </w:p>
    <w:p w:rsidR="00853C02" w:rsidRPr="00B128B5" w:rsidRDefault="000F6D77" w:rsidP="001A070E">
      <w:pPr>
        <w:pStyle w:val="ParaNum"/>
        <w:widowControl/>
        <w:numPr>
          <w:ilvl w:val="0"/>
          <w:numId w:val="31"/>
        </w:numPr>
        <w:tabs>
          <w:tab w:val="clear" w:pos="1080"/>
        </w:tabs>
      </w:pPr>
      <w:r w:rsidRPr="00B128B5">
        <w:t xml:space="preserve">On June 3, 2013, SHT </w:t>
      </w:r>
      <w:r w:rsidR="007B2D21" w:rsidRPr="00B128B5">
        <w:t xml:space="preserve">submitted a Waiver and Revised Substantial Service </w:t>
      </w:r>
      <w:r w:rsidR="0091245F" w:rsidRPr="00B128B5">
        <w:t>Application to the Commission.</w:t>
      </w:r>
      <w:r w:rsidR="0027378E" w:rsidRPr="00B128B5">
        <w:rPr>
          <w:rStyle w:val="FootnoteReference"/>
        </w:rPr>
        <w:footnoteReference w:id="27"/>
      </w:r>
      <w:r w:rsidR="008C1F16" w:rsidRPr="00B128B5">
        <w:t xml:space="preserve">  </w:t>
      </w:r>
      <w:r w:rsidR="00847310" w:rsidRPr="00B128B5">
        <w:t>On July 5, 2013, SHT provided information on SHT’s use of beam bending radio repeaters to provide line of sight connectivity in areas of obstruction from the hub to the customer premise asserting that “using this technique virtually 100% of the area within the BTA out to maximum range can be accomplished.”</w:t>
      </w:r>
      <w:r w:rsidR="00847310" w:rsidRPr="00B128B5">
        <w:rPr>
          <w:rStyle w:val="FootnoteReference"/>
        </w:rPr>
        <w:footnoteReference w:id="28"/>
      </w:r>
      <w:r w:rsidR="0091245F" w:rsidRPr="00B128B5">
        <w:t xml:space="preserve">  On August 10</w:t>
      </w:r>
      <w:r w:rsidR="00FA7D4D" w:rsidRPr="00B128B5">
        <w:t xml:space="preserve">, 2013, the Bureau </w:t>
      </w:r>
      <w:r w:rsidR="003F33BB" w:rsidRPr="00B128B5">
        <w:t>requested th</w:t>
      </w:r>
      <w:r w:rsidR="00FA7D4D" w:rsidRPr="00B128B5">
        <w:t>at</w:t>
      </w:r>
      <w:r w:rsidR="003F33BB" w:rsidRPr="00B128B5">
        <w:t xml:space="preserve"> SHT supplement the record by providing information on the locations where SHT had installed beam bending radio repeaters in the particular market prior to the construction deadline.</w:t>
      </w:r>
      <w:r w:rsidR="003F33BB" w:rsidRPr="00B128B5">
        <w:rPr>
          <w:rStyle w:val="FootnoteReference"/>
        </w:rPr>
        <w:footnoteReference w:id="29"/>
      </w:r>
      <w:r w:rsidR="003F33BB" w:rsidRPr="00B128B5">
        <w:t xml:space="preserve">  </w:t>
      </w:r>
    </w:p>
    <w:p w:rsidR="00847310" w:rsidRPr="00B128B5" w:rsidRDefault="00853C02" w:rsidP="001A070E">
      <w:pPr>
        <w:pStyle w:val="ParaNum"/>
        <w:widowControl/>
        <w:numPr>
          <w:ilvl w:val="0"/>
          <w:numId w:val="31"/>
        </w:numPr>
        <w:tabs>
          <w:tab w:val="clear" w:pos="1080"/>
        </w:tabs>
      </w:pPr>
      <w:r w:rsidRPr="00B128B5">
        <w:t>On November 2, 2013, SHT file</w:t>
      </w:r>
      <w:r w:rsidR="00CC53C1" w:rsidRPr="00B128B5">
        <w:t>d</w:t>
      </w:r>
      <w:r w:rsidRPr="00B128B5">
        <w:t xml:space="preserve"> a response to the Bureau’s request.  In that response, SHT admitted that it had not installed </w:t>
      </w:r>
      <w:r w:rsidR="00633E7D" w:rsidRPr="00B128B5">
        <w:t xml:space="preserve">the </w:t>
      </w:r>
      <w:r w:rsidRPr="00B128B5">
        <w:t xml:space="preserve">beam bending radio repeaters in the subject markets prior to </w:t>
      </w:r>
      <w:r w:rsidR="00633E7D" w:rsidRPr="00B128B5">
        <w:t>the construction deadline</w:t>
      </w:r>
      <w:r w:rsidRPr="00B128B5">
        <w:t xml:space="preserve"> but alleged that the installation of beam benders was not necessary to meet the FCC’s substantial service safe harbor standard.</w:t>
      </w:r>
      <w:r w:rsidRPr="00B128B5">
        <w:rPr>
          <w:rStyle w:val="FootnoteReference"/>
        </w:rPr>
        <w:footnoteReference w:id="30"/>
      </w:r>
      <w:r w:rsidR="006E69FD" w:rsidRPr="00B128B5">
        <w:t xml:space="preserve">  SHT </w:t>
      </w:r>
      <w:r w:rsidR="00E37C46" w:rsidRPr="00B128B5">
        <w:t>argues that the Commission routinely accepts construction notifications based on predicted coverage areas</w:t>
      </w:r>
      <w:r w:rsidR="0003728A" w:rsidRPr="00B128B5">
        <w:t xml:space="preserve"> without reference to “dead spots” that may occur because of obstructions</w:t>
      </w:r>
      <w:r w:rsidR="00E37C46" w:rsidRPr="00B128B5">
        <w:t>.</w:t>
      </w:r>
      <w:r w:rsidR="00E37C46" w:rsidRPr="00B128B5">
        <w:rPr>
          <w:rStyle w:val="FootnoteReference"/>
        </w:rPr>
        <w:footnoteReference w:id="31"/>
      </w:r>
      <w:r w:rsidR="00E37C46" w:rsidRPr="00B128B5">
        <w:t xml:space="preserve">  </w:t>
      </w:r>
      <w:r w:rsidR="005C573B" w:rsidRPr="00B128B5">
        <w:t xml:space="preserve">It </w:t>
      </w:r>
      <w:r w:rsidR="006E69FD" w:rsidRPr="00B128B5">
        <w:t>contend</w:t>
      </w:r>
      <w:r w:rsidR="005C573B" w:rsidRPr="00B128B5">
        <w:t>s</w:t>
      </w:r>
      <w:r w:rsidR="006E69FD" w:rsidRPr="00B128B5">
        <w:t xml:space="preserve"> that </w:t>
      </w:r>
      <w:r w:rsidR="00150E1F" w:rsidRPr="00B128B5">
        <w:t xml:space="preserve">it </w:t>
      </w:r>
      <w:r w:rsidR="005C573B" w:rsidRPr="00B128B5">
        <w:t xml:space="preserve">could use </w:t>
      </w:r>
      <w:r w:rsidR="006E69FD" w:rsidRPr="00B128B5">
        <w:t xml:space="preserve">beam benders as Customer Premise Equipment (CPE) </w:t>
      </w:r>
      <w:r w:rsidR="00BF6216" w:rsidRPr="00B128B5">
        <w:t xml:space="preserve">which would be employed as part of the customer premise installation in order to avoid </w:t>
      </w:r>
      <w:r w:rsidR="005C573B" w:rsidRPr="00B128B5">
        <w:t xml:space="preserve">signal loss </w:t>
      </w:r>
      <w:r w:rsidR="00BF6216" w:rsidRPr="00B128B5">
        <w:t>caused by obstructions.</w:t>
      </w:r>
      <w:r w:rsidR="00BF6216" w:rsidRPr="00B128B5">
        <w:rPr>
          <w:rStyle w:val="FootnoteReference"/>
        </w:rPr>
        <w:footnoteReference w:id="32"/>
      </w:r>
      <w:r w:rsidR="006E69FD" w:rsidRPr="00B128B5">
        <w:t xml:space="preserve"> </w:t>
      </w:r>
      <w:r w:rsidR="005C573B" w:rsidRPr="00B128B5">
        <w:t xml:space="preserve">  SHT believes it would be impractical and contrary to Commission policy to require it to install such equipment in the absence of customer demand.</w:t>
      </w:r>
      <w:r w:rsidR="005C573B" w:rsidRPr="00B128B5">
        <w:rPr>
          <w:rStyle w:val="FootnoteReference"/>
        </w:rPr>
        <w:footnoteReference w:id="33"/>
      </w:r>
      <w:r w:rsidR="005C573B" w:rsidRPr="00B128B5">
        <w:t xml:space="preserve">  Finally, SHT pleads that </w:t>
      </w:r>
      <w:r w:rsidR="006D0C75" w:rsidRPr="00B128B5">
        <w:t>it should not lose its licenses over a “novel interpretation” of a coverage requirement.</w:t>
      </w:r>
      <w:r w:rsidR="006D0C75" w:rsidRPr="00B128B5">
        <w:rPr>
          <w:rStyle w:val="FootnoteReference"/>
        </w:rPr>
        <w:footnoteReference w:id="34"/>
      </w:r>
    </w:p>
    <w:p w:rsidR="003F4C44" w:rsidRPr="00B128B5" w:rsidRDefault="003F4C44">
      <w:pPr>
        <w:pStyle w:val="Heading1"/>
      </w:pPr>
      <w:r w:rsidRPr="00B128B5">
        <w:t>Discussion</w:t>
      </w:r>
    </w:p>
    <w:p w:rsidR="003F4C44" w:rsidRPr="00B128B5" w:rsidRDefault="003F4C44" w:rsidP="00F560F5">
      <w:pPr>
        <w:pStyle w:val="ParaNum"/>
        <w:widowControl/>
        <w:numPr>
          <w:ilvl w:val="0"/>
          <w:numId w:val="31"/>
        </w:numPr>
        <w:tabs>
          <w:tab w:val="clear" w:pos="1080"/>
        </w:tabs>
      </w:pPr>
      <w:r w:rsidRPr="00B128B5">
        <w:t xml:space="preserve">We find that </w:t>
      </w:r>
      <w:r w:rsidR="00F560F5" w:rsidRPr="00B128B5">
        <w:t>SHT</w:t>
      </w:r>
      <w:r w:rsidRPr="00B128B5">
        <w:t xml:space="preserve"> has not demonstrated substantial service for the subject </w:t>
      </w:r>
      <w:r w:rsidR="00AE708B" w:rsidRPr="00B128B5">
        <w:t xml:space="preserve">LMDS </w:t>
      </w:r>
      <w:r w:rsidRPr="00B128B5">
        <w:t>licenses</w:t>
      </w:r>
      <w:r w:rsidR="001A070E" w:rsidRPr="00B128B5">
        <w:t xml:space="preserve"> for the </w:t>
      </w:r>
      <w:r w:rsidR="00F36A68" w:rsidRPr="00B128B5">
        <w:t>73</w:t>
      </w:r>
      <w:r w:rsidR="001A070E" w:rsidRPr="00B128B5">
        <w:t xml:space="preserve"> Stations.</w:t>
      </w:r>
      <w:r w:rsidRPr="00B128B5">
        <w:t xml:space="preserve">  </w:t>
      </w:r>
      <w:r w:rsidR="007B5551" w:rsidRPr="00B128B5">
        <w:t xml:space="preserve">Based on this determination, </w:t>
      </w:r>
      <w:r w:rsidR="00F560F5" w:rsidRPr="00B128B5">
        <w:t>SHT’s</w:t>
      </w:r>
      <w:r w:rsidRPr="00B128B5">
        <w:t xml:space="preserve"> licenses </w:t>
      </w:r>
      <w:r w:rsidR="007B5551" w:rsidRPr="00B128B5">
        <w:t xml:space="preserve">for the </w:t>
      </w:r>
      <w:r w:rsidR="005344E6" w:rsidRPr="00B128B5">
        <w:t>7</w:t>
      </w:r>
      <w:r w:rsidR="00F36A68" w:rsidRPr="00B128B5">
        <w:t>3</w:t>
      </w:r>
      <w:r w:rsidR="007B5551" w:rsidRPr="00B128B5">
        <w:t xml:space="preserve"> Stations </w:t>
      </w:r>
      <w:r w:rsidRPr="00B128B5">
        <w:t xml:space="preserve">have automatically terminated, by operation of Sections 1.946(c) and 1.955(a)(2) of the Commission’s Rules, as of </w:t>
      </w:r>
      <w:r w:rsidR="00F560F5" w:rsidRPr="00B128B5">
        <w:t>Ju</w:t>
      </w:r>
      <w:r w:rsidR="00877EED" w:rsidRPr="00B128B5">
        <w:t>ly 31</w:t>
      </w:r>
      <w:r w:rsidR="00F560F5" w:rsidRPr="00B128B5">
        <w:t>, 201</w:t>
      </w:r>
      <w:r w:rsidR="009B29A1" w:rsidRPr="00B128B5">
        <w:t>2</w:t>
      </w:r>
      <w:r w:rsidRPr="00B128B5">
        <w:t>.</w:t>
      </w:r>
      <w:r w:rsidRPr="00B128B5">
        <w:rPr>
          <w:rStyle w:val="FootnoteReference"/>
        </w:rPr>
        <w:footnoteReference w:id="35"/>
      </w:r>
      <w:r w:rsidRPr="00B128B5">
        <w:t xml:space="preserve">  We discuss these findings in detail below.</w:t>
      </w:r>
      <w:bookmarkStart w:id="1" w:name="_Ref336596169"/>
    </w:p>
    <w:p w:rsidR="00174E9B" w:rsidRPr="00B128B5" w:rsidRDefault="003F4C44" w:rsidP="00734B90">
      <w:pPr>
        <w:pStyle w:val="ParaNum"/>
        <w:widowControl/>
        <w:numPr>
          <w:ilvl w:val="0"/>
          <w:numId w:val="31"/>
        </w:numPr>
        <w:tabs>
          <w:tab w:val="clear" w:pos="1080"/>
        </w:tabs>
      </w:pPr>
      <w:r w:rsidRPr="00B128B5">
        <w:t xml:space="preserve">To demonstrate substantial service, </w:t>
      </w:r>
      <w:r w:rsidR="003F4996" w:rsidRPr="00B128B5">
        <w:t xml:space="preserve">SHT </w:t>
      </w:r>
      <w:r w:rsidRPr="00B128B5">
        <w:t xml:space="preserve">must show that it meets the Commission’s definition of substantial service or that it meets one of the safe harbors applicable to </w:t>
      </w:r>
      <w:r w:rsidR="001A070E" w:rsidRPr="00B128B5">
        <w:t xml:space="preserve">LMDS </w:t>
      </w:r>
      <w:r w:rsidRPr="00B128B5">
        <w:t>license</w:t>
      </w:r>
      <w:r w:rsidR="0070582D" w:rsidRPr="00B128B5">
        <w:t xml:space="preserve">s. </w:t>
      </w:r>
      <w:r w:rsidRPr="00B128B5">
        <w:t xml:space="preserve"> </w:t>
      </w:r>
      <w:bookmarkEnd w:id="1"/>
      <w:r w:rsidR="00174E9B" w:rsidRPr="00B128B5">
        <w:t>The Commission defined “substantial service” as “service that is sound, favorable, and substantially above a level of mediocre service that just might minimally warrant renewal.”</w:t>
      </w:r>
      <w:r w:rsidR="00174E9B" w:rsidRPr="00B128B5">
        <w:rPr>
          <w:rStyle w:val="FootnoteReference"/>
        </w:rPr>
        <w:footnoteReference w:id="36"/>
      </w:r>
      <w:r w:rsidR="00174E9B" w:rsidRPr="00B128B5">
        <w:t xml:space="preserve">  The purpose of the substantial service showing is to “promote efficient use of the spectrum, encourage the provision of service to rural, remote, and insular areas, and prevent the warehousing of spectrum.”</w:t>
      </w:r>
      <w:r w:rsidR="00174E9B" w:rsidRPr="00B128B5">
        <w:rPr>
          <w:rStyle w:val="FootnoteReference"/>
        </w:rPr>
        <w:footnoteReference w:id="37"/>
      </w:r>
      <w:r w:rsidR="00174E9B" w:rsidRPr="00B128B5">
        <w:t xml:space="preserve">  Failure by any licensee to meet this requirement will result in forfeiture of the license and the licensee will be ineligible to regain it.</w:t>
      </w:r>
      <w:r w:rsidR="00174E9B" w:rsidRPr="00B128B5">
        <w:rPr>
          <w:rStyle w:val="FootnoteReference"/>
        </w:rPr>
        <w:footnoteReference w:id="38"/>
      </w:r>
    </w:p>
    <w:p w:rsidR="00A910D1" w:rsidRPr="00B128B5" w:rsidRDefault="00174E9B" w:rsidP="00A910D1">
      <w:pPr>
        <w:pStyle w:val="ParaNum"/>
        <w:widowControl/>
        <w:numPr>
          <w:ilvl w:val="0"/>
          <w:numId w:val="31"/>
        </w:numPr>
        <w:tabs>
          <w:tab w:val="clear" w:pos="1080"/>
        </w:tabs>
      </w:pPr>
      <w:r w:rsidRPr="00B128B5">
        <w:t xml:space="preserve">The Commission </w:t>
      </w:r>
      <w:r w:rsidR="003F4996" w:rsidRPr="00B128B5">
        <w:t xml:space="preserve">has </w:t>
      </w:r>
      <w:r w:rsidRPr="00B128B5">
        <w:t>elaborated on what may constitute “substantial service” for LMDS by offering some specific examples, which are sometimes referred to as “safe harbors,” to provide LMDS licensees with a degree of certainty as to how to comply with the substantial service requirement by the end of the initial license term.</w:t>
      </w:r>
      <w:r w:rsidRPr="00B128B5">
        <w:rPr>
          <w:rStyle w:val="FootnoteReference"/>
        </w:rPr>
        <w:footnoteReference w:id="39"/>
      </w:r>
      <w:r w:rsidRPr="00B128B5">
        <w:t xml:space="preserve">  The Commission explained that an LMDS licensee that chooses to offer fixed, point-to-point services may fall within a “safe harbor” by constructing four permanent links per one million people in its licensed service area.</w:t>
      </w:r>
      <w:r w:rsidRPr="00B128B5">
        <w:rPr>
          <w:rStyle w:val="FootnoteReference"/>
        </w:rPr>
        <w:footnoteReference w:id="40"/>
      </w:r>
      <w:r w:rsidRPr="00B128B5">
        <w:t xml:space="preserve">  The Commission also elaborated that an LMDS licensee electing to deploy point-to-multipoint services may fall within a “safe harbor” by demonstrating coverage to 20 percent of the population in the licensed BTA.</w:t>
      </w:r>
      <w:r w:rsidRPr="00B128B5">
        <w:rPr>
          <w:rStyle w:val="FootnoteReference"/>
        </w:rPr>
        <w:footnoteReference w:id="41"/>
      </w:r>
      <w:r w:rsidRPr="00B128B5">
        <w:t xml:space="preserve">  The</w:t>
      </w:r>
      <w:r w:rsidR="00FB72E8" w:rsidRPr="00B128B5">
        <w:t>se</w:t>
      </w:r>
      <w:r w:rsidRPr="00B128B5">
        <w:t xml:space="preserve"> “safe harbors” only serve as examples of what may constitute substantial service, and the Commission reviews licensees’ showings on a case-by-case basis.</w:t>
      </w:r>
      <w:r w:rsidRPr="00B128B5">
        <w:rPr>
          <w:rStyle w:val="FootnoteReference"/>
        </w:rPr>
        <w:footnoteReference w:id="42"/>
      </w:r>
      <w:r w:rsidRPr="00B128B5">
        <w:t xml:space="preserve">  </w:t>
      </w:r>
    </w:p>
    <w:p w:rsidR="004A40D0" w:rsidRPr="00B128B5" w:rsidRDefault="0006665B" w:rsidP="006C10D2">
      <w:pPr>
        <w:pStyle w:val="ParaNum"/>
        <w:widowControl/>
        <w:numPr>
          <w:ilvl w:val="0"/>
          <w:numId w:val="31"/>
        </w:numPr>
        <w:tabs>
          <w:tab w:val="clear" w:pos="1080"/>
        </w:tabs>
      </w:pPr>
      <w:r w:rsidRPr="00B128B5">
        <w:t xml:space="preserve">While SHT claims that </w:t>
      </w:r>
      <w:r w:rsidR="00FA7D4D" w:rsidRPr="00B128B5">
        <w:t xml:space="preserve">it provides </w:t>
      </w:r>
      <w:r w:rsidRPr="00B128B5">
        <w:t xml:space="preserve">coverage </w:t>
      </w:r>
      <w:r w:rsidR="00FA7D4D" w:rsidRPr="00B128B5">
        <w:t xml:space="preserve">to more than </w:t>
      </w:r>
      <w:r w:rsidRPr="00B128B5">
        <w:t xml:space="preserve">20 percent of the population in </w:t>
      </w:r>
      <w:r w:rsidR="00A14CF6" w:rsidRPr="00B128B5">
        <w:t xml:space="preserve">each </w:t>
      </w:r>
      <w:r w:rsidRPr="00B128B5">
        <w:t>licensed</w:t>
      </w:r>
      <w:r w:rsidR="00DC075D" w:rsidRPr="00B128B5">
        <w:t xml:space="preserve"> service area</w:t>
      </w:r>
      <w:r w:rsidRPr="00B128B5">
        <w:t>,</w:t>
      </w:r>
      <w:r w:rsidRPr="00B128B5">
        <w:rPr>
          <w:rStyle w:val="FootnoteReference"/>
        </w:rPr>
        <w:footnoteReference w:id="43"/>
      </w:r>
      <w:r w:rsidRPr="00B128B5">
        <w:t xml:space="preserve"> staff analysis indicates that the </w:t>
      </w:r>
      <w:r w:rsidR="00DC075D" w:rsidRPr="00B128B5">
        <w:t xml:space="preserve">transmitters </w:t>
      </w:r>
      <w:r w:rsidR="00A25D28" w:rsidRPr="00B128B5">
        <w:t xml:space="preserve">do not </w:t>
      </w:r>
      <w:r w:rsidRPr="00B128B5">
        <w:t xml:space="preserve">provide line-of-sight coverage to </w:t>
      </w:r>
      <w:r w:rsidR="00DC075D" w:rsidRPr="00B128B5">
        <w:t xml:space="preserve">20 percent </w:t>
      </w:r>
      <w:r w:rsidR="00A25D28" w:rsidRPr="00B128B5">
        <w:t xml:space="preserve">the </w:t>
      </w:r>
      <w:r w:rsidRPr="00B128B5">
        <w:t>B</w:t>
      </w:r>
      <w:r w:rsidR="00A25D28" w:rsidRPr="00B128B5">
        <w:t>T</w:t>
      </w:r>
      <w:r w:rsidRPr="00B128B5">
        <w:t>A population.</w:t>
      </w:r>
      <w:r w:rsidRPr="00B128B5">
        <w:rPr>
          <w:rStyle w:val="FootnoteReference"/>
        </w:rPr>
        <w:footnoteReference w:id="44"/>
      </w:r>
      <w:r w:rsidRPr="00B128B5">
        <w:t xml:space="preserve">  </w:t>
      </w:r>
      <w:r w:rsidR="003C09D5" w:rsidRPr="00B128B5">
        <w:t>Indeed, with respect to 2</w:t>
      </w:r>
      <w:r w:rsidR="00C77625" w:rsidRPr="00B128B5">
        <w:t>9</w:t>
      </w:r>
      <w:r w:rsidR="003C09D5" w:rsidRPr="00B128B5">
        <w:t xml:space="preserve"> of the </w:t>
      </w:r>
      <w:r w:rsidR="005344E6" w:rsidRPr="00B128B5">
        <w:t>7</w:t>
      </w:r>
      <w:r w:rsidR="00C77625" w:rsidRPr="00B128B5">
        <w:t>3</w:t>
      </w:r>
      <w:r w:rsidR="003C09D5" w:rsidRPr="00B128B5">
        <w:t xml:space="preserve"> Stations, staff analysis shows that SHT has no coverage whatsoever because terrain blockage prevents SHT from having usable signal from the transmitter which is located in an adjacent area.</w:t>
      </w:r>
      <w:r w:rsidR="003C09D5" w:rsidRPr="00B128B5">
        <w:rPr>
          <w:rStyle w:val="FootnoteReference"/>
        </w:rPr>
        <w:footnoteReference w:id="45"/>
      </w:r>
      <w:r w:rsidR="003C09D5" w:rsidRPr="00B128B5">
        <w:t xml:space="preserve">  In another </w:t>
      </w:r>
      <w:r w:rsidR="00FE6826" w:rsidRPr="00B128B5">
        <w:t>32 instances where SHT is attempting to provide service using a transmitter located outside the service area of the station, staff analysis shows that SHT serv</w:t>
      </w:r>
      <w:r w:rsidR="00274E2B" w:rsidRPr="00B128B5">
        <w:t>ic</w:t>
      </w:r>
      <w:r w:rsidR="00FE6826" w:rsidRPr="00B128B5">
        <w:t>e</w:t>
      </w:r>
      <w:r w:rsidR="00274E2B" w:rsidRPr="00B128B5">
        <w:t xml:space="preserve"> area is limited to</w:t>
      </w:r>
      <w:r w:rsidR="00FE6826" w:rsidRPr="00B128B5">
        <w:t xml:space="preserve"> less than 10 percent of the population because of terrain blockage.</w:t>
      </w:r>
      <w:r w:rsidR="00FE6826" w:rsidRPr="00B128B5">
        <w:rPr>
          <w:rStyle w:val="FootnoteReference"/>
        </w:rPr>
        <w:footnoteReference w:id="46"/>
      </w:r>
      <w:r w:rsidR="00FE6826" w:rsidRPr="00B128B5">
        <w:t xml:space="preserve">  </w:t>
      </w:r>
      <w:r w:rsidR="00DC075D" w:rsidRPr="00B128B5">
        <w:t>Finally, staff analysis of the other 1</w:t>
      </w:r>
      <w:r w:rsidR="00F36A68" w:rsidRPr="00B128B5">
        <w:t>2</w:t>
      </w:r>
      <w:r w:rsidR="00DC075D" w:rsidRPr="00B128B5">
        <w:t xml:space="preserve"> stations shows </w:t>
      </w:r>
      <w:r w:rsidR="00B659A9" w:rsidRPr="00B128B5">
        <w:t xml:space="preserve">coverage </w:t>
      </w:r>
      <w:r w:rsidR="00FA7D4D" w:rsidRPr="00B128B5">
        <w:t xml:space="preserve">to </w:t>
      </w:r>
      <w:r w:rsidR="00B659A9" w:rsidRPr="00B128B5">
        <w:t>between 10 percent and 1</w:t>
      </w:r>
      <w:r w:rsidR="00F36A68" w:rsidRPr="00B128B5">
        <w:t>9</w:t>
      </w:r>
      <w:r w:rsidR="00B659A9" w:rsidRPr="00B128B5">
        <w:t xml:space="preserve"> percent</w:t>
      </w:r>
      <w:r w:rsidR="00FA7D4D" w:rsidRPr="00B128B5">
        <w:t xml:space="preserve"> of the population</w:t>
      </w:r>
      <w:r w:rsidR="00B659A9" w:rsidRPr="00B128B5">
        <w:t>.</w:t>
      </w:r>
      <w:r w:rsidR="00B659A9" w:rsidRPr="00B128B5">
        <w:rPr>
          <w:rStyle w:val="FootnoteReference"/>
        </w:rPr>
        <w:footnoteReference w:id="47"/>
      </w:r>
      <w:r w:rsidR="00B659A9" w:rsidRPr="00B128B5">
        <w:t xml:space="preserve">  </w:t>
      </w:r>
    </w:p>
    <w:p w:rsidR="0006665B" w:rsidRPr="00B128B5" w:rsidRDefault="0006665B" w:rsidP="006C10D2">
      <w:pPr>
        <w:pStyle w:val="ParaNum"/>
        <w:widowControl/>
        <w:numPr>
          <w:ilvl w:val="0"/>
          <w:numId w:val="31"/>
        </w:numPr>
        <w:tabs>
          <w:tab w:val="clear" w:pos="1080"/>
        </w:tabs>
      </w:pPr>
      <w:r w:rsidRPr="00B128B5">
        <w:t xml:space="preserve">In response to staff inquiries, </w:t>
      </w:r>
      <w:r w:rsidR="00A25D28" w:rsidRPr="00B128B5">
        <w:t xml:space="preserve">SHT </w:t>
      </w:r>
      <w:r w:rsidRPr="00B128B5">
        <w:t xml:space="preserve">counters that in the event a customer is unable to receive service from the hub, </w:t>
      </w:r>
      <w:r w:rsidR="00CB3835" w:rsidRPr="00B128B5">
        <w:t xml:space="preserve">SHT </w:t>
      </w:r>
      <w:r w:rsidRPr="00B128B5">
        <w:t xml:space="preserve">can address the issue by </w:t>
      </w:r>
      <w:r w:rsidR="00CB3835" w:rsidRPr="00B128B5">
        <w:t>utilizing beam benders that could be installed upon demand for any customer where an obstruction posed an issue with connectivity to the hub.</w:t>
      </w:r>
      <w:r w:rsidRPr="00B128B5">
        <w:rPr>
          <w:rStyle w:val="FootnoteReference"/>
        </w:rPr>
        <w:footnoteReference w:id="48"/>
      </w:r>
      <w:r w:rsidR="008217E0" w:rsidRPr="00B128B5">
        <w:t xml:space="preserve"> </w:t>
      </w:r>
      <w:r w:rsidR="007D5A1E" w:rsidRPr="00B128B5">
        <w:t xml:space="preserve"> Thus, SHT argue</w:t>
      </w:r>
      <w:r w:rsidR="00C83C28" w:rsidRPr="00B128B5">
        <w:t>s</w:t>
      </w:r>
      <w:r w:rsidR="007D5A1E" w:rsidRPr="00B128B5">
        <w:t xml:space="preserve"> that SHT “</w:t>
      </w:r>
      <w:r w:rsidR="00656F2C" w:rsidRPr="00B128B5">
        <w:t xml:space="preserve">was at </w:t>
      </w:r>
      <w:r w:rsidR="007D5A1E" w:rsidRPr="00B128B5">
        <w:t>al</w:t>
      </w:r>
      <w:r w:rsidR="00656F2C" w:rsidRPr="00B128B5">
        <w:t>l</w:t>
      </w:r>
      <w:r w:rsidR="007D5A1E" w:rsidRPr="00B128B5">
        <w:t xml:space="preserve"> times able to provide coverage to the entirety of the demonstrated predicted coverage area from the hub base.</w:t>
      </w:r>
      <w:r w:rsidR="004A40D0" w:rsidRPr="00B128B5">
        <w:t>”</w:t>
      </w:r>
      <w:r w:rsidR="007D5A1E" w:rsidRPr="00B128B5">
        <w:rPr>
          <w:rStyle w:val="FootnoteReference"/>
        </w:rPr>
        <w:footnoteReference w:id="49"/>
      </w:r>
      <w:r w:rsidR="004A40D0" w:rsidRPr="00B128B5">
        <w:t xml:space="preserve">  We reject this argument for two reasons.  First, our analysis shows that there is a total inability to provide a usable signal in the areas claimed by SHT because there is no line of sight between SHT’s transmitters and the areas in question</w:t>
      </w:r>
      <w:r w:rsidR="008A2560" w:rsidRPr="00B128B5">
        <w:t xml:space="preserve">.  SHT’s coverage studies are defective because they fail to consider terrain.   We agree with SHT that there can be legitimate circumstances in which a study reasonably predicts coverage but obstructions or other circumstances prevent the licensee from providing service without supplemental equipment such as a “beam bender.”  Here, however, SHT’s coverage claims are not reasonable because </w:t>
      </w:r>
      <w:r w:rsidR="001B3EFB" w:rsidRPr="00B128B5">
        <w:t>its studies ignore terrain.</w:t>
      </w:r>
    </w:p>
    <w:p w:rsidR="006C10D2" w:rsidRPr="00B128B5" w:rsidRDefault="001B3EFB" w:rsidP="006C10D2">
      <w:pPr>
        <w:pStyle w:val="ParaNum"/>
        <w:widowControl/>
        <w:numPr>
          <w:ilvl w:val="0"/>
          <w:numId w:val="31"/>
        </w:numPr>
        <w:tabs>
          <w:tab w:val="clear" w:pos="1080"/>
        </w:tabs>
      </w:pPr>
      <w:r w:rsidRPr="00B128B5">
        <w:t xml:space="preserve">A second reason for rejecting reliance on </w:t>
      </w:r>
      <w:r w:rsidR="00957B26" w:rsidRPr="00B128B5">
        <w:t>SHT</w:t>
      </w:r>
      <w:r w:rsidRPr="00B128B5">
        <w:t>’s proposed use of beam benders</w:t>
      </w:r>
      <w:r w:rsidR="00957B26" w:rsidRPr="00B128B5">
        <w:t xml:space="preserve"> </w:t>
      </w:r>
      <w:r w:rsidR="0006665B" w:rsidRPr="00B128B5">
        <w:t>for potential new customers who lack line-of-sight access to the hub</w:t>
      </w:r>
      <w:r w:rsidRPr="00B128B5">
        <w:t xml:space="preserve"> is</w:t>
      </w:r>
      <w:r w:rsidR="0006665B" w:rsidRPr="00B128B5">
        <w:t xml:space="preserve"> that it has not yet installed them.</w:t>
      </w:r>
      <w:r w:rsidR="008217E0" w:rsidRPr="00B128B5">
        <w:rPr>
          <w:rStyle w:val="FootnoteReference"/>
        </w:rPr>
        <w:footnoteReference w:id="50"/>
      </w:r>
      <w:r w:rsidR="0006665B" w:rsidRPr="00B128B5">
        <w:t xml:space="preserve">  The Commission’s rules clearly define substantial service as service as of the time of license renewal, not at a later, indeterminate time when the licensee might or might not decide to provide that service.</w:t>
      </w:r>
      <w:r w:rsidR="006479C1" w:rsidRPr="00B128B5">
        <w:rPr>
          <w:rStyle w:val="FootnoteReference"/>
        </w:rPr>
        <w:footnoteReference w:id="51"/>
      </w:r>
      <w:r w:rsidR="0006665B" w:rsidRPr="00B128B5">
        <w:t xml:space="preserve">  </w:t>
      </w:r>
      <w:r w:rsidR="00413453" w:rsidRPr="00B128B5">
        <w:t>SHT’s argument that it should not be required to install beam benders before there is customer demand misses the point.  While the Commission provided SHT with great flexibility in terms of the means by which it provided substantial service, SHT was clearly required to meet the substantial service requirement by July 31, 2012.</w:t>
      </w:r>
      <w:r w:rsidR="0006665B" w:rsidRPr="00B128B5">
        <w:t xml:space="preserve"> </w:t>
      </w:r>
      <w:r w:rsidR="00413453" w:rsidRPr="00B128B5">
        <w:t xml:space="preserve"> In the absence of some equipment that would provide a usable signal to an area</w:t>
      </w:r>
      <w:r w:rsidR="00A14CF6" w:rsidRPr="00B128B5">
        <w:t>, whether that equipment is a hub facility or beam bender, we cannot credit SHT’</w:t>
      </w:r>
      <w:r w:rsidR="006C10D2" w:rsidRPr="00B128B5">
        <w:t>s coverage claims.</w:t>
      </w:r>
    </w:p>
    <w:p w:rsidR="0006665B" w:rsidRPr="00B128B5" w:rsidRDefault="00A14CF6" w:rsidP="006C10D2">
      <w:pPr>
        <w:pStyle w:val="ParaNum"/>
        <w:widowControl/>
        <w:numPr>
          <w:ilvl w:val="0"/>
          <w:numId w:val="31"/>
        </w:numPr>
        <w:tabs>
          <w:tab w:val="clear" w:pos="1080"/>
        </w:tabs>
      </w:pPr>
      <w:r w:rsidRPr="00B128B5">
        <w:t xml:space="preserve">Finally, we reject SHT’s argument that our analysis constitutes a “novel interpretation” of the LMDS substantial service requirement.  </w:t>
      </w:r>
      <w:r w:rsidR="00BB377A" w:rsidRPr="00B128B5">
        <w:t xml:space="preserve">We are not modifying the substantial service requirement in any way.  </w:t>
      </w:r>
      <w:r w:rsidR="00BA6115" w:rsidRPr="00B128B5">
        <w:t>SHT is claiming that it provides service</w:t>
      </w:r>
      <w:r w:rsidR="00B14887" w:rsidRPr="00B128B5">
        <w:t xml:space="preserve"> </w:t>
      </w:r>
      <w:r w:rsidR="00BA6115" w:rsidRPr="00B128B5">
        <w:t>to 20 percent of the population in each license’s service area</w:t>
      </w:r>
      <w:r w:rsidR="00BB377A" w:rsidRPr="00B128B5">
        <w:t xml:space="preserve"> and that it therefore meets the substantial service safe harbor established by the Commission</w:t>
      </w:r>
      <w:r w:rsidR="00BA6115" w:rsidRPr="00B128B5">
        <w:t>.</w:t>
      </w:r>
      <w:r w:rsidR="00BB377A" w:rsidRPr="00B128B5">
        <w:t xml:space="preserve">  Our analysis is designed to evaluate that claim.  In those instances where our analysis confirm</w:t>
      </w:r>
      <w:r w:rsidR="006C10D2" w:rsidRPr="00B128B5">
        <w:t>ed</w:t>
      </w:r>
      <w:r w:rsidR="00BB377A" w:rsidRPr="00B128B5">
        <w:t xml:space="preserve"> SHT’s claims, we have accepted their substantial service claims.  With respect to the</w:t>
      </w:r>
      <w:r w:rsidR="00F36A68" w:rsidRPr="00B128B5">
        <w:t xml:space="preserve"> 73</w:t>
      </w:r>
      <w:r w:rsidR="00BB377A" w:rsidRPr="00B128B5">
        <w:t xml:space="preserve"> licenses</w:t>
      </w:r>
      <w:r w:rsidR="00150E1F" w:rsidRPr="00B128B5">
        <w:t xml:space="preserve"> at issue in this </w:t>
      </w:r>
      <w:r w:rsidR="00150E1F" w:rsidRPr="00B128B5">
        <w:rPr>
          <w:i/>
        </w:rPr>
        <w:t>Memorandum Opinion and Order</w:t>
      </w:r>
      <w:r w:rsidR="00BB377A" w:rsidRPr="00B128B5">
        <w:t xml:space="preserve">, our analysis fails to corroborate SHT’s coverage claims. </w:t>
      </w:r>
      <w:r w:rsidR="00B14887" w:rsidRPr="00B128B5">
        <w:t xml:space="preserve"> </w:t>
      </w:r>
      <w:r w:rsidR="007E3E83" w:rsidRPr="00B128B5">
        <w:t xml:space="preserve">Our </w:t>
      </w:r>
      <w:r w:rsidR="00BB377A" w:rsidRPr="00B128B5">
        <w:t>c</w:t>
      </w:r>
      <w:r w:rsidR="00F91934" w:rsidRPr="00B128B5">
        <w:t xml:space="preserve">onsideration of line-of-sight </w:t>
      </w:r>
      <w:r w:rsidR="00BB377A" w:rsidRPr="00B128B5">
        <w:t xml:space="preserve">in analyzing coverage showings </w:t>
      </w:r>
      <w:r w:rsidR="00F91934" w:rsidRPr="00B128B5">
        <w:t>is not a new approach.</w:t>
      </w:r>
      <w:r w:rsidR="00BB377A" w:rsidRPr="00B128B5">
        <w:rPr>
          <w:rStyle w:val="FootnoteReference"/>
        </w:rPr>
        <w:footnoteReference w:id="52"/>
      </w:r>
      <w:r w:rsidR="00F91934" w:rsidRPr="00B128B5">
        <w:t xml:space="preserve">  </w:t>
      </w:r>
      <w:r w:rsidR="00176A8B" w:rsidRPr="00B128B5">
        <w:t xml:space="preserve">We also note that technology is not static; a tool that was acceptable in the past does not mean that the specific analytical tool must be acceptable forever.  The Commission is not limited to using </w:t>
      </w:r>
      <w:r w:rsidR="00A90B3E" w:rsidRPr="00B128B5">
        <w:t xml:space="preserve">the same methods it uses to evaluate coverage showings </w:t>
      </w:r>
      <w:r w:rsidR="00176A8B" w:rsidRPr="00B128B5">
        <w:t>if new or improved analytical tools are available at the time of the analysis.</w:t>
      </w:r>
    </w:p>
    <w:p w:rsidR="003F4C44" w:rsidRPr="00B128B5" w:rsidRDefault="009A1F97" w:rsidP="00707B40">
      <w:pPr>
        <w:widowControl/>
        <w:numPr>
          <w:ilvl w:val="0"/>
          <w:numId w:val="31"/>
        </w:numPr>
        <w:tabs>
          <w:tab w:val="clear" w:pos="1080"/>
        </w:tabs>
        <w:spacing w:after="220"/>
      </w:pPr>
      <w:r w:rsidRPr="00B128B5">
        <w:t xml:space="preserve">We therefore conclude </w:t>
      </w:r>
      <w:r w:rsidR="00A910D1" w:rsidRPr="00B128B5">
        <w:t xml:space="preserve">that SHT has not </w:t>
      </w:r>
      <w:r w:rsidR="001840C6" w:rsidRPr="00B128B5">
        <w:t xml:space="preserve">met the 20 percent population coverage safe harbor for these LMDS licenses.  Furthermore, SHT has failed to provide additional information concerning its operations that would allow us to make a finding of substantial service based on those links on a case-by-case basis. </w:t>
      </w:r>
      <w:r w:rsidR="00707B40" w:rsidRPr="00B128B5">
        <w:t xml:space="preserve"> It has therefore failed to </w:t>
      </w:r>
      <w:r w:rsidR="00A910D1" w:rsidRPr="00B128B5">
        <w:t>demonstrate substantial service standard under the Commission’s rules</w:t>
      </w:r>
      <w:r w:rsidRPr="00B128B5">
        <w:t xml:space="preserve"> for the </w:t>
      </w:r>
      <w:r w:rsidR="00F36A68" w:rsidRPr="00B128B5">
        <w:t>73</w:t>
      </w:r>
      <w:r w:rsidRPr="00B128B5">
        <w:t xml:space="preserve"> Stations.</w:t>
      </w:r>
      <w:bookmarkStart w:id="2" w:name="FN[FN95]"/>
      <w:bookmarkEnd w:id="2"/>
      <w:r w:rsidR="0040583F" w:rsidRPr="00B128B5">
        <w:t xml:space="preserve">  It has not sought a further extension of time to meet the substantial service deadline for the </w:t>
      </w:r>
      <w:r w:rsidR="00F36A68" w:rsidRPr="00B128B5">
        <w:t>73</w:t>
      </w:r>
      <w:r w:rsidR="0040583F" w:rsidRPr="00B128B5">
        <w:t xml:space="preserve"> Stations, nor has it sought a waiver of the </w:t>
      </w:r>
      <w:r w:rsidR="0040583F" w:rsidRPr="00B128B5">
        <w:rPr>
          <w:szCs w:val="22"/>
        </w:rPr>
        <w:t>July 31, 2012</w:t>
      </w:r>
      <w:r w:rsidR="0040583F" w:rsidRPr="00B128B5">
        <w:t xml:space="preserve"> deadline for establishing substantial service for those licenses</w:t>
      </w:r>
      <w:r w:rsidR="00484EE2" w:rsidRPr="00B128B5">
        <w:t xml:space="preserve">.  Without such extension or waiver, those licenses automatically terminated, by operation of </w:t>
      </w:r>
      <w:r w:rsidR="00A14CF6" w:rsidRPr="00B128B5">
        <w:t>s</w:t>
      </w:r>
      <w:r w:rsidR="00484EE2" w:rsidRPr="00B128B5">
        <w:t xml:space="preserve">ections 1.946(c) and 1.955(a)(2) of the Commission’s </w:t>
      </w:r>
      <w:r w:rsidR="00A14CF6" w:rsidRPr="00B128B5">
        <w:t>r</w:t>
      </w:r>
      <w:r w:rsidR="00484EE2" w:rsidRPr="00B128B5">
        <w:t xml:space="preserve">ules, on </w:t>
      </w:r>
      <w:r w:rsidR="00604447">
        <w:t xml:space="preserve"> </w:t>
      </w:r>
      <w:r w:rsidR="00604447" w:rsidRPr="00B128B5">
        <w:t>July</w:t>
      </w:r>
      <w:r w:rsidR="00484EE2" w:rsidRPr="00B128B5">
        <w:t xml:space="preserve"> 31, 2012.</w:t>
      </w:r>
      <w:r w:rsidR="00484EE2" w:rsidRPr="00B128B5">
        <w:rPr>
          <w:rStyle w:val="FootnoteReference"/>
        </w:rPr>
        <w:footnoteReference w:id="53"/>
      </w:r>
    </w:p>
    <w:p w:rsidR="003F4C44" w:rsidRPr="00B128B5" w:rsidRDefault="003F4C44">
      <w:pPr>
        <w:pStyle w:val="Heading1"/>
        <w:widowControl/>
        <w:numPr>
          <w:ilvl w:val="0"/>
          <w:numId w:val="21"/>
        </w:numPr>
        <w:rPr>
          <w:bCs/>
        </w:rPr>
      </w:pPr>
      <w:r w:rsidRPr="00B128B5">
        <w:t xml:space="preserve">CONCLUSION AND ORDERING CLAUSES     </w:t>
      </w:r>
    </w:p>
    <w:p w:rsidR="003F4C44" w:rsidRPr="00B128B5" w:rsidRDefault="00827545" w:rsidP="00C8228F">
      <w:pPr>
        <w:pStyle w:val="ParaNum"/>
        <w:widowControl/>
        <w:numPr>
          <w:ilvl w:val="0"/>
          <w:numId w:val="31"/>
        </w:numPr>
        <w:tabs>
          <w:tab w:val="clear" w:pos="1080"/>
        </w:tabs>
      </w:pPr>
      <w:r w:rsidRPr="00B128B5">
        <w:t xml:space="preserve">SHT </w:t>
      </w:r>
      <w:r w:rsidR="003F4C44" w:rsidRPr="00B128B5">
        <w:t xml:space="preserve">has failed to demonstrate substantial service for the licenses in question.  Accordingly, </w:t>
      </w:r>
      <w:r w:rsidR="0070582D" w:rsidRPr="00B128B5">
        <w:t xml:space="preserve">SHT’s </w:t>
      </w:r>
      <w:r w:rsidR="003F4C44" w:rsidRPr="00B128B5">
        <w:t xml:space="preserve">licenses to operate </w:t>
      </w:r>
      <w:r w:rsidRPr="00B128B5">
        <w:t xml:space="preserve">the </w:t>
      </w:r>
      <w:r w:rsidR="00F36A68" w:rsidRPr="00B128B5">
        <w:t>73</w:t>
      </w:r>
      <w:r w:rsidRPr="00B128B5">
        <w:t xml:space="preserve"> </w:t>
      </w:r>
      <w:r w:rsidR="003F4C44" w:rsidRPr="00B128B5">
        <w:t xml:space="preserve">Stations </w:t>
      </w:r>
      <w:r w:rsidR="00653165" w:rsidRPr="00B128B5">
        <w:t xml:space="preserve">listed in </w:t>
      </w:r>
      <w:r w:rsidR="00484EE2" w:rsidRPr="00B128B5">
        <w:t xml:space="preserve">the </w:t>
      </w:r>
      <w:r w:rsidR="00653165" w:rsidRPr="00B128B5">
        <w:t xml:space="preserve">Appendix </w:t>
      </w:r>
      <w:r w:rsidR="003F4C44" w:rsidRPr="00B128B5">
        <w:t xml:space="preserve">automatically terminated, by operation of Commission rule, as of </w:t>
      </w:r>
      <w:r w:rsidRPr="00B128B5">
        <w:t>Ju</w:t>
      </w:r>
      <w:r w:rsidR="00877EED" w:rsidRPr="00B128B5">
        <w:t>ly 31</w:t>
      </w:r>
      <w:r w:rsidRPr="00B128B5">
        <w:t>, 2012</w:t>
      </w:r>
      <w:r w:rsidR="003F4C44" w:rsidRPr="00B128B5">
        <w:t>.</w:t>
      </w:r>
    </w:p>
    <w:p w:rsidR="003F4C44" w:rsidRPr="00B128B5" w:rsidRDefault="003F4C44" w:rsidP="00C8228F">
      <w:pPr>
        <w:pStyle w:val="ParaNum"/>
        <w:widowControl/>
        <w:numPr>
          <w:ilvl w:val="0"/>
          <w:numId w:val="31"/>
        </w:numPr>
        <w:tabs>
          <w:tab w:val="clear" w:pos="1080"/>
        </w:tabs>
      </w:pPr>
      <w:r w:rsidRPr="00B128B5">
        <w:t xml:space="preserve">Accordingly, IT IS ORDERED, pursuant to Sections 4(i) and 309 of the Communications Act of 1934, as amended, 47 U.S.C. §§ 154(i), 309, and Section 1.946 of the Commission’s Rules, 47 C.F.R. § 1.946, that the requests for findings of substantial service made by </w:t>
      </w:r>
      <w:r w:rsidR="00F560F5" w:rsidRPr="00B128B5">
        <w:t>S</w:t>
      </w:r>
      <w:r w:rsidR="00D46DA5" w:rsidRPr="00B128B5">
        <w:t xml:space="preserve">pectrum </w:t>
      </w:r>
      <w:r w:rsidR="00F560F5" w:rsidRPr="00B128B5">
        <w:t>H</w:t>
      </w:r>
      <w:r w:rsidR="00D46DA5" w:rsidRPr="00B128B5">
        <w:t xml:space="preserve">oldings </w:t>
      </w:r>
      <w:r w:rsidR="00F560F5" w:rsidRPr="00B128B5">
        <w:t>T</w:t>
      </w:r>
      <w:r w:rsidR="00D46DA5" w:rsidRPr="00B128B5">
        <w:t>echnologies, LLC</w:t>
      </w:r>
      <w:r w:rsidR="00F560F5" w:rsidRPr="00B128B5">
        <w:t xml:space="preserve"> </w:t>
      </w:r>
      <w:r w:rsidRPr="00B128B5">
        <w:t xml:space="preserve">on </w:t>
      </w:r>
      <w:r w:rsidR="00E54DAF" w:rsidRPr="00B128B5">
        <w:t>July 17</w:t>
      </w:r>
      <w:r w:rsidRPr="00B128B5">
        <w:t>, 20</w:t>
      </w:r>
      <w:r w:rsidR="00827545" w:rsidRPr="00B128B5">
        <w:t>12</w:t>
      </w:r>
      <w:r w:rsidRPr="00B128B5">
        <w:t>, as amended</w:t>
      </w:r>
      <w:r w:rsidR="00D46DA5" w:rsidRPr="00B128B5">
        <w:t>, and as listed in the Appendix</w:t>
      </w:r>
      <w:r w:rsidRPr="00B128B5">
        <w:t xml:space="preserve"> ARE DENIED.</w:t>
      </w:r>
    </w:p>
    <w:p w:rsidR="009F4DDE" w:rsidRDefault="003F4C44" w:rsidP="00C8228F">
      <w:pPr>
        <w:pStyle w:val="ParaNum"/>
        <w:widowControl/>
        <w:numPr>
          <w:ilvl w:val="0"/>
          <w:numId w:val="31"/>
        </w:numPr>
        <w:tabs>
          <w:tab w:val="clear" w:pos="1080"/>
        </w:tabs>
      </w:pPr>
      <w:r w:rsidRPr="00B128B5">
        <w:t>IT IS FURTHER ORDERED that, pursuant to Sections 4(i) and 303(r) of the Communications Act, as amended, 47 U.S.C. §§ 154(i), 303(r), and Section 1.955(a)(2) of the Commission’s Rules, 47 C.F.R. § 1.955(a)(2), that the Universal Licensing System SHALL BE</w:t>
      </w:r>
    </w:p>
    <w:p w:rsidR="009F4DDE" w:rsidRDefault="009F4DDE" w:rsidP="009F4DDE">
      <w:pPr>
        <w:pStyle w:val="Heading1"/>
      </w:pPr>
      <w:r>
        <w:br w:type="page"/>
      </w:r>
    </w:p>
    <w:p w:rsidR="003F4C44" w:rsidRPr="00B128B5" w:rsidRDefault="003F4C44" w:rsidP="009F4DDE">
      <w:pPr>
        <w:pStyle w:val="ParaNum"/>
        <w:widowControl/>
        <w:numPr>
          <w:ilvl w:val="0"/>
          <w:numId w:val="0"/>
        </w:numPr>
      </w:pPr>
      <w:r w:rsidRPr="00B128B5">
        <w:t xml:space="preserve">UPDATED to reflect that the licenses issued to </w:t>
      </w:r>
      <w:r w:rsidR="00D46DA5" w:rsidRPr="00B128B5">
        <w:t xml:space="preserve">Spectrum Holdings Technologies, LLC </w:t>
      </w:r>
      <w:r w:rsidRPr="00B128B5">
        <w:t xml:space="preserve">for </w:t>
      </w:r>
      <w:r w:rsidR="00827545" w:rsidRPr="00B128B5">
        <w:t xml:space="preserve">the </w:t>
      </w:r>
      <w:r w:rsidR="00F36A68" w:rsidRPr="00B128B5">
        <w:t>73</w:t>
      </w:r>
      <w:r w:rsidR="00827545" w:rsidRPr="00B128B5">
        <w:t xml:space="preserve"> </w:t>
      </w:r>
      <w:r w:rsidRPr="00B128B5">
        <w:t>Stations</w:t>
      </w:r>
      <w:r w:rsidR="00484EE2" w:rsidRPr="00B128B5">
        <w:t xml:space="preserve"> listed in the Appendix</w:t>
      </w:r>
      <w:r w:rsidRPr="00B128B5">
        <w:t xml:space="preserve"> TERMINATED as of </w:t>
      </w:r>
      <w:r w:rsidR="00827545" w:rsidRPr="00B128B5">
        <w:t>Ju</w:t>
      </w:r>
      <w:r w:rsidR="00877EED" w:rsidRPr="00B128B5">
        <w:t>ly 31</w:t>
      </w:r>
      <w:r w:rsidR="00827545" w:rsidRPr="00B128B5">
        <w:t>, 2012.</w:t>
      </w:r>
    </w:p>
    <w:p w:rsidR="003F4C44" w:rsidRPr="00B128B5" w:rsidRDefault="003F4C44" w:rsidP="00C8228F">
      <w:pPr>
        <w:pStyle w:val="ParaNum"/>
        <w:widowControl/>
        <w:numPr>
          <w:ilvl w:val="0"/>
          <w:numId w:val="31"/>
        </w:numPr>
        <w:tabs>
          <w:tab w:val="clear" w:pos="1080"/>
        </w:tabs>
      </w:pPr>
      <w:r w:rsidRPr="00B128B5">
        <w:t>These actions are taken under delegated authority pursuant to Sections 0.131 and 0.331 of the Commission’s Rules, 47 C.F.R. §§ 0.131, 0.331.</w:t>
      </w:r>
    </w:p>
    <w:p w:rsidR="003F4C44" w:rsidRPr="00B128B5" w:rsidRDefault="003F4C44">
      <w:pPr>
        <w:pStyle w:val="TOAHeading"/>
        <w:widowControl/>
        <w:tabs>
          <w:tab w:val="clear" w:pos="9360"/>
          <w:tab w:val="left" w:pos="-1440"/>
          <w:tab w:val="left" w:pos="-720"/>
        </w:tabs>
        <w:spacing w:line="227" w:lineRule="auto"/>
      </w:pPr>
    </w:p>
    <w:p w:rsidR="003F4C44" w:rsidRPr="00B128B5" w:rsidRDefault="003F4C44">
      <w:pPr>
        <w:pStyle w:val="TOAHeading"/>
        <w:widowControl/>
        <w:tabs>
          <w:tab w:val="clear" w:pos="9360"/>
          <w:tab w:val="left" w:pos="-1440"/>
          <w:tab w:val="left" w:pos="-720"/>
        </w:tabs>
        <w:spacing w:line="227" w:lineRule="auto"/>
      </w:pPr>
      <w:r w:rsidRPr="00B128B5">
        <w:tab/>
      </w:r>
      <w:r w:rsidRPr="00B128B5">
        <w:tab/>
      </w:r>
      <w:r w:rsidRPr="00B128B5">
        <w:tab/>
      </w:r>
      <w:r w:rsidRPr="00B128B5">
        <w:tab/>
      </w:r>
      <w:r w:rsidRPr="00B128B5">
        <w:tab/>
      </w:r>
      <w:r w:rsidRPr="00B128B5">
        <w:tab/>
        <w:t xml:space="preserve">      FEDERAL COMMUNICATIONS COMMISSION</w:t>
      </w:r>
    </w:p>
    <w:p w:rsidR="003F4C44" w:rsidRPr="00B128B5" w:rsidRDefault="003F4C44">
      <w:pPr>
        <w:widowControl/>
        <w:tabs>
          <w:tab w:val="left" w:pos="-1440"/>
          <w:tab w:val="left" w:pos="-720"/>
        </w:tabs>
        <w:suppressAutoHyphens/>
        <w:spacing w:line="227" w:lineRule="auto"/>
      </w:pPr>
    </w:p>
    <w:p w:rsidR="003F4C44" w:rsidRPr="00B128B5" w:rsidRDefault="003F4C44">
      <w:pPr>
        <w:pStyle w:val="TOAHeading"/>
        <w:widowControl/>
        <w:tabs>
          <w:tab w:val="clear" w:pos="9360"/>
          <w:tab w:val="left" w:pos="-1440"/>
          <w:tab w:val="left" w:pos="-720"/>
        </w:tabs>
        <w:spacing w:line="227" w:lineRule="auto"/>
      </w:pPr>
    </w:p>
    <w:p w:rsidR="003F4C44" w:rsidRPr="00B128B5" w:rsidRDefault="003F4C44">
      <w:pPr>
        <w:widowControl/>
        <w:tabs>
          <w:tab w:val="left" w:pos="-1440"/>
          <w:tab w:val="left" w:pos="-720"/>
        </w:tabs>
        <w:suppressAutoHyphens/>
        <w:spacing w:line="227" w:lineRule="auto"/>
      </w:pPr>
    </w:p>
    <w:p w:rsidR="003F4C44" w:rsidRPr="00B128B5" w:rsidRDefault="003F4C44">
      <w:pPr>
        <w:widowControl/>
        <w:tabs>
          <w:tab w:val="left" w:pos="-1440"/>
          <w:tab w:val="left" w:pos="-720"/>
        </w:tabs>
        <w:suppressAutoHyphens/>
        <w:spacing w:line="227" w:lineRule="auto"/>
      </w:pPr>
    </w:p>
    <w:p w:rsidR="003F4C44" w:rsidRPr="00B128B5" w:rsidRDefault="003F4C44">
      <w:pPr>
        <w:widowControl/>
        <w:tabs>
          <w:tab w:val="left" w:pos="-1440"/>
          <w:tab w:val="left" w:pos="-720"/>
        </w:tabs>
        <w:suppressAutoHyphens/>
        <w:spacing w:line="227" w:lineRule="auto"/>
      </w:pPr>
      <w:r w:rsidRPr="00B128B5">
        <w:tab/>
      </w:r>
      <w:r w:rsidRPr="00B128B5">
        <w:tab/>
      </w:r>
      <w:r w:rsidRPr="00B128B5">
        <w:tab/>
      </w:r>
      <w:r w:rsidRPr="00B128B5">
        <w:tab/>
      </w:r>
      <w:r w:rsidRPr="00B128B5">
        <w:tab/>
      </w:r>
      <w:r w:rsidRPr="00B128B5">
        <w:tab/>
        <w:t xml:space="preserve">      John J. Schauble</w:t>
      </w:r>
    </w:p>
    <w:p w:rsidR="003F4C44" w:rsidRPr="00B128B5" w:rsidRDefault="003F4C44">
      <w:pPr>
        <w:widowControl/>
        <w:tabs>
          <w:tab w:val="left" w:pos="-1440"/>
          <w:tab w:val="left" w:pos="-720"/>
        </w:tabs>
        <w:suppressAutoHyphens/>
        <w:spacing w:line="227" w:lineRule="auto"/>
      </w:pPr>
      <w:r w:rsidRPr="00B128B5">
        <w:tab/>
      </w:r>
      <w:r w:rsidRPr="00B128B5">
        <w:tab/>
      </w:r>
      <w:r w:rsidRPr="00B128B5">
        <w:tab/>
      </w:r>
      <w:r w:rsidRPr="00B128B5">
        <w:tab/>
      </w:r>
      <w:r w:rsidRPr="00B128B5">
        <w:tab/>
      </w:r>
      <w:r w:rsidRPr="00B128B5">
        <w:tab/>
        <w:t xml:space="preserve">      Deputy Chief, Broadband Division </w:t>
      </w:r>
      <w:r w:rsidRPr="00B128B5">
        <w:tab/>
      </w:r>
    </w:p>
    <w:p w:rsidR="003F4C44" w:rsidRPr="00B128B5" w:rsidRDefault="003F4C44">
      <w:pPr>
        <w:widowControl/>
        <w:tabs>
          <w:tab w:val="left" w:pos="-1440"/>
          <w:tab w:val="left" w:pos="-720"/>
        </w:tabs>
        <w:suppressAutoHyphens/>
        <w:spacing w:line="227" w:lineRule="auto"/>
      </w:pPr>
      <w:r w:rsidRPr="00B128B5">
        <w:tab/>
      </w:r>
      <w:r w:rsidRPr="00B128B5">
        <w:tab/>
      </w:r>
      <w:r w:rsidRPr="00B128B5">
        <w:tab/>
      </w:r>
      <w:r w:rsidRPr="00B128B5">
        <w:tab/>
      </w:r>
      <w:r w:rsidRPr="00B128B5">
        <w:tab/>
      </w:r>
      <w:r w:rsidRPr="00B128B5">
        <w:tab/>
        <w:t xml:space="preserve">      Wireless Telecommunications Bureau</w:t>
      </w:r>
    </w:p>
    <w:sectPr w:rsidR="003F4C44" w:rsidRPr="00B128B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100" w:rsidRDefault="00214100">
      <w:pPr>
        <w:spacing w:line="20" w:lineRule="exact"/>
      </w:pPr>
    </w:p>
  </w:endnote>
  <w:endnote w:type="continuationSeparator" w:id="0">
    <w:p w:rsidR="00214100" w:rsidRDefault="00214100">
      <w:r>
        <w:t xml:space="preserve"> </w:t>
      </w:r>
    </w:p>
  </w:endnote>
  <w:endnote w:type="continuationNotice" w:id="1">
    <w:p w:rsidR="00214100" w:rsidRDefault="0021410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ld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44" w:rsidRDefault="003F4C44">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3F4C44" w:rsidRDefault="003F4C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44" w:rsidRDefault="003F4C44">
    <w:pPr>
      <w:pStyle w:val="Footer"/>
      <w:framePr w:wrap="around" w:vAnchor="text" w:hAnchor="margin" w:xAlign="center" w:y="1"/>
    </w:pPr>
    <w:r>
      <w:fldChar w:fldCharType="begin"/>
    </w:r>
    <w:r>
      <w:instrText xml:space="preserve">PAGE  </w:instrText>
    </w:r>
    <w:r>
      <w:fldChar w:fldCharType="separate"/>
    </w:r>
    <w:r w:rsidR="001E3941">
      <w:rPr>
        <w:noProof/>
      </w:rPr>
      <w:t>2</w:t>
    </w:r>
    <w:r>
      <w:fldChar w:fldCharType="end"/>
    </w:r>
  </w:p>
  <w:p w:rsidR="003F4C44" w:rsidRDefault="003F4C44">
    <w:pPr>
      <w:suppressAutoHyphens/>
      <w:spacing w:line="227" w:lineRule="auto"/>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A" w:rsidRDefault="000B4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100" w:rsidRDefault="00214100">
      <w:r>
        <w:separator/>
      </w:r>
    </w:p>
  </w:footnote>
  <w:footnote w:type="continuationSeparator" w:id="0">
    <w:p w:rsidR="00214100" w:rsidRDefault="00214100">
      <w:pPr>
        <w:rPr>
          <w:sz w:val="20"/>
        </w:rPr>
      </w:pPr>
      <w:r>
        <w:rPr>
          <w:sz w:val="20"/>
        </w:rPr>
        <w:t xml:space="preserve">(Continued from previous page)  </w:t>
      </w:r>
      <w:r>
        <w:rPr>
          <w:sz w:val="20"/>
        </w:rPr>
        <w:separator/>
      </w:r>
    </w:p>
  </w:footnote>
  <w:footnote w:type="continuationNotice" w:id="1">
    <w:p w:rsidR="00214100" w:rsidRDefault="00214100">
      <w:pPr>
        <w:rPr>
          <w:sz w:val="20"/>
        </w:rPr>
      </w:pPr>
      <w:r>
        <w:rPr>
          <w:sz w:val="20"/>
        </w:rPr>
        <w:t>(continued….)</w:t>
      </w:r>
    </w:p>
  </w:footnote>
  <w:footnote w:id="2">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sidRPr="00B128B5">
        <w:rPr>
          <w:i/>
        </w:rPr>
        <w:t>Second Report and Order, Order on Reconsideration and Fifth Notice of Proposed Rulemaking</w:t>
      </w:r>
      <w:r w:rsidRPr="00B128B5">
        <w:t>, 12 FCC Rcd 12545, 12605 ¶ 136 (1997) (”</w:t>
      </w:r>
      <w:r w:rsidRPr="00B128B5">
        <w:rPr>
          <w:i/>
        </w:rPr>
        <w:t>Second LMDS Report and Order”</w:t>
      </w:r>
      <w:r w:rsidRPr="00B128B5">
        <w:t>);</w:t>
      </w:r>
      <w:r w:rsidRPr="00B128B5">
        <w:rPr>
          <w:i/>
        </w:rPr>
        <w:t xml:space="preserve"> see also </w:t>
      </w:r>
      <w:r w:rsidRPr="00B128B5">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3">
    <w:p w:rsidR="00F51060" w:rsidRPr="00B128B5" w:rsidRDefault="00F51060" w:rsidP="006D0C75">
      <w:pPr>
        <w:pStyle w:val="FootnoteText"/>
        <w:spacing w:after="120"/>
      </w:pPr>
      <w:r w:rsidRPr="00B128B5">
        <w:rPr>
          <w:rStyle w:val="FootnoteReference"/>
          <w:sz w:val="20"/>
        </w:rPr>
        <w:footnoteRef/>
      </w:r>
      <w:r w:rsidRPr="00B128B5">
        <w:t xml:space="preserve"> </w:t>
      </w:r>
      <w:r w:rsidR="00FC7A3E" w:rsidRPr="00B128B5">
        <w:rPr>
          <w:i/>
        </w:rPr>
        <w:t xml:space="preserve">See </w:t>
      </w:r>
      <w:r w:rsidR="00FC7A3E" w:rsidRPr="00B128B5">
        <w:t>47 C.F.R. § 101.1005.</w:t>
      </w:r>
    </w:p>
  </w:footnote>
  <w:footnote w:id="4">
    <w:p w:rsidR="00F51060" w:rsidRPr="00B128B5" w:rsidRDefault="00F51060" w:rsidP="006D0C75">
      <w:pPr>
        <w:pStyle w:val="FootnoteText"/>
        <w:spacing w:after="120"/>
      </w:pPr>
      <w:r w:rsidRPr="00B128B5">
        <w:rPr>
          <w:rStyle w:val="FootnoteReference"/>
          <w:sz w:val="20"/>
        </w:rPr>
        <w:footnoteRef/>
      </w:r>
      <w:r w:rsidRPr="00B128B5">
        <w:t xml:space="preserve"> </w:t>
      </w:r>
      <w:r w:rsidR="00FC7A3E" w:rsidRPr="00B128B5">
        <w:rPr>
          <w:i/>
        </w:rPr>
        <w:t>Id.</w:t>
      </w:r>
    </w:p>
  </w:footnote>
  <w:footnote w:id="5">
    <w:p w:rsidR="00F51060" w:rsidRPr="00B128B5" w:rsidRDefault="00F51060" w:rsidP="006D0C75">
      <w:pPr>
        <w:pStyle w:val="FootnoteText"/>
        <w:spacing w:after="120"/>
      </w:pPr>
      <w:r w:rsidRPr="00B128B5">
        <w:rPr>
          <w:rStyle w:val="FootnoteReference"/>
          <w:sz w:val="20"/>
        </w:rPr>
        <w:footnoteRef/>
      </w:r>
      <w:r w:rsidR="00FC7A3E" w:rsidRPr="00B128B5">
        <w:t xml:space="preserve"> </w:t>
      </w:r>
      <w:r w:rsidR="00FC7A3E" w:rsidRPr="00B128B5">
        <w:rPr>
          <w:i/>
        </w:rPr>
        <w:t>Id</w:t>
      </w:r>
      <w:r w:rsidRPr="00B128B5">
        <w:t>.</w:t>
      </w:r>
    </w:p>
  </w:footnote>
  <w:footnote w:id="6">
    <w:p w:rsidR="00F51060" w:rsidRPr="00B128B5" w:rsidRDefault="00F51060" w:rsidP="006D0C75">
      <w:pPr>
        <w:pStyle w:val="FootnoteText"/>
        <w:spacing w:after="120"/>
      </w:pPr>
      <w:r w:rsidRPr="00B128B5">
        <w:rPr>
          <w:rStyle w:val="FootnoteReference"/>
          <w:sz w:val="20"/>
        </w:rPr>
        <w:footnoteRef/>
      </w:r>
      <w:r w:rsidRPr="00B128B5">
        <w:t xml:space="preserve"> </w:t>
      </w:r>
      <w:r w:rsidR="00FC7A3E" w:rsidRPr="00B128B5">
        <w:rPr>
          <w:i/>
        </w:rPr>
        <w:t>Id</w:t>
      </w:r>
      <w:r w:rsidR="0050043B" w:rsidRPr="00B128B5">
        <w:t>.</w:t>
      </w:r>
    </w:p>
  </w:footnote>
  <w:footnote w:id="7">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 xml:space="preserve">47 C.F.R. § 101.1013(b).  </w:t>
      </w:r>
    </w:p>
  </w:footnote>
  <w:footnote w:id="8">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Second LMDS Report and Order, </w:t>
      </w:r>
      <w:r w:rsidRPr="00B128B5">
        <w:t xml:space="preserve">12 FCC Rcd at </w:t>
      </w:r>
      <w:r w:rsidR="00FC7A3E" w:rsidRPr="00B128B5">
        <w:t>12656-</w:t>
      </w:r>
      <w:r w:rsidRPr="00B128B5">
        <w:t>12657 ¶ 259.  Pursuant to 47 C.F.R. § 101.67, LMDS licenses are issued for a period not to exceed ten years, subject to renewal upon demonstration of substantial service.</w:t>
      </w:r>
      <w:r w:rsidR="0050043B" w:rsidRPr="00B128B5">
        <w:t xml:space="preserve"> </w:t>
      </w:r>
    </w:p>
  </w:footnote>
  <w:footnote w:id="9">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 xml:space="preserve">47 C.F.R. § 101.1011(a); </w:t>
      </w:r>
      <w:r w:rsidRPr="00B128B5">
        <w:rPr>
          <w:i/>
        </w:rPr>
        <w:t xml:space="preserve">see also Second LMDS Report and Order, </w:t>
      </w:r>
      <w:r w:rsidRPr="00B128B5">
        <w:t xml:space="preserve">12 FCC Rcd at </w:t>
      </w:r>
      <w:r w:rsidR="00FC7A3E" w:rsidRPr="00B128B5">
        <w:t>12657-</w:t>
      </w:r>
      <w:r w:rsidRPr="00B128B5">
        <w:t xml:space="preserve">12658 ¶¶ 261-262.  </w:t>
      </w:r>
    </w:p>
  </w:footnote>
  <w:footnote w:id="10">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47 C.F.R. § 101.1011(a).</w:t>
      </w:r>
    </w:p>
  </w:footnote>
  <w:footnote w:id="11">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See, e.g.</w:t>
      </w:r>
      <w:r w:rsidRPr="00B128B5">
        <w:t>,</w:t>
      </w:r>
      <w:r w:rsidRPr="00B128B5">
        <w:rPr>
          <w:i/>
        </w:rPr>
        <w:t xml:space="preserve"> </w:t>
      </w:r>
      <w:r w:rsidRPr="00B128B5">
        <w:t xml:space="preserve">LMDS Auction Closes, </w:t>
      </w:r>
      <w:r w:rsidRPr="00B128B5">
        <w:rPr>
          <w:i/>
        </w:rPr>
        <w:t xml:space="preserve">Public Notice, </w:t>
      </w:r>
      <w:r w:rsidRPr="00B128B5">
        <w:t>13 FCC Rcd 18217 (1998) (</w:t>
      </w:r>
      <w:r w:rsidRPr="00B128B5">
        <w:rPr>
          <w:i/>
        </w:rPr>
        <w:t>Auction 17 Closing PN</w:t>
      </w:r>
      <w:r w:rsidRPr="00B128B5">
        <w:t xml:space="preserve">); Local Multipoint Distribution Service Auction Closes, </w:t>
      </w:r>
      <w:r w:rsidRPr="00B128B5">
        <w:rPr>
          <w:i/>
        </w:rPr>
        <w:t xml:space="preserve">Public Notice, </w:t>
      </w:r>
      <w:r w:rsidRPr="00B128B5">
        <w:t>14 FCC Rcd 8543 (1999) (</w:t>
      </w:r>
      <w:r w:rsidRPr="00B128B5">
        <w:rPr>
          <w:i/>
        </w:rPr>
        <w:t>Auction 23 Closing PN</w:t>
      </w:r>
      <w:r w:rsidRPr="00B128B5">
        <w:t>).</w:t>
      </w:r>
    </w:p>
  </w:footnote>
  <w:footnote w:id="12">
    <w:p w:rsidR="00F51060" w:rsidRPr="00B128B5" w:rsidRDefault="00F51060"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 xml:space="preserve">FCC Announces Spectrum Auction Schedule for 1998, </w:t>
      </w:r>
      <w:r w:rsidRPr="00B128B5">
        <w:rPr>
          <w:i/>
        </w:rPr>
        <w:t xml:space="preserve">Public Notice, </w:t>
      </w:r>
      <w:r w:rsidRPr="00B128B5">
        <w:t xml:space="preserve">12 FCC Rcd 19726 (1997); </w:t>
      </w:r>
      <w:r w:rsidRPr="00B128B5">
        <w:rPr>
          <w:i/>
        </w:rPr>
        <w:t xml:space="preserve">Auction 17 Closing PN, </w:t>
      </w:r>
      <w:r w:rsidRPr="00B128B5">
        <w:t xml:space="preserve">13 FCC Rcd at 18217.      </w:t>
      </w:r>
      <w:r w:rsidRPr="00B128B5">
        <w:rPr>
          <w:highlight w:val="cyan"/>
        </w:rPr>
        <w:t xml:space="preserve">  </w:t>
      </w:r>
      <w:r w:rsidRPr="00B128B5">
        <w:t xml:space="preserve">                </w:t>
      </w:r>
    </w:p>
  </w:footnote>
  <w:footnote w:id="13">
    <w:p w:rsidR="00460099" w:rsidRPr="00B128B5" w:rsidRDefault="00F51060" w:rsidP="006D0C75">
      <w:pPr>
        <w:pStyle w:val="FootnoteText"/>
        <w:spacing w:after="120"/>
        <w:rPr>
          <w:b/>
        </w:rPr>
      </w:pPr>
      <w:r w:rsidRPr="00B128B5">
        <w:rPr>
          <w:rStyle w:val="FootnoteReference"/>
          <w:sz w:val="20"/>
        </w:rPr>
        <w:footnoteRef/>
      </w:r>
      <w:r w:rsidRPr="00B128B5">
        <w:t xml:space="preserve"> </w:t>
      </w:r>
      <w:r w:rsidRPr="00B128B5">
        <w:rPr>
          <w:i/>
        </w:rPr>
        <w:t>See</w:t>
      </w:r>
      <w:r w:rsidRPr="00B128B5">
        <w:t xml:space="preserve"> File No. 0000</w:t>
      </w:r>
      <w:r w:rsidR="0061457C" w:rsidRPr="00B128B5">
        <w:t xml:space="preserve">000111 (granted Sep. 22, 1998). </w:t>
      </w:r>
      <w:r w:rsidRPr="00B128B5">
        <w:t xml:space="preserve"> </w:t>
      </w:r>
      <w:r w:rsidR="003D4A3B" w:rsidRPr="00B128B5">
        <w:t xml:space="preserve">The licenses were originally issued to Baker Creek Communication, L.P..  </w:t>
      </w:r>
      <w:r w:rsidR="003D4A3B" w:rsidRPr="00B128B5">
        <w:rPr>
          <w:i/>
        </w:rPr>
        <w:t xml:space="preserve">See </w:t>
      </w:r>
      <w:r w:rsidR="003D4A3B" w:rsidRPr="00B128B5">
        <w:t xml:space="preserve">Baker Creek Communications, L.P., </w:t>
      </w:r>
      <w:r w:rsidR="003D4A3B" w:rsidRPr="00B128B5">
        <w:rPr>
          <w:i/>
        </w:rPr>
        <w:t xml:space="preserve">Memorandum Opinion and Order, </w:t>
      </w:r>
      <w:r w:rsidR="003D4A3B" w:rsidRPr="00B128B5">
        <w:t>13  FCC Rcd 18709, 18727-</w:t>
      </w:r>
      <w:r w:rsidR="00FC7A3E" w:rsidRPr="00B128B5">
        <w:t>187</w:t>
      </w:r>
      <w:r w:rsidR="003D4A3B" w:rsidRPr="00B128B5">
        <w:t xml:space="preserve">29 (1998); </w:t>
      </w:r>
      <w:r w:rsidRPr="00B128B5">
        <w:rPr>
          <w:i/>
        </w:rPr>
        <w:t xml:space="preserve">see also </w:t>
      </w:r>
      <w:r w:rsidRPr="00B128B5">
        <w:t xml:space="preserve">FCC Announces the Conditional Grant of </w:t>
      </w:r>
      <w:r w:rsidR="003D4A3B" w:rsidRPr="00B128B5">
        <w:t>265</w:t>
      </w:r>
      <w:r w:rsidRPr="00B128B5">
        <w:t xml:space="preserve"> Local Multipoint Distribution Service Licenses, </w:t>
      </w:r>
      <w:r w:rsidRPr="00B128B5">
        <w:rPr>
          <w:i/>
        </w:rPr>
        <w:t>Public Notice</w:t>
      </w:r>
      <w:r w:rsidRPr="00B128B5">
        <w:t xml:space="preserve">, 13 FCC Rcd </w:t>
      </w:r>
      <w:r w:rsidR="003D4A3B" w:rsidRPr="00B128B5">
        <w:t>18551</w:t>
      </w:r>
      <w:r w:rsidRPr="00B128B5">
        <w:t xml:space="preserve"> (WTB 1998</w:t>
      </w:r>
      <w:r w:rsidRPr="00B128B5">
        <w:rPr>
          <w:b/>
        </w:rPr>
        <w:t>).</w:t>
      </w:r>
      <w:r w:rsidR="00460099" w:rsidRPr="00B128B5">
        <w:rPr>
          <w:b/>
        </w:rPr>
        <w:t xml:space="preserve"> </w:t>
      </w:r>
      <w:r w:rsidR="00245FF1" w:rsidRPr="00B128B5">
        <w:t xml:space="preserve"> Ownership of the licenses was transferred to SHT on June 5, 2012</w:t>
      </w:r>
      <w:r w:rsidR="0061457C" w:rsidRPr="00B128B5">
        <w:t xml:space="preserve">.  </w:t>
      </w:r>
      <w:r w:rsidR="0061457C" w:rsidRPr="00B128B5">
        <w:rPr>
          <w:i/>
        </w:rPr>
        <w:t>See</w:t>
      </w:r>
      <w:r w:rsidR="0061457C" w:rsidRPr="00B128B5">
        <w:t xml:space="preserve"> File No. 0005242363 (filed May 31, 2012</w:t>
      </w:r>
      <w:r w:rsidR="00827379" w:rsidRPr="00B128B5">
        <w:t xml:space="preserve">, consented to June 1, 2012, consummated June 1, 2012).  </w:t>
      </w:r>
      <w:r w:rsidR="00827379" w:rsidRPr="00B128B5">
        <w:rPr>
          <w:i/>
        </w:rPr>
        <w:t xml:space="preserve">See also </w:t>
      </w:r>
      <w:r w:rsidR="00245FF1" w:rsidRPr="00B128B5">
        <w:t xml:space="preserve">Assignment of License </w:t>
      </w:r>
      <w:r w:rsidR="00B50B54" w:rsidRPr="00B128B5">
        <w:t>Authorization</w:t>
      </w:r>
      <w:r w:rsidR="00245FF1" w:rsidRPr="00B128B5">
        <w:t xml:space="preserve"> Applications, Transfer of Control </w:t>
      </w:r>
      <w:r w:rsidR="00B50B54" w:rsidRPr="00B128B5">
        <w:t xml:space="preserve">of License Applications, </w:t>
      </w:r>
      <w:r w:rsidR="00245FF1" w:rsidRPr="00B128B5">
        <w:rPr>
          <w:i/>
        </w:rPr>
        <w:t>De Facto</w:t>
      </w:r>
      <w:r w:rsidR="00245FF1" w:rsidRPr="00B128B5">
        <w:t xml:space="preserve"> Transfer Lease Applications and Spectrum Manager Lease Notifications,</w:t>
      </w:r>
      <w:r w:rsidR="00B50B54" w:rsidRPr="00B128B5">
        <w:t xml:space="preserve"> </w:t>
      </w:r>
      <w:r w:rsidR="00245FF1" w:rsidRPr="00B128B5">
        <w:t xml:space="preserve">Designated Entity Reportable Eligibility Event Applications, and Designated Entity Annual Reports </w:t>
      </w:r>
      <w:r w:rsidR="00B50B54" w:rsidRPr="00B128B5">
        <w:t>Action</w:t>
      </w:r>
      <w:r w:rsidR="00827379" w:rsidRPr="00B128B5">
        <w:t xml:space="preserve">, Report No. 7837, </w:t>
      </w:r>
      <w:r w:rsidR="00827379" w:rsidRPr="00B128B5">
        <w:rPr>
          <w:i/>
        </w:rPr>
        <w:t>Public Notice</w:t>
      </w:r>
      <w:r w:rsidR="00B50B54" w:rsidRPr="00B128B5">
        <w:t xml:space="preserve"> </w:t>
      </w:r>
      <w:r w:rsidR="00245FF1" w:rsidRPr="00B128B5">
        <w:t xml:space="preserve">(WTB </w:t>
      </w:r>
      <w:r w:rsidR="00B50B54" w:rsidRPr="00B128B5">
        <w:t xml:space="preserve">June 13, </w:t>
      </w:r>
      <w:r w:rsidR="00245FF1" w:rsidRPr="00B128B5">
        <w:t>2012)</w:t>
      </w:r>
      <w:r w:rsidR="00827379" w:rsidRPr="00B128B5">
        <w:t xml:space="preserve"> at 19</w:t>
      </w:r>
      <w:r w:rsidR="00B50B54" w:rsidRPr="00B128B5">
        <w:t>.</w:t>
      </w:r>
      <w:r w:rsidR="007C7AAE" w:rsidRPr="00B128B5">
        <w:t xml:space="preserve">  A list of the licenses is contained in Appendix </w:t>
      </w:r>
      <w:r w:rsidR="00035330">
        <w:t xml:space="preserve">A </w:t>
      </w:r>
      <w:r w:rsidR="007C7AAE" w:rsidRPr="00B128B5">
        <w:t xml:space="preserve">to this </w:t>
      </w:r>
      <w:r w:rsidR="007C7AAE" w:rsidRPr="00B128B5">
        <w:rPr>
          <w:i/>
        </w:rPr>
        <w:t>Memorandum Opinion and Order</w:t>
      </w:r>
      <w:r w:rsidR="007C7AAE" w:rsidRPr="00B128B5">
        <w:t>.</w:t>
      </w:r>
    </w:p>
  </w:footnote>
  <w:footnote w:id="14">
    <w:p w:rsidR="00F51060" w:rsidRPr="00B128B5" w:rsidRDefault="00F51060" w:rsidP="006D0C75">
      <w:pPr>
        <w:pStyle w:val="FootnoteText"/>
        <w:tabs>
          <w:tab w:val="left" w:pos="2520"/>
        </w:tabs>
        <w:spacing w:after="120"/>
      </w:pPr>
      <w:r w:rsidRPr="00B128B5">
        <w:rPr>
          <w:rStyle w:val="FootnoteReference"/>
          <w:sz w:val="20"/>
        </w:rPr>
        <w:footnoteRef/>
      </w:r>
      <w:r w:rsidRPr="00B128B5">
        <w:t xml:space="preserve"> </w:t>
      </w:r>
      <w:r w:rsidRPr="00B128B5">
        <w:rPr>
          <w:i/>
        </w:rPr>
        <w:t>See</w:t>
      </w:r>
      <w:r w:rsidR="00FC7A3E" w:rsidRPr="00B128B5">
        <w:rPr>
          <w:i/>
        </w:rPr>
        <w:t xml:space="preserve"> </w:t>
      </w:r>
      <w:r w:rsidR="00FC7A3E" w:rsidRPr="00B128B5">
        <w:t>47 C.F.R. § 101.1011(a)</w:t>
      </w:r>
      <w:r w:rsidRPr="00B128B5">
        <w:t>.</w:t>
      </w:r>
    </w:p>
  </w:footnote>
  <w:footnote w:id="15">
    <w:p w:rsidR="00AB5EB3" w:rsidRPr="00B128B5" w:rsidRDefault="00AB5EB3" w:rsidP="006D0C75">
      <w:pPr>
        <w:pStyle w:val="FootnoteText"/>
        <w:spacing w:after="120"/>
      </w:pPr>
      <w:r w:rsidRPr="00B128B5">
        <w:rPr>
          <w:rStyle w:val="FootnoteReference"/>
          <w:sz w:val="20"/>
        </w:rPr>
        <w:footnoteRef/>
      </w:r>
      <w:r w:rsidRPr="00B128B5">
        <w:t xml:space="preserve"> Applications filed by Licensees in the Local Multipoint Distribution Service (LMDS) Seeking Waivers of Section 101.1011 of the Commission’s Rules and Extensions of Time to Construct and Demonstrate Substantial Service, </w:t>
      </w:r>
      <w:r w:rsidRPr="00B128B5">
        <w:rPr>
          <w:i/>
        </w:rPr>
        <w:t>Memorandum Opinion and Order</w:t>
      </w:r>
      <w:r w:rsidRPr="00B128B5">
        <w:t>, 23 FCC Rcd 5894 (WTB 2008) (</w:t>
      </w:r>
      <w:r w:rsidRPr="00B128B5">
        <w:rPr>
          <w:i/>
        </w:rPr>
        <w:t>LMDS Order</w:t>
      </w:r>
      <w:r w:rsidRPr="00B128B5">
        <w:t>).</w:t>
      </w:r>
    </w:p>
  </w:footnote>
  <w:footnote w:id="16">
    <w:p w:rsidR="00435EA6" w:rsidRPr="00B128B5" w:rsidRDefault="00435EA6" w:rsidP="006D0C75">
      <w:pPr>
        <w:pStyle w:val="FootnoteText"/>
        <w:spacing w:after="120"/>
      </w:pPr>
      <w:r w:rsidRPr="00B128B5">
        <w:rPr>
          <w:rStyle w:val="FootnoteReference"/>
          <w:sz w:val="20"/>
        </w:rPr>
        <w:footnoteRef/>
      </w:r>
      <w:r w:rsidRPr="00B128B5">
        <w:t xml:space="preserve"> </w:t>
      </w:r>
      <w:r w:rsidR="00F35E36" w:rsidRPr="00B128B5">
        <w:rPr>
          <w:i/>
        </w:rPr>
        <w:t>LMDS Order</w:t>
      </w:r>
      <w:r w:rsidRPr="00B128B5">
        <w:t xml:space="preserve"> at 5905 ¶ 24.</w:t>
      </w:r>
    </w:p>
  </w:footnote>
  <w:footnote w:id="17">
    <w:p w:rsidR="00435EA6" w:rsidRPr="00B128B5" w:rsidRDefault="00435EA6" w:rsidP="006D0C75">
      <w:pPr>
        <w:pStyle w:val="FootnoteText"/>
        <w:spacing w:after="120"/>
      </w:pPr>
      <w:r w:rsidRPr="00B128B5">
        <w:rPr>
          <w:rStyle w:val="FootnoteReference"/>
          <w:sz w:val="20"/>
        </w:rPr>
        <w:footnoteRef/>
      </w:r>
      <w:r w:rsidRPr="00B128B5">
        <w:t xml:space="preserve"> </w:t>
      </w:r>
      <w:r w:rsidR="00F35E36" w:rsidRPr="00B128B5">
        <w:rPr>
          <w:i/>
        </w:rPr>
        <w:t>LMDS Order</w:t>
      </w:r>
      <w:r w:rsidR="004A3C57" w:rsidRPr="00B128B5">
        <w:t xml:space="preserve"> at 5905 ¶ 24.</w:t>
      </w:r>
    </w:p>
  </w:footnote>
  <w:footnote w:id="18">
    <w:p w:rsidR="00435EA6" w:rsidRPr="00B128B5" w:rsidRDefault="00435EA6" w:rsidP="006D0C75">
      <w:pPr>
        <w:pStyle w:val="FootnoteText"/>
        <w:spacing w:after="120"/>
      </w:pPr>
      <w:r w:rsidRPr="00B128B5">
        <w:rPr>
          <w:rStyle w:val="FootnoteReference"/>
          <w:sz w:val="20"/>
        </w:rPr>
        <w:footnoteRef/>
      </w:r>
      <w:r w:rsidRPr="00B128B5">
        <w:t xml:space="preserve"> </w:t>
      </w:r>
      <w:r w:rsidR="001A070E" w:rsidRPr="00B128B5">
        <w:rPr>
          <w:i/>
        </w:rPr>
        <w:t>LMDS Order</w:t>
      </w:r>
      <w:r w:rsidRPr="00B128B5">
        <w:t xml:space="preserve"> at 5905 ¶ 25.</w:t>
      </w:r>
    </w:p>
  </w:footnote>
  <w:footnote w:id="19">
    <w:p w:rsidR="00435EA6" w:rsidRPr="00B128B5" w:rsidRDefault="00435EA6" w:rsidP="006D0C75">
      <w:pPr>
        <w:pStyle w:val="FootnoteText"/>
        <w:spacing w:after="120"/>
      </w:pPr>
      <w:r w:rsidRPr="00B128B5">
        <w:rPr>
          <w:rStyle w:val="FootnoteReference"/>
          <w:sz w:val="20"/>
        </w:rPr>
        <w:footnoteRef/>
      </w:r>
      <w:r w:rsidRPr="00B128B5">
        <w:t xml:space="preserve"> </w:t>
      </w:r>
      <w:r w:rsidR="001A070E" w:rsidRPr="00B128B5">
        <w:rPr>
          <w:i/>
        </w:rPr>
        <w:t>LMDS Order</w:t>
      </w:r>
      <w:r w:rsidR="001A070E" w:rsidRPr="00B128B5">
        <w:t xml:space="preserve"> </w:t>
      </w:r>
      <w:r w:rsidR="004A3C57" w:rsidRPr="00B128B5">
        <w:t>at 5905 ¶ 25.</w:t>
      </w:r>
    </w:p>
  </w:footnote>
  <w:footnote w:id="20">
    <w:p w:rsidR="008A737B" w:rsidRPr="00B128B5" w:rsidRDefault="008A737B" w:rsidP="006D0C75">
      <w:pPr>
        <w:pStyle w:val="FootnoteText"/>
        <w:spacing w:after="120"/>
      </w:pPr>
      <w:r w:rsidRPr="00B128B5">
        <w:rPr>
          <w:rStyle w:val="FootnoteReference"/>
          <w:sz w:val="20"/>
        </w:rPr>
        <w:footnoteRef/>
      </w:r>
      <w:r w:rsidRPr="00B128B5">
        <w:t xml:space="preserve"> </w:t>
      </w:r>
      <w:r w:rsidR="00CF7B3D" w:rsidRPr="00B128B5">
        <w:rPr>
          <w:i/>
        </w:rPr>
        <w:t xml:space="preserve">See </w:t>
      </w:r>
      <w:r w:rsidR="00CF7B3D" w:rsidRPr="00B128B5">
        <w:t xml:space="preserve">Appendix </w:t>
      </w:r>
      <w:r w:rsidR="00035330">
        <w:t xml:space="preserve">A </w:t>
      </w:r>
      <w:r w:rsidR="00CF7B3D" w:rsidRPr="00B128B5">
        <w:t>for the f</w:t>
      </w:r>
      <w:r w:rsidRPr="00B128B5">
        <w:rPr>
          <w:spacing w:val="-2"/>
        </w:rPr>
        <w:t>ile</w:t>
      </w:r>
      <w:r w:rsidR="00CF7B3D" w:rsidRPr="00B128B5">
        <w:rPr>
          <w:spacing w:val="-2"/>
        </w:rPr>
        <w:t xml:space="preserve"> numbers </w:t>
      </w:r>
      <w:r w:rsidR="007C7AAE" w:rsidRPr="00B128B5">
        <w:rPr>
          <w:spacing w:val="-2"/>
        </w:rPr>
        <w:t>of the relevant extension applications.</w:t>
      </w:r>
    </w:p>
  </w:footnote>
  <w:footnote w:id="21">
    <w:p w:rsidR="00EA5073" w:rsidRPr="00B128B5" w:rsidRDefault="00EA5073" w:rsidP="006D0C75">
      <w:pPr>
        <w:pStyle w:val="FootnoteText"/>
        <w:spacing w:after="120"/>
      </w:pPr>
      <w:r w:rsidRPr="00B128B5">
        <w:rPr>
          <w:rStyle w:val="FootnoteReference"/>
          <w:sz w:val="20"/>
        </w:rPr>
        <w:footnoteRef/>
      </w:r>
      <w:r w:rsidRPr="00B128B5">
        <w:t xml:space="preserve">  </w:t>
      </w:r>
      <w:r w:rsidR="007C7AAE" w:rsidRPr="00B128B5">
        <w:t xml:space="preserve">The file numbers for the Construction Notifications for the </w:t>
      </w:r>
      <w:r w:rsidR="00F36A68" w:rsidRPr="00B128B5">
        <w:t>73</w:t>
      </w:r>
      <w:r w:rsidR="007C7AAE" w:rsidRPr="00B128B5">
        <w:t xml:space="preserve"> Stations </w:t>
      </w:r>
      <w:r w:rsidR="00150E1F" w:rsidRPr="00B128B5">
        <w:t xml:space="preserve">are </w:t>
      </w:r>
      <w:r w:rsidR="007C7AAE" w:rsidRPr="00B128B5">
        <w:t>contained in Appendix</w:t>
      </w:r>
      <w:r w:rsidR="00035330">
        <w:t xml:space="preserve"> A</w:t>
      </w:r>
      <w:r w:rsidRPr="00B128B5">
        <w:rPr>
          <w:i/>
        </w:rPr>
        <w:t xml:space="preserve">.  </w:t>
      </w:r>
      <w:r w:rsidR="00653165" w:rsidRPr="00B128B5">
        <w:t>With each Construction Notification</w:t>
      </w:r>
      <w:r w:rsidRPr="00B128B5">
        <w:t xml:space="preserve">, </w:t>
      </w:r>
      <w:r w:rsidR="001A14C5" w:rsidRPr="00B128B5">
        <w:t xml:space="preserve">SHT </w:t>
      </w:r>
      <w:r w:rsidRPr="00B128B5">
        <w:t xml:space="preserve">submitted an </w:t>
      </w:r>
      <w:r w:rsidR="00FC7A3E" w:rsidRPr="00B128B5">
        <w:t>e</w:t>
      </w:r>
      <w:r w:rsidRPr="00B128B5">
        <w:t xml:space="preserve">xhibit entitled </w:t>
      </w:r>
      <w:r w:rsidR="004A3C57" w:rsidRPr="00B128B5">
        <w:t xml:space="preserve">Demonstration of </w:t>
      </w:r>
      <w:r w:rsidRPr="00B128B5">
        <w:t>Substantial Service</w:t>
      </w:r>
      <w:r w:rsidR="00FC7A3E" w:rsidRPr="00B128B5">
        <w:t xml:space="preserve"> (“Substantial Service Showings”)</w:t>
      </w:r>
      <w:r w:rsidRPr="00B128B5">
        <w:t>.  While the specific information relating to each license differed,</w:t>
      </w:r>
      <w:r w:rsidR="0020455B" w:rsidRPr="00B128B5">
        <w:t xml:space="preserve"> SHT</w:t>
      </w:r>
      <w:r w:rsidRPr="00B128B5">
        <w:t xml:space="preserve"> made the sam</w:t>
      </w:r>
      <w:r w:rsidR="003E4FF4" w:rsidRPr="00B128B5">
        <w:t xml:space="preserve">e arguments for each license. </w:t>
      </w:r>
      <w:r w:rsidR="007C7AAE" w:rsidRPr="00B128B5">
        <w:t xml:space="preserve"> With respect to SHT’s other licenses, </w:t>
      </w:r>
      <w:r w:rsidR="00FC7A3E" w:rsidRPr="00B128B5">
        <w:t xml:space="preserve">which are outside the scope of this </w:t>
      </w:r>
      <w:r w:rsidR="00150E1F" w:rsidRPr="00B128B5">
        <w:rPr>
          <w:i/>
        </w:rPr>
        <w:t>M</w:t>
      </w:r>
      <w:r w:rsidR="00FC7A3E" w:rsidRPr="00B128B5">
        <w:rPr>
          <w:i/>
        </w:rPr>
        <w:t>emorandum Opinion and Order</w:t>
      </w:r>
      <w:r w:rsidR="00FC7A3E" w:rsidRPr="00B128B5">
        <w:t>,</w:t>
      </w:r>
      <w:r w:rsidR="00FC7A3E" w:rsidRPr="00B128B5">
        <w:rPr>
          <w:i/>
        </w:rPr>
        <w:t xml:space="preserve"> </w:t>
      </w:r>
      <w:r w:rsidR="007C7AAE" w:rsidRPr="00B128B5">
        <w:t>the Bureau has found that SHT demonstrated substantial service and accepted construction notifications</w:t>
      </w:r>
      <w:r w:rsidR="0091245F" w:rsidRPr="00B128B5">
        <w:t xml:space="preserve"> for those licenses</w:t>
      </w:r>
      <w:r w:rsidR="007C7AAE" w:rsidRPr="00B128B5">
        <w:t>.</w:t>
      </w:r>
    </w:p>
  </w:footnote>
  <w:footnote w:id="22">
    <w:p w:rsidR="00EA5073" w:rsidRPr="00B128B5" w:rsidRDefault="00EA5073"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47 C.F.R. § 101.1011(a).</w:t>
      </w:r>
    </w:p>
  </w:footnote>
  <w:footnote w:id="23">
    <w:p w:rsidR="00BB7555" w:rsidRPr="00B128B5" w:rsidRDefault="00BB7555" w:rsidP="006D0C75">
      <w:pPr>
        <w:pStyle w:val="FootnoteText"/>
        <w:spacing w:after="120"/>
      </w:pPr>
      <w:r w:rsidRPr="00B128B5">
        <w:rPr>
          <w:rStyle w:val="FootnoteReference"/>
          <w:sz w:val="20"/>
        </w:rPr>
        <w:footnoteRef/>
      </w:r>
      <w:r w:rsidRPr="00B128B5">
        <w:t xml:space="preserve"> </w:t>
      </w:r>
      <w:r w:rsidR="00CA7AA8" w:rsidRPr="00B128B5">
        <w:rPr>
          <w:i/>
        </w:rPr>
        <w:t>See</w:t>
      </w:r>
      <w:r w:rsidR="00CA7AA8" w:rsidRPr="00B128B5">
        <w:t xml:space="preserve"> Substantial Service Showings at 1.</w:t>
      </w:r>
    </w:p>
  </w:footnote>
  <w:footnote w:id="24">
    <w:p w:rsidR="00824F11" w:rsidRPr="00B128B5" w:rsidRDefault="00824F11" w:rsidP="006D0C75">
      <w:pPr>
        <w:pStyle w:val="FootnoteText"/>
        <w:spacing w:after="120"/>
      </w:pPr>
      <w:r w:rsidRPr="00B128B5">
        <w:rPr>
          <w:rStyle w:val="FootnoteReference"/>
          <w:sz w:val="20"/>
        </w:rPr>
        <w:footnoteRef/>
      </w:r>
      <w:r w:rsidRPr="00B128B5">
        <w:t xml:space="preserve"> </w:t>
      </w:r>
      <w:r w:rsidRPr="00B128B5">
        <w:rPr>
          <w:i/>
        </w:rPr>
        <w:t>See</w:t>
      </w:r>
      <w:r w:rsidRPr="00B128B5">
        <w:t xml:space="preserve"> Substantial Service Showings at 4.</w:t>
      </w:r>
    </w:p>
  </w:footnote>
  <w:footnote w:id="25">
    <w:p w:rsidR="00824F11" w:rsidRPr="00B128B5" w:rsidRDefault="00824F11" w:rsidP="006D0C75">
      <w:pPr>
        <w:pStyle w:val="FootnoteText"/>
        <w:spacing w:after="120"/>
      </w:pPr>
      <w:r w:rsidRPr="00B128B5">
        <w:rPr>
          <w:rStyle w:val="FootnoteReference"/>
          <w:sz w:val="20"/>
        </w:rPr>
        <w:footnoteRef/>
      </w:r>
      <w:r w:rsidR="007C7AAE" w:rsidRPr="00B128B5">
        <w:rPr>
          <w:bCs/>
        </w:rPr>
        <w:t xml:space="preserve"> Construction Notifications,</w:t>
      </w:r>
      <w:r w:rsidRPr="00B128B5">
        <w:rPr>
          <w:bCs/>
        </w:rPr>
        <w:t xml:space="preserve"> Notice</w:t>
      </w:r>
      <w:r w:rsidR="0091245F" w:rsidRPr="00B128B5">
        <w:rPr>
          <w:bCs/>
        </w:rPr>
        <w:t>s of Return (</w:t>
      </w:r>
      <w:r w:rsidRPr="00B128B5">
        <w:rPr>
          <w:bCs/>
        </w:rPr>
        <w:t>Apr</w:t>
      </w:r>
      <w:r w:rsidR="007C7AAE" w:rsidRPr="00B128B5">
        <w:rPr>
          <w:bCs/>
        </w:rPr>
        <w:t>.</w:t>
      </w:r>
      <w:r w:rsidRPr="00B128B5">
        <w:rPr>
          <w:bCs/>
        </w:rPr>
        <w:t xml:space="preserve"> 5, 2013</w:t>
      </w:r>
      <w:r w:rsidR="00E120E6">
        <w:rPr>
          <w:bCs/>
        </w:rPr>
        <w:t>, May 31, 2013, June 19, 2013</w:t>
      </w:r>
      <w:r w:rsidR="007C7AAE" w:rsidRPr="00B128B5">
        <w:rPr>
          <w:bCs/>
        </w:rPr>
        <w:t>)</w:t>
      </w:r>
      <w:r w:rsidRPr="00B128B5">
        <w:rPr>
          <w:bCs/>
        </w:rPr>
        <w:t>.</w:t>
      </w:r>
      <w:r w:rsidR="0091245F" w:rsidRPr="00B128B5">
        <w:rPr>
          <w:bCs/>
        </w:rPr>
        <w:t xml:space="preserve">  The reference number </w:t>
      </w:r>
      <w:r w:rsidR="00E120E6">
        <w:rPr>
          <w:bCs/>
        </w:rPr>
        <w:t xml:space="preserve">and date </w:t>
      </w:r>
      <w:r w:rsidR="0091245F" w:rsidRPr="00B128B5">
        <w:rPr>
          <w:bCs/>
        </w:rPr>
        <w:t xml:space="preserve">of each individual </w:t>
      </w:r>
      <w:r w:rsidR="00E120E6">
        <w:rPr>
          <w:bCs/>
        </w:rPr>
        <w:t xml:space="preserve">first </w:t>
      </w:r>
      <w:r w:rsidR="0091245F" w:rsidRPr="00B128B5">
        <w:rPr>
          <w:bCs/>
        </w:rPr>
        <w:t>notice of return is in the Appendix.</w:t>
      </w:r>
    </w:p>
  </w:footnote>
  <w:footnote w:id="26">
    <w:p w:rsidR="00824F11" w:rsidRPr="00B128B5" w:rsidRDefault="00824F11" w:rsidP="006D0C75">
      <w:pPr>
        <w:pStyle w:val="FootnoteText"/>
        <w:spacing w:after="120"/>
      </w:pPr>
      <w:r w:rsidRPr="00B128B5">
        <w:rPr>
          <w:rStyle w:val="FootnoteReference"/>
          <w:sz w:val="20"/>
        </w:rPr>
        <w:footnoteRef/>
      </w:r>
      <w:r w:rsidR="00442629" w:rsidRPr="00B128B5">
        <w:rPr>
          <w:bCs/>
        </w:rPr>
        <w:t xml:space="preserve"> </w:t>
      </w:r>
      <w:r w:rsidR="00442629" w:rsidRPr="00B128B5">
        <w:rPr>
          <w:bCs/>
          <w:i/>
        </w:rPr>
        <w:t>Id</w:t>
      </w:r>
      <w:r w:rsidRPr="00B128B5">
        <w:rPr>
          <w:bCs/>
        </w:rPr>
        <w:t>.</w:t>
      </w:r>
    </w:p>
  </w:footnote>
  <w:footnote w:id="27">
    <w:p w:rsidR="0027378E" w:rsidRPr="00B128B5" w:rsidRDefault="0027378E" w:rsidP="006D0C75">
      <w:pPr>
        <w:pStyle w:val="FootnoteText"/>
        <w:spacing w:after="120"/>
      </w:pPr>
      <w:r w:rsidRPr="00B128B5">
        <w:rPr>
          <w:rStyle w:val="FootnoteReference"/>
          <w:sz w:val="20"/>
        </w:rPr>
        <w:footnoteRef/>
      </w:r>
      <w:r w:rsidRPr="00B128B5">
        <w:t xml:space="preserve"> </w:t>
      </w:r>
      <w:r w:rsidR="0091245F" w:rsidRPr="00B128B5">
        <w:t>Construction Notifications, Waiver and Revised Substantial Service Application (filed June 3, 2013)</w:t>
      </w:r>
      <w:r w:rsidRPr="00B128B5">
        <w:rPr>
          <w:shd w:val="clear" w:color="auto" w:fill="FFFFFF"/>
        </w:rPr>
        <w:t>.</w:t>
      </w:r>
    </w:p>
  </w:footnote>
  <w:footnote w:id="28">
    <w:p w:rsidR="00847310" w:rsidRPr="00B128B5" w:rsidRDefault="00847310" w:rsidP="006D0C75">
      <w:pPr>
        <w:pStyle w:val="FootnoteText"/>
        <w:spacing w:after="120"/>
      </w:pPr>
      <w:r w:rsidRPr="00B128B5">
        <w:rPr>
          <w:rStyle w:val="FootnoteReference"/>
          <w:sz w:val="20"/>
        </w:rPr>
        <w:footnoteRef/>
      </w:r>
      <w:r w:rsidR="0091245F" w:rsidRPr="00B128B5">
        <w:rPr>
          <w:bCs/>
        </w:rPr>
        <w:t xml:space="preserve"> Construction Notifications,</w:t>
      </w:r>
      <w:r w:rsidRPr="00B128B5">
        <w:rPr>
          <w:bCs/>
        </w:rPr>
        <w:t xml:space="preserve"> Additional Exhibit (</w:t>
      </w:r>
      <w:r w:rsidR="0091245F" w:rsidRPr="00B128B5">
        <w:rPr>
          <w:bCs/>
        </w:rPr>
        <w:t xml:space="preserve">filed </w:t>
      </w:r>
      <w:r w:rsidRPr="00B128B5">
        <w:rPr>
          <w:bCs/>
        </w:rPr>
        <w:t>July 5, 2013).</w:t>
      </w:r>
    </w:p>
  </w:footnote>
  <w:footnote w:id="29">
    <w:p w:rsidR="003F33BB" w:rsidRPr="00B128B5" w:rsidRDefault="003F33BB" w:rsidP="006D0C75">
      <w:pPr>
        <w:pStyle w:val="FootnoteText"/>
        <w:spacing w:after="120"/>
      </w:pPr>
      <w:r w:rsidRPr="00B128B5">
        <w:rPr>
          <w:rStyle w:val="FootnoteReference"/>
          <w:sz w:val="20"/>
        </w:rPr>
        <w:footnoteRef/>
      </w:r>
      <w:r w:rsidRPr="00B128B5">
        <w:t xml:space="preserve"> </w:t>
      </w:r>
      <w:r w:rsidR="00FA7D4D" w:rsidRPr="00B128B5">
        <w:rPr>
          <w:bCs/>
        </w:rPr>
        <w:t>Construction Notifications, Notices of Return (Aug. 10, 2013).  The reference number of each individual notice of return is in the Appendix.</w:t>
      </w:r>
    </w:p>
  </w:footnote>
  <w:footnote w:id="30">
    <w:p w:rsidR="00853C02" w:rsidRPr="00B128B5" w:rsidRDefault="00853C02" w:rsidP="006D0C75">
      <w:pPr>
        <w:pStyle w:val="FootnoteText"/>
        <w:spacing w:after="120"/>
      </w:pPr>
      <w:r w:rsidRPr="00B128B5">
        <w:rPr>
          <w:rStyle w:val="FootnoteReference"/>
          <w:sz w:val="20"/>
        </w:rPr>
        <w:footnoteRef/>
      </w:r>
      <w:r w:rsidRPr="00B128B5">
        <w:t xml:space="preserve"> </w:t>
      </w:r>
      <w:r w:rsidR="006D0C75" w:rsidRPr="00B128B5">
        <w:rPr>
          <w:i/>
          <w:spacing w:val="-2"/>
        </w:rPr>
        <w:t>See</w:t>
      </w:r>
      <w:r w:rsidR="00FC7A3E" w:rsidRPr="00B128B5">
        <w:rPr>
          <w:spacing w:val="-2"/>
        </w:rPr>
        <w:t xml:space="preserve"> Construction Notifications</w:t>
      </w:r>
      <w:r w:rsidR="006D0C75" w:rsidRPr="00B128B5">
        <w:rPr>
          <w:spacing w:val="-2"/>
        </w:rPr>
        <w:t xml:space="preserve">, </w:t>
      </w:r>
      <w:r w:rsidRPr="00B128B5">
        <w:rPr>
          <w:bCs/>
        </w:rPr>
        <w:t xml:space="preserve">Response to Bureau Request  </w:t>
      </w:r>
      <w:r w:rsidR="006D0C75" w:rsidRPr="00B128B5">
        <w:rPr>
          <w:bCs/>
        </w:rPr>
        <w:t xml:space="preserve">for Information (filed </w:t>
      </w:r>
      <w:r w:rsidRPr="00B128B5">
        <w:rPr>
          <w:bCs/>
        </w:rPr>
        <w:t>Nov</w:t>
      </w:r>
      <w:r w:rsidR="006D0C75" w:rsidRPr="00B128B5">
        <w:rPr>
          <w:bCs/>
        </w:rPr>
        <w:t>.</w:t>
      </w:r>
      <w:r w:rsidRPr="00B128B5">
        <w:rPr>
          <w:bCs/>
        </w:rPr>
        <w:t xml:space="preserve"> 2, 2013</w:t>
      </w:r>
      <w:r w:rsidR="006D0C75" w:rsidRPr="00B128B5">
        <w:rPr>
          <w:bCs/>
        </w:rPr>
        <w:t>) (“November 2</w:t>
      </w:r>
      <w:r w:rsidR="006D0C75" w:rsidRPr="00B128B5">
        <w:rPr>
          <w:bCs/>
          <w:vertAlign w:val="superscript"/>
        </w:rPr>
        <w:t>nd</w:t>
      </w:r>
      <w:r w:rsidR="006D0C75" w:rsidRPr="00B128B5">
        <w:rPr>
          <w:bCs/>
        </w:rPr>
        <w:t xml:space="preserve"> Response”)</w:t>
      </w:r>
      <w:r w:rsidRPr="00B128B5">
        <w:rPr>
          <w:bCs/>
        </w:rPr>
        <w:t xml:space="preserve"> at 3.</w:t>
      </w:r>
    </w:p>
  </w:footnote>
  <w:footnote w:id="31">
    <w:p w:rsidR="00E37C46" w:rsidRPr="00B128B5" w:rsidRDefault="00E37C46" w:rsidP="006D0C75">
      <w:pPr>
        <w:pStyle w:val="FootnoteText"/>
        <w:spacing w:after="120"/>
      </w:pPr>
      <w:r w:rsidRPr="00B128B5">
        <w:rPr>
          <w:rStyle w:val="FootnoteReference"/>
          <w:sz w:val="20"/>
        </w:rPr>
        <w:footnoteRef/>
      </w:r>
      <w:r w:rsidRPr="00B128B5">
        <w:t xml:space="preserve"> November </w:t>
      </w:r>
      <w:r w:rsidR="006D0C75" w:rsidRPr="00B128B5">
        <w:t>2</w:t>
      </w:r>
      <w:r w:rsidR="006D0C75" w:rsidRPr="00B128B5">
        <w:rPr>
          <w:vertAlign w:val="superscript"/>
        </w:rPr>
        <w:t>nd</w:t>
      </w:r>
      <w:r w:rsidR="006D0C75" w:rsidRPr="00B128B5">
        <w:t xml:space="preserve"> </w:t>
      </w:r>
      <w:r w:rsidR="00A7204A" w:rsidRPr="00B128B5">
        <w:t xml:space="preserve">Response at </w:t>
      </w:r>
      <w:r w:rsidR="00FC7A3E" w:rsidRPr="00B128B5">
        <w:t>5-9</w:t>
      </w:r>
      <w:r w:rsidR="00A7204A" w:rsidRPr="00B128B5">
        <w:t>.</w:t>
      </w:r>
    </w:p>
  </w:footnote>
  <w:footnote w:id="32">
    <w:p w:rsidR="00BF6216" w:rsidRPr="00B128B5" w:rsidRDefault="00BF6216" w:rsidP="006D0C75">
      <w:pPr>
        <w:pStyle w:val="FootnoteText"/>
        <w:spacing w:after="120"/>
      </w:pPr>
      <w:r w:rsidRPr="00B128B5">
        <w:rPr>
          <w:rStyle w:val="FootnoteReference"/>
          <w:sz w:val="20"/>
        </w:rPr>
        <w:footnoteRef/>
      </w:r>
      <w:r w:rsidRPr="00B128B5">
        <w:t xml:space="preserve"> </w:t>
      </w:r>
      <w:r w:rsidR="006D0C75" w:rsidRPr="00B128B5">
        <w:t>November 2</w:t>
      </w:r>
      <w:r w:rsidR="006D0C75" w:rsidRPr="00B128B5">
        <w:rPr>
          <w:vertAlign w:val="superscript"/>
        </w:rPr>
        <w:t>nd</w:t>
      </w:r>
      <w:r w:rsidR="006D0C75" w:rsidRPr="00B128B5">
        <w:t xml:space="preserve"> Response </w:t>
      </w:r>
      <w:r w:rsidR="00685CB8" w:rsidRPr="00B128B5">
        <w:rPr>
          <w:bCs/>
        </w:rPr>
        <w:t xml:space="preserve">at </w:t>
      </w:r>
      <w:r w:rsidR="00FC7A3E" w:rsidRPr="00B128B5">
        <w:rPr>
          <w:bCs/>
        </w:rPr>
        <w:t>9</w:t>
      </w:r>
      <w:r w:rsidRPr="00B128B5">
        <w:t>-</w:t>
      </w:r>
      <w:r w:rsidR="00FC7A3E" w:rsidRPr="00B128B5">
        <w:t>11</w:t>
      </w:r>
      <w:r w:rsidR="00685CB8" w:rsidRPr="00B128B5">
        <w:t>.</w:t>
      </w:r>
    </w:p>
  </w:footnote>
  <w:footnote w:id="33">
    <w:p w:rsidR="005C573B" w:rsidRPr="00B128B5" w:rsidRDefault="005C573B" w:rsidP="006D0C75">
      <w:pPr>
        <w:pStyle w:val="FootnoteText"/>
        <w:spacing w:after="120"/>
      </w:pPr>
      <w:r w:rsidRPr="00B128B5">
        <w:rPr>
          <w:rStyle w:val="FootnoteReference"/>
          <w:sz w:val="20"/>
        </w:rPr>
        <w:footnoteRef/>
      </w:r>
      <w:r w:rsidRPr="00B128B5">
        <w:t xml:space="preserve"> November </w:t>
      </w:r>
      <w:r w:rsidR="004A40D0" w:rsidRPr="00B128B5">
        <w:t>2</w:t>
      </w:r>
      <w:r w:rsidR="004A40D0" w:rsidRPr="00B128B5">
        <w:rPr>
          <w:vertAlign w:val="superscript"/>
        </w:rPr>
        <w:t>nd</w:t>
      </w:r>
      <w:r w:rsidR="004A40D0" w:rsidRPr="00B128B5">
        <w:t xml:space="preserve"> </w:t>
      </w:r>
      <w:r w:rsidRPr="00B128B5">
        <w:t>Response at 11-12.</w:t>
      </w:r>
    </w:p>
  </w:footnote>
  <w:footnote w:id="34">
    <w:p w:rsidR="006D0C75" w:rsidRPr="00B128B5" w:rsidRDefault="006D0C75" w:rsidP="006D0C75">
      <w:pPr>
        <w:pStyle w:val="FootnoteText"/>
        <w:spacing w:after="120"/>
      </w:pPr>
      <w:r w:rsidRPr="00B128B5">
        <w:rPr>
          <w:rStyle w:val="FootnoteReference"/>
          <w:sz w:val="20"/>
        </w:rPr>
        <w:footnoteRef/>
      </w:r>
      <w:r w:rsidRPr="00B128B5">
        <w:t xml:space="preserve"> November </w:t>
      </w:r>
      <w:r w:rsidR="004A40D0" w:rsidRPr="00B128B5">
        <w:t>2</w:t>
      </w:r>
      <w:r w:rsidR="004A40D0" w:rsidRPr="00B128B5">
        <w:rPr>
          <w:vertAlign w:val="superscript"/>
        </w:rPr>
        <w:t>nd</w:t>
      </w:r>
      <w:r w:rsidR="004A40D0" w:rsidRPr="00B128B5">
        <w:t xml:space="preserve"> </w:t>
      </w:r>
      <w:r w:rsidRPr="00B128B5">
        <w:t>Response at 1</w:t>
      </w:r>
      <w:r w:rsidR="00FC7A3E" w:rsidRPr="00B128B5">
        <w:t>3</w:t>
      </w:r>
      <w:r w:rsidRPr="00B128B5">
        <w:t>.</w:t>
      </w:r>
    </w:p>
  </w:footnote>
  <w:footnote w:id="35">
    <w:p w:rsidR="003F4C44" w:rsidRPr="00B128B5" w:rsidRDefault="003F4C44" w:rsidP="006D0C75">
      <w:pPr>
        <w:pStyle w:val="FootnoteText"/>
        <w:spacing w:after="120"/>
      </w:pPr>
      <w:r w:rsidRPr="00B128B5">
        <w:rPr>
          <w:rStyle w:val="FootnoteReference"/>
          <w:sz w:val="20"/>
        </w:rPr>
        <w:footnoteRef/>
      </w:r>
      <w:r w:rsidRPr="00B128B5">
        <w:t xml:space="preserve"> 47 C.F.R. §§ 1.946(c) (providing that if a licensee in the Wireless Radio Services fails to commence service or operations by the expiration of its construction period or to meet its coverage or substantial service obligations by the expiration of its coverage period, its authorization terminates automatically, without specific Commission action, on the date the construction or coverage period expires) and 1.955(a)(2) (cross-referencing Section 1.946(c) and reiterating that authorizations in the Wireless Radio Services automatically terminate without specific Commission action, if the licensee fails to meet applicable construction or coverage requirements).</w:t>
      </w:r>
    </w:p>
  </w:footnote>
  <w:footnote w:id="36">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 xml:space="preserve">Second LMDS Report and Order, </w:t>
      </w:r>
      <w:r w:rsidRPr="00B128B5">
        <w:t xml:space="preserve">12 FCC Rcd at 12658 ¶ 261; </w:t>
      </w:r>
      <w:r w:rsidRPr="00B128B5">
        <w:rPr>
          <w:i/>
        </w:rPr>
        <w:t xml:space="preserve">see also id. </w:t>
      </w:r>
      <w:r w:rsidRPr="00B128B5">
        <w:t xml:space="preserve">at 12660 ¶ 269.    </w:t>
      </w:r>
    </w:p>
  </w:footnote>
  <w:footnote w:id="37">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 xml:space="preserve">Second LMDS Report and Order, </w:t>
      </w:r>
      <w:r w:rsidRPr="00B128B5">
        <w:t>12 FCC Rcd at 12659 ¶ 266.</w:t>
      </w:r>
    </w:p>
  </w:footnote>
  <w:footnote w:id="38">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 xml:space="preserve">See </w:t>
      </w:r>
      <w:r w:rsidRPr="00B128B5">
        <w:t xml:space="preserve">47 C.F.R. § 101.1011(a).       </w:t>
      </w:r>
    </w:p>
  </w:footnote>
  <w:footnote w:id="39">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See Second LMDS Report and Order</w:t>
      </w:r>
      <w:r w:rsidRPr="00B128B5">
        <w:t>, 12 FCC Rcd at</w:t>
      </w:r>
      <w:r w:rsidRPr="00B128B5">
        <w:rPr>
          <w:i/>
        </w:rPr>
        <w:t xml:space="preserve"> </w:t>
      </w:r>
      <w:r w:rsidRPr="00B128B5">
        <w:t xml:space="preserve">12660-12661 ¶¶ 269-270.     </w:t>
      </w:r>
    </w:p>
  </w:footnote>
  <w:footnote w:id="40">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See Second LMDS Report and Order</w:t>
      </w:r>
      <w:r w:rsidRPr="00B128B5">
        <w:t>, 12 FCC Rcd at 12660 ¶ 270.</w:t>
      </w:r>
    </w:p>
  </w:footnote>
  <w:footnote w:id="41">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See Second LMDS Report and Order</w:t>
      </w:r>
      <w:r w:rsidRPr="00B128B5">
        <w:t>, 12 FCC Rcd at 12660 ¶ 270.</w:t>
      </w:r>
    </w:p>
  </w:footnote>
  <w:footnote w:id="42">
    <w:p w:rsidR="00174E9B" w:rsidRPr="00B128B5" w:rsidRDefault="00174E9B" w:rsidP="006D0C75">
      <w:pPr>
        <w:pStyle w:val="FootnoteText"/>
        <w:spacing w:after="120"/>
      </w:pPr>
      <w:r w:rsidRPr="00B128B5">
        <w:rPr>
          <w:rStyle w:val="FootnoteReference"/>
          <w:sz w:val="20"/>
        </w:rPr>
        <w:footnoteRef/>
      </w:r>
      <w:r w:rsidRPr="00B128B5">
        <w:t xml:space="preserve"> </w:t>
      </w:r>
      <w:r w:rsidRPr="00B128B5">
        <w:rPr>
          <w:i/>
        </w:rPr>
        <w:t>See Second LMDS Report and Order</w:t>
      </w:r>
      <w:r w:rsidRPr="00B128B5">
        <w:t xml:space="preserve">, 12 FCC Rcd at 12660-12661 ¶ 270.  For example, the Commission may also consider such factors as whether the licensee is offering a specialized or technologically sophisticated service that does not require a high level of coverage to be of benefit to customers, and whether the licensees operations serve niche markets or focus on serving populations outside of areas served by other licensees.  </w:t>
      </w:r>
      <w:r w:rsidRPr="00B128B5">
        <w:rPr>
          <w:i/>
        </w:rPr>
        <w:t>See Second LMDS Report and Order,</w:t>
      </w:r>
      <w:r w:rsidRPr="00B128B5">
        <w:t xml:space="preserve"> 12 FCC Rcd at 12660 ¶ 270.</w:t>
      </w:r>
    </w:p>
  </w:footnote>
  <w:footnote w:id="43">
    <w:p w:rsidR="0006665B" w:rsidRPr="00B128B5" w:rsidRDefault="0006665B" w:rsidP="006D0C75">
      <w:pPr>
        <w:pStyle w:val="FootnoteText"/>
        <w:spacing w:after="120"/>
      </w:pPr>
      <w:r w:rsidRPr="00B128B5">
        <w:rPr>
          <w:rStyle w:val="FootnoteReference"/>
          <w:sz w:val="20"/>
        </w:rPr>
        <w:footnoteRef/>
      </w:r>
      <w:r w:rsidRPr="00B128B5">
        <w:t xml:space="preserve"> Substantial Service Showing</w:t>
      </w:r>
      <w:r w:rsidR="00FC7A3E" w:rsidRPr="00B128B5">
        <w:t>s</w:t>
      </w:r>
      <w:r w:rsidRPr="00B128B5">
        <w:t xml:space="preserve"> at </w:t>
      </w:r>
      <w:r w:rsidR="00FC7A3E" w:rsidRPr="00B128B5">
        <w:t>1</w:t>
      </w:r>
      <w:r w:rsidRPr="00B128B5">
        <w:t>.</w:t>
      </w:r>
    </w:p>
  </w:footnote>
  <w:footnote w:id="44">
    <w:p w:rsidR="0006665B" w:rsidRPr="00B128B5" w:rsidRDefault="0006665B" w:rsidP="006D0C75">
      <w:pPr>
        <w:pStyle w:val="FootnoteText"/>
        <w:spacing w:after="120"/>
      </w:pPr>
      <w:r w:rsidRPr="00B128B5">
        <w:rPr>
          <w:rStyle w:val="FootnoteReference"/>
          <w:sz w:val="20"/>
        </w:rPr>
        <w:footnoteRef/>
      </w:r>
      <w:r w:rsidRPr="00B128B5">
        <w:t xml:space="preserve"> </w:t>
      </w:r>
      <w:r w:rsidR="00BC52F2" w:rsidRPr="00BC52F2">
        <w:t xml:space="preserve">Bureau staff determined line of sight with </w:t>
      </w:r>
      <w:r w:rsidR="00FC02F6">
        <w:t>RF planning</w:t>
      </w:r>
      <w:r w:rsidR="00FC02F6" w:rsidRPr="00BC52F2">
        <w:t xml:space="preserve"> </w:t>
      </w:r>
      <w:r w:rsidR="00BC52F2" w:rsidRPr="00BC52F2">
        <w:t xml:space="preserve">software </w:t>
      </w:r>
      <w:r w:rsidR="00FC02F6">
        <w:t xml:space="preserve">that </w:t>
      </w:r>
      <w:r w:rsidR="00BC52F2" w:rsidRPr="00BC52F2">
        <w:t>us</w:t>
      </w:r>
      <w:r w:rsidR="00FC02F6">
        <w:t>es</w:t>
      </w:r>
      <w:r w:rsidR="00BC52F2" w:rsidRPr="00BC52F2">
        <w:t xml:space="preserve"> </w:t>
      </w:r>
      <w:r w:rsidR="00FC02F6">
        <w:t xml:space="preserve">terrain data with </w:t>
      </w:r>
      <w:r w:rsidR="00BC52F2" w:rsidRPr="00BC52F2">
        <w:t xml:space="preserve">a </w:t>
      </w:r>
      <w:r w:rsidR="00FC02F6">
        <w:t xml:space="preserve">horizontal </w:t>
      </w:r>
      <w:r w:rsidR="00BC52F2" w:rsidRPr="00BC52F2">
        <w:t xml:space="preserve">resolution of 30 meters.  </w:t>
      </w:r>
      <w:r w:rsidR="00FC02F6">
        <w:t xml:space="preserve">Staff assumed an antenna height of 200feet above ground, which is the maximum height permissible without a tower registration.  The analysis is likely to overstate SHT’s actual coverage because most antennas are installed at a lower height above ground.  </w:t>
      </w:r>
      <w:r w:rsidR="00BC52F2" w:rsidRPr="00BC52F2">
        <w:t>Population coverage was estimated by overlaying the area that had line of sight coverage on United States census block data  to estimate the population covered.</w:t>
      </w:r>
      <w:r w:rsidR="00BC52F2">
        <w:t xml:space="preserve">  </w:t>
      </w:r>
    </w:p>
  </w:footnote>
  <w:footnote w:id="45">
    <w:p w:rsidR="003C09D5" w:rsidRPr="00B128B5" w:rsidRDefault="003C09D5">
      <w:pPr>
        <w:pStyle w:val="FootnoteText"/>
      </w:pPr>
      <w:r w:rsidRPr="00B128B5">
        <w:rPr>
          <w:rStyle w:val="FootnoteReference"/>
          <w:sz w:val="20"/>
        </w:rPr>
        <w:footnoteRef/>
      </w:r>
      <w:r w:rsidRPr="00B128B5">
        <w:t xml:space="preserve"> The call signs of the </w:t>
      </w:r>
      <w:r w:rsidR="00DC075D" w:rsidRPr="00B128B5">
        <w:t>2</w:t>
      </w:r>
      <w:r w:rsidR="00C77625" w:rsidRPr="00B128B5">
        <w:t>9</w:t>
      </w:r>
      <w:r w:rsidR="00DC075D" w:rsidRPr="00B128B5">
        <w:t xml:space="preserve"> </w:t>
      </w:r>
      <w:r w:rsidRPr="00B128B5">
        <w:t xml:space="preserve">stations are WPOH694, WPOH700, WPOH704, WPOH705, WPOH753, WPOH754, WPOH771, WPOH775, WPOH776, WPOH792, WPOH793, WPOH798, WPOH808, WPOH809, WPOH810, WPOH817, WPOH837, </w:t>
      </w:r>
      <w:r w:rsidR="00C77625" w:rsidRPr="00B128B5">
        <w:t xml:space="preserve">WPOH841, </w:t>
      </w:r>
      <w:r w:rsidRPr="00B128B5">
        <w:t>WPOH844, WPOH845, WPOH852, WPOH856, WPOH859, WPOH876, WPOH886, WPOH891, WPOH906, WPOH919, and WPOH920.</w:t>
      </w:r>
    </w:p>
  </w:footnote>
  <w:footnote w:id="46">
    <w:p w:rsidR="00FE6826" w:rsidRPr="00B128B5" w:rsidRDefault="00FE6826">
      <w:pPr>
        <w:pStyle w:val="FootnoteText"/>
      </w:pPr>
      <w:r w:rsidRPr="00B128B5">
        <w:rPr>
          <w:rStyle w:val="FootnoteReference"/>
          <w:sz w:val="20"/>
        </w:rPr>
        <w:footnoteRef/>
      </w:r>
      <w:r w:rsidRPr="00B128B5">
        <w:t xml:space="preserve"> The call signs of the </w:t>
      </w:r>
      <w:r w:rsidR="00DC075D" w:rsidRPr="00B128B5">
        <w:t xml:space="preserve">32 </w:t>
      </w:r>
      <w:r w:rsidRPr="00B128B5">
        <w:t>stations are WPOH69</w:t>
      </w:r>
      <w:r w:rsidR="00B1497A" w:rsidRPr="00B128B5">
        <w:t>9</w:t>
      </w:r>
      <w:r w:rsidRPr="00B128B5">
        <w:t xml:space="preserve">, WPOH703, WPOH714, WPOH727, </w:t>
      </w:r>
      <w:r w:rsidR="00B1497A" w:rsidRPr="00B128B5">
        <w:t xml:space="preserve">WPOH742, </w:t>
      </w:r>
      <w:r w:rsidRPr="00B128B5">
        <w:t xml:space="preserve">WPOH743, </w:t>
      </w:r>
      <w:r w:rsidR="00274E2B" w:rsidRPr="00B128B5">
        <w:t xml:space="preserve">WPOH746, </w:t>
      </w:r>
      <w:r w:rsidR="00B1497A" w:rsidRPr="00B128B5">
        <w:t xml:space="preserve">WPOH755, </w:t>
      </w:r>
      <w:r w:rsidRPr="00B128B5">
        <w:t xml:space="preserve">WPOH760, WPOH761, WPOH766, </w:t>
      </w:r>
      <w:r w:rsidR="00B1497A" w:rsidRPr="00B128B5">
        <w:t xml:space="preserve">WPOH767, WPOH772, </w:t>
      </w:r>
      <w:r w:rsidRPr="00B128B5">
        <w:t>WPOH773, WPOH779, WPOH807, WPOH81</w:t>
      </w:r>
      <w:r w:rsidR="00B1497A" w:rsidRPr="00B128B5">
        <w:t>9</w:t>
      </w:r>
      <w:r w:rsidRPr="00B128B5">
        <w:t xml:space="preserve">, WPOH826, WPOH827, </w:t>
      </w:r>
      <w:r w:rsidR="00274E2B" w:rsidRPr="00B128B5">
        <w:t xml:space="preserve">WPOH838, </w:t>
      </w:r>
      <w:r w:rsidR="00B1497A" w:rsidRPr="00B128B5">
        <w:t xml:space="preserve">WPOH842, </w:t>
      </w:r>
      <w:r w:rsidRPr="00B128B5">
        <w:t xml:space="preserve">WPOH850, WPOH868, WPOH870, </w:t>
      </w:r>
      <w:r w:rsidR="00B1497A" w:rsidRPr="00B128B5">
        <w:t xml:space="preserve">WPOH874, </w:t>
      </w:r>
      <w:r w:rsidRPr="00B128B5">
        <w:t xml:space="preserve">WPOH879, </w:t>
      </w:r>
      <w:r w:rsidR="00B1497A" w:rsidRPr="00B128B5">
        <w:t>WPOH888, WPOH892, WPOH899</w:t>
      </w:r>
      <w:r w:rsidR="00274E2B" w:rsidRPr="00B128B5">
        <w:t xml:space="preserve"> (transmitter is within service area but terrain limits coverage)</w:t>
      </w:r>
      <w:r w:rsidR="00B1497A" w:rsidRPr="00B128B5">
        <w:t xml:space="preserve">, </w:t>
      </w:r>
      <w:r w:rsidRPr="00B128B5">
        <w:t>WPOH900, WPOH90</w:t>
      </w:r>
      <w:r w:rsidR="00B1497A" w:rsidRPr="00B128B5">
        <w:t>7</w:t>
      </w:r>
      <w:r w:rsidR="00274E2B" w:rsidRPr="00B128B5">
        <w:t>, and WPOH910</w:t>
      </w:r>
      <w:r w:rsidRPr="00B128B5">
        <w:t>.</w:t>
      </w:r>
    </w:p>
  </w:footnote>
  <w:footnote w:id="47">
    <w:p w:rsidR="00EB7F66" w:rsidRPr="00B128B5" w:rsidRDefault="00B659A9">
      <w:pPr>
        <w:pStyle w:val="FootnoteText"/>
      </w:pPr>
      <w:r w:rsidRPr="00B128B5">
        <w:rPr>
          <w:rStyle w:val="FootnoteReference"/>
          <w:sz w:val="20"/>
        </w:rPr>
        <w:footnoteRef/>
      </w:r>
      <w:r w:rsidRPr="00B128B5">
        <w:t xml:space="preserve"> The call signs of the 1</w:t>
      </w:r>
      <w:r w:rsidR="00F36A68" w:rsidRPr="00B128B5">
        <w:t>2</w:t>
      </w:r>
      <w:r w:rsidRPr="00B128B5">
        <w:t xml:space="preserve"> stations are WPOH735, </w:t>
      </w:r>
      <w:r w:rsidR="00F36A68" w:rsidRPr="00B128B5">
        <w:t xml:space="preserve">WPOH759, </w:t>
      </w:r>
      <w:r w:rsidRPr="00B128B5">
        <w:t xml:space="preserve">WPOH764, WPOH780, WPOH811, WPOH821, WPOH824, WPOH840, WPOH861, </w:t>
      </w:r>
      <w:r w:rsidR="00F36A68" w:rsidRPr="00B128B5">
        <w:t xml:space="preserve">WPOH867, </w:t>
      </w:r>
      <w:r w:rsidRPr="00B128B5">
        <w:t>WPOH882, and WPOH922.</w:t>
      </w:r>
      <w:r w:rsidR="007B743F" w:rsidRPr="00B128B5">
        <w:t xml:space="preserve">  </w:t>
      </w:r>
      <w:r w:rsidR="00B128B5">
        <w:t>Two of the stations (</w:t>
      </w:r>
      <w:r w:rsidR="00B128B5" w:rsidRPr="00B128B5">
        <w:t>WPOH759 and WPOH867</w:t>
      </w:r>
      <w:r w:rsidR="00B128B5">
        <w:t xml:space="preserve">) have estimated coverage between 15 percent and </w:t>
      </w:r>
      <w:r w:rsidR="005E62F0">
        <w:t xml:space="preserve">19 </w:t>
      </w:r>
      <w:r w:rsidR="00B128B5">
        <w:t>percent of their service area</w:t>
      </w:r>
      <w:r w:rsidR="007B743F" w:rsidRPr="00B128B5">
        <w:t>.</w:t>
      </w:r>
      <w:r w:rsidR="00B128B5">
        <w:t xml:space="preserve">  SHT has failed to provide any additional information concerning the service provided by those stations that would allow us to make a finding of substantial service on a case-by-case basis. </w:t>
      </w:r>
    </w:p>
  </w:footnote>
  <w:footnote w:id="48">
    <w:p w:rsidR="0006665B" w:rsidRPr="00B128B5" w:rsidRDefault="0006665B" w:rsidP="006D0C75">
      <w:pPr>
        <w:pStyle w:val="FootnoteText"/>
        <w:spacing w:after="120"/>
      </w:pPr>
      <w:r w:rsidRPr="00B128B5">
        <w:rPr>
          <w:rStyle w:val="FootnoteReference"/>
          <w:sz w:val="20"/>
        </w:rPr>
        <w:footnoteRef/>
      </w:r>
      <w:r w:rsidRPr="00B128B5">
        <w:t xml:space="preserve"> </w:t>
      </w:r>
      <w:r w:rsidR="00FC7A3E" w:rsidRPr="00B128B5">
        <w:rPr>
          <w:i/>
        </w:rPr>
        <w:t xml:space="preserve">See </w:t>
      </w:r>
      <w:r w:rsidR="00FC7A3E" w:rsidRPr="00B128B5">
        <w:t>November 2</w:t>
      </w:r>
      <w:r w:rsidR="00FC7A3E" w:rsidRPr="00B128B5">
        <w:rPr>
          <w:vertAlign w:val="superscript"/>
        </w:rPr>
        <w:t>nd</w:t>
      </w:r>
      <w:r w:rsidR="00FC7A3E" w:rsidRPr="00B128B5">
        <w:t xml:space="preserve"> Response </w:t>
      </w:r>
      <w:r w:rsidR="009003F9" w:rsidRPr="00B128B5">
        <w:t>at 2.</w:t>
      </w:r>
    </w:p>
  </w:footnote>
  <w:footnote w:id="49">
    <w:p w:rsidR="007D5A1E" w:rsidRPr="00B128B5" w:rsidRDefault="007D5A1E" w:rsidP="006D0C75">
      <w:pPr>
        <w:pStyle w:val="FootnoteText"/>
        <w:spacing w:after="120"/>
      </w:pPr>
      <w:r w:rsidRPr="00B128B5">
        <w:rPr>
          <w:rStyle w:val="FootnoteReference"/>
          <w:sz w:val="20"/>
        </w:rPr>
        <w:footnoteRef/>
      </w:r>
      <w:r w:rsidRPr="00B128B5">
        <w:t xml:space="preserve"> </w:t>
      </w:r>
      <w:r w:rsidR="00FC7A3E" w:rsidRPr="00B128B5">
        <w:rPr>
          <w:i/>
        </w:rPr>
        <w:t>Id</w:t>
      </w:r>
      <w:r w:rsidR="009003F9" w:rsidRPr="00B128B5">
        <w:t>.</w:t>
      </w:r>
    </w:p>
  </w:footnote>
  <w:footnote w:id="50">
    <w:p w:rsidR="008217E0" w:rsidRPr="00B128B5" w:rsidRDefault="008217E0" w:rsidP="006D0C75">
      <w:pPr>
        <w:pStyle w:val="FootnoteText"/>
        <w:spacing w:after="120"/>
      </w:pPr>
      <w:r w:rsidRPr="00B128B5">
        <w:rPr>
          <w:rStyle w:val="FootnoteReference"/>
          <w:sz w:val="20"/>
        </w:rPr>
        <w:footnoteRef/>
      </w:r>
      <w:r w:rsidRPr="00B128B5">
        <w:t xml:space="preserve"> The </w:t>
      </w:r>
      <w:r w:rsidR="008A1C8E" w:rsidRPr="00B128B5">
        <w:t xml:space="preserve">Division </w:t>
      </w:r>
      <w:r w:rsidRPr="00B128B5">
        <w:t xml:space="preserve">is not making a determination that beam benders are not to be considered in determining coverage.  Rather, we find that beam benders that were not installed at the time of the construction deadline cannot be used to </w:t>
      </w:r>
      <w:r w:rsidR="008A1C8E" w:rsidRPr="00B128B5">
        <w:t xml:space="preserve">claim </w:t>
      </w:r>
      <w:r w:rsidRPr="00B128B5">
        <w:t xml:space="preserve">coverage in </w:t>
      </w:r>
      <w:r w:rsidR="008A1C8E" w:rsidRPr="00B128B5">
        <w:t xml:space="preserve">order to </w:t>
      </w:r>
      <w:r w:rsidRPr="00B128B5">
        <w:t xml:space="preserve">meet </w:t>
      </w:r>
      <w:r w:rsidR="008A1C8E" w:rsidRPr="00B128B5">
        <w:t xml:space="preserve">a </w:t>
      </w:r>
      <w:r w:rsidRPr="00B128B5">
        <w:t>substantial service requirement.</w:t>
      </w:r>
    </w:p>
  </w:footnote>
  <w:footnote w:id="51">
    <w:p w:rsidR="006479C1" w:rsidRPr="00B128B5" w:rsidRDefault="006479C1">
      <w:pPr>
        <w:pStyle w:val="FootnoteText"/>
      </w:pPr>
      <w:r w:rsidRPr="00B128B5">
        <w:rPr>
          <w:rStyle w:val="FootnoteReference"/>
          <w:sz w:val="20"/>
        </w:rPr>
        <w:footnoteRef/>
      </w:r>
      <w:r w:rsidRPr="00B128B5">
        <w:t xml:space="preserve"> </w:t>
      </w:r>
      <w:r w:rsidRPr="00B128B5">
        <w:rPr>
          <w:i/>
        </w:rPr>
        <w:t>See</w:t>
      </w:r>
      <w:r w:rsidRPr="00B128B5">
        <w:t xml:space="preserve">, </w:t>
      </w:r>
      <w:r w:rsidRPr="00B128B5">
        <w:rPr>
          <w:i/>
        </w:rPr>
        <w:t>e.g.</w:t>
      </w:r>
      <w:r w:rsidRPr="00B128B5">
        <w:t>, 47 C.F.R. § 101.1011(c)(1) (requiring LMDS renewal applicants to provide “[a] description of its current service in terms of geographi</w:t>
      </w:r>
      <w:r w:rsidR="00FA7D4D" w:rsidRPr="00B128B5">
        <w:t>c coverage and population served</w:t>
      </w:r>
      <w:r w:rsidRPr="00B128B5">
        <w:t xml:space="preserve"> . . .”</w:t>
      </w:r>
      <w:r w:rsidR="008A1C8E" w:rsidRPr="00B128B5">
        <w:t xml:space="preserve">  In a case involving another LMDS service, where licensees had to demonstrate substantial service at license renewal, the Bureau declined “to make a finding of substantial service where the licensee is not currently providing service within the licensed area.”  </w:t>
      </w:r>
      <w:r w:rsidR="008A1C8E" w:rsidRPr="00B128B5">
        <w:rPr>
          <w:i/>
        </w:rPr>
        <w:t xml:space="preserve">See </w:t>
      </w:r>
      <w:r w:rsidR="008A1C8E" w:rsidRPr="00B128B5">
        <w:t xml:space="preserve">SPEEDUSNY.COM, </w:t>
      </w:r>
      <w:r w:rsidR="008A1C8E" w:rsidRPr="00B128B5">
        <w:rPr>
          <w:i/>
        </w:rPr>
        <w:t>Memorandum Opinion and Order and Order on Reconsideration</w:t>
      </w:r>
      <w:r w:rsidR="008A1C8E" w:rsidRPr="00B128B5">
        <w:t>, 22 FCC Rcd 13974, 13984</w:t>
      </w:r>
      <w:r w:rsidR="00FC7A3E" w:rsidRPr="00B128B5">
        <w:t>-13985</w:t>
      </w:r>
      <w:r w:rsidR="008A1C8E" w:rsidRPr="00B128B5">
        <w:t xml:space="preserve"> ¶ 17 (WTB 2007).</w:t>
      </w:r>
    </w:p>
  </w:footnote>
  <w:footnote w:id="52">
    <w:p w:rsidR="00BB377A" w:rsidRPr="00B128B5" w:rsidRDefault="00BB377A">
      <w:pPr>
        <w:pStyle w:val="FootnoteText"/>
      </w:pPr>
      <w:r w:rsidRPr="00B128B5">
        <w:rPr>
          <w:rStyle w:val="FootnoteReference"/>
          <w:sz w:val="20"/>
        </w:rPr>
        <w:footnoteRef/>
      </w:r>
      <w:r w:rsidRPr="00B128B5">
        <w:t xml:space="preserve"> </w:t>
      </w:r>
      <w:r w:rsidR="007E3E83" w:rsidRPr="00B128B5">
        <w:rPr>
          <w:i/>
        </w:rPr>
        <w:t>See</w:t>
      </w:r>
      <w:r w:rsidR="007E3E83" w:rsidRPr="00B128B5">
        <w:t xml:space="preserve"> Nextlink Wireless, LLC, </w:t>
      </w:r>
      <w:r w:rsidR="007E3E83" w:rsidRPr="00B128B5">
        <w:rPr>
          <w:i/>
        </w:rPr>
        <w:t>Memorandum Opinion and Order</w:t>
      </w:r>
      <w:r w:rsidR="007E3E83" w:rsidRPr="00B128B5">
        <w:t xml:space="preserve">, 29 FCC Rcd 309, 312 ¶ 7 (WTB BD 2014), </w:t>
      </w:r>
      <w:r w:rsidR="007E3E83" w:rsidRPr="00B128B5">
        <w:rPr>
          <w:i/>
        </w:rPr>
        <w:t>application for review pending</w:t>
      </w:r>
      <w:r w:rsidR="007E3E83" w:rsidRPr="00B128B5">
        <w:t xml:space="preserve"> (rejecting 39 GHz substantial service showing where staff analysis evaluating line of sight showed only six percent of the population in the license area received service).</w:t>
      </w:r>
    </w:p>
  </w:footnote>
  <w:footnote w:id="53">
    <w:p w:rsidR="00484EE2" w:rsidRPr="00B128B5" w:rsidRDefault="00484EE2" w:rsidP="006D0C75">
      <w:pPr>
        <w:pStyle w:val="FootnoteText"/>
        <w:spacing w:after="120"/>
      </w:pPr>
      <w:r w:rsidRPr="00B128B5">
        <w:rPr>
          <w:rStyle w:val="FootnoteReference"/>
          <w:sz w:val="20"/>
        </w:rPr>
        <w:footnoteRef/>
      </w:r>
      <w:r w:rsidRPr="00B128B5">
        <w:t xml:space="preserve"> 47 C.F.R. §§ 1.946(c)</w:t>
      </w:r>
      <w:r w:rsidR="00FC7A3E" w:rsidRPr="00B128B5">
        <w:t>,</w:t>
      </w:r>
      <w:r w:rsidRPr="00B128B5">
        <w:t xml:space="preserve"> 1.955(a)(2).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7A" w:rsidRDefault="000B47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44" w:rsidRDefault="003F4C44">
    <w:pPr>
      <w:tabs>
        <w:tab w:val="center" w:pos="4680"/>
        <w:tab w:val="right" w:pos="9360"/>
      </w:tabs>
      <w:suppressAutoHyphens/>
      <w:spacing w:line="227" w:lineRule="auto"/>
      <w:jc w:val="both"/>
      <w:rPr>
        <w:spacing w:val="-2"/>
      </w:rPr>
    </w:pPr>
    <w:r>
      <w:rPr>
        <w:b/>
        <w:spacing w:val="-2"/>
      </w:rPr>
      <w:tab/>
      <w:t>Federal Communications Commission</w:t>
    </w:r>
    <w:r>
      <w:rPr>
        <w:spacing w:val="-2"/>
      </w:rPr>
      <w:tab/>
    </w:r>
    <w:r>
      <w:rPr>
        <w:b/>
        <w:spacing w:val="-2"/>
      </w:rPr>
      <w:t>DA 1</w:t>
    </w:r>
    <w:r w:rsidR="00F5672B">
      <w:rPr>
        <w:b/>
        <w:spacing w:val="-2"/>
      </w:rPr>
      <w:t>4</w:t>
    </w:r>
    <w:r>
      <w:rPr>
        <w:b/>
        <w:spacing w:val="-2"/>
      </w:rPr>
      <w:t>-</w:t>
    </w:r>
    <w:r w:rsidR="002F1EDB">
      <w:rPr>
        <w:b/>
        <w:spacing w:val="-2"/>
      </w:rPr>
      <w:t>782</w:t>
    </w:r>
  </w:p>
  <w:p w:rsidR="003F4C44" w:rsidRDefault="00391F82">
    <w:pPr>
      <w:tabs>
        <w:tab w:val="left" w:pos="-720"/>
      </w:tabs>
      <w:suppressAutoHyphens/>
      <w:spacing w:line="19" w:lineRule="exact"/>
      <w:jc w:val="both"/>
      <w:rPr>
        <w:spacing w:val="-2"/>
      </w:rPr>
    </w:pPr>
    <w:r>
      <w:rPr>
        <w:noProof/>
        <w:snapToGrid/>
      </w:rPr>
      <mc:AlternateContent>
        <mc:Choice Requires="wps">
          <w:drawing>
            <wp:anchor distT="0" distB="0" distL="114300" distR="114300" simplePos="0" relativeHeight="251657728" behindDoc="1" locked="0" layoutInCell="0" allowOverlap="1" wp14:anchorId="72B1435E" wp14:editId="15725B39">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rsidR="003F4C44" w:rsidRDefault="003F4C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PEqeQIAAAQFAAAOAAAAZHJzL2Uyb0RvYy54bWysVFFv2yAQfp+0/4B4T2ynThpbdaq2WaZJ&#10;3Vat2w/AgGM0DAxInHbaf9+BkzTZXqppeSCc7/j47r47rq53nURbbp3QqsLZOMWIK6qZUOsKf/u6&#10;Gs0xcp4oRqRWvMJP3OHrxds3V70p+US3WjJuEYAoV/amwq33pkwSR1veETfWhitwNtp2xINp1wmz&#10;pAf0TiaTNJ0lvbbMWE25c/B1OTjxIuI3Daf+c9M47pGsMHDzcbVxrcOaLK5IubbEtILuaZB/YNER&#10;oeDSI9SSeII2VvwF1QlqtdONH1PdJbppBOUxB8gmS//I5rElhsdcoDjOHMvk/h8s/bR9sEgw0A4j&#10;RTqQ6AsUjai15CgL5emNKyHq0TzYkKAz95p+d0jpuxai+I21um85YUAqxidnB4Lh4Ciq+4+aATrZ&#10;eB0rtWtsFwChBmgXBXk6CsJ3HlH4OC3yi1kKulHwZZN0Ng2MElIeDhvr/HuuOxQ2FbZAPYKT7b3z&#10;Q+ghJJLXUrCVkDIadl3fSYu2JPRG/O3R3WmYVCFY6XBsQBy+AEe4I/gC26j1zyKb5OntpBitZvPL&#10;Ub7Kp6PiMp2P0qy4LWZpXuTL1a9AMMvLVjDG1b1Q/NB3Wf46XfcTMHRM7DzUV3h2MY2pn5F3r8ux&#10;Ex6mUIquwvNjIUgZZH2nGGRNSk+EHPbJOfuoB5Tg8B+LEpsg6D70j9/VO0AJzVBr9gTtYDXIBcLC&#10;0wGbVttnjHoYwwq7HxtiOUbyg4KWKrI8D3MbjXx6OQHDnnrqUw9RFKAq7DEatnd+mPWNsWLdwk1Z&#10;rJHSN9CGjYgt8sIKUggGjFpMZv8shFk+tWPUy+O1+A0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DBM8Sp5AgAABAUAAA4AAAAAAAAA&#10;AAAAAAAALgIAAGRycy9lMm9Eb2MueG1sUEsBAi0AFAAGAAgAAAAhACI87tHXAAAAAwEAAA8AAAAA&#10;AAAAAAAAAAAA0wQAAGRycy9kb3ducmV2LnhtbFBLBQYAAAAABAAEAPMAAADXBQAAAAA=&#10;" o:allowincell="f" fillcolor="black" stroked="f" strokeweight=".05pt">
              <v:textbox>
                <w:txbxContent>
                  <w:p w:rsidR="003F4C44" w:rsidRDefault="003F4C44"/>
                </w:txbxContent>
              </v:textbox>
              <w10:wrap anchorx="margin"/>
            </v:rect>
          </w:pict>
        </mc:Fallback>
      </mc:AlternateContent>
    </w:r>
  </w:p>
  <w:p w:rsidR="003F4C44" w:rsidRDefault="003F4C4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44" w:rsidRDefault="003F4C44">
    <w:pPr>
      <w:pStyle w:val="Header"/>
      <w:pBdr>
        <w:bottom w:val="single" w:sz="12" w:space="1" w:color="auto"/>
      </w:pBdr>
      <w:rPr>
        <w:b w:val="0"/>
      </w:rPr>
    </w:pPr>
    <w:r>
      <w:tab/>
      <w:t>Federal C</w:t>
    </w:r>
    <w:r w:rsidR="00C40C7B">
      <w:t>ommunications Commission</w:t>
    </w:r>
    <w:r w:rsidR="00C40C7B">
      <w:tab/>
      <w:t xml:space="preserve"> DA 1</w:t>
    </w:r>
    <w:r w:rsidR="00F5672B">
      <w:t>4</w:t>
    </w:r>
    <w:r w:rsidR="002F1EDB">
      <w:t>-782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80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DCE0BC0"/>
    <w:lvl w:ilvl="0">
      <w:start w:val="1"/>
      <w:numFmt w:val="decimal"/>
      <w:lvlText w:val="%1."/>
      <w:lvlJc w:val="left"/>
      <w:pPr>
        <w:tabs>
          <w:tab w:val="num" w:pos="1800"/>
        </w:tabs>
        <w:ind w:left="1800" w:hanging="360"/>
      </w:pPr>
    </w:lvl>
  </w:abstractNum>
  <w:abstractNum w:abstractNumId="2">
    <w:nsid w:val="FFFFFF7D"/>
    <w:multiLevelType w:val="singleLevel"/>
    <w:tmpl w:val="DEB8C4BE"/>
    <w:lvl w:ilvl="0">
      <w:start w:val="1"/>
      <w:numFmt w:val="decimal"/>
      <w:lvlText w:val="%1."/>
      <w:lvlJc w:val="left"/>
      <w:pPr>
        <w:tabs>
          <w:tab w:val="num" w:pos="1440"/>
        </w:tabs>
        <w:ind w:left="1440" w:hanging="360"/>
      </w:pPr>
    </w:lvl>
  </w:abstractNum>
  <w:abstractNum w:abstractNumId="3">
    <w:nsid w:val="025A783C"/>
    <w:multiLevelType w:val="singleLevel"/>
    <w:tmpl w:val="A52053E0"/>
    <w:lvl w:ilvl="0">
      <w:start w:val="1"/>
      <w:numFmt w:val="decimal"/>
      <w:pStyle w:val="ParaNum"/>
      <w:lvlText w:val="%1."/>
      <w:lvlJc w:val="left"/>
      <w:pPr>
        <w:tabs>
          <w:tab w:val="num" w:pos="1080"/>
        </w:tabs>
        <w:ind w:left="0" w:firstLine="720"/>
      </w:pPr>
      <w:rPr>
        <w:b w:val="0"/>
        <w:i w:val="0"/>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6">
    <w:nsid w:val="14FD5A4B"/>
    <w:multiLevelType w:val="singleLevel"/>
    <w:tmpl w:val="706ECFD0"/>
    <w:lvl w:ilvl="0">
      <w:start w:val="1"/>
      <w:numFmt w:val="decimal"/>
      <w:lvlText w:val="%1."/>
      <w:lvlJc w:val="left"/>
      <w:pPr>
        <w:tabs>
          <w:tab w:val="num" w:pos="1440"/>
        </w:tabs>
        <w:ind w:left="1440" w:hanging="720"/>
      </w:pPr>
      <w:rPr>
        <w:rFonts w:hint="default"/>
      </w:rPr>
    </w:lvl>
  </w:abstractNum>
  <w:abstractNum w:abstractNumId="7">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8">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9">
    <w:nsid w:val="1D0D3301"/>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7E06CBB"/>
    <w:multiLevelType w:val="multilevel"/>
    <w:tmpl w:val="A4689714"/>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4">
    <w:nsid w:val="305E3024"/>
    <w:multiLevelType w:val="singleLevel"/>
    <w:tmpl w:val="EA9E5D9A"/>
    <w:lvl w:ilvl="0">
      <w:start w:val="2"/>
      <w:numFmt w:val="decimal"/>
      <w:lvlText w:val="%1."/>
      <w:lvlJc w:val="left"/>
      <w:pPr>
        <w:tabs>
          <w:tab w:val="num" w:pos="1080"/>
        </w:tabs>
        <w:ind w:left="0" w:firstLine="720"/>
      </w:pPr>
    </w:lvl>
  </w:abstractNum>
  <w:abstractNum w:abstractNumId="15">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8">
    <w:nsid w:val="43D27EFD"/>
    <w:multiLevelType w:val="singleLevel"/>
    <w:tmpl w:val="42701C86"/>
    <w:lvl w:ilvl="0">
      <w:start w:val="1"/>
      <w:numFmt w:val="decimal"/>
      <w:lvlText w:val="%1."/>
      <w:lvlJc w:val="left"/>
      <w:pPr>
        <w:tabs>
          <w:tab w:val="num" w:pos="1440"/>
        </w:tabs>
        <w:ind w:left="1440" w:hanging="720"/>
      </w:pPr>
    </w:lvl>
  </w:abstractNum>
  <w:abstractNum w:abstractNumId="19">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20">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1">
    <w:nsid w:val="57FD4F85"/>
    <w:multiLevelType w:val="singleLevel"/>
    <w:tmpl w:val="04090013"/>
    <w:lvl w:ilvl="0">
      <w:start w:val="5"/>
      <w:numFmt w:val="upperRoman"/>
      <w:lvlText w:val="%1."/>
      <w:lvlJc w:val="left"/>
      <w:pPr>
        <w:tabs>
          <w:tab w:val="num" w:pos="720"/>
        </w:tabs>
        <w:ind w:left="720" w:hanging="720"/>
      </w:pPr>
      <w:rPr>
        <w:rFonts w:hint="default"/>
      </w:rPr>
    </w:lvl>
  </w:abstractNum>
  <w:abstractNum w:abstractNumId="22">
    <w:nsid w:val="5FFF125B"/>
    <w:multiLevelType w:val="singleLevel"/>
    <w:tmpl w:val="B1F45678"/>
    <w:lvl w:ilvl="0">
      <w:start w:val="1"/>
      <w:numFmt w:val="decimal"/>
      <w:lvlText w:val="%1."/>
      <w:lvlJc w:val="left"/>
      <w:pPr>
        <w:tabs>
          <w:tab w:val="num" w:pos="1080"/>
        </w:tabs>
        <w:ind w:left="0" w:firstLine="720"/>
      </w:pPr>
    </w:lvl>
  </w:abstractNum>
  <w:abstractNum w:abstractNumId="23">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8F00A6E"/>
    <w:multiLevelType w:val="singleLevel"/>
    <w:tmpl w:val="04090013"/>
    <w:lvl w:ilvl="0">
      <w:start w:val="5"/>
      <w:numFmt w:val="upperRoman"/>
      <w:lvlText w:val="%1."/>
      <w:lvlJc w:val="left"/>
      <w:pPr>
        <w:tabs>
          <w:tab w:val="num" w:pos="720"/>
        </w:tabs>
        <w:ind w:left="720" w:hanging="720"/>
      </w:pPr>
      <w:rPr>
        <w:rFonts w:hint="default"/>
      </w:rPr>
    </w:lvl>
  </w:abstractNum>
  <w:abstractNum w:abstractNumId="26">
    <w:nsid w:val="703621C9"/>
    <w:multiLevelType w:val="singleLevel"/>
    <w:tmpl w:val="373411A8"/>
    <w:lvl w:ilvl="0">
      <w:start w:val="1"/>
      <w:numFmt w:val="decimal"/>
      <w:lvlText w:val="%1."/>
      <w:lvlJc w:val="left"/>
      <w:pPr>
        <w:tabs>
          <w:tab w:val="num" w:pos="1080"/>
        </w:tabs>
        <w:ind w:left="0" w:firstLine="720"/>
      </w:pPr>
    </w:lvl>
  </w:abstractNum>
  <w:abstractNum w:abstractNumId="27">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8">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4"/>
  </w:num>
  <w:num w:numId="2">
    <w:abstractNumId w:val="11"/>
  </w:num>
  <w:num w:numId="3">
    <w:abstractNumId w:val="4"/>
  </w:num>
  <w:num w:numId="4">
    <w:abstractNumId w:val="22"/>
  </w:num>
  <w:num w:numId="5">
    <w:abstractNumId w:val="26"/>
  </w:num>
  <w:num w:numId="6">
    <w:abstractNumId w:val="14"/>
  </w:num>
  <w:num w:numId="7">
    <w:abstractNumId w:val="15"/>
  </w:num>
  <w:num w:numId="8">
    <w:abstractNumId w:val="18"/>
  </w:num>
  <w:num w:numId="9">
    <w:abstractNumId w:val="2"/>
  </w:num>
  <w:num w:numId="10">
    <w:abstractNumId w:val="1"/>
  </w:num>
  <w:num w:numId="11">
    <w:abstractNumId w:val="5"/>
  </w:num>
  <w:num w:numId="12">
    <w:abstractNumId w:val="13"/>
  </w:num>
  <w:num w:numId="13">
    <w:abstractNumId w:val="4"/>
  </w:num>
  <w:num w:numId="14">
    <w:abstractNumId w:val="19"/>
  </w:num>
  <w:num w:numId="15">
    <w:abstractNumId w:val="7"/>
  </w:num>
  <w:num w:numId="16">
    <w:abstractNumId w:val="17"/>
  </w:num>
  <w:num w:numId="17">
    <w:abstractNumId w:val="8"/>
  </w:num>
  <w:num w:numId="18">
    <w:abstractNumId w:val="27"/>
  </w:num>
  <w:num w:numId="19">
    <w:abstractNumId w:val="3"/>
  </w:num>
  <w:num w:numId="20">
    <w:abstractNumId w:val="23"/>
  </w:num>
  <w:num w:numId="21">
    <w:abstractNumId w:val="12"/>
  </w:num>
  <w:num w:numId="22">
    <w:abstractNumId w:val="3"/>
  </w:num>
  <w:num w:numId="23">
    <w:abstractNumId w:val="23"/>
  </w:num>
  <w:num w:numId="24">
    <w:abstractNumId w:val="23"/>
  </w:num>
  <w:num w:numId="25">
    <w:abstractNumId w:val="23"/>
  </w:num>
  <w:num w:numId="26">
    <w:abstractNumId w:val="28"/>
  </w:num>
  <w:num w:numId="27">
    <w:abstractNumId w:val="10"/>
  </w:num>
  <w:num w:numId="28">
    <w:abstractNumId w:val="12"/>
  </w:num>
  <w:num w:numId="29">
    <w:abstractNumId w:val="6"/>
  </w:num>
  <w:num w:numId="30">
    <w:abstractNumId w:val="20"/>
  </w:num>
  <w:num w:numId="31">
    <w:abstractNumId w:val="16"/>
  </w:num>
  <w:num w:numId="32">
    <w:abstractNumId w:val="9"/>
  </w:num>
  <w:num w:numId="33">
    <w:abstractNumId w:val="25"/>
  </w:num>
  <w:num w:numId="34">
    <w:abstractNumId w:val="21"/>
  </w:num>
  <w:num w:numId="35">
    <w:abstractNumId w:val="3"/>
    <w:lvlOverride w:ilvl="0">
      <w:startOverride w:val="1"/>
    </w:lvlOverride>
  </w:num>
  <w:num w:numId="36">
    <w:abstractNumId w:val="0"/>
  </w:num>
  <w:num w:numId="37">
    <w:abstractNumId w:val="3"/>
  </w:num>
  <w:num w:numId="38">
    <w:abstractNumId w:val="3"/>
  </w:num>
  <w:num w:numId="39">
    <w:abstractNumId w:val="16"/>
    <w:lvlOverride w:ilvl="0">
      <w:startOverride w:val="1"/>
    </w:lvlOverride>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73"/>
    <w:rsid w:val="00014AE0"/>
    <w:rsid w:val="00035330"/>
    <w:rsid w:val="0003728A"/>
    <w:rsid w:val="000374E7"/>
    <w:rsid w:val="00055A43"/>
    <w:rsid w:val="00057D3D"/>
    <w:rsid w:val="0006665B"/>
    <w:rsid w:val="000A56CF"/>
    <w:rsid w:val="000B0070"/>
    <w:rsid w:val="000B477A"/>
    <w:rsid w:val="000F6D77"/>
    <w:rsid w:val="00115FDE"/>
    <w:rsid w:val="00150E1F"/>
    <w:rsid w:val="0016187B"/>
    <w:rsid w:val="00170CE9"/>
    <w:rsid w:val="00174C64"/>
    <w:rsid w:val="00174E9B"/>
    <w:rsid w:val="00176219"/>
    <w:rsid w:val="00176A8B"/>
    <w:rsid w:val="00177F2D"/>
    <w:rsid w:val="001840C6"/>
    <w:rsid w:val="0018491F"/>
    <w:rsid w:val="001A070E"/>
    <w:rsid w:val="001A14C5"/>
    <w:rsid w:val="001B1F75"/>
    <w:rsid w:val="001B3EFB"/>
    <w:rsid w:val="001E3941"/>
    <w:rsid w:val="001F7C90"/>
    <w:rsid w:val="0020153F"/>
    <w:rsid w:val="00201AF1"/>
    <w:rsid w:val="0020455B"/>
    <w:rsid w:val="00213AA3"/>
    <w:rsid w:val="00214100"/>
    <w:rsid w:val="00230E7C"/>
    <w:rsid w:val="00232799"/>
    <w:rsid w:val="00233DDE"/>
    <w:rsid w:val="00245CF6"/>
    <w:rsid w:val="00245FF1"/>
    <w:rsid w:val="002468A7"/>
    <w:rsid w:val="002528E9"/>
    <w:rsid w:val="00264354"/>
    <w:rsid w:val="0027378E"/>
    <w:rsid w:val="00274E2B"/>
    <w:rsid w:val="00292731"/>
    <w:rsid w:val="002D4365"/>
    <w:rsid w:val="002E6529"/>
    <w:rsid w:val="002F1EDB"/>
    <w:rsid w:val="002F46FF"/>
    <w:rsid w:val="002F6739"/>
    <w:rsid w:val="003176F4"/>
    <w:rsid w:val="00340918"/>
    <w:rsid w:val="00355811"/>
    <w:rsid w:val="00366904"/>
    <w:rsid w:val="00391F82"/>
    <w:rsid w:val="003C09D5"/>
    <w:rsid w:val="003D4A3B"/>
    <w:rsid w:val="003E4FF4"/>
    <w:rsid w:val="003F312F"/>
    <w:rsid w:val="003F33BB"/>
    <w:rsid w:val="003F4996"/>
    <w:rsid w:val="003F4C44"/>
    <w:rsid w:val="0040583F"/>
    <w:rsid w:val="00413453"/>
    <w:rsid w:val="00435EA6"/>
    <w:rsid w:val="00442629"/>
    <w:rsid w:val="00460099"/>
    <w:rsid w:val="00474552"/>
    <w:rsid w:val="00474766"/>
    <w:rsid w:val="00483CF1"/>
    <w:rsid w:val="00484A40"/>
    <w:rsid w:val="00484EE2"/>
    <w:rsid w:val="004A3C57"/>
    <w:rsid w:val="004A40D0"/>
    <w:rsid w:val="004B0439"/>
    <w:rsid w:val="004B5118"/>
    <w:rsid w:val="004D070E"/>
    <w:rsid w:val="004D72A9"/>
    <w:rsid w:val="0050043B"/>
    <w:rsid w:val="005021CD"/>
    <w:rsid w:val="005344E6"/>
    <w:rsid w:val="00543E75"/>
    <w:rsid w:val="00567A23"/>
    <w:rsid w:val="005741B7"/>
    <w:rsid w:val="00575D90"/>
    <w:rsid w:val="005833E4"/>
    <w:rsid w:val="00584FFC"/>
    <w:rsid w:val="005936E3"/>
    <w:rsid w:val="005C26CB"/>
    <w:rsid w:val="005C573B"/>
    <w:rsid w:val="005D4D92"/>
    <w:rsid w:val="005E62F0"/>
    <w:rsid w:val="005F585E"/>
    <w:rsid w:val="00604447"/>
    <w:rsid w:val="006079A1"/>
    <w:rsid w:val="0061457C"/>
    <w:rsid w:val="006240A4"/>
    <w:rsid w:val="00626C51"/>
    <w:rsid w:val="00632597"/>
    <w:rsid w:val="00633E7D"/>
    <w:rsid w:val="006479C1"/>
    <w:rsid w:val="00653165"/>
    <w:rsid w:val="00656F2C"/>
    <w:rsid w:val="00662620"/>
    <w:rsid w:val="00685CB8"/>
    <w:rsid w:val="006861F5"/>
    <w:rsid w:val="00692E92"/>
    <w:rsid w:val="00695939"/>
    <w:rsid w:val="0069719B"/>
    <w:rsid w:val="006B0FB6"/>
    <w:rsid w:val="006C10D2"/>
    <w:rsid w:val="006D0C75"/>
    <w:rsid w:val="006E69FD"/>
    <w:rsid w:val="0070582D"/>
    <w:rsid w:val="00707B40"/>
    <w:rsid w:val="00726FBF"/>
    <w:rsid w:val="00727608"/>
    <w:rsid w:val="007310A4"/>
    <w:rsid w:val="00732983"/>
    <w:rsid w:val="0073479C"/>
    <w:rsid w:val="00734B90"/>
    <w:rsid w:val="0075617F"/>
    <w:rsid w:val="00781A3A"/>
    <w:rsid w:val="007B2D21"/>
    <w:rsid w:val="007B5551"/>
    <w:rsid w:val="007B743F"/>
    <w:rsid w:val="007C1BC1"/>
    <w:rsid w:val="007C7AAE"/>
    <w:rsid w:val="007D5A1E"/>
    <w:rsid w:val="007E3E83"/>
    <w:rsid w:val="007F5DE7"/>
    <w:rsid w:val="0080490D"/>
    <w:rsid w:val="008061D8"/>
    <w:rsid w:val="008217E0"/>
    <w:rsid w:val="0082363F"/>
    <w:rsid w:val="00824F11"/>
    <w:rsid w:val="00827379"/>
    <w:rsid w:val="00827545"/>
    <w:rsid w:val="00844B12"/>
    <w:rsid w:val="00847310"/>
    <w:rsid w:val="00853C02"/>
    <w:rsid w:val="00877EED"/>
    <w:rsid w:val="008A1C8E"/>
    <w:rsid w:val="008A2560"/>
    <w:rsid w:val="008A737B"/>
    <w:rsid w:val="008C1F16"/>
    <w:rsid w:val="008C5BF3"/>
    <w:rsid w:val="008D6C3F"/>
    <w:rsid w:val="008E0C05"/>
    <w:rsid w:val="009003F9"/>
    <w:rsid w:val="009025A3"/>
    <w:rsid w:val="0091245F"/>
    <w:rsid w:val="00931682"/>
    <w:rsid w:val="00957B26"/>
    <w:rsid w:val="009617F2"/>
    <w:rsid w:val="00981525"/>
    <w:rsid w:val="00991753"/>
    <w:rsid w:val="009A1F97"/>
    <w:rsid w:val="009B29A1"/>
    <w:rsid w:val="009B6B58"/>
    <w:rsid w:val="009D47FE"/>
    <w:rsid w:val="009F4DDE"/>
    <w:rsid w:val="00A14CF6"/>
    <w:rsid w:val="00A25D28"/>
    <w:rsid w:val="00A32F56"/>
    <w:rsid w:val="00A37143"/>
    <w:rsid w:val="00A41233"/>
    <w:rsid w:val="00A7204A"/>
    <w:rsid w:val="00A90B3E"/>
    <w:rsid w:val="00A910D1"/>
    <w:rsid w:val="00AB5EB3"/>
    <w:rsid w:val="00AD5FA0"/>
    <w:rsid w:val="00AE708B"/>
    <w:rsid w:val="00AF05E8"/>
    <w:rsid w:val="00B128B5"/>
    <w:rsid w:val="00B14887"/>
    <w:rsid w:val="00B1497A"/>
    <w:rsid w:val="00B24A62"/>
    <w:rsid w:val="00B31D46"/>
    <w:rsid w:val="00B3374C"/>
    <w:rsid w:val="00B3596D"/>
    <w:rsid w:val="00B42972"/>
    <w:rsid w:val="00B50B54"/>
    <w:rsid w:val="00B539F1"/>
    <w:rsid w:val="00B659A9"/>
    <w:rsid w:val="00B87D10"/>
    <w:rsid w:val="00B93D4E"/>
    <w:rsid w:val="00BA6115"/>
    <w:rsid w:val="00BB0223"/>
    <w:rsid w:val="00BB377A"/>
    <w:rsid w:val="00BB7555"/>
    <w:rsid w:val="00BC52F2"/>
    <w:rsid w:val="00BC73EE"/>
    <w:rsid w:val="00BD1384"/>
    <w:rsid w:val="00BE419A"/>
    <w:rsid w:val="00BE7B2B"/>
    <w:rsid w:val="00BF6216"/>
    <w:rsid w:val="00C0146A"/>
    <w:rsid w:val="00C04586"/>
    <w:rsid w:val="00C34BDA"/>
    <w:rsid w:val="00C40C7B"/>
    <w:rsid w:val="00C42900"/>
    <w:rsid w:val="00C76C7A"/>
    <w:rsid w:val="00C77625"/>
    <w:rsid w:val="00C81663"/>
    <w:rsid w:val="00C8228F"/>
    <w:rsid w:val="00C83C28"/>
    <w:rsid w:val="00CA7AA8"/>
    <w:rsid w:val="00CB0F88"/>
    <w:rsid w:val="00CB3835"/>
    <w:rsid w:val="00CC53C1"/>
    <w:rsid w:val="00CE5C21"/>
    <w:rsid w:val="00CF7B3D"/>
    <w:rsid w:val="00D04466"/>
    <w:rsid w:val="00D11EED"/>
    <w:rsid w:val="00D225EA"/>
    <w:rsid w:val="00D46DA5"/>
    <w:rsid w:val="00D521A1"/>
    <w:rsid w:val="00D71858"/>
    <w:rsid w:val="00DB491F"/>
    <w:rsid w:val="00DC075D"/>
    <w:rsid w:val="00DE0273"/>
    <w:rsid w:val="00DE4566"/>
    <w:rsid w:val="00E06D36"/>
    <w:rsid w:val="00E120E6"/>
    <w:rsid w:val="00E14356"/>
    <w:rsid w:val="00E26F01"/>
    <w:rsid w:val="00E27762"/>
    <w:rsid w:val="00E277CB"/>
    <w:rsid w:val="00E30CE8"/>
    <w:rsid w:val="00E37C46"/>
    <w:rsid w:val="00E4089D"/>
    <w:rsid w:val="00E45CC2"/>
    <w:rsid w:val="00E54DAF"/>
    <w:rsid w:val="00E61A96"/>
    <w:rsid w:val="00E66F74"/>
    <w:rsid w:val="00E67C18"/>
    <w:rsid w:val="00E86C09"/>
    <w:rsid w:val="00EA5073"/>
    <w:rsid w:val="00EB7F66"/>
    <w:rsid w:val="00EC5A7D"/>
    <w:rsid w:val="00ED09D0"/>
    <w:rsid w:val="00ED69BB"/>
    <w:rsid w:val="00EF2C9B"/>
    <w:rsid w:val="00F06FBC"/>
    <w:rsid w:val="00F35E36"/>
    <w:rsid w:val="00F36A68"/>
    <w:rsid w:val="00F51060"/>
    <w:rsid w:val="00F560F5"/>
    <w:rsid w:val="00F5672B"/>
    <w:rsid w:val="00F7696B"/>
    <w:rsid w:val="00F80E49"/>
    <w:rsid w:val="00F812F1"/>
    <w:rsid w:val="00F87E52"/>
    <w:rsid w:val="00F9185E"/>
    <w:rsid w:val="00F91934"/>
    <w:rsid w:val="00FA1413"/>
    <w:rsid w:val="00FA7D4D"/>
    <w:rsid w:val="00FB4838"/>
    <w:rsid w:val="00FB49A8"/>
    <w:rsid w:val="00FB4A84"/>
    <w:rsid w:val="00FB72E8"/>
    <w:rsid w:val="00FC02F6"/>
    <w:rsid w:val="00FC1022"/>
    <w:rsid w:val="00FC7A3E"/>
    <w:rsid w:val="00FC7AC1"/>
    <w:rsid w:val="00FC7C1B"/>
    <w:rsid w:val="00FE6826"/>
    <w:rsid w:val="00FF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jc w:val="both"/>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pPr>
      <w:tabs>
        <w:tab w:val="center" w:pos="4680"/>
        <w:tab w:val="right" w:pos="9360"/>
      </w:tabs>
    </w:pPr>
    <w:rPr>
      <w:b/>
    </w:rPr>
  </w:style>
  <w:style w:type="paragraph" w:styleId="Footer">
    <w:name w:val="footer"/>
    <w:basedOn w:val="Normal"/>
    <w:semiHidden/>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semiHidden/>
    <w:pPr>
      <w:spacing w:after="240"/>
      <w:ind w:left="1440" w:right="1440"/>
    </w:pPr>
  </w:style>
  <w:style w:type="paragraph" w:styleId="BodyTextIndent2">
    <w:name w:val="Body Text Indent 2"/>
    <w:basedOn w:val="Normal"/>
    <w:semiHidden/>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character" w:customStyle="1" w:styleId="Heading1Char">
    <w:name w:val="Heading 1 Char"/>
    <w:link w:val="Heading1"/>
    <w:rPr>
      <w:b/>
      <w:caps/>
      <w:snapToGrid w:val="0"/>
      <w:kern w:val="28"/>
      <w:sz w:val="22"/>
    </w:rPr>
  </w:style>
  <w:style w:type="character" w:styleId="Hyperlink">
    <w:name w:val="Hyperlink"/>
    <w:uiPriority w:val="99"/>
    <w:semiHidden/>
    <w:unhideWhenUsed/>
    <w:rPr>
      <w:color w:val="0000FF"/>
      <w:u w:val="single"/>
    </w:rPr>
  </w:style>
  <w:style w:type="character" w:customStyle="1" w:styleId="apple-converted-space">
    <w:name w:val="apple-converted-space"/>
  </w:style>
  <w:style w:type="character" w:customStyle="1" w:styleId="searchterm">
    <w:name w:val="searchterm"/>
  </w:style>
  <w:style w:type="paragraph" w:styleId="Caption">
    <w:name w:val="caption"/>
    <w:basedOn w:val="Normal"/>
    <w:next w:val="Normal"/>
    <w:qFormat/>
    <w:rsid w:val="00174E9B"/>
    <w:pPr>
      <w:widowControl/>
      <w:spacing w:before="120" w:after="120"/>
    </w:pPr>
    <w:rPr>
      <w:b/>
      <w:snapToGrid/>
      <w:kern w:val="0"/>
    </w:rPr>
  </w:style>
  <w:style w:type="character" w:styleId="CommentReference">
    <w:name w:val="annotation reference"/>
    <w:basedOn w:val="DefaultParagraphFont"/>
    <w:uiPriority w:val="99"/>
    <w:semiHidden/>
    <w:unhideWhenUsed/>
    <w:rsid w:val="00391F82"/>
    <w:rPr>
      <w:sz w:val="16"/>
      <w:szCs w:val="16"/>
    </w:rPr>
  </w:style>
  <w:style w:type="paragraph" w:styleId="CommentText">
    <w:name w:val="annotation text"/>
    <w:basedOn w:val="Normal"/>
    <w:link w:val="CommentTextChar"/>
    <w:uiPriority w:val="99"/>
    <w:semiHidden/>
    <w:unhideWhenUsed/>
    <w:rsid w:val="00391F82"/>
    <w:rPr>
      <w:sz w:val="20"/>
    </w:rPr>
  </w:style>
  <w:style w:type="character" w:customStyle="1" w:styleId="CommentTextChar">
    <w:name w:val="Comment Text Char"/>
    <w:basedOn w:val="DefaultParagraphFont"/>
    <w:link w:val="CommentText"/>
    <w:uiPriority w:val="99"/>
    <w:semiHidden/>
    <w:rsid w:val="00391F82"/>
    <w:rPr>
      <w:snapToGrid w:val="0"/>
      <w:kern w:val="28"/>
    </w:rPr>
  </w:style>
  <w:style w:type="paragraph" w:styleId="CommentSubject">
    <w:name w:val="annotation subject"/>
    <w:basedOn w:val="CommentText"/>
    <w:next w:val="CommentText"/>
    <w:link w:val="CommentSubjectChar"/>
    <w:uiPriority w:val="99"/>
    <w:semiHidden/>
    <w:unhideWhenUsed/>
    <w:rsid w:val="00391F82"/>
    <w:rPr>
      <w:b/>
      <w:bCs/>
    </w:rPr>
  </w:style>
  <w:style w:type="character" w:customStyle="1" w:styleId="CommentSubjectChar">
    <w:name w:val="Comment Subject Char"/>
    <w:basedOn w:val="CommentTextChar"/>
    <w:link w:val="CommentSubject"/>
    <w:uiPriority w:val="99"/>
    <w:semiHidden/>
    <w:rsid w:val="00391F82"/>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8"/>
      </w:numPr>
      <w:suppressAutoHyphens/>
      <w:spacing w:after="220"/>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jc w:val="both"/>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2"/>
      </w:numPr>
      <w:tabs>
        <w:tab w:val="left" w:pos="1440"/>
      </w:tabs>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link w:val="FootnoteTextChar2"/>
    <w:pPr>
      <w:tabs>
        <w:tab w:val="left" w:pos="720"/>
        <w:tab w:val="left" w:pos="1440"/>
      </w:tabs>
      <w:spacing w:after="200"/>
    </w:pPr>
  </w:style>
  <w:style w:type="character" w:styleId="FootnoteReference">
    <w:name w:val="footnote reference"/>
    <w:aliases w:val="Appel note de bas de p,Style 12,(NECG) Footnote Reference,Style 13,Style 124,fr,o,Style 3,FR,Style 17,Style 6,Footnote Reference/"/>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after="240"/>
      <w:ind w:left="720" w:right="720" w:hanging="720"/>
    </w:pPr>
  </w:style>
  <w:style w:type="paragraph" w:styleId="TOC2">
    <w:name w:val="toc 2"/>
    <w:basedOn w:val="Normal"/>
    <w:next w:val="Normal"/>
    <w:semiHidden/>
    <w:pPr>
      <w:tabs>
        <w:tab w:val="left" w:pos="1440"/>
        <w:tab w:val="right" w:leader="dot" w:pos="9360"/>
      </w:tabs>
      <w:suppressAutoHyphens/>
      <w:spacing w:after="240"/>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semiHidden/>
    <w:pPr>
      <w:tabs>
        <w:tab w:val="center" w:pos="4680"/>
        <w:tab w:val="right" w:pos="9360"/>
      </w:tabs>
    </w:pPr>
    <w:rPr>
      <w:b/>
    </w:rPr>
  </w:style>
  <w:style w:type="paragraph" w:styleId="Footer">
    <w:name w:val="footer"/>
    <w:basedOn w:val="Normal"/>
    <w:semiHidden/>
    <w:pPr>
      <w:tabs>
        <w:tab w:val="center" w:pos="4320"/>
        <w:tab w:val="right" w:pos="8640"/>
      </w:tabs>
    </w:pPr>
  </w:style>
  <w:style w:type="paragraph" w:styleId="Title">
    <w:name w:val="Title"/>
    <w:basedOn w:val="Normal"/>
    <w:next w:val="Heading1"/>
    <w:qFormat/>
    <w:pPr>
      <w:jc w:val="center"/>
      <w:outlineLvl w:val="0"/>
    </w:pPr>
    <w:rPr>
      <w:b/>
    </w:rPr>
  </w:style>
  <w:style w:type="paragraph" w:styleId="BlockText">
    <w:name w:val="Block Text"/>
    <w:basedOn w:val="Normal"/>
    <w:semiHidden/>
    <w:pPr>
      <w:spacing w:after="240"/>
      <w:ind w:left="1440" w:right="1440"/>
    </w:pPr>
  </w:style>
  <w:style w:type="paragraph" w:styleId="BodyTextIndent2">
    <w:name w:val="Body Text Indent 2"/>
    <w:basedOn w:val="Normal"/>
    <w:semiHidden/>
    <w:pPr>
      <w:tabs>
        <w:tab w:val="left" w:pos="720"/>
        <w:tab w:val="left" w:pos="1440"/>
        <w:tab w:val="left" w:pos="2160"/>
        <w:tab w:val="left" w:pos="2880"/>
        <w:tab w:val="left" w:pos="3600"/>
        <w:tab w:val="left" w:pos="5760"/>
      </w:tabs>
      <w:ind w:left="1440"/>
    </w:pPr>
    <w:rPr>
      <w:rFonts w:ascii="boldPS" w:hAnsi="boldPS"/>
      <w:kern w:val="0"/>
      <w:sz w:val="24"/>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BalloonText">
    <w:name w:val="Balloon Text"/>
    <w:basedOn w:val="Normal"/>
    <w:semiHidden/>
    <w:rPr>
      <w:rFonts w:ascii="Tahoma" w:hAnsi="Tahoma" w:cs="Tahoma"/>
      <w:sz w:val="16"/>
      <w:szCs w:val="16"/>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style>
  <w:style w:type="character" w:customStyle="1" w:styleId="Heading1Char">
    <w:name w:val="Heading 1 Char"/>
    <w:link w:val="Heading1"/>
    <w:rPr>
      <w:b/>
      <w:caps/>
      <w:snapToGrid w:val="0"/>
      <w:kern w:val="28"/>
      <w:sz w:val="22"/>
    </w:rPr>
  </w:style>
  <w:style w:type="character" w:styleId="Hyperlink">
    <w:name w:val="Hyperlink"/>
    <w:uiPriority w:val="99"/>
    <w:semiHidden/>
    <w:unhideWhenUsed/>
    <w:rPr>
      <w:color w:val="0000FF"/>
      <w:u w:val="single"/>
    </w:rPr>
  </w:style>
  <w:style w:type="character" w:customStyle="1" w:styleId="apple-converted-space">
    <w:name w:val="apple-converted-space"/>
  </w:style>
  <w:style w:type="character" w:customStyle="1" w:styleId="searchterm">
    <w:name w:val="searchterm"/>
  </w:style>
  <w:style w:type="paragraph" w:styleId="Caption">
    <w:name w:val="caption"/>
    <w:basedOn w:val="Normal"/>
    <w:next w:val="Normal"/>
    <w:qFormat/>
    <w:rsid w:val="00174E9B"/>
    <w:pPr>
      <w:widowControl/>
      <w:spacing w:before="120" w:after="120"/>
    </w:pPr>
    <w:rPr>
      <w:b/>
      <w:snapToGrid/>
      <w:kern w:val="0"/>
    </w:rPr>
  </w:style>
  <w:style w:type="character" w:styleId="CommentReference">
    <w:name w:val="annotation reference"/>
    <w:basedOn w:val="DefaultParagraphFont"/>
    <w:uiPriority w:val="99"/>
    <w:semiHidden/>
    <w:unhideWhenUsed/>
    <w:rsid w:val="00391F82"/>
    <w:rPr>
      <w:sz w:val="16"/>
      <w:szCs w:val="16"/>
    </w:rPr>
  </w:style>
  <w:style w:type="paragraph" w:styleId="CommentText">
    <w:name w:val="annotation text"/>
    <w:basedOn w:val="Normal"/>
    <w:link w:val="CommentTextChar"/>
    <w:uiPriority w:val="99"/>
    <w:semiHidden/>
    <w:unhideWhenUsed/>
    <w:rsid w:val="00391F82"/>
    <w:rPr>
      <w:sz w:val="20"/>
    </w:rPr>
  </w:style>
  <w:style w:type="character" w:customStyle="1" w:styleId="CommentTextChar">
    <w:name w:val="Comment Text Char"/>
    <w:basedOn w:val="DefaultParagraphFont"/>
    <w:link w:val="CommentText"/>
    <w:uiPriority w:val="99"/>
    <w:semiHidden/>
    <w:rsid w:val="00391F82"/>
    <w:rPr>
      <w:snapToGrid w:val="0"/>
      <w:kern w:val="28"/>
    </w:rPr>
  </w:style>
  <w:style w:type="paragraph" w:styleId="CommentSubject">
    <w:name w:val="annotation subject"/>
    <w:basedOn w:val="CommentText"/>
    <w:next w:val="CommentText"/>
    <w:link w:val="CommentSubjectChar"/>
    <w:uiPriority w:val="99"/>
    <w:semiHidden/>
    <w:unhideWhenUsed/>
    <w:rsid w:val="00391F82"/>
    <w:rPr>
      <w:b/>
      <w:bCs/>
    </w:rPr>
  </w:style>
  <w:style w:type="character" w:customStyle="1" w:styleId="CommentSubjectChar">
    <w:name w:val="Comment Subject Char"/>
    <w:basedOn w:val="CommentTextChar"/>
    <w:link w:val="CommentSubject"/>
    <w:uiPriority w:val="99"/>
    <w:semiHidden/>
    <w:rsid w:val="00391F8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2084">
      <w:bodyDiv w:val="1"/>
      <w:marLeft w:val="0"/>
      <w:marRight w:val="0"/>
      <w:marTop w:val="0"/>
      <w:marBottom w:val="0"/>
      <w:divBdr>
        <w:top w:val="none" w:sz="0" w:space="0" w:color="auto"/>
        <w:left w:val="none" w:sz="0" w:space="0" w:color="auto"/>
        <w:bottom w:val="none" w:sz="0" w:space="0" w:color="auto"/>
        <w:right w:val="none" w:sz="0" w:space="0" w:color="auto"/>
      </w:divBdr>
    </w:div>
    <w:div w:id="199439630">
      <w:bodyDiv w:val="1"/>
      <w:marLeft w:val="0"/>
      <w:marRight w:val="0"/>
      <w:marTop w:val="0"/>
      <w:marBottom w:val="0"/>
      <w:divBdr>
        <w:top w:val="none" w:sz="0" w:space="0" w:color="auto"/>
        <w:left w:val="none" w:sz="0" w:space="0" w:color="auto"/>
        <w:bottom w:val="none" w:sz="0" w:space="0" w:color="auto"/>
        <w:right w:val="none" w:sz="0" w:space="0" w:color="auto"/>
      </w:divBdr>
    </w:div>
    <w:div w:id="373428933">
      <w:bodyDiv w:val="1"/>
      <w:marLeft w:val="0"/>
      <w:marRight w:val="0"/>
      <w:marTop w:val="0"/>
      <w:marBottom w:val="0"/>
      <w:divBdr>
        <w:top w:val="none" w:sz="0" w:space="0" w:color="auto"/>
        <w:left w:val="none" w:sz="0" w:space="0" w:color="auto"/>
        <w:bottom w:val="none" w:sz="0" w:space="0" w:color="auto"/>
        <w:right w:val="none" w:sz="0" w:space="0" w:color="auto"/>
      </w:divBdr>
    </w:div>
    <w:div w:id="577642086">
      <w:bodyDiv w:val="1"/>
      <w:marLeft w:val="0"/>
      <w:marRight w:val="0"/>
      <w:marTop w:val="0"/>
      <w:marBottom w:val="0"/>
      <w:divBdr>
        <w:top w:val="none" w:sz="0" w:space="0" w:color="auto"/>
        <w:left w:val="none" w:sz="0" w:space="0" w:color="auto"/>
        <w:bottom w:val="none" w:sz="0" w:space="0" w:color="auto"/>
        <w:right w:val="none" w:sz="0" w:space="0" w:color="auto"/>
      </w:divBdr>
    </w:div>
    <w:div w:id="809521546">
      <w:bodyDiv w:val="1"/>
      <w:marLeft w:val="0"/>
      <w:marRight w:val="0"/>
      <w:marTop w:val="0"/>
      <w:marBottom w:val="0"/>
      <w:divBdr>
        <w:top w:val="none" w:sz="0" w:space="0" w:color="auto"/>
        <w:left w:val="none" w:sz="0" w:space="0" w:color="auto"/>
        <w:bottom w:val="none" w:sz="0" w:space="0" w:color="auto"/>
        <w:right w:val="none" w:sz="0" w:space="0" w:color="auto"/>
      </w:divBdr>
    </w:div>
    <w:div w:id="969436102">
      <w:bodyDiv w:val="1"/>
      <w:marLeft w:val="0"/>
      <w:marRight w:val="0"/>
      <w:marTop w:val="0"/>
      <w:marBottom w:val="0"/>
      <w:divBdr>
        <w:top w:val="none" w:sz="0" w:space="0" w:color="auto"/>
        <w:left w:val="none" w:sz="0" w:space="0" w:color="auto"/>
        <w:bottom w:val="none" w:sz="0" w:space="0" w:color="auto"/>
        <w:right w:val="none" w:sz="0" w:space="0" w:color="auto"/>
      </w:divBdr>
    </w:div>
    <w:div w:id="1042628811">
      <w:bodyDiv w:val="1"/>
      <w:marLeft w:val="0"/>
      <w:marRight w:val="0"/>
      <w:marTop w:val="0"/>
      <w:marBottom w:val="0"/>
      <w:divBdr>
        <w:top w:val="none" w:sz="0" w:space="0" w:color="auto"/>
        <w:left w:val="none" w:sz="0" w:space="0" w:color="auto"/>
        <w:bottom w:val="none" w:sz="0" w:space="0" w:color="auto"/>
        <w:right w:val="none" w:sz="0" w:space="0" w:color="auto"/>
      </w:divBdr>
    </w:div>
    <w:div w:id="1878161403">
      <w:bodyDiv w:val="1"/>
      <w:marLeft w:val="0"/>
      <w:marRight w:val="0"/>
      <w:marTop w:val="0"/>
      <w:marBottom w:val="0"/>
      <w:divBdr>
        <w:top w:val="none" w:sz="0" w:space="0" w:color="auto"/>
        <w:left w:val="none" w:sz="0" w:space="0" w:color="auto"/>
        <w:bottom w:val="none" w:sz="0" w:space="0" w:color="auto"/>
        <w:right w:val="none" w:sz="0" w:space="0" w:color="auto"/>
      </w:divBdr>
    </w:div>
    <w:div w:id="20179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2486</Words>
  <Characters>13342</Characters>
  <Application>Microsoft Office Word</Application>
  <DocSecurity>0</DocSecurity>
  <Lines>207</Lines>
  <Paragraphs>42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15937</CharactersWithSpaces>
  <SharedDoc>false</SharedDoc>
  <HyperlinkBase> </HyperlinkBase>
  <HLinks>
    <vt:vector size="6" baseType="variant">
      <vt:variant>
        <vt:i4>1638506</vt:i4>
      </vt:variant>
      <vt:variant>
        <vt:i4>0</vt:i4>
      </vt:variant>
      <vt:variant>
        <vt:i4>0</vt:i4>
      </vt:variant>
      <vt:variant>
        <vt:i4>5</vt:i4>
      </vt:variant>
      <vt:variant>
        <vt:lpwstr>http://web2.westlaw.com/find/default.wl?mt=26&amp;db=4493&amp;tc=-1&amp;rp=%2ffind%2fdefault.wl&amp;findtype=Y&amp;ordoc=2017198340&amp;serialnum=1997264749&amp;vr=2.0&amp;fn=_top&amp;sv=Split&amp;tf=-1&amp;pbc=0C5E71AF&amp;rs=WLW12.10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2012-12-18T15:09:00Z</cp:lastPrinted>
  <dcterms:created xsi:type="dcterms:W3CDTF">2014-06-05T18:58:00Z</dcterms:created>
  <dcterms:modified xsi:type="dcterms:W3CDTF">2014-06-05T18:58:00Z</dcterms:modified>
  <cp:category> </cp:category>
  <cp:contentStatus> </cp:contentStatus>
</cp:coreProperties>
</file>