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289" w:rsidRDefault="00600289">
      <w:pPr>
        <w:rPr>
          <w:b/>
        </w:rPr>
      </w:pPr>
      <w:bookmarkStart w:id="0" w:name="_GoBack"/>
      <w:bookmarkEnd w:id="0"/>
      <w:r>
        <w:t xml:space="preserve">                                                                                                                                                                      </w:t>
      </w:r>
      <w:r>
        <w:tab/>
      </w:r>
      <w:r>
        <w:tab/>
      </w:r>
      <w:r>
        <w:tab/>
      </w:r>
      <w:r>
        <w:tab/>
      </w:r>
      <w:r>
        <w:tab/>
      </w:r>
      <w:r>
        <w:tab/>
      </w:r>
      <w:r>
        <w:tab/>
      </w:r>
      <w:r>
        <w:tab/>
      </w:r>
      <w:r>
        <w:tab/>
      </w:r>
      <w:r>
        <w:tab/>
      </w:r>
      <w:r>
        <w:tab/>
      </w:r>
      <w:r>
        <w:tab/>
      </w:r>
      <w:r>
        <w:tab/>
      </w:r>
      <w:r>
        <w:tab/>
      </w:r>
      <w:r w:rsidR="00375F6B">
        <w:rPr>
          <w:b/>
        </w:rPr>
        <w:t>DA 14</w:t>
      </w:r>
      <w:r>
        <w:rPr>
          <w:b/>
        </w:rPr>
        <w:t>-</w:t>
      </w:r>
      <w:r w:rsidR="00B001D7">
        <w:rPr>
          <w:b/>
        </w:rPr>
        <w:t>784</w:t>
      </w:r>
    </w:p>
    <w:p w:rsidR="00600289" w:rsidRDefault="00600289">
      <w:pPr>
        <w:rPr>
          <w:b/>
        </w:rPr>
        <w:sectPr w:rsidR="0060028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Released </w:t>
      </w:r>
      <w:r w:rsidR="00B001D7">
        <w:rPr>
          <w:b/>
        </w:rPr>
        <w:t>June 6</w:t>
      </w:r>
      <w:r w:rsidR="00375F6B">
        <w:rPr>
          <w:b/>
        </w:rPr>
        <w:t>, 2014</w:t>
      </w:r>
    </w:p>
    <w:p w:rsidR="00600289" w:rsidRDefault="00600289">
      <w:pPr>
        <w:rPr>
          <w:b/>
        </w:rPr>
      </w:pPr>
    </w:p>
    <w:p w:rsidR="00600289" w:rsidRDefault="00600289">
      <w:pPr>
        <w:rPr>
          <w:b/>
        </w:rPr>
      </w:pPr>
      <w:r>
        <w:rPr>
          <w:b/>
        </w:rPr>
        <w:tab/>
      </w:r>
      <w:r>
        <w:rPr>
          <w:b/>
        </w:rPr>
        <w:tab/>
      </w:r>
      <w:r>
        <w:rPr>
          <w:b/>
        </w:rPr>
        <w:tab/>
      </w:r>
      <w:r>
        <w:rPr>
          <w:b/>
        </w:rPr>
        <w:tab/>
      </w:r>
      <w:r>
        <w:rPr>
          <w:b/>
        </w:rPr>
        <w:tab/>
      </w:r>
      <w:r>
        <w:rPr>
          <w:b/>
        </w:rPr>
        <w:tab/>
      </w:r>
      <w:r>
        <w:rPr>
          <w:b/>
        </w:rPr>
        <w:tab/>
      </w:r>
    </w:p>
    <w:p w:rsidR="00600289" w:rsidRDefault="00600289">
      <w:pPr>
        <w:jc w:val="center"/>
        <w:rPr>
          <w:b/>
          <w:szCs w:val="22"/>
        </w:rPr>
      </w:pPr>
      <w:r>
        <w:rPr>
          <w:b/>
          <w:szCs w:val="22"/>
        </w:rPr>
        <w:t xml:space="preserve">CHAIRMAN </w:t>
      </w:r>
      <w:r w:rsidR="006A627E">
        <w:rPr>
          <w:b/>
          <w:szCs w:val="22"/>
        </w:rPr>
        <w:t xml:space="preserve">WHEELER </w:t>
      </w:r>
      <w:r>
        <w:rPr>
          <w:b/>
          <w:szCs w:val="22"/>
        </w:rPr>
        <w:t xml:space="preserve">ANNOUNCES </w:t>
      </w:r>
    </w:p>
    <w:p w:rsidR="00600289" w:rsidRDefault="00600289">
      <w:pPr>
        <w:jc w:val="center"/>
        <w:rPr>
          <w:b/>
          <w:szCs w:val="22"/>
        </w:rPr>
      </w:pPr>
      <w:r>
        <w:rPr>
          <w:b/>
          <w:szCs w:val="22"/>
        </w:rPr>
        <w:t xml:space="preserve">INTERGOVERNMENTAL ADVISORY COMMITTEE MEMBERS   </w:t>
      </w:r>
    </w:p>
    <w:p w:rsidR="00600289" w:rsidRDefault="00600289">
      <w:pPr>
        <w:jc w:val="center"/>
        <w:rPr>
          <w:b/>
          <w:szCs w:val="22"/>
        </w:rPr>
      </w:pPr>
    </w:p>
    <w:p w:rsidR="00600289" w:rsidRDefault="00600289">
      <w:pPr>
        <w:rPr>
          <w:szCs w:val="22"/>
        </w:rPr>
      </w:pPr>
      <w:r>
        <w:rPr>
          <w:szCs w:val="22"/>
        </w:rPr>
        <w:tab/>
        <w:t xml:space="preserve">Chairman </w:t>
      </w:r>
      <w:r w:rsidR="001840AD">
        <w:rPr>
          <w:szCs w:val="22"/>
        </w:rPr>
        <w:t>Tom Wheeler</w:t>
      </w:r>
      <w:r>
        <w:rPr>
          <w:szCs w:val="22"/>
        </w:rPr>
        <w:t xml:space="preserve"> today announced members of the FCC’s Intergovernmental Advisory Committee (IAC)</w:t>
      </w:r>
      <w:r w:rsidR="00E33B73">
        <w:rPr>
          <w:szCs w:val="22"/>
        </w:rPr>
        <w:t xml:space="preserve"> for 2014-2016</w:t>
      </w:r>
      <w:r>
        <w:rPr>
          <w:szCs w:val="22"/>
        </w:rPr>
        <w:t>. The IAC</w:t>
      </w:r>
      <w:r>
        <w:rPr>
          <w:color w:val="010101"/>
          <w:szCs w:val="22"/>
        </w:rPr>
        <w:t xml:space="preserve"> provides</w:t>
      </w:r>
      <w:r w:rsidR="00E33B73">
        <w:rPr>
          <w:color w:val="010101"/>
          <w:szCs w:val="22"/>
        </w:rPr>
        <w:t xml:space="preserve"> policy</w:t>
      </w:r>
      <w:r>
        <w:rPr>
          <w:color w:val="010101"/>
          <w:szCs w:val="22"/>
        </w:rPr>
        <w:t xml:space="preserve"> guidance, expertise, and recommendations to the Commission </w:t>
      </w:r>
      <w:r>
        <w:rPr>
          <w:szCs w:val="22"/>
        </w:rPr>
        <w:t>on a range of communication</w:t>
      </w:r>
      <w:r w:rsidR="0073149D">
        <w:rPr>
          <w:szCs w:val="22"/>
        </w:rPr>
        <w:t>s</w:t>
      </w:r>
      <w:r>
        <w:rPr>
          <w:szCs w:val="22"/>
        </w:rPr>
        <w:t xml:space="preserve"> issues for which lo</w:t>
      </w:r>
      <w:r w:rsidR="001840AD">
        <w:rPr>
          <w:szCs w:val="22"/>
        </w:rPr>
        <w:t xml:space="preserve">cal, state, and </w:t>
      </w:r>
      <w:r>
        <w:rPr>
          <w:szCs w:val="22"/>
        </w:rPr>
        <w:t xml:space="preserve">Tribal </w:t>
      </w:r>
      <w:r w:rsidR="0053311E">
        <w:rPr>
          <w:szCs w:val="22"/>
        </w:rPr>
        <w:t>governments share</w:t>
      </w:r>
      <w:r>
        <w:rPr>
          <w:szCs w:val="22"/>
        </w:rPr>
        <w:t xml:space="preserve"> responsibility or administration with the Commission.  </w:t>
      </w:r>
    </w:p>
    <w:p w:rsidR="00600289" w:rsidRDefault="00600289">
      <w:pPr>
        <w:rPr>
          <w:szCs w:val="22"/>
        </w:rPr>
      </w:pPr>
    </w:p>
    <w:p w:rsidR="00600289" w:rsidRDefault="00600289">
      <w:pPr>
        <w:rPr>
          <w:b/>
          <w:szCs w:val="22"/>
        </w:rPr>
      </w:pPr>
      <w:r>
        <w:rPr>
          <w:b/>
          <w:szCs w:val="22"/>
        </w:rPr>
        <w:t>BACKGROUND</w:t>
      </w:r>
      <w:r w:rsidR="0073149D">
        <w:rPr>
          <w:b/>
          <w:szCs w:val="22"/>
        </w:rPr>
        <w:t xml:space="preserve"> AND MISSION</w:t>
      </w:r>
    </w:p>
    <w:p w:rsidR="00600289" w:rsidRDefault="00600289">
      <w:pPr>
        <w:rPr>
          <w:szCs w:val="22"/>
        </w:rPr>
      </w:pPr>
    </w:p>
    <w:p w:rsidR="00600289" w:rsidRDefault="00600289">
      <w:pPr>
        <w:autoSpaceDE w:val="0"/>
        <w:autoSpaceDN w:val="0"/>
        <w:adjustRightInd w:val="0"/>
        <w:rPr>
          <w:color w:val="010101"/>
          <w:szCs w:val="22"/>
        </w:rPr>
      </w:pPr>
      <w:r>
        <w:rPr>
          <w:szCs w:val="22"/>
        </w:rPr>
        <w:tab/>
      </w:r>
      <w:r w:rsidR="0053311E">
        <w:rPr>
          <w:szCs w:val="22"/>
        </w:rPr>
        <w:t>On October 29, 2013, t</w:t>
      </w:r>
      <w:r>
        <w:rPr>
          <w:szCs w:val="22"/>
        </w:rPr>
        <w:t>he Commission announced the reauthorization of the IAC</w:t>
      </w:r>
      <w:r w:rsidR="0053311E">
        <w:rPr>
          <w:szCs w:val="22"/>
        </w:rPr>
        <w:t xml:space="preserve">, sought </w:t>
      </w:r>
      <w:r w:rsidR="0053311E">
        <w:rPr>
          <w:color w:val="010101"/>
          <w:szCs w:val="22"/>
        </w:rPr>
        <w:t xml:space="preserve">nominations for membership, and </w:t>
      </w:r>
      <w:r>
        <w:rPr>
          <w:szCs w:val="22"/>
        </w:rPr>
        <w:t>noted that it would announce the members of the IAC at a later date.</w:t>
      </w:r>
      <w:r>
        <w:rPr>
          <w:rStyle w:val="FootnoteReference"/>
          <w:szCs w:val="22"/>
        </w:rPr>
        <w:footnoteReference w:id="1"/>
      </w:r>
      <w:r>
        <w:rPr>
          <w:color w:val="010101"/>
          <w:szCs w:val="22"/>
        </w:rPr>
        <w:t xml:space="preserve"> </w:t>
      </w:r>
      <w:r w:rsidR="0065797B">
        <w:rPr>
          <w:color w:val="010101"/>
          <w:szCs w:val="22"/>
        </w:rPr>
        <w:t xml:space="preserve"> </w:t>
      </w:r>
      <w:r w:rsidR="00F82F4F">
        <w:rPr>
          <w:color w:val="010101"/>
          <w:szCs w:val="22"/>
        </w:rPr>
        <w:t xml:space="preserve"> </w:t>
      </w:r>
      <w:r>
        <w:rPr>
          <w:szCs w:val="22"/>
        </w:rPr>
        <w:t xml:space="preserve">           </w:t>
      </w:r>
      <w:r>
        <w:rPr>
          <w:color w:val="010101"/>
          <w:szCs w:val="22"/>
        </w:rPr>
        <w:t>The term of the pr</w:t>
      </w:r>
      <w:r w:rsidR="0065797B">
        <w:rPr>
          <w:color w:val="010101"/>
          <w:szCs w:val="22"/>
        </w:rPr>
        <w:t xml:space="preserve">evious IAC expired on December </w:t>
      </w:r>
      <w:r w:rsidR="004F7ED9">
        <w:rPr>
          <w:color w:val="010101"/>
          <w:szCs w:val="22"/>
        </w:rPr>
        <w:t>2, 2013</w:t>
      </w:r>
      <w:r>
        <w:rPr>
          <w:color w:val="010101"/>
          <w:szCs w:val="22"/>
        </w:rPr>
        <w:t>.  The term of operations of the reauthorized IAC will be limited to two years, with an option for reauthorization at the end of the two-year period.</w:t>
      </w:r>
      <w:r w:rsidR="00F07ECA">
        <w:rPr>
          <w:rStyle w:val="FootnoteReference"/>
          <w:color w:val="010101"/>
          <w:szCs w:val="22"/>
        </w:rPr>
        <w:footnoteReference w:id="2"/>
      </w:r>
      <w:r w:rsidR="005C19DE">
        <w:rPr>
          <w:color w:val="010101"/>
          <w:szCs w:val="22"/>
        </w:rPr>
        <w:t xml:space="preserve">  </w:t>
      </w:r>
      <w:r>
        <w:rPr>
          <w:color w:val="010101"/>
          <w:szCs w:val="22"/>
        </w:rPr>
        <w:t>The term will commence with the</w:t>
      </w:r>
      <w:r w:rsidR="00E33B73">
        <w:rPr>
          <w:color w:val="010101"/>
          <w:szCs w:val="22"/>
        </w:rPr>
        <w:t xml:space="preserve"> new</w:t>
      </w:r>
      <w:r>
        <w:rPr>
          <w:color w:val="010101"/>
          <w:szCs w:val="22"/>
        </w:rPr>
        <w:t xml:space="preserve"> IAC’s first meeting on</w:t>
      </w:r>
      <w:r w:rsidR="00537423">
        <w:rPr>
          <w:color w:val="010101"/>
          <w:szCs w:val="22"/>
        </w:rPr>
        <w:t xml:space="preserve"> July 14</w:t>
      </w:r>
      <w:r w:rsidR="00BD6EB7">
        <w:rPr>
          <w:color w:val="010101"/>
          <w:szCs w:val="22"/>
        </w:rPr>
        <w:t>-15, 2014</w:t>
      </w:r>
      <w:r>
        <w:rPr>
          <w:color w:val="010101"/>
          <w:szCs w:val="22"/>
        </w:rPr>
        <w:t xml:space="preserve"> at the Commission’s headquarters in Washington, DC.</w:t>
      </w:r>
      <w:r>
        <w:rPr>
          <w:rStyle w:val="FootnoteReference"/>
          <w:color w:val="010101"/>
          <w:szCs w:val="22"/>
        </w:rPr>
        <w:footnoteReference w:id="3"/>
      </w:r>
      <w:r w:rsidR="00D672AF">
        <w:rPr>
          <w:szCs w:val="22"/>
        </w:rPr>
        <w:t xml:space="preserve">  We expect that the 2014-2016 IAC will focus on the role of state, local</w:t>
      </w:r>
      <w:r w:rsidR="0059237A">
        <w:rPr>
          <w:szCs w:val="22"/>
        </w:rPr>
        <w:t>,</w:t>
      </w:r>
      <w:r w:rsidR="00D672AF">
        <w:rPr>
          <w:szCs w:val="22"/>
        </w:rPr>
        <w:t xml:space="preserve"> and Tribal governments in facilitating technology transitions, broadband deployment and adoption, E-rate modernization, and public safety issues</w:t>
      </w:r>
      <w:r w:rsidR="0059237A">
        <w:rPr>
          <w:szCs w:val="22"/>
        </w:rPr>
        <w:t>.</w:t>
      </w:r>
    </w:p>
    <w:p w:rsidR="00012C19" w:rsidRDefault="00012C19" w:rsidP="00012C19">
      <w:pPr>
        <w:rPr>
          <w:b/>
          <w:szCs w:val="22"/>
        </w:rPr>
      </w:pPr>
    </w:p>
    <w:p w:rsidR="00600289" w:rsidRDefault="00600289" w:rsidP="00012C19">
      <w:pPr>
        <w:rPr>
          <w:b/>
          <w:szCs w:val="22"/>
        </w:rPr>
      </w:pPr>
      <w:r>
        <w:rPr>
          <w:b/>
          <w:szCs w:val="22"/>
        </w:rPr>
        <w:t>MEMBERSHIP</w:t>
      </w:r>
    </w:p>
    <w:p w:rsidR="00600289" w:rsidRDefault="00600289">
      <w:pPr>
        <w:rPr>
          <w:szCs w:val="22"/>
        </w:rPr>
      </w:pPr>
    </w:p>
    <w:p w:rsidR="00970913" w:rsidRDefault="00600289" w:rsidP="00537423">
      <w:r>
        <w:rPr>
          <w:szCs w:val="22"/>
        </w:rPr>
        <w:tab/>
        <w:t>IAC membership is comprised of</w:t>
      </w:r>
      <w:r w:rsidR="00F82F4F">
        <w:rPr>
          <w:szCs w:val="22"/>
        </w:rPr>
        <w:t xml:space="preserve"> </w:t>
      </w:r>
      <w:r>
        <w:rPr>
          <w:szCs w:val="22"/>
        </w:rPr>
        <w:t>representatives of local, state</w:t>
      </w:r>
      <w:r w:rsidR="0059237A">
        <w:rPr>
          <w:szCs w:val="22"/>
        </w:rPr>
        <w:t>,</w:t>
      </w:r>
      <w:r>
        <w:rPr>
          <w:szCs w:val="22"/>
        </w:rPr>
        <w:t xml:space="preserve"> and Tribal governments </w:t>
      </w:r>
      <w:r w:rsidR="00F82F4F">
        <w:rPr>
          <w:szCs w:val="22"/>
        </w:rPr>
        <w:t>with</w:t>
      </w:r>
      <w:r>
        <w:rPr>
          <w:szCs w:val="22"/>
        </w:rPr>
        <w:t xml:space="preserve"> expertise in communications policy</w:t>
      </w:r>
      <w:r w:rsidR="00F82F4F">
        <w:rPr>
          <w:szCs w:val="22"/>
        </w:rPr>
        <w:t xml:space="preserve">. </w:t>
      </w:r>
      <w:r w:rsidR="0053311E">
        <w:rPr>
          <w:szCs w:val="22"/>
        </w:rPr>
        <w:t xml:space="preserve"> </w:t>
      </w:r>
      <w:r w:rsidRPr="00263135">
        <w:rPr>
          <w:color w:val="010101"/>
          <w:szCs w:val="22"/>
        </w:rPr>
        <w:t xml:space="preserve">The Commission’s rules specify IAC membership in the following categories: four elected municipal officials (city mayors and city council members);  two elected county officials (county commissioners or council members);  one elected or appointed local government attorney; one elected state executive (governor or lieutenant governor); three elected state legislators; one elected or appointed public utilities or public service commissioner; and three elected or appointed </w:t>
      </w:r>
      <w:r w:rsidR="0073149D">
        <w:rPr>
          <w:color w:val="010101"/>
          <w:szCs w:val="22"/>
        </w:rPr>
        <w:t xml:space="preserve">Native American </w:t>
      </w:r>
      <w:r w:rsidRPr="00263135">
        <w:rPr>
          <w:color w:val="010101"/>
          <w:szCs w:val="22"/>
        </w:rPr>
        <w:t>Tribal</w:t>
      </w:r>
      <w:r>
        <w:rPr>
          <w:color w:val="010101"/>
          <w:szCs w:val="22"/>
        </w:rPr>
        <w:t xml:space="preserve"> </w:t>
      </w:r>
      <w:r w:rsidRPr="00970913">
        <w:rPr>
          <w:color w:val="010101"/>
          <w:szCs w:val="22"/>
        </w:rPr>
        <w:t>representatives.</w:t>
      </w:r>
      <w:r w:rsidRPr="00970913">
        <w:rPr>
          <w:rStyle w:val="FootnoteReference"/>
          <w:color w:val="010101"/>
          <w:szCs w:val="22"/>
        </w:rPr>
        <w:footnoteReference w:id="4"/>
      </w:r>
      <w:r w:rsidR="005C19DE" w:rsidRPr="00970913">
        <w:rPr>
          <w:color w:val="010101"/>
          <w:szCs w:val="22"/>
        </w:rPr>
        <w:t xml:space="preserve"> </w:t>
      </w:r>
      <w:r w:rsidR="00537423">
        <w:rPr>
          <w:color w:val="010101"/>
          <w:szCs w:val="22"/>
        </w:rPr>
        <w:t xml:space="preserve"> </w:t>
      </w:r>
      <w:r w:rsidR="007A02D4">
        <w:rPr>
          <w:color w:val="010101"/>
          <w:szCs w:val="22"/>
        </w:rPr>
        <w:t>T</w:t>
      </w:r>
      <w:r w:rsidR="005C19DE" w:rsidRPr="00970913">
        <w:t>he Consumer and Governmental Affairs Bureau (CGB</w:t>
      </w:r>
      <w:r w:rsidR="00012C19">
        <w:t>)</w:t>
      </w:r>
      <w:r w:rsidR="001A34F6" w:rsidRPr="00970913">
        <w:t xml:space="preserve"> </w:t>
      </w:r>
      <w:r w:rsidR="005C19DE" w:rsidRPr="00970913">
        <w:t>waive</w:t>
      </w:r>
      <w:r w:rsidR="0053311E" w:rsidRPr="00970913">
        <w:t>s</w:t>
      </w:r>
      <w:r w:rsidR="00A16F54" w:rsidRPr="00970913">
        <w:t xml:space="preserve"> </w:t>
      </w:r>
      <w:r w:rsidR="001A34F6" w:rsidRPr="00970913">
        <w:rPr>
          <w:color w:val="010101"/>
          <w:szCs w:val="22"/>
        </w:rPr>
        <w:t xml:space="preserve">the </w:t>
      </w:r>
      <w:r w:rsidR="007A02D4">
        <w:rPr>
          <w:color w:val="010101"/>
          <w:szCs w:val="22"/>
        </w:rPr>
        <w:lastRenderedPageBreak/>
        <w:t xml:space="preserve">limitation on the number of municipal officials </w:t>
      </w:r>
      <w:r w:rsidR="007B0A85" w:rsidRPr="00970913">
        <w:rPr>
          <w:color w:val="010101"/>
          <w:szCs w:val="22"/>
        </w:rPr>
        <w:t xml:space="preserve">to allow five municipal officials </w:t>
      </w:r>
      <w:r w:rsidR="007A02D4">
        <w:rPr>
          <w:color w:val="010101"/>
          <w:szCs w:val="22"/>
        </w:rPr>
        <w:t xml:space="preserve">to serve on the IAC </w:t>
      </w:r>
      <w:r w:rsidR="007B0A85" w:rsidRPr="00970913">
        <w:rPr>
          <w:color w:val="010101"/>
          <w:szCs w:val="22"/>
        </w:rPr>
        <w:t>instead of four</w:t>
      </w:r>
      <w:r w:rsidR="007A02D4">
        <w:rPr>
          <w:color w:val="010101"/>
          <w:szCs w:val="22"/>
        </w:rPr>
        <w:t>,</w:t>
      </w:r>
      <w:r w:rsidR="007B0A85" w:rsidRPr="00970913">
        <w:rPr>
          <w:color w:val="010101"/>
          <w:szCs w:val="22"/>
        </w:rPr>
        <w:t xml:space="preserve"> as specified</w:t>
      </w:r>
      <w:r w:rsidR="008B4150" w:rsidRPr="00970913">
        <w:rPr>
          <w:color w:val="010101"/>
          <w:szCs w:val="22"/>
        </w:rPr>
        <w:t xml:space="preserve"> under the Commission’s rules</w:t>
      </w:r>
      <w:r w:rsidR="007B0A85" w:rsidRPr="00970913">
        <w:rPr>
          <w:color w:val="010101"/>
          <w:szCs w:val="22"/>
        </w:rPr>
        <w:t>.</w:t>
      </w:r>
      <w:r w:rsidR="00012C19">
        <w:rPr>
          <w:rStyle w:val="FootnoteReference"/>
          <w:color w:val="010101"/>
          <w:szCs w:val="22"/>
        </w:rPr>
        <w:footnoteReference w:id="5"/>
      </w:r>
      <w:r w:rsidR="00970913" w:rsidRPr="00970913">
        <w:rPr>
          <w:color w:val="010101"/>
          <w:szCs w:val="22"/>
        </w:rPr>
        <w:t xml:space="preserve">  </w:t>
      </w:r>
      <w:r w:rsidR="007A02D4">
        <w:rPr>
          <w:color w:val="010101"/>
          <w:szCs w:val="22"/>
        </w:rPr>
        <w:t>We find good cause to grant the</w:t>
      </w:r>
      <w:r w:rsidR="00970913" w:rsidRPr="00970913">
        <w:t xml:space="preserve"> waiver </w:t>
      </w:r>
      <w:r w:rsidR="007A02D4">
        <w:t xml:space="preserve">because of the unusually large number of qualified applicants, and granting this waiver </w:t>
      </w:r>
      <w:r w:rsidR="00970913" w:rsidRPr="00970913">
        <w:t>allows us to benefit from the input of a</w:t>
      </w:r>
      <w:r w:rsidR="0073149D">
        <w:t xml:space="preserve"> </w:t>
      </w:r>
      <w:r w:rsidR="00970913" w:rsidRPr="00970913">
        <w:t>more geographically diverse members</w:t>
      </w:r>
      <w:r w:rsidR="00263135">
        <w:t>hip</w:t>
      </w:r>
      <w:r w:rsidR="00970913" w:rsidRPr="007A334F">
        <w:t xml:space="preserve">, while maintaining </w:t>
      </w:r>
      <w:r w:rsidR="007A02D4">
        <w:t>a reasonable size and balance of voices</w:t>
      </w:r>
      <w:r w:rsidR="004B6D8A">
        <w:t xml:space="preserve"> on the committee</w:t>
      </w:r>
      <w:r w:rsidR="00970913" w:rsidRPr="007A334F">
        <w:t>.</w:t>
      </w:r>
      <w:r w:rsidR="007A02D4">
        <w:rPr>
          <w:rStyle w:val="FootnoteReference"/>
        </w:rPr>
        <w:footnoteReference w:id="6"/>
      </w:r>
    </w:p>
    <w:p w:rsidR="00537423" w:rsidRPr="00970913" w:rsidRDefault="00537423" w:rsidP="00537423"/>
    <w:p w:rsidR="00600289" w:rsidRDefault="00600289">
      <w:pPr>
        <w:spacing w:after="240"/>
        <w:rPr>
          <w:szCs w:val="22"/>
        </w:rPr>
      </w:pPr>
      <w:r>
        <w:rPr>
          <w:szCs w:val="22"/>
        </w:rPr>
        <w:t xml:space="preserve">          Chairman </w:t>
      </w:r>
      <w:r w:rsidR="00A67730">
        <w:rPr>
          <w:szCs w:val="22"/>
        </w:rPr>
        <w:t>Wheeler</w:t>
      </w:r>
      <w:r w:rsidR="003E0AF0">
        <w:rPr>
          <w:szCs w:val="22"/>
        </w:rPr>
        <w:t xml:space="preserve"> today announced that Gary Resnick, Mayor, Wilton Manors, F</w:t>
      </w:r>
      <w:r w:rsidR="00A2362B">
        <w:rPr>
          <w:szCs w:val="22"/>
        </w:rPr>
        <w:t>lorida</w:t>
      </w:r>
      <w:r w:rsidR="00A67730">
        <w:rPr>
          <w:szCs w:val="22"/>
        </w:rPr>
        <w:t xml:space="preserve"> </w:t>
      </w:r>
      <w:r>
        <w:rPr>
          <w:szCs w:val="22"/>
        </w:rPr>
        <w:t>will</w:t>
      </w:r>
      <w:r w:rsidR="003E0AF0">
        <w:rPr>
          <w:szCs w:val="22"/>
        </w:rPr>
        <w:t xml:space="preserve"> be the Chair of the 2014-2016 IAC and  Bill de Blasio, Mayor, New York</w:t>
      </w:r>
      <w:r w:rsidR="00537423">
        <w:rPr>
          <w:szCs w:val="22"/>
        </w:rPr>
        <w:t xml:space="preserve"> City, N</w:t>
      </w:r>
      <w:r w:rsidR="00BD6EB7">
        <w:rPr>
          <w:szCs w:val="22"/>
        </w:rPr>
        <w:t>ew York</w:t>
      </w:r>
      <w:r w:rsidR="003E0AF0">
        <w:rPr>
          <w:szCs w:val="22"/>
        </w:rPr>
        <w:t>, will be the Vice Chair</w:t>
      </w:r>
      <w:r w:rsidR="0073149D">
        <w:rPr>
          <w:szCs w:val="22"/>
        </w:rPr>
        <w:t xml:space="preserve">.  </w:t>
      </w:r>
      <w:r>
        <w:rPr>
          <w:szCs w:val="22"/>
        </w:rPr>
        <w:t>He</w:t>
      </w:r>
      <w:r w:rsidR="003E0AF0">
        <w:rPr>
          <w:szCs w:val="22"/>
        </w:rPr>
        <w:t xml:space="preserve"> also</w:t>
      </w:r>
      <w:r>
        <w:rPr>
          <w:szCs w:val="22"/>
        </w:rPr>
        <w:t xml:space="preserve"> announce</w:t>
      </w:r>
      <w:r w:rsidR="003E0AF0">
        <w:rPr>
          <w:szCs w:val="22"/>
        </w:rPr>
        <w:t>d</w:t>
      </w:r>
      <w:r>
        <w:rPr>
          <w:szCs w:val="22"/>
        </w:rPr>
        <w:t xml:space="preserve"> today the members of the IAC in each respective category, as follows: </w:t>
      </w:r>
    </w:p>
    <w:p w:rsidR="00680B71" w:rsidRDefault="00680B71">
      <w:pPr>
        <w:pStyle w:val="Header"/>
        <w:tabs>
          <w:tab w:val="clear" w:pos="4320"/>
          <w:tab w:val="clear" w:pos="8640"/>
          <w:tab w:val="left" w:pos="720"/>
          <w:tab w:val="right" w:pos="9346"/>
        </w:tabs>
        <w:rPr>
          <w:b/>
          <w:szCs w:val="22"/>
        </w:rPr>
      </w:pPr>
    </w:p>
    <w:p w:rsidR="00600289" w:rsidRDefault="00537423">
      <w:pPr>
        <w:pStyle w:val="Header"/>
        <w:tabs>
          <w:tab w:val="clear" w:pos="4320"/>
          <w:tab w:val="clear" w:pos="8640"/>
          <w:tab w:val="left" w:pos="720"/>
          <w:tab w:val="right" w:pos="9346"/>
        </w:tabs>
        <w:rPr>
          <w:b/>
          <w:szCs w:val="22"/>
        </w:rPr>
      </w:pPr>
      <w:r>
        <w:rPr>
          <w:b/>
          <w:szCs w:val="22"/>
        </w:rPr>
        <w:t>Municipal</w:t>
      </w:r>
      <w:r w:rsidR="00600289">
        <w:rPr>
          <w:b/>
          <w:szCs w:val="22"/>
        </w:rPr>
        <w:t xml:space="preserve"> Representatives (</w:t>
      </w:r>
      <w:r w:rsidR="0053311E">
        <w:rPr>
          <w:b/>
          <w:szCs w:val="22"/>
        </w:rPr>
        <w:t>5</w:t>
      </w:r>
      <w:r w:rsidR="00600289">
        <w:rPr>
          <w:b/>
          <w:szCs w:val="22"/>
        </w:rPr>
        <w:t>)</w:t>
      </w:r>
    </w:p>
    <w:p w:rsidR="00600289" w:rsidRDefault="00600289">
      <w:pPr>
        <w:pStyle w:val="Header"/>
        <w:tabs>
          <w:tab w:val="clear" w:pos="4320"/>
          <w:tab w:val="clear" w:pos="8640"/>
          <w:tab w:val="right" w:pos="720"/>
          <w:tab w:val="right" w:pos="9346"/>
        </w:tabs>
        <w:rPr>
          <w:b/>
          <w:szCs w:val="22"/>
        </w:rPr>
      </w:pPr>
    </w:p>
    <w:p w:rsidR="0090460C" w:rsidRDefault="00600289" w:rsidP="0090460C">
      <w:pPr>
        <w:ind w:left="360"/>
        <w:rPr>
          <w:szCs w:val="22"/>
        </w:rPr>
      </w:pPr>
      <w:r>
        <w:rPr>
          <w:szCs w:val="22"/>
        </w:rPr>
        <w:tab/>
      </w:r>
      <w:r w:rsidR="0090460C">
        <w:rPr>
          <w:szCs w:val="22"/>
        </w:rPr>
        <w:t>Bill de Blasio, Mayor, New York</w:t>
      </w:r>
      <w:r w:rsidR="00537423">
        <w:rPr>
          <w:szCs w:val="22"/>
        </w:rPr>
        <w:t xml:space="preserve"> City</w:t>
      </w:r>
      <w:r w:rsidR="0090460C">
        <w:rPr>
          <w:szCs w:val="22"/>
        </w:rPr>
        <w:t>, New York</w:t>
      </w:r>
    </w:p>
    <w:p w:rsidR="0090460C" w:rsidRDefault="0090460C" w:rsidP="0090460C">
      <w:pPr>
        <w:ind w:left="360"/>
        <w:rPr>
          <w:szCs w:val="22"/>
        </w:rPr>
      </w:pPr>
    </w:p>
    <w:p w:rsidR="0090460C" w:rsidRDefault="0090460C" w:rsidP="0090460C">
      <w:pPr>
        <w:numPr>
          <w:ilvl w:val="0"/>
          <w:numId w:val="17"/>
        </w:numPr>
        <w:rPr>
          <w:szCs w:val="22"/>
        </w:rPr>
      </w:pPr>
      <w:r w:rsidRPr="0090460C">
        <w:rPr>
          <w:szCs w:val="22"/>
        </w:rPr>
        <w:t xml:space="preserve">Designees:  Bruce Regal, Senior Counsel, New York City Law Department; Tanessa Cabe, Telecommunications Counsel, </w:t>
      </w:r>
      <w:r w:rsidR="00BD6EB7">
        <w:rPr>
          <w:szCs w:val="22"/>
        </w:rPr>
        <w:t xml:space="preserve">New York City </w:t>
      </w:r>
      <w:r w:rsidRPr="006903C2">
        <w:rPr>
          <w:szCs w:val="22"/>
        </w:rPr>
        <w:t>Department of Information Technology and Telecommunications</w:t>
      </w:r>
    </w:p>
    <w:p w:rsidR="0090460C" w:rsidRPr="0090460C" w:rsidRDefault="0090460C" w:rsidP="0090460C">
      <w:pPr>
        <w:rPr>
          <w:szCs w:val="22"/>
        </w:rPr>
      </w:pPr>
    </w:p>
    <w:p w:rsidR="00600289" w:rsidRDefault="00600289" w:rsidP="0090460C">
      <w:pPr>
        <w:ind w:left="360" w:firstLine="360"/>
        <w:rPr>
          <w:szCs w:val="22"/>
        </w:rPr>
      </w:pPr>
      <w:r>
        <w:rPr>
          <w:szCs w:val="22"/>
        </w:rPr>
        <w:t>Andy Huckaba, City Council</w:t>
      </w:r>
      <w:r w:rsidR="00BD6EB7">
        <w:rPr>
          <w:szCs w:val="22"/>
        </w:rPr>
        <w:t>member</w:t>
      </w:r>
      <w:r>
        <w:rPr>
          <w:szCs w:val="22"/>
        </w:rPr>
        <w:t xml:space="preserve">, Lenexa, Kansas </w:t>
      </w:r>
    </w:p>
    <w:p w:rsidR="004562D6" w:rsidRDefault="004562D6" w:rsidP="004562D6">
      <w:pPr>
        <w:ind w:firstLine="720"/>
        <w:rPr>
          <w:bCs/>
          <w:szCs w:val="22"/>
        </w:rPr>
      </w:pPr>
    </w:p>
    <w:p w:rsidR="004562D6" w:rsidRPr="007B0A85" w:rsidRDefault="004562D6" w:rsidP="004562D6">
      <w:pPr>
        <w:ind w:firstLine="720"/>
        <w:rPr>
          <w:bCs/>
          <w:szCs w:val="22"/>
        </w:rPr>
      </w:pPr>
      <w:r w:rsidRPr="007B0A85">
        <w:rPr>
          <w:bCs/>
          <w:szCs w:val="22"/>
        </w:rPr>
        <w:t>Ron Nirenberg</w:t>
      </w:r>
      <w:r>
        <w:rPr>
          <w:bCs/>
          <w:szCs w:val="22"/>
        </w:rPr>
        <w:t>,</w:t>
      </w:r>
      <w:r w:rsidRPr="007B0A85">
        <w:rPr>
          <w:bCs/>
          <w:szCs w:val="22"/>
        </w:rPr>
        <w:t xml:space="preserve"> City Councilmember, San Antonio, T</w:t>
      </w:r>
      <w:r>
        <w:rPr>
          <w:bCs/>
          <w:szCs w:val="22"/>
        </w:rPr>
        <w:t>exas</w:t>
      </w:r>
    </w:p>
    <w:p w:rsidR="0090460C" w:rsidRDefault="0090460C" w:rsidP="0090460C">
      <w:pPr>
        <w:ind w:left="360" w:firstLine="360"/>
        <w:rPr>
          <w:szCs w:val="22"/>
        </w:rPr>
      </w:pPr>
    </w:p>
    <w:p w:rsidR="0090460C" w:rsidRDefault="0090460C" w:rsidP="0090460C">
      <w:pPr>
        <w:ind w:left="360" w:firstLine="360"/>
        <w:rPr>
          <w:szCs w:val="22"/>
        </w:rPr>
      </w:pPr>
      <w:r w:rsidRPr="006903C2">
        <w:rPr>
          <w:szCs w:val="22"/>
        </w:rPr>
        <w:t>Kasim Reed</w:t>
      </w:r>
      <w:r>
        <w:rPr>
          <w:szCs w:val="22"/>
        </w:rPr>
        <w:t>, Mayor, Atlanta, Georgia</w:t>
      </w:r>
    </w:p>
    <w:p w:rsidR="00537423" w:rsidRDefault="00537423" w:rsidP="0090460C">
      <w:pPr>
        <w:ind w:left="360" w:firstLine="360"/>
        <w:rPr>
          <w:szCs w:val="22"/>
        </w:rPr>
      </w:pPr>
    </w:p>
    <w:p w:rsidR="00537423" w:rsidRDefault="00537423" w:rsidP="00537423">
      <w:pPr>
        <w:numPr>
          <w:ilvl w:val="0"/>
          <w:numId w:val="17"/>
        </w:numPr>
        <w:rPr>
          <w:szCs w:val="22"/>
        </w:rPr>
      </w:pPr>
      <w:r>
        <w:rPr>
          <w:szCs w:val="22"/>
        </w:rPr>
        <w:t>Designees:  Jim Beard, Chief Financial Office</w:t>
      </w:r>
      <w:r w:rsidR="00A2362B">
        <w:rPr>
          <w:szCs w:val="22"/>
        </w:rPr>
        <w:t>r, City of Atlanta</w:t>
      </w:r>
      <w:r>
        <w:rPr>
          <w:szCs w:val="22"/>
        </w:rPr>
        <w:t>;</w:t>
      </w:r>
    </w:p>
    <w:p w:rsidR="00537423" w:rsidRDefault="00537423" w:rsidP="00537423">
      <w:pPr>
        <w:ind w:left="2160"/>
        <w:rPr>
          <w:szCs w:val="22"/>
        </w:rPr>
      </w:pPr>
      <w:r>
        <w:rPr>
          <w:szCs w:val="22"/>
        </w:rPr>
        <w:t>Cathy Hampton, City Attorney</w:t>
      </w:r>
      <w:r w:rsidR="00A2362B">
        <w:rPr>
          <w:szCs w:val="22"/>
        </w:rPr>
        <w:t>, City of Atlanta</w:t>
      </w:r>
      <w:r>
        <w:rPr>
          <w:szCs w:val="22"/>
        </w:rPr>
        <w:t xml:space="preserve"> </w:t>
      </w:r>
    </w:p>
    <w:p w:rsidR="00600289" w:rsidRDefault="00600289">
      <w:pPr>
        <w:pStyle w:val="Header"/>
        <w:tabs>
          <w:tab w:val="clear" w:pos="4320"/>
          <w:tab w:val="clear" w:pos="8640"/>
          <w:tab w:val="left" w:pos="720"/>
          <w:tab w:val="right" w:pos="9346"/>
        </w:tabs>
        <w:rPr>
          <w:szCs w:val="22"/>
        </w:rPr>
      </w:pPr>
    </w:p>
    <w:p w:rsidR="00600289" w:rsidRDefault="00600289" w:rsidP="0090460C">
      <w:pPr>
        <w:pStyle w:val="Header"/>
        <w:tabs>
          <w:tab w:val="clear" w:pos="4320"/>
          <w:tab w:val="clear" w:pos="8640"/>
          <w:tab w:val="left" w:pos="720"/>
          <w:tab w:val="right" w:pos="9346"/>
        </w:tabs>
        <w:rPr>
          <w:szCs w:val="22"/>
        </w:rPr>
      </w:pPr>
      <w:r>
        <w:rPr>
          <w:szCs w:val="22"/>
        </w:rPr>
        <w:tab/>
        <w:t>Gary I. Resnick, Mayor,</w:t>
      </w:r>
      <w:r w:rsidR="007B0A85">
        <w:rPr>
          <w:szCs w:val="22"/>
        </w:rPr>
        <w:t xml:space="preserve"> </w:t>
      </w:r>
      <w:r>
        <w:rPr>
          <w:szCs w:val="22"/>
        </w:rPr>
        <w:t>Wilton Manors, Florida</w:t>
      </w:r>
    </w:p>
    <w:p w:rsidR="007B0A85" w:rsidRPr="007B0A85" w:rsidRDefault="007B0A85" w:rsidP="0090460C">
      <w:pPr>
        <w:pStyle w:val="Header"/>
        <w:tabs>
          <w:tab w:val="clear" w:pos="4320"/>
          <w:tab w:val="clear" w:pos="8640"/>
          <w:tab w:val="left" w:pos="720"/>
          <w:tab w:val="right" w:pos="9346"/>
        </w:tabs>
        <w:rPr>
          <w:b/>
          <w:szCs w:val="22"/>
        </w:rPr>
      </w:pPr>
    </w:p>
    <w:p w:rsidR="007B0A85" w:rsidRDefault="007B0A85" w:rsidP="0090460C">
      <w:pPr>
        <w:pStyle w:val="Header"/>
        <w:tabs>
          <w:tab w:val="clear" w:pos="4320"/>
          <w:tab w:val="clear" w:pos="8640"/>
          <w:tab w:val="left" w:pos="720"/>
          <w:tab w:val="right" w:pos="9346"/>
        </w:tabs>
        <w:rPr>
          <w:szCs w:val="22"/>
        </w:rPr>
      </w:pPr>
    </w:p>
    <w:p w:rsidR="00600289" w:rsidRDefault="00600289">
      <w:pPr>
        <w:pStyle w:val="Header"/>
        <w:tabs>
          <w:tab w:val="clear" w:pos="4320"/>
          <w:tab w:val="clear" w:pos="8640"/>
          <w:tab w:val="left" w:pos="720"/>
          <w:tab w:val="right" w:pos="9346"/>
        </w:tabs>
        <w:rPr>
          <w:b/>
          <w:szCs w:val="22"/>
        </w:rPr>
      </w:pPr>
      <w:r>
        <w:rPr>
          <w:b/>
          <w:szCs w:val="22"/>
        </w:rPr>
        <w:t>County Representatives (2)</w:t>
      </w:r>
    </w:p>
    <w:p w:rsidR="00600289" w:rsidRDefault="00600289">
      <w:pPr>
        <w:pStyle w:val="Header"/>
        <w:tabs>
          <w:tab w:val="clear" w:pos="4320"/>
          <w:tab w:val="clear" w:pos="8640"/>
          <w:tab w:val="left" w:pos="720"/>
          <w:tab w:val="right" w:pos="9346"/>
        </w:tabs>
        <w:rPr>
          <w:szCs w:val="22"/>
        </w:rPr>
      </w:pPr>
    </w:p>
    <w:p w:rsidR="00600289" w:rsidRDefault="00600289">
      <w:pPr>
        <w:pStyle w:val="Header"/>
        <w:tabs>
          <w:tab w:val="clear" w:pos="4320"/>
          <w:tab w:val="clear" w:pos="8640"/>
          <w:tab w:val="left" w:pos="720"/>
          <w:tab w:val="right" w:pos="9346"/>
        </w:tabs>
        <w:rPr>
          <w:szCs w:val="22"/>
        </w:rPr>
      </w:pPr>
      <w:r>
        <w:rPr>
          <w:szCs w:val="22"/>
        </w:rPr>
        <w:tab/>
        <w:t xml:space="preserve">Dow Constantine, County Executive, King County, Washington </w:t>
      </w:r>
    </w:p>
    <w:p w:rsidR="00600289" w:rsidRDefault="00600289">
      <w:pPr>
        <w:pStyle w:val="Header"/>
        <w:tabs>
          <w:tab w:val="clear" w:pos="4320"/>
          <w:tab w:val="clear" w:pos="8640"/>
          <w:tab w:val="left" w:pos="720"/>
          <w:tab w:val="right" w:pos="9346"/>
        </w:tabs>
        <w:rPr>
          <w:szCs w:val="22"/>
        </w:rPr>
      </w:pPr>
    </w:p>
    <w:p w:rsidR="00600289" w:rsidRDefault="00600289">
      <w:pPr>
        <w:numPr>
          <w:ilvl w:val="0"/>
          <w:numId w:val="17"/>
        </w:numPr>
        <w:rPr>
          <w:szCs w:val="22"/>
        </w:rPr>
      </w:pPr>
      <w:r>
        <w:rPr>
          <w:szCs w:val="22"/>
        </w:rPr>
        <w:t>Designee:  Marlin Blizinsk</w:t>
      </w:r>
      <w:r w:rsidR="00F958FD">
        <w:rPr>
          <w:szCs w:val="22"/>
        </w:rPr>
        <w:t>y, Government Relations Officer</w:t>
      </w:r>
      <w:r w:rsidR="00A2362B">
        <w:rPr>
          <w:szCs w:val="22"/>
        </w:rPr>
        <w:t>, King County, WA</w:t>
      </w:r>
      <w:r>
        <w:rPr>
          <w:szCs w:val="22"/>
        </w:rPr>
        <w:t xml:space="preserve"> </w:t>
      </w:r>
      <w:r w:rsidR="00F958FD">
        <w:rPr>
          <w:szCs w:val="22"/>
        </w:rPr>
        <w:t xml:space="preserve"> </w:t>
      </w:r>
    </w:p>
    <w:p w:rsidR="00600289" w:rsidRDefault="00600289">
      <w:pPr>
        <w:pStyle w:val="Header"/>
        <w:tabs>
          <w:tab w:val="clear" w:pos="4320"/>
          <w:tab w:val="clear" w:pos="8640"/>
          <w:tab w:val="left" w:pos="720"/>
          <w:tab w:val="right" w:pos="9346"/>
        </w:tabs>
        <w:rPr>
          <w:szCs w:val="22"/>
        </w:rPr>
      </w:pPr>
    </w:p>
    <w:p w:rsidR="0090460C" w:rsidRDefault="00600289">
      <w:pPr>
        <w:pStyle w:val="Header"/>
        <w:tabs>
          <w:tab w:val="clear" w:pos="4320"/>
          <w:tab w:val="clear" w:pos="8640"/>
          <w:tab w:val="left" w:pos="720"/>
          <w:tab w:val="right" w:pos="9346"/>
        </w:tabs>
        <w:rPr>
          <w:szCs w:val="22"/>
        </w:rPr>
      </w:pPr>
      <w:r>
        <w:rPr>
          <w:szCs w:val="22"/>
        </w:rPr>
        <w:tab/>
      </w:r>
      <w:r w:rsidR="0090460C" w:rsidRPr="006903C2">
        <w:rPr>
          <w:szCs w:val="22"/>
        </w:rPr>
        <w:t>Mayor Edwin M. Lee</w:t>
      </w:r>
      <w:r>
        <w:rPr>
          <w:szCs w:val="22"/>
        </w:rPr>
        <w:t xml:space="preserve">, </w:t>
      </w:r>
      <w:r w:rsidR="0090460C">
        <w:rPr>
          <w:szCs w:val="22"/>
        </w:rPr>
        <w:t xml:space="preserve">City and </w:t>
      </w:r>
      <w:r w:rsidR="0090460C" w:rsidRPr="006903C2">
        <w:rPr>
          <w:szCs w:val="22"/>
        </w:rPr>
        <w:t>County of San Francisco</w:t>
      </w:r>
      <w:r>
        <w:rPr>
          <w:szCs w:val="22"/>
        </w:rPr>
        <w:t xml:space="preserve">, </w:t>
      </w:r>
      <w:r w:rsidR="0090460C">
        <w:rPr>
          <w:szCs w:val="22"/>
        </w:rPr>
        <w:t>California</w:t>
      </w:r>
    </w:p>
    <w:p w:rsidR="0090460C" w:rsidRDefault="0090460C">
      <w:pPr>
        <w:pStyle w:val="Header"/>
        <w:tabs>
          <w:tab w:val="clear" w:pos="4320"/>
          <w:tab w:val="clear" w:pos="8640"/>
          <w:tab w:val="left" w:pos="720"/>
          <w:tab w:val="right" w:pos="9346"/>
        </w:tabs>
        <w:rPr>
          <w:szCs w:val="22"/>
        </w:rPr>
      </w:pPr>
    </w:p>
    <w:p w:rsidR="00A2362B" w:rsidRPr="00A2362B" w:rsidRDefault="0090460C" w:rsidP="00F958FD">
      <w:pPr>
        <w:numPr>
          <w:ilvl w:val="0"/>
          <w:numId w:val="17"/>
        </w:numPr>
        <w:rPr>
          <w:bCs/>
          <w:szCs w:val="22"/>
        </w:rPr>
      </w:pPr>
      <w:r w:rsidRPr="00F958FD">
        <w:rPr>
          <w:szCs w:val="22"/>
        </w:rPr>
        <w:t>Designee</w:t>
      </w:r>
      <w:r w:rsidR="005365E8">
        <w:rPr>
          <w:szCs w:val="22"/>
        </w:rPr>
        <w:t>s</w:t>
      </w:r>
      <w:r w:rsidRPr="00F958FD">
        <w:rPr>
          <w:szCs w:val="22"/>
        </w:rPr>
        <w:t>:  Jay Nath, Chief Innovation Officer</w:t>
      </w:r>
      <w:r w:rsidR="00A2362B">
        <w:rPr>
          <w:szCs w:val="22"/>
        </w:rPr>
        <w:t>, San Francisco</w:t>
      </w:r>
      <w:r w:rsidR="0073149D">
        <w:rPr>
          <w:szCs w:val="22"/>
        </w:rPr>
        <w:t>;</w:t>
      </w:r>
      <w:r w:rsidRPr="00F958FD">
        <w:rPr>
          <w:szCs w:val="22"/>
        </w:rPr>
        <w:t xml:space="preserve"> </w:t>
      </w:r>
    </w:p>
    <w:p w:rsidR="00A2362B" w:rsidRDefault="00F958FD" w:rsidP="00A2362B">
      <w:pPr>
        <w:ind w:left="1800" w:firstLine="360"/>
        <w:rPr>
          <w:bCs/>
          <w:szCs w:val="22"/>
        </w:rPr>
      </w:pPr>
      <w:r w:rsidRPr="00F958FD">
        <w:rPr>
          <w:bCs/>
          <w:szCs w:val="22"/>
        </w:rPr>
        <w:t>Marc Tou</w:t>
      </w:r>
      <w:r>
        <w:rPr>
          <w:bCs/>
          <w:szCs w:val="22"/>
        </w:rPr>
        <w:t>itou, Chief Information Officer</w:t>
      </w:r>
      <w:r w:rsidR="00A2362B">
        <w:rPr>
          <w:bCs/>
          <w:szCs w:val="22"/>
        </w:rPr>
        <w:t>, San Francisco</w:t>
      </w:r>
      <w:r w:rsidR="00B05A53">
        <w:rPr>
          <w:bCs/>
          <w:szCs w:val="22"/>
        </w:rPr>
        <w:t xml:space="preserve">; </w:t>
      </w:r>
    </w:p>
    <w:p w:rsidR="00600289" w:rsidRPr="004562D6" w:rsidRDefault="00B05A53" w:rsidP="00A2362B">
      <w:pPr>
        <w:ind w:left="1440" w:firstLine="720"/>
        <w:rPr>
          <w:bCs/>
          <w:szCs w:val="22"/>
        </w:rPr>
      </w:pPr>
      <w:r w:rsidRPr="004562D6">
        <w:rPr>
          <w:bCs/>
          <w:szCs w:val="22"/>
        </w:rPr>
        <w:t xml:space="preserve">Brian Roberts, </w:t>
      </w:r>
      <w:r w:rsidR="0014479A">
        <w:rPr>
          <w:bCs/>
          <w:szCs w:val="22"/>
        </w:rPr>
        <w:t>Senior Policy Analyst</w:t>
      </w:r>
      <w:r w:rsidRPr="004562D6">
        <w:rPr>
          <w:bCs/>
          <w:szCs w:val="22"/>
        </w:rPr>
        <w:t>, Department of Technology</w:t>
      </w:r>
      <w:r w:rsidR="004115C5">
        <w:rPr>
          <w:bCs/>
          <w:szCs w:val="22"/>
        </w:rPr>
        <w:t>, San Francisco</w:t>
      </w:r>
    </w:p>
    <w:p w:rsidR="00600289" w:rsidRDefault="00600289">
      <w:pPr>
        <w:pStyle w:val="Header"/>
        <w:tabs>
          <w:tab w:val="clear" w:pos="4320"/>
          <w:tab w:val="clear" w:pos="8640"/>
          <w:tab w:val="left" w:pos="720"/>
          <w:tab w:val="right" w:pos="9346"/>
        </w:tabs>
        <w:rPr>
          <w:b/>
          <w:szCs w:val="22"/>
        </w:rPr>
      </w:pPr>
    </w:p>
    <w:p w:rsidR="0073149D" w:rsidRDefault="0073149D">
      <w:pPr>
        <w:pStyle w:val="Header"/>
        <w:tabs>
          <w:tab w:val="clear" w:pos="4320"/>
          <w:tab w:val="clear" w:pos="8640"/>
          <w:tab w:val="left" w:pos="720"/>
          <w:tab w:val="right" w:pos="9346"/>
        </w:tabs>
        <w:rPr>
          <w:b/>
          <w:szCs w:val="22"/>
        </w:rPr>
      </w:pPr>
    </w:p>
    <w:p w:rsidR="00012C19" w:rsidRDefault="00012C19">
      <w:pPr>
        <w:pStyle w:val="Header"/>
        <w:tabs>
          <w:tab w:val="clear" w:pos="4320"/>
          <w:tab w:val="clear" w:pos="8640"/>
          <w:tab w:val="left" w:pos="720"/>
          <w:tab w:val="right" w:pos="9346"/>
        </w:tabs>
        <w:rPr>
          <w:b/>
          <w:szCs w:val="22"/>
        </w:rPr>
      </w:pPr>
    </w:p>
    <w:p w:rsidR="00600289" w:rsidRDefault="0073149D">
      <w:pPr>
        <w:pStyle w:val="Header"/>
        <w:tabs>
          <w:tab w:val="clear" w:pos="4320"/>
          <w:tab w:val="clear" w:pos="8640"/>
          <w:tab w:val="left" w:pos="720"/>
          <w:tab w:val="right" w:pos="9346"/>
        </w:tabs>
        <w:rPr>
          <w:b/>
          <w:szCs w:val="22"/>
        </w:rPr>
      </w:pPr>
      <w:r>
        <w:rPr>
          <w:b/>
          <w:szCs w:val="22"/>
        </w:rPr>
        <w:lastRenderedPageBreak/>
        <w:t xml:space="preserve">Local Government </w:t>
      </w:r>
      <w:r w:rsidR="00600289">
        <w:rPr>
          <w:b/>
          <w:szCs w:val="22"/>
        </w:rPr>
        <w:t>Attorney Representative (1)</w:t>
      </w:r>
    </w:p>
    <w:p w:rsidR="00600289" w:rsidRDefault="00600289">
      <w:pPr>
        <w:pStyle w:val="Header"/>
        <w:tabs>
          <w:tab w:val="clear" w:pos="4320"/>
          <w:tab w:val="clear" w:pos="8640"/>
          <w:tab w:val="left" w:pos="720"/>
          <w:tab w:val="right" w:pos="9346"/>
        </w:tabs>
        <w:rPr>
          <w:szCs w:val="22"/>
        </w:rPr>
      </w:pPr>
    </w:p>
    <w:p w:rsidR="00600289" w:rsidRDefault="00600289">
      <w:pPr>
        <w:pStyle w:val="Header"/>
        <w:tabs>
          <w:tab w:val="clear" w:pos="4320"/>
          <w:tab w:val="clear" w:pos="8640"/>
          <w:tab w:val="left" w:pos="720"/>
          <w:tab w:val="right" w:pos="9346"/>
        </w:tabs>
        <w:rPr>
          <w:szCs w:val="22"/>
        </w:rPr>
      </w:pPr>
      <w:r>
        <w:rPr>
          <w:szCs w:val="22"/>
        </w:rPr>
        <w:tab/>
        <w:t xml:space="preserve">Kenneth S. Fellman, City Attorney, </w:t>
      </w:r>
      <w:r w:rsidR="00F958FD">
        <w:rPr>
          <w:szCs w:val="22"/>
        </w:rPr>
        <w:t>Littleton</w:t>
      </w:r>
      <w:r>
        <w:rPr>
          <w:szCs w:val="22"/>
        </w:rPr>
        <w:t>, Colorado</w:t>
      </w:r>
    </w:p>
    <w:p w:rsidR="00AD0746" w:rsidRDefault="00AD0746">
      <w:pPr>
        <w:pStyle w:val="Header"/>
        <w:tabs>
          <w:tab w:val="clear" w:pos="4320"/>
          <w:tab w:val="clear" w:pos="8640"/>
          <w:tab w:val="left" w:pos="720"/>
          <w:tab w:val="right" w:pos="9346"/>
        </w:tabs>
        <w:rPr>
          <w:szCs w:val="22"/>
        </w:rPr>
      </w:pPr>
    </w:p>
    <w:p w:rsidR="00AD0746" w:rsidRDefault="00AD0746">
      <w:pPr>
        <w:pStyle w:val="Header"/>
        <w:tabs>
          <w:tab w:val="clear" w:pos="4320"/>
          <w:tab w:val="clear" w:pos="8640"/>
          <w:tab w:val="left" w:pos="720"/>
          <w:tab w:val="right" w:pos="9346"/>
        </w:tabs>
        <w:rPr>
          <w:b/>
          <w:szCs w:val="22"/>
        </w:rPr>
      </w:pPr>
      <w:r w:rsidRPr="00AD0746">
        <w:rPr>
          <w:b/>
          <w:szCs w:val="22"/>
        </w:rPr>
        <w:t>State Executive Representative (1)</w:t>
      </w:r>
    </w:p>
    <w:p w:rsidR="00AD0746" w:rsidRDefault="00AD0746">
      <w:pPr>
        <w:pStyle w:val="Header"/>
        <w:tabs>
          <w:tab w:val="clear" w:pos="4320"/>
          <w:tab w:val="clear" w:pos="8640"/>
          <w:tab w:val="left" w:pos="720"/>
          <w:tab w:val="right" w:pos="9346"/>
        </w:tabs>
        <w:rPr>
          <w:b/>
          <w:szCs w:val="22"/>
        </w:rPr>
      </w:pPr>
    </w:p>
    <w:p w:rsidR="00AD0746" w:rsidRDefault="00AD0746" w:rsidP="00AD0746">
      <w:pPr>
        <w:pStyle w:val="Header"/>
        <w:tabs>
          <w:tab w:val="clear" w:pos="4320"/>
          <w:tab w:val="clear" w:pos="8640"/>
          <w:tab w:val="left" w:pos="720"/>
          <w:tab w:val="right" w:pos="9346"/>
        </w:tabs>
        <w:rPr>
          <w:szCs w:val="22"/>
        </w:rPr>
      </w:pPr>
      <w:r w:rsidRPr="00DC461A">
        <w:rPr>
          <w:szCs w:val="22"/>
        </w:rPr>
        <w:tab/>
        <w:t>Pat Quinn, Governor, Illinois</w:t>
      </w:r>
    </w:p>
    <w:p w:rsidR="00377A37" w:rsidRDefault="00377A37" w:rsidP="00AD0746">
      <w:pPr>
        <w:pStyle w:val="Header"/>
        <w:tabs>
          <w:tab w:val="clear" w:pos="4320"/>
          <w:tab w:val="clear" w:pos="8640"/>
          <w:tab w:val="left" w:pos="720"/>
          <w:tab w:val="right" w:pos="9346"/>
        </w:tabs>
        <w:rPr>
          <w:szCs w:val="22"/>
        </w:rPr>
      </w:pPr>
    </w:p>
    <w:p w:rsidR="00AD0746" w:rsidRPr="00DC461A" w:rsidRDefault="00AD0746" w:rsidP="00DC461A">
      <w:pPr>
        <w:numPr>
          <w:ilvl w:val="0"/>
          <w:numId w:val="17"/>
        </w:numPr>
        <w:rPr>
          <w:szCs w:val="22"/>
        </w:rPr>
      </w:pPr>
      <w:r>
        <w:rPr>
          <w:szCs w:val="22"/>
        </w:rPr>
        <w:t>Designee:  Sean Vinck, Chief Information Officer</w:t>
      </w:r>
      <w:r w:rsidR="00A2362B">
        <w:rPr>
          <w:szCs w:val="22"/>
        </w:rPr>
        <w:t>, Illinois</w:t>
      </w:r>
    </w:p>
    <w:p w:rsidR="00600289" w:rsidRDefault="00600289">
      <w:pPr>
        <w:pStyle w:val="Header"/>
        <w:tabs>
          <w:tab w:val="clear" w:pos="4320"/>
          <w:tab w:val="clear" w:pos="8640"/>
          <w:tab w:val="left" w:pos="720"/>
          <w:tab w:val="right" w:pos="9346"/>
        </w:tabs>
        <w:rPr>
          <w:szCs w:val="22"/>
        </w:rPr>
      </w:pPr>
    </w:p>
    <w:p w:rsidR="00600289" w:rsidRDefault="00600289">
      <w:pPr>
        <w:pStyle w:val="Header"/>
        <w:tabs>
          <w:tab w:val="clear" w:pos="4320"/>
          <w:tab w:val="clear" w:pos="8640"/>
          <w:tab w:val="left" w:pos="720"/>
          <w:tab w:val="right" w:pos="9346"/>
        </w:tabs>
        <w:rPr>
          <w:b/>
          <w:szCs w:val="22"/>
        </w:rPr>
      </w:pPr>
      <w:r>
        <w:rPr>
          <w:b/>
          <w:szCs w:val="22"/>
        </w:rPr>
        <w:t>State Legislative Representatives (3)</w:t>
      </w:r>
    </w:p>
    <w:p w:rsidR="00600289" w:rsidRDefault="00600289">
      <w:pPr>
        <w:pStyle w:val="Header"/>
        <w:tabs>
          <w:tab w:val="clear" w:pos="4320"/>
          <w:tab w:val="clear" w:pos="8640"/>
          <w:tab w:val="left" w:pos="720"/>
          <w:tab w:val="right" w:pos="9346"/>
        </w:tabs>
        <w:rPr>
          <w:szCs w:val="22"/>
        </w:rPr>
      </w:pPr>
    </w:p>
    <w:p w:rsidR="00600289" w:rsidRDefault="00600289">
      <w:pPr>
        <w:pStyle w:val="Header"/>
        <w:tabs>
          <w:tab w:val="clear" w:pos="4320"/>
          <w:tab w:val="clear" w:pos="8640"/>
          <w:tab w:val="left" w:pos="720"/>
          <w:tab w:val="right" w:pos="9346"/>
        </w:tabs>
        <w:rPr>
          <w:szCs w:val="22"/>
        </w:rPr>
      </w:pPr>
      <w:r>
        <w:rPr>
          <w:szCs w:val="22"/>
        </w:rPr>
        <w:tab/>
      </w:r>
      <w:r w:rsidR="00F958FD" w:rsidRPr="006903C2">
        <w:rPr>
          <w:szCs w:val="22"/>
        </w:rPr>
        <w:t>Upendra J. Chivukula</w:t>
      </w:r>
      <w:r>
        <w:rPr>
          <w:szCs w:val="22"/>
        </w:rPr>
        <w:t xml:space="preserve">, </w:t>
      </w:r>
      <w:r w:rsidR="00F958FD">
        <w:rPr>
          <w:szCs w:val="22"/>
        </w:rPr>
        <w:t xml:space="preserve">New Jersey </w:t>
      </w:r>
      <w:r w:rsidR="00B05A53">
        <w:rPr>
          <w:szCs w:val="22"/>
        </w:rPr>
        <w:t>Assemblyman</w:t>
      </w:r>
    </w:p>
    <w:p w:rsidR="00F958FD" w:rsidRDefault="00F958FD">
      <w:pPr>
        <w:pStyle w:val="Header"/>
        <w:tabs>
          <w:tab w:val="clear" w:pos="4320"/>
          <w:tab w:val="clear" w:pos="8640"/>
          <w:tab w:val="left" w:pos="720"/>
          <w:tab w:val="right" w:pos="9346"/>
        </w:tabs>
        <w:rPr>
          <w:szCs w:val="22"/>
        </w:rPr>
      </w:pPr>
    </w:p>
    <w:p w:rsidR="00F958FD" w:rsidRDefault="00F958FD">
      <w:pPr>
        <w:pStyle w:val="Header"/>
        <w:tabs>
          <w:tab w:val="clear" w:pos="4320"/>
          <w:tab w:val="clear" w:pos="8640"/>
          <w:tab w:val="left" w:pos="720"/>
          <w:tab w:val="right" w:pos="9346"/>
        </w:tabs>
        <w:rPr>
          <w:szCs w:val="22"/>
        </w:rPr>
      </w:pPr>
      <w:r>
        <w:rPr>
          <w:szCs w:val="22"/>
        </w:rPr>
        <w:tab/>
      </w:r>
      <w:r w:rsidRPr="006903C2">
        <w:rPr>
          <w:szCs w:val="22"/>
        </w:rPr>
        <w:t>Judson H. Hill</w:t>
      </w:r>
      <w:r>
        <w:rPr>
          <w:szCs w:val="22"/>
        </w:rPr>
        <w:t xml:space="preserve">, </w:t>
      </w:r>
      <w:r w:rsidRPr="006903C2">
        <w:rPr>
          <w:szCs w:val="22"/>
        </w:rPr>
        <w:t>Georgia State Senator</w:t>
      </w:r>
    </w:p>
    <w:p w:rsidR="00600289" w:rsidRDefault="00600289">
      <w:pPr>
        <w:pStyle w:val="Header"/>
        <w:tabs>
          <w:tab w:val="clear" w:pos="4320"/>
          <w:tab w:val="clear" w:pos="8640"/>
          <w:tab w:val="left" w:pos="720"/>
          <w:tab w:val="right" w:pos="9346"/>
        </w:tabs>
        <w:rPr>
          <w:szCs w:val="22"/>
        </w:rPr>
      </w:pPr>
    </w:p>
    <w:p w:rsidR="00600289" w:rsidRDefault="00600289">
      <w:pPr>
        <w:pStyle w:val="Header"/>
        <w:tabs>
          <w:tab w:val="clear" w:pos="4320"/>
          <w:tab w:val="clear" w:pos="8640"/>
          <w:tab w:val="left" w:pos="720"/>
          <w:tab w:val="right" w:pos="9346"/>
        </w:tabs>
        <w:rPr>
          <w:szCs w:val="22"/>
        </w:rPr>
      </w:pPr>
      <w:r>
        <w:rPr>
          <w:szCs w:val="22"/>
        </w:rPr>
        <w:tab/>
        <w:t xml:space="preserve">Thomas J. Sloan, </w:t>
      </w:r>
      <w:r w:rsidR="00F958FD">
        <w:rPr>
          <w:szCs w:val="22"/>
        </w:rPr>
        <w:t>Kansas State Representative</w:t>
      </w:r>
    </w:p>
    <w:p w:rsidR="00600289" w:rsidRDefault="00600289">
      <w:pPr>
        <w:pStyle w:val="Header"/>
        <w:tabs>
          <w:tab w:val="clear" w:pos="4320"/>
          <w:tab w:val="clear" w:pos="8640"/>
          <w:tab w:val="left" w:pos="720"/>
          <w:tab w:val="right" w:pos="9346"/>
        </w:tabs>
        <w:rPr>
          <w:szCs w:val="22"/>
        </w:rPr>
      </w:pPr>
    </w:p>
    <w:p w:rsidR="00600289" w:rsidRDefault="00600289">
      <w:pPr>
        <w:pStyle w:val="Header"/>
        <w:tabs>
          <w:tab w:val="clear" w:pos="4320"/>
          <w:tab w:val="clear" w:pos="8640"/>
          <w:tab w:val="left" w:pos="720"/>
          <w:tab w:val="right" w:pos="9346"/>
        </w:tabs>
        <w:rPr>
          <w:b/>
          <w:szCs w:val="22"/>
        </w:rPr>
      </w:pPr>
      <w:r>
        <w:rPr>
          <w:b/>
          <w:szCs w:val="22"/>
        </w:rPr>
        <w:t>State Public Utility Commission Representative (1)</w:t>
      </w:r>
    </w:p>
    <w:p w:rsidR="00600289" w:rsidRDefault="00600289">
      <w:pPr>
        <w:pStyle w:val="Header"/>
        <w:tabs>
          <w:tab w:val="clear" w:pos="4320"/>
          <w:tab w:val="clear" w:pos="8640"/>
          <w:tab w:val="left" w:pos="720"/>
          <w:tab w:val="right" w:pos="9346"/>
        </w:tabs>
        <w:rPr>
          <w:szCs w:val="22"/>
        </w:rPr>
      </w:pPr>
    </w:p>
    <w:p w:rsidR="00600289" w:rsidRDefault="00600289">
      <w:pPr>
        <w:pStyle w:val="Header"/>
        <w:tabs>
          <w:tab w:val="clear" w:pos="4320"/>
          <w:tab w:val="clear" w:pos="8640"/>
          <w:tab w:val="left" w:pos="720"/>
          <w:tab w:val="right" w:pos="9346"/>
        </w:tabs>
        <w:rPr>
          <w:szCs w:val="22"/>
        </w:rPr>
      </w:pPr>
      <w:r>
        <w:rPr>
          <w:szCs w:val="22"/>
        </w:rPr>
        <w:tab/>
        <w:t xml:space="preserve">Ronald Brisé, Commissioner, Florida Public Service Commission </w:t>
      </w:r>
    </w:p>
    <w:p w:rsidR="00600289" w:rsidRDefault="00600289">
      <w:pPr>
        <w:pStyle w:val="Header"/>
        <w:tabs>
          <w:tab w:val="clear" w:pos="4320"/>
          <w:tab w:val="clear" w:pos="8640"/>
          <w:tab w:val="left" w:pos="720"/>
          <w:tab w:val="right" w:pos="9346"/>
        </w:tabs>
        <w:rPr>
          <w:szCs w:val="22"/>
        </w:rPr>
      </w:pPr>
    </w:p>
    <w:p w:rsidR="00600289" w:rsidRDefault="00B05A53">
      <w:pPr>
        <w:pStyle w:val="Header"/>
        <w:tabs>
          <w:tab w:val="clear" w:pos="4320"/>
          <w:tab w:val="clear" w:pos="8640"/>
          <w:tab w:val="left" w:pos="720"/>
          <w:tab w:val="right" w:pos="9346"/>
        </w:tabs>
        <w:rPr>
          <w:b/>
          <w:szCs w:val="22"/>
        </w:rPr>
      </w:pPr>
      <w:r>
        <w:rPr>
          <w:b/>
          <w:szCs w:val="22"/>
        </w:rPr>
        <w:t xml:space="preserve">Native American </w:t>
      </w:r>
      <w:r w:rsidR="00600289">
        <w:rPr>
          <w:b/>
          <w:szCs w:val="22"/>
        </w:rPr>
        <w:t>Tribal Representatives (3)</w:t>
      </w:r>
    </w:p>
    <w:p w:rsidR="00600289" w:rsidRDefault="00600289">
      <w:pPr>
        <w:pStyle w:val="Header"/>
        <w:tabs>
          <w:tab w:val="clear" w:pos="4320"/>
          <w:tab w:val="clear" w:pos="8640"/>
          <w:tab w:val="left" w:pos="720"/>
          <w:tab w:val="right" w:pos="9346"/>
        </w:tabs>
        <w:rPr>
          <w:szCs w:val="22"/>
        </w:rPr>
      </w:pPr>
    </w:p>
    <w:p w:rsidR="00600289" w:rsidRDefault="00600289">
      <w:pPr>
        <w:pStyle w:val="Header"/>
        <w:tabs>
          <w:tab w:val="clear" w:pos="4320"/>
          <w:tab w:val="clear" w:pos="8640"/>
          <w:tab w:val="left" w:pos="720"/>
          <w:tab w:val="right" w:pos="9346"/>
        </w:tabs>
        <w:rPr>
          <w:szCs w:val="22"/>
        </w:rPr>
      </w:pPr>
      <w:r>
        <w:rPr>
          <w:szCs w:val="22"/>
        </w:rPr>
        <w:tab/>
      </w:r>
      <w:r w:rsidR="00631269" w:rsidRPr="006903C2">
        <w:rPr>
          <w:szCs w:val="22"/>
        </w:rPr>
        <w:t>John E. Sirois</w:t>
      </w:r>
      <w:r>
        <w:rPr>
          <w:szCs w:val="22"/>
        </w:rPr>
        <w:t xml:space="preserve">, </w:t>
      </w:r>
      <w:r w:rsidR="00631269" w:rsidRPr="006903C2">
        <w:rPr>
          <w:szCs w:val="22"/>
        </w:rPr>
        <w:t>Confederated Tribes of the C</w:t>
      </w:r>
      <w:r w:rsidR="00631269">
        <w:rPr>
          <w:szCs w:val="22"/>
        </w:rPr>
        <w:t>olville Reservation, Washington</w:t>
      </w:r>
    </w:p>
    <w:p w:rsidR="00600289" w:rsidRDefault="00600289">
      <w:pPr>
        <w:pStyle w:val="Header"/>
        <w:tabs>
          <w:tab w:val="clear" w:pos="4320"/>
          <w:tab w:val="clear" w:pos="8640"/>
          <w:tab w:val="left" w:pos="720"/>
          <w:tab w:val="right" w:pos="9346"/>
        </w:tabs>
        <w:rPr>
          <w:szCs w:val="22"/>
        </w:rPr>
      </w:pPr>
    </w:p>
    <w:p w:rsidR="00600289" w:rsidRDefault="00600289" w:rsidP="00631269">
      <w:pPr>
        <w:pStyle w:val="Header"/>
        <w:tabs>
          <w:tab w:val="clear" w:pos="4320"/>
          <w:tab w:val="clear" w:pos="8640"/>
          <w:tab w:val="left" w:pos="720"/>
          <w:tab w:val="right" w:pos="9346"/>
        </w:tabs>
        <w:ind w:left="720"/>
        <w:rPr>
          <w:szCs w:val="22"/>
        </w:rPr>
      </w:pPr>
      <w:r>
        <w:rPr>
          <w:szCs w:val="22"/>
        </w:rPr>
        <w:t xml:space="preserve">Thomas Brandon Stephens, </w:t>
      </w:r>
      <w:r w:rsidR="00F958FD" w:rsidRPr="006903C2">
        <w:rPr>
          <w:szCs w:val="22"/>
        </w:rPr>
        <w:t>United South and Eastern Tribes, Eastern Band of Cherokee Indians, North Carolina</w:t>
      </w:r>
    </w:p>
    <w:p w:rsidR="00F958FD" w:rsidRDefault="00F958FD">
      <w:pPr>
        <w:pStyle w:val="Header"/>
        <w:tabs>
          <w:tab w:val="clear" w:pos="4320"/>
          <w:tab w:val="clear" w:pos="8640"/>
          <w:tab w:val="left" w:pos="720"/>
          <w:tab w:val="right" w:pos="9346"/>
        </w:tabs>
        <w:rPr>
          <w:szCs w:val="22"/>
        </w:rPr>
      </w:pPr>
    </w:p>
    <w:p w:rsidR="00600289" w:rsidRDefault="00600289">
      <w:pPr>
        <w:pStyle w:val="Header"/>
        <w:tabs>
          <w:tab w:val="clear" w:pos="4320"/>
          <w:tab w:val="clear" w:pos="8640"/>
          <w:tab w:val="left" w:pos="720"/>
          <w:tab w:val="right" w:pos="9346"/>
        </w:tabs>
        <w:rPr>
          <w:szCs w:val="22"/>
        </w:rPr>
      </w:pPr>
      <w:r>
        <w:rPr>
          <w:szCs w:val="22"/>
        </w:rPr>
        <w:tab/>
        <w:t>Brian Tagaban, Navajo Nation, Arizona</w:t>
      </w:r>
    </w:p>
    <w:p w:rsidR="0073149D" w:rsidRDefault="0073149D">
      <w:pPr>
        <w:pStyle w:val="Header"/>
        <w:tabs>
          <w:tab w:val="clear" w:pos="4320"/>
          <w:tab w:val="clear" w:pos="8640"/>
          <w:tab w:val="left" w:pos="720"/>
          <w:tab w:val="right" w:pos="9346"/>
        </w:tabs>
        <w:rPr>
          <w:szCs w:val="22"/>
        </w:rPr>
      </w:pPr>
    </w:p>
    <w:p w:rsidR="0073149D" w:rsidRDefault="0073149D" w:rsidP="0073149D">
      <w:pPr>
        <w:snapToGrid w:val="0"/>
        <w:rPr>
          <w:b/>
          <w:szCs w:val="22"/>
        </w:rPr>
      </w:pPr>
      <w:r>
        <w:rPr>
          <w:b/>
          <w:szCs w:val="22"/>
        </w:rPr>
        <w:t>EXEMPTION FROM THE FEDERAL ADVISORY COMMITTEE ACT</w:t>
      </w:r>
    </w:p>
    <w:p w:rsidR="0073149D" w:rsidRDefault="0073149D" w:rsidP="0073149D">
      <w:pPr>
        <w:snapToGrid w:val="0"/>
        <w:rPr>
          <w:b/>
          <w:szCs w:val="22"/>
        </w:rPr>
      </w:pPr>
    </w:p>
    <w:p w:rsidR="0073149D" w:rsidRDefault="0073149D" w:rsidP="0073149D">
      <w:pPr>
        <w:snapToGrid w:val="0"/>
        <w:rPr>
          <w:color w:val="010101"/>
          <w:szCs w:val="22"/>
        </w:rPr>
      </w:pPr>
      <w:r>
        <w:rPr>
          <w:b/>
          <w:szCs w:val="22"/>
        </w:rPr>
        <w:tab/>
      </w:r>
      <w:r w:rsidRPr="00263135">
        <w:rPr>
          <w:szCs w:val="22"/>
        </w:rPr>
        <w:t>We al</w:t>
      </w:r>
      <w:r>
        <w:rPr>
          <w:szCs w:val="22"/>
        </w:rPr>
        <w:t>s</w:t>
      </w:r>
      <w:r w:rsidRPr="00263135">
        <w:rPr>
          <w:szCs w:val="22"/>
        </w:rPr>
        <w:t>o note that pursuant</w:t>
      </w:r>
      <w:r>
        <w:rPr>
          <w:szCs w:val="22"/>
        </w:rPr>
        <w:t xml:space="preserve"> to the “intergovernmental communication” exemption of </w:t>
      </w:r>
      <w:r w:rsidR="00A2362B">
        <w:t>the Unfunded Mandates Reform Act of 1995 (</w:t>
      </w:r>
      <w:r>
        <w:rPr>
          <w:szCs w:val="22"/>
        </w:rPr>
        <w:t>UMRA</w:t>
      </w:r>
      <w:r w:rsidR="00A2362B">
        <w:rPr>
          <w:szCs w:val="22"/>
        </w:rPr>
        <w:t>)</w:t>
      </w:r>
      <w:r>
        <w:rPr>
          <w:szCs w:val="22"/>
        </w:rPr>
        <w:t>,</w:t>
      </w:r>
      <w:r>
        <w:rPr>
          <w:rStyle w:val="FootnoteReference"/>
          <w:szCs w:val="22"/>
        </w:rPr>
        <w:footnoteReference w:id="7"/>
      </w:r>
      <w:r>
        <w:rPr>
          <w:szCs w:val="22"/>
        </w:rPr>
        <w:t xml:space="preserve"> “the IAC is not subject to, and is not required to follow, the procedures set forth in the Federal Advisory Committee Act, 5 U.S.C. App. 2 (1988).”</w:t>
      </w:r>
      <w:r>
        <w:rPr>
          <w:rStyle w:val="FootnoteReference"/>
          <w:szCs w:val="22"/>
        </w:rPr>
        <w:footnoteReference w:id="8"/>
      </w:r>
      <w:r>
        <w:rPr>
          <w:szCs w:val="22"/>
        </w:rPr>
        <w:t xml:space="preserve">  Because the input that Congress sought to facilitate through the intergovernmental exemption is institutional in nature, the exemption covers federal communications with elected officials (or designated employees) involved in the governmental process at the state, local and Tribal levels.  We clarify here that to be appointed to the IAC, under Commission rules, a member such as “an elected or appointed local government attorney” must be on the staff of the municipal or county government represented and be part of the governmental process.</w:t>
      </w:r>
      <w:r>
        <w:rPr>
          <w:rStyle w:val="FootnoteReference"/>
          <w:szCs w:val="22"/>
        </w:rPr>
        <w:footnoteReference w:id="9"/>
      </w:r>
      <w:r>
        <w:rPr>
          <w:szCs w:val="22"/>
        </w:rPr>
        <w:t xml:space="preserve">  Our compliance with the requirements of section 204(b) of UMRA ensures that the IAC can continue to operate with</w:t>
      </w:r>
      <w:r>
        <w:rPr>
          <w:bCs/>
          <w:szCs w:val="22"/>
        </w:rPr>
        <w:t xml:space="preserve"> the informality and flexibility that have proven so effective in the past and that inhere in its FACA-exempt status</w:t>
      </w:r>
      <w:r>
        <w:rPr>
          <w:szCs w:val="22"/>
        </w:rPr>
        <w:t xml:space="preserve">.   </w:t>
      </w:r>
    </w:p>
    <w:p w:rsidR="00600289" w:rsidRDefault="00600289">
      <w:pPr>
        <w:pStyle w:val="Header"/>
        <w:tabs>
          <w:tab w:val="clear" w:pos="4320"/>
          <w:tab w:val="clear" w:pos="8640"/>
          <w:tab w:val="left" w:pos="720"/>
          <w:tab w:val="right" w:pos="9346"/>
        </w:tabs>
        <w:rPr>
          <w:szCs w:val="22"/>
        </w:rPr>
      </w:pPr>
      <w:r>
        <w:rPr>
          <w:szCs w:val="22"/>
        </w:rPr>
        <w:tab/>
      </w:r>
    </w:p>
    <w:p w:rsidR="00600289" w:rsidRDefault="00600289">
      <w:pPr>
        <w:rPr>
          <w:b/>
          <w:szCs w:val="22"/>
        </w:rPr>
      </w:pPr>
      <w:r>
        <w:rPr>
          <w:b/>
          <w:szCs w:val="22"/>
        </w:rPr>
        <w:t>ACCESSIBLE FORMATS</w:t>
      </w:r>
    </w:p>
    <w:p w:rsidR="00600289" w:rsidRDefault="00CA22DE">
      <w:pPr>
        <w:ind w:firstLine="720"/>
        <w:rPr>
          <w:szCs w:val="22"/>
        </w:rPr>
      </w:pPr>
      <w:r>
        <w:rPr>
          <w:szCs w:val="22"/>
        </w:rPr>
        <w:t xml:space="preserve"> </w:t>
      </w:r>
    </w:p>
    <w:p w:rsidR="00600289" w:rsidRDefault="00600289">
      <w:pPr>
        <w:ind w:firstLine="720"/>
        <w:rPr>
          <w:b/>
          <w:szCs w:val="22"/>
        </w:rPr>
      </w:pPr>
      <w:r>
        <w:rPr>
          <w:szCs w:val="22"/>
        </w:rPr>
        <w:t xml:space="preserve">To request materials in accessible formats for people with disabilities (Braille, large print, electronic files, audio format), please send an e-mail to </w:t>
      </w:r>
      <w:hyperlink r:id="rId14" w:history="1">
        <w:r>
          <w:rPr>
            <w:rStyle w:val="Hyperlink"/>
            <w:szCs w:val="22"/>
          </w:rPr>
          <w:t>fcc504@fcc.gov</w:t>
        </w:r>
      </w:hyperlink>
      <w:r>
        <w:rPr>
          <w:szCs w:val="22"/>
        </w:rPr>
        <w:t xml:space="preserve"> or call the Consumer and Governmental Affairs Bureau, (202) 418-0530 (voice) or (202) 418-0432 (TTY).</w:t>
      </w:r>
    </w:p>
    <w:p w:rsidR="00600289" w:rsidRDefault="00600289">
      <w:pPr>
        <w:ind w:firstLine="720"/>
        <w:rPr>
          <w:b/>
          <w:szCs w:val="22"/>
        </w:rPr>
      </w:pPr>
    </w:p>
    <w:p w:rsidR="00600289" w:rsidRDefault="00600289">
      <w:pPr>
        <w:ind w:hanging="27"/>
        <w:rPr>
          <w:b/>
          <w:szCs w:val="22"/>
        </w:rPr>
      </w:pPr>
      <w:r>
        <w:rPr>
          <w:b/>
          <w:szCs w:val="22"/>
        </w:rPr>
        <w:t>FURTHER INFORMATION</w:t>
      </w:r>
    </w:p>
    <w:p w:rsidR="00600289" w:rsidRDefault="00600289">
      <w:pPr>
        <w:ind w:firstLine="720"/>
        <w:rPr>
          <w:szCs w:val="22"/>
        </w:rPr>
      </w:pPr>
    </w:p>
    <w:p w:rsidR="00600289" w:rsidRDefault="00600289">
      <w:pPr>
        <w:ind w:firstLine="720"/>
        <w:rPr>
          <w:rFonts w:ascii="Arial" w:hAnsi="Arial" w:cs="Arial"/>
          <w:color w:val="000080"/>
          <w:szCs w:val="22"/>
        </w:rPr>
      </w:pPr>
      <w:r>
        <w:rPr>
          <w:szCs w:val="22"/>
        </w:rPr>
        <w:t xml:space="preserve">For further information, please contact:  Gregory Vadas, Chief, Office of Intergovernmental Affairs, Consumer and Governmental Affairs Bureau, (202) 418-1798 (voice) or 1-800-835-5322 (TTY), </w:t>
      </w:r>
      <w:hyperlink r:id="rId15" w:history="1">
        <w:r>
          <w:rPr>
            <w:rStyle w:val="Hyperlink"/>
            <w:szCs w:val="22"/>
          </w:rPr>
          <w:t>gregory.vadas@fcc.gov</w:t>
        </w:r>
      </w:hyperlink>
      <w:r>
        <w:rPr>
          <w:szCs w:val="22"/>
        </w:rPr>
        <w:t xml:space="preserve">; or Steve Klitzman, Deputy Chief, Office of Intergovernmental Affairs, Consumer and Governmental Affairs Bureau, (202) 418-1763 (voice) or 1-800-835-5322 (TTY), </w:t>
      </w:r>
      <w:hyperlink r:id="rId16" w:tooltip="mailto:steve.klitzman@fcc.gov" w:history="1">
        <w:r>
          <w:rPr>
            <w:rStyle w:val="Hyperlink"/>
            <w:szCs w:val="22"/>
          </w:rPr>
          <w:t>steve.klitzman@fcc.gov</w:t>
        </w:r>
      </w:hyperlink>
      <w:r>
        <w:rPr>
          <w:rFonts w:ascii="Arial" w:hAnsi="Arial" w:cs="Arial"/>
          <w:color w:val="000080"/>
          <w:szCs w:val="22"/>
        </w:rPr>
        <w:t>.</w:t>
      </w:r>
    </w:p>
    <w:p w:rsidR="00600289" w:rsidRDefault="00600289">
      <w:pPr>
        <w:pStyle w:val="Header"/>
        <w:tabs>
          <w:tab w:val="clear" w:pos="4320"/>
          <w:tab w:val="clear" w:pos="8640"/>
          <w:tab w:val="right" w:pos="720"/>
          <w:tab w:val="right" w:pos="9346"/>
        </w:tabs>
        <w:rPr>
          <w:snapToGrid w:val="0"/>
          <w:szCs w:val="22"/>
        </w:rPr>
      </w:pPr>
    </w:p>
    <w:p w:rsidR="00600289" w:rsidRDefault="00600289">
      <w:pPr>
        <w:rPr>
          <w:szCs w:val="22"/>
        </w:rPr>
      </w:pPr>
    </w:p>
    <w:sectPr w:rsidR="00600289">
      <w:footerReference w:type="even" r:id="rId17"/>
      <w:footerReference w:type="default" r:id="rId18"/>
      <w:type w:val="continuous"/>
      <w:pgSz w:w="12240" w:h="15840" w:code="1"/>
      <w:pgMar w:top="117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855" w:rsidRDefault="004B7855">
      <w:r>
        <w:separator/>
      </w:r>
    </w:p>
  </w:endnote>
  <w:endnote w:type="continuationSeparator" w:id="0">
    <w:p w:rsidR="004B7855" w:rsidRDefault="004B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hronicle Deck">
    <w:altName w:val="Chronicle Dec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FD" w:rsidRDefault="00F958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58FD" w:rsidRDefault="00F958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FD" w:rsidRDefault="00F958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958FD" w:rsidRDefault="00F958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2D6" w:rsidRDefault="009C42D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FD" w:rsidRDefault="00F958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58FD" w:rsidRDefault="00F958F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FD" w:rsidRDefault="00F958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3244">
      <w:rPr>
        <w:rStyle w:val="PageNumber"/>
        <w:noProof/>
      </w:rPr>
      <w:t>2</w:t>
    </w:r>
    <w:r>
      <w:rPr>
        <w:rStyle w:val="PageNumber"/>
      </w:rPr>
      <w:fldChar w:fldCharType="end"/>
    </w:r>
  </w:p>
  <w:p w:rsidR="00F958FD" w:rsidRDefault="00F95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855" w:rsidRDefault="004B7855">
      <w:r>
        <w:separator/>
      </w:r>
    </w:p>
  </w:footnote>
  <w:footnote w:type="continuationSeparator" w:id="0">
    <w:p w:rsidR="004B7855" w:rsidRDefault="004B7855">
      <w:r>
        <w:continuationSeparator/>
      </w:r>
    </w:p>
  </w:footnote>
  <w:footnote w:id="1">
    <w:p w:rsidR="00A16F54" w:rsidRPr="00012C19" w:rsidRDefault="00F958FD" w:rsidP="00A16F54">
      <w:pPr>
        <w:rPr>
          <w:sz w:val="20"/>
        </w:rPr>
      </w:pPr>
      <w:r w:rsidRPr="00012C19">
        <w:rPr>
          <w:rStyle w:val="FootnoteReference"/>
          <w:sz w:val="20"/>
        </w:rPr>
        <w:footnoteRef/>
      </w:r>
      <w:r w:rsidRPr="00012C19">
        <w:rPr>
          <w:sz w:val="20"/>
        </w:rPr>
        <w:t xml:space="preserve"> </w:t>
      </w:r>
      <w:r w:rsidRPr="00012C19">
        <w:rPr>
          <w:i/>
          <w:sz w:val="20"/>
        </w:rPr>
        <w:t>See FCC Announces the Reauthorization of the Intergovernmental Advisory Committee and Seeks Nomination</w:t>
      </w:r>
      <w:r w:rsidR="00F82F4F" w:rsidRPr="00012C19">
        <w:rPr>
          <w:i/>
          <w:sz w:val="20"/>
        </w:rPr>
        <w:t>s</w:t>
      </w:r>
      <w:r w:rsidRPr="00012C19">
        <w:rPr>
          <w:sz w:val="20"/>
        </w:rPr>
        <w:t xml:space="preserve">, Public Notice, </w:t>
      </w:r>
      <w:r w:rsidR="00AC404B" w:rsidRPr="00012C19">
        <w:rPr>
          <w:sz w:val="20"/>
        </w:rPr>
        <w:t>28</w:t>
      </w:r>
      <w:r w:rsidRPr="00012C19">
        <w:rPr>
          <w:sz w:val="20"/>
        </w:rPr>
        <w:t xml:space="preserve"> FCC Rcd </w:t>
      </w:r>
      <w:r w:rsidR="00AC404B" w:rsidRPr="00012C19">
        <w:rPr>
          <w:sz w:val="20"/>
        </w:rPr>
        <w:t>14749</w:t>
      </w:r>
      <w:r w:rsidR="00AB364A" w:rsidRPr="00012C19">
        <w:rPr>
          <w:sz w:val="20"/>
        </w:rPr>
        <w:t xml:space="preserve"> (2013). </w:t>
      </w:r>
      <w:r w:rsidR="005C19DE" w:rsidRPr="00012C19">
        <w:rPr>
          <w:sz w:val="20"/>
        </w:rPr>
        <w:t xml:space="preserve">  </w:t>
      </w:r>
      <w:hyperlink r:id="rId1" w:history="1">
        <w:r w:rsidR="00A16F54" w:rsidRPr="00012C19">
          <w:rPr>
            <w:rStyle w:val="Hyperlink"/>
            <w:sz w:val="20"/>
          </w:rPr>
          <w:t>http://www.fcc.gov/encyclopedia/intergovernmental-advisory-committee</w:t>
        </w:r>
      </w:hyperlink>
    </w:p>
    <w:p w:rsidR="00F958FD" w:rsidRPr="00012C19" w:rsidRDefault="00F958FD">
      <w:pPr>
        <w:rPr>
          <w:sz w:val="20"/>
        </w:rPr>
      </w:pPr>
    </w:p>
  </w:footnote>
  <w:footnote w:id="2">
    <w:p w:rsidR="00F07ECA" w:rsidRPr="00012C19" w:rsidRDefault="00F07ECA">
      <w:pPr>
        <w:pStyle w:val="FootnoteText"/>
        <w:rPr>
          <w:sz w:val="20"/>
        </w:rPr>
      </w:pPr>
      <w:r w:rsidRPr="00012C19">
        <w:rPr>
          <w:rStyle w:val="FootnoteReference"/>
          <w:sz w:val="20"/>
        </w:rPr>
        <w:footnoteRef/>
      </w:r>
      <w:r w:rsidRPr="00012C19">
        <w:rPr>
          <w:sz w:val="20"/>
        </w:rPr>
        <w:t xml:space="preserve">  </w:t>
      </w:r>
      <w:r w:rsidRPr="00012C19">
        <w:rPr>
          <w:i/>
          <w:sz w:val="20"/>
        </w:rPr>
        <w:t xml:space="preserve">See </w:t>
      </w:r>
      <w:r w:rsidRPr="00012C19">
        <w:rPr>
          <w:sz w:val="20"/>
        </w:rPr>
        <w:t>47 C.F.R.</w:t>
      </w:r>
      <w:r w:rsidR="0014304B">
        <w:rPr>
          <w:sz w:val="20"/>
        </w:rPr>
        <w:t xml:space="preserve"> </w:t>
      </w:r>
      <w:r w:rsidRPr="00012C19">
        <w:rPr>
          <w:sz w:val="20"/>
        </w:rPr>
        <w:t>§</w:t>
      </w:r>
      <w:r w:rsidR="0073149D" w:rsidRPr="00012C19">
        <w:rPr>
          <w:sz w:val="20"/>
        </w:rPr>
        <w:t xml:space="preserve"> </w:t>
      </w:r>
      <w:r w:rsidRPr="00012C19">
        <w:rPr>
          <w:sz w:val="20"/>
        </w:rPr>
        <w:t>0.701(a).</w:t>
      </w:r>
    </w:p>
  </w:footnote>
  <w:footnote w:id="3">
    <w:p w:rsidR="00F958FD" w:rsidRPr="00012C19" w:rsidRDefault="00F958FD">
      <w:pPr>
        <w:pStyle w:val="FootnoteText"/>
        <w:rPr>
          <w:sz w:val="20"/>
        </w:rPr>
      </w:pPr>
      <w:r w:rsidRPr="00012C19">
        <w:rPr>
          <w:rStyle w:val="FootnoteReference"/>
          <w:sz w:val="20"/>
        </w:rPr>
        <w:footnoteRef/>
      </w:r>
      <w:r w:rsidRPr="00012C19">
        <w:rPr>
          <w:sz w:val="20"/>
        </w:rPr>
        <w:t xml:space="preserve"> The IAC is authorized under Commission rules to operate for a two-year period following its first scheduled meeting. </w:t>
      </w:r>
      <w:r w:rsidR="00E939C7" w:rsidRPr="00012C19">
        <w:rPr>
          <w:sz w:val="20"/>
        </w:rPr>
        <w:t xml:space="preserve"> </w:t>
      </w:r>
      <w:r w:rsidR="00E939C7" w:rsidRPr="00012C19">
        <w:rPr>
          <w:i/>
          <w:sz w:val="20"/>
        </w:rPr>
        <w:t>Id</w:t>
      </w:r>
      <w:r w:rsidR="0053311E" w:rsidRPr="00012C19">
        <w:rPr>
          <w:sz w:val="20"/>
        </w:rPr>
        <w:t>.</w:t>
      </w:r>
    </w:p>
  </w:footnote>
  <w:footnote w:id="4">
    <w:p w:rsidR="00F958FD" w:rsidRDefault="00F958FD">
      <w:pPr>
        <w:pStyle w:val="FootnoteText"/>
        <w:rPr>
          <w:sz w:val="20"/>
        </w:rPr>
      </w:pPr>
      <w:r w:rsidRPr="00012C19">
        <w:rPr>
          <w:rStyle w:val="FootnoteReference"/>
          <w:sz w:val="20"/>
        </w:rPr>
        <w:footnoteRef/>
      </w:r>
      <w:r w:rsidRPr="00012C19">
        <w:rPr>
          <w:sz w:val="20"/>
        </w:rPr>
        <w:t xml:space="preserve"> </w:t>
      </w:r>
      <w:r w:rsidRPr="00012C19">
        <w:rPr>
          <w:i/>
          <w:sz w:val="20"/>
        </w:rPr>
        <w:t xml:space="preserve">See </w:t>
      </w:r>
      <w:r w:rsidRPr="00012C19">
        <w:rPr>
          <w:sz w:val="20"/>
        </w:rPr>
        <w:t>47 C.F.R. §</w:t>
      </w:r>
      <w:r w:rsidR="0073149D" w:rsidRPr="00012C19">
        <w:rPr>
          <w:sz w:val="20"/>
        </w:rPr>
        <w:t xml:space="preserve"> </w:t>
      </w:r>
      <w:r w:rsidRPr="00012C19">
        <w:rPr>
          <w:sz w:val="20"/>
        </w:rPr>
        <w:t>0.701(b).</w:t>
      </w:r>
    </w:p>
  </w:footnote>
  <w:footnote w:id="5">
    <w:p w:rsidR="00012C19" w:rsidRPr="00012C19" w:rsidRDefault="00012C19">
      <w:pPr>
        <w:pStyle w:val="FootnoteText"/>
        <w:rPr>
          <w:sz w:val="20"/>
        </w:rPr>
      </w:pPr>
      <w:r w:rsidRPr="00012C19">
        <w:rPr>
          <w:rStyle w:val="FootnoteReference"/>
          <w:sz w:val="20"/>
        </w:rPr>
        <w:footnoteRef/>
      </w:r>
      <w:r w:rsidRPr="00012C19">
        <w:rPr>
          <w:sz w:val="20"/>
        </w:rPr>
        <w:t xml:space="preserve"> </w:t>
      </w:r>
      <w:r w:rsidRPr="00012C19">
        <w:rPr>
          <w:i/>
          <w:sz w:val="20"/>
        </w:rPr>
        <w:t xml:space="preserve">See </w:t>
      </w:r>
      <w:r w:rsidRPr="00012C19">
        <w:rPr>
          <w:sz w:val="20"/>
        </w:rPr>
        <w:t>47 C.F.R. § 0.701(b).</w:t>
      </w:r>
    </w:p>
  </w:footnote>
  <w:footnote w:id="6">
    <w:p w:rsidR="007A02D4" w:rsidRDefault="007A02D4">
      <w:pPr>
        <w:pStyle w:val="FootnoteText"/>
      </w:pPr>
      <w:r w:rsidRPr="00012C19">
        <w:rPr>
          <w:rStyle w:val="FootnoteReference"/>
          <w:sz w:val="20"/>
        </w:rPr>
        <w:footnoteRef/>
      </w:r>
      <w:r w:rsidRPr="00012C19">
        <w:rPr>
          <w:sz w:val="20"/>
        </w:rPr>
        <w:t xml:space="preserve"> </w:t>
      </w:r>
      <w:r w:rsidRPr="00012C19">
        <w:rPr>
          <w:i/>
          <w:sz w:val="20"/>
        </w:rPr>
        <w:t xml:space="preserve">Northeast Cellular Telephone Co. v. FCC, </w:t>
      </w:r>
      <w:r w:rsidRPr="00012C19">
        <w:rPr>
          <w:sz w:val="20"/>
        </w:rPr>
        <w:t xml:space="preserve">897 F.2d 1164, 1166 (D.C. Cir. 1990); </w:t>
      </w:r>
      <w:r w:rsidRPr="00012C19">
        <w:rPr>
          <w:i/>
          <w:sz w:val="20"/>
        </w:rPr>
        <w:t xml:space="preserve">WAIT Radio v. FCC, </w:t>
      </w:r>
      <w:r w:rsidRPr="00012C19">
        <w:rPr>
          <w:sz w:val="20"/>
        </w:rPr>
        <w:t>418 F.2d 1153, 1159 (D.C. Cir. 1969).</w:t>
      </w:r>
    </w:p>
  </w:footnote>
  <w:footnote w:id="7">
    <w:p w:rsidR="0073149D" w:rsidRPr="00012C19" w:rsidRDefault="0073149D" w:rsidP="0073149D">
      <w:pPr>
        <w:pStyle w:val="FootnoteText"/>
        <w:rPr>
          <w:sz w:val="20"/>
        </w:rPr>
      </w:pPr>
      <w:r w:rsidRPr="00012C19">
        <w:rPr>
          <w:rStyle w:val="FootnoteReference"/>
          <w:sz w:val="20"/>
        </w:rPr>
        <w:footnoteRef/>
      </w:r>
      <w:r w:rsidRPr="00012C19">
        <w:rPr>
          <w:sz w:val="20"/>
        </w:rPr>
        <w:t xml:space="preserve"> </w:t>
      </w:r>
      <w:r w:rsidR="001652BB" w:rsidRPr="00012C19">
        <w:rPr>
          <w:i/>
          <w:sz w:val="20"/>
        </w:rPr>
        <w:t xml:space="preserve">See </w:t>
      </w:r>
      <w:r w:rsidRPr="00012C19">
        <w:rPr>
          <w:sz w:val="20"/>
        </w:rPr>
        <w:t>2 U.S.C. § 1534(b).</w:t>
      </w:r>
    </w:p>
  </w:footnote>
  <w:footnote w:id="8">
    <w:p w:rsidR="0073149D" w:rsidRPr="00012C19" w:rsidRDefault="0073149D" w:rsidP="0073149D">
      <w:pPr>
        <w:pStyle w:val="FootnoteText"/>
        <w:rPr>
          <w:sz w:val="20"/>
        </w:rPr>
      </w:pPr>
      <w:r w:rsidRPr="00012C19">
        <w:rPr>
          <w:rStyle w:val="FootnoteReference"/>
          <w:sz w:val="20"/>
        </w:rPr>
        <w:footnoteRef/>
      </w:r>
      <w:r w:rsidRPr="00012C19">
        <w:rPr>
          <w:sz w:val="20"/>
        </w:rPr>
        <w:t xml:space="preserve"> 47 C.F.R.</w:t>
      </w:r>
      <w:r w:rsidR="0014479A" w:rsidRPr="00012C19">
        <w:rPr>
          <w:sz w:val="20"/>
        </w:rPr>
        <w:t xml:space="preserve"> </w:t>
      </w:r>
      <w:r w:rsidRPr="00012C19">
        <w:rPr>
          <w:sz w:val="20"/>
        </w:rPr>
        <w:t>§ 0.701(a)</w:t>
      </w:r>
      <w:r w:rsidRPr="00012C19">
        <w:rPr>
          <w:i/>
          <w:sz w:val="20"/>
        </w:rPr>
        <w:t xml:space="preserve">. </w:t>
      </w:r>
    </w:p>
  </w:footnote>
  <w:footnote w:id="9">
    <w:p w:rsidR="0073149D" w:rsidRPr="00012C19" w:rsidRDefault="0073149D" w:rsidP="0073149D">
      <w:pPr>
        <w:pStyle w:val="FootnoteText"/>
        <w:spacing w:after="0"/>
        <w:rPr>
          <w:sz w:val="20"/>
        </w:rPr>
      </w:pPr>
      <w:r w:rsidRPr="00012C19">
        <w:rPr>
          <w:rStyle w:val="FootnoteReference"/>
          <w:sz w:val="20"/>
        </w:rPr>
        <w:footnoteRef/>
      </w:r>
      <w:r w:rsidRPr="00012C19">
        <w:rPr>
          <w:sz w:val="20"/>
        </w:rPr>
        <w:t xml:space="preserve"> </w:t>
      </w:r>
      <w:r w:rsidRPr="00012C19">
        <w:rPr>
          <w:i/>
          <w:sz w:val="20"/>
        </w:rPr>
        <w:t xml:space="preserve">See </w:t>
      </w:r>
      <w:r w:rsidRPr="00012C19">
        <w:rPr>
          <w:sz w:val="20"/>
        </w:rPr>
        <w:t>47 C.F.R. § 0.701(b).</w:t>
      </w:r>
    </w:p>
    <w:p w:rsidR="0073149D" w:rsidRDefault="0073149D" w:rsidP="0073149D">
      <w:pPr>
        <w:pStyle w:val="FootnoteText"/>
        <w:spacing w:after="0"/>
        <w:rPr>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2D6" w:rsidRDefault="009C42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2D6" w:rsidRDefault="009C42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FD" w:rsidRDefault="004562D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4445" t="0" r="127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8FD" w:rsidRDefault="00F958FD">
                          <w:pPr>
                            <w:rPr>
                              <w:rFonts w:ascii="Arial" w:hAnsi="Arial"/>
                              <w:b/>
                            </w:rPr>
                          </w:pPr>
                          <w:r>
                            <w:rPr>
                              <w:rFonts w:ascii="Arial" w:hAnsi="Arial"/>
                              <w:b/>
                            </w:rPr>
                            <w:t>Federal Communications Commission</w:t>
                          </w:r>
                        </w:p>
                        <w:p w:rsidR="00F958FD" w:rsidRDefault="00F958F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958FD" w:rsidRDefault="00F958F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F958FD" w:rsidRDefault="00F958FD">
                    <w:pPr>
                      <w:rPr>
                        <w:rFonts w:ascii="Arial" w:hAnsi="Arial"/>
                        <w:b/>
                      </w:rPr>
                    </w:pPr>
                    <w:r>
                      <w:rPr>
                        <w:rFonts w:ascii="Arial" w:hAnsi="Arial"/>
                        <w:b/>
                      </w:rPr>
                      <w:t>Federal Communications Commission</w:t>
                    </w:r>
                  </w:p>
                  <w:p w:rsidR="00F958FD" w:rsidRDefault="00F958F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958FD" w:rsidRDefault="00F958FD">
                    <w:pPr>
                      <w:rPr>
                        <w:rFonts w:ascii="Arial" w:hAnsi="Arial"/>
                        <w:sz w:val="24"/>
                      </w:rPr>
                    </w:pPr>
                    <w:r>
                      <w:rPr>
                        <w:rFonts w:ascii="Arial" w:hAnsi="Arial"/>
                        <w:b/>
                      </w:rPr>
                      <w:t>Washington, D.C. 20554</w:t>
                    </w:r>
                  </w:p>
                </w:txbxContent>
              </v:textbox>
            </v:shape>
          </w:pict>
        </mc:Fallback>
      </mc:AlternateContent>
    </w:r>
    <w:r w:rsidR="00F958FD">
      <w:rPr>
        <w:rFonts w:ascii="News Gothic MT" w:hAnsi="News Gothic MT"/>
        <w:b/>
        <w:kern w:val="28"/>
        <w:sz w:val="96"/>
      </w:rPr>
      <w:t>PUBLIC NOTICE</w:t>
    </w:r>
  </w:p>
  <w:p w:rsidR="00F958FD" w:rsidRDefault="004562D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9525" t="12065" r="952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8FD" w:rsidRDefault="00F958FD">
                          <w:pPr>
                            <w:spacing w:before="40"/>
                            <w:jc w:val="right"/>
                            <w:rPr>
                              <w:rFonts w:ascii="Arial" w:hAnsi="Arial"/>
                              <w:b/>
                              <w:sz w:val="16"/>
                            </w:rPr>
                          </w:pPr>
                          <w:r>
                            <w:rPr>
                              <w:rFonts w:ascii="Arial" w:hAnsi="Arial"/>
                              <w:b/>
                              <w:sz w:val="16"/>
                            </w:rPr>
                            <w:t>News Media Information 202 / 418-0500</w:t>
                          </w:r>
                        </w:p>
                        <w:p w:rsidR="00F958FD" w:rsidRDefault="00F958F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958FD" w:rsidRDefault="00F958FD">
                          <w:pPr>
                            <w:jc w:val="right"/>
                            <w:rPr>
                              <w:rFonts w:ascii="Arial" w:hAnsi="Arial"/>
                              <w:b/>
                              <w:sz w:val="16"/>
                            </w:rPr>
                          </w:pPr>
                          <w:r>
                            <w:rPr>
                              <w:rFonts w:ascii="Arial" w:hAnsi="Arial"/>
                              <w:b/>
                              <w:sz w:val="16"/>
                            </w:rPr>
                            <w:t>TTY: 1-888-835-5322</w:t>
                          </w:r>
                        </w:p>
                        <w:p w:rsidR="00F958FD" w:rsidRDefault="00F958F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F958FD" w:rsidRDefault="00F958FD">
                    <w:pPr>
                      <w:spacing w:before="40"/>
                      <w:jc w:val="right"/>
                      <w:rPr>
                        <w:rFonts w:ascii="Arial" w:hAnsi="Arial"/>
                        <w:b/>
                        <w:sz w:val="16"/>
                      </w:rPr>
                    </w:pPr>
                    <w:r>
                      <w:rPr>
                        <w:rFonts w:ascii="Arial" w:hAnsi="Arial"/>
                        <w:b/>
                        <w:sz w:val="16"/>
                      </w:rPr>
                      <w:t>News Media Information 202 / 418-0500</w:t>
                    </w:r>
                  </w:p>
                  <w:p w:rsidR="00F958FD" w:rsidRDefault="00F958F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958FD" w:rsidRDefault="00F958FD">
                    <w:pPr>
                      <w:jc w:val="right"/>
                      <w:rPr>
                        <w:rFonts w:ascii="Arial" w:hAnsi="Arial"/>
                        <w:b/>
                        <w:sz w:val="16"/>
                      </w:rPr>
                    </w:pPr>
                    <w:r>
                      <w:rPr>
                        <w:rFonts w:ascii="Arial" w:hAnsi="Arial"/>
                        <w:b/>
                        <w:sz w:val="16"/>
                      </w:rPr>
                      <w:t>TTY: 1-888-835-5322</w:t>
                    </w:r>
                  </w:p>
                  <w:p w:rsidR="00F958FD" w:rsidRDefault="00F958FD">
                    <w:pPr>
                      <w:jc w:val="right"/>
                    </w:pPr>
                  </w:p>
                </w:txbxContent>
              </v:textbox>
            </v:shape>
          </w:pict>
        </mc:Fallback>
      </mc:AlternateContent>
    </w:r>
  </w:p>
  <w:p w:rsidR="00F958FD" w:rsidRDefault="00F958FD">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C83"/>
    <w:multiLevelType w:val="hybridMultilevel"/>
    <w:tmpl w:val="ADFC2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35B6386"/>
    <w:multiLevelType w:val="hybridMultilevel"/>
    <w:tmpl w:val="F75AE5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5DE242C"/>
    <w:multiLevelType w:val="hybridMultilevel"/>
    <w:tmpl w:val="4E6268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31F44"/>
    <w:multiLevelType w:val="hybridMultilevel"/>
    <w:tmpl w:val="57B8C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689035A"/>
    <w:multiLevelType w:val="hybridMultilevel"/>
    <w:tmpl w:val="60F61D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B1505B2"/>
    <w:multiLevelType w:val="hybridMultilevel"/>
    <w:tmpl w:val="AC2EF70C"/>
    <w:lvl w:ilvl="0" w:tplc="5B66CD0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60211BAC"/>
    <w:multiLevelType w:val="hybridMultilevel"/>
    <w:tmpl w:val="755CB8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DD30EF"/>
    <w:multiLevelType w:val="hybridMultilevel"/>
    <w:tmpl w:val="100E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6"/>
  </w:num>
  <w:num w:numId="12">
    <w:abstractNumId w:val="3"/>
  </w:num>
  <w:num w:numId="13">
    <w:abstractNumId w:val="10"/>
  </w:num>
  <w:num w:numId="14">
    <w:abstractNumId w:val="2"/>
  </w:num>
  <w:num w:numId="15">
    <w:abstractNumId w:val="0"/>
  </w:num>
  <w:num w:numId="16">
    <w:abstractNumId w:val="12"/>
  </w:num>
  <w:num w:numId="17">
    <w:abstractNumId w:val="8"/>
  </w:num>
  <w:num w:numId="18">
    <w:abstractNumId w:val="5"/>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B1B"/>
    <w:rsid w:val="00012C19"/>
    <w:rsid w:val="00053E70"/>
    <w:rsid w:val="000545BD"/>
    <w:rsid w:val="000D560E"/>
    <w:rsid w:val="001341F9"/>
    <w:rsid w:val="0014304B"/>
    <w:rsid w:val="0014479A"/>
    <w:rsid w:val="001652BB"/>
    <w:rsid w:val="00180E67"/>
    <w:rsid w:val="00182A42"/>
    <w:rsid w:val="001840AD"/>
    <w:rsid w:val="001A34F6"/>
    <w:rsid w:val="001D0840"/>
    <w:rsid w:val="00263135"/>
    <w:rsid w:val="002B097F"/>
    <w:rsid w:val="002D45FE"/>
    <w:rsid w:val="00341AC1"/>
    <w:rsid w:val="003478BD"/>
    <w:rsid w:val="00375F6B"/>
    <w:rsid w:val="00377A37"/>
    <w:rsid w:val="003E0AF0"/>
    <w:rsid w:val="00402874"/>
    <w:rsid w:val="004115C5"/>
    <w:rsid w:val="004562D6"/>
    <w:rsid w:val="00471C9D"/>
    <w:rsid w:val="0047336B"/>
    <w:rsid w:val="004765EE"/>
    <w:rsid w:val="00480994"/>
    <w:rsid w:val="004A4498"/>
    <w:rsid w:val="004B6D8A"/>
    <w:rsid w:val="004B7855"/>
    <w:rsid w:val="004D6311"/>
    <w:rsid w:val="004F7ED9"/>
    <w:rsid w:val="00514843"/>
    <w:rsid w:val="0053311E"/>
    <w:rsid w:val="005365E8"/>
    <w:rsid w:val="00537423"/>
    <w:rsid w:val="0059237A"/>
    <w:rsid w:val="005C19DE"/>
    <w:rsid w:val="005D490A"/>
    <w:rsid w:val="00600289"/>
    <w:rsid w:val="00631269"/>
    <w:rsid w:val="0065797B"/>
    <w:rsid w:val="00680B71"/>
    <w:rsid w:val="00683394"/>
    <w:rsid w:val="006A627E"/>
    <w:rsid w:val="006C4AF6"/>
    <w:rsid w:val="006D6D46"/>
    <w:rsid w:val="00710859"/>
    <w:rsid w:val="0073149D"/>
    <w:rsid w:val="00744692"/>
    <w:rsid w:val="00745FB1"/>
    <w:rsid w:val="0077301D"/>
    <w:rsid w:val="00782BF4"/>
    <w:rsid w:val="007A02D4"/>
    <w:rsid w:val="007A184D"/>
    <w:rsid w:val="007A334F"/>
    <w:rsid w:val="007B0A85"/>
    <w:rsid w:val="008014EF"/>
    <w:rsid w:val="008532F8"/>
    <w:rsid w:val="00862299"/>
    <w:rsid w:val="008B4150"/>
    <w:rsid w:val="008E6DB5"/>
    <w:rsid w:val="008E6FC8"/>
    <w:rsid w:val="0090460C"/>
    <w:rsid w:val="00970913"/>
    <w:rsid w:val="009717FF"/>
    <w:rsid w:val="009A7616"/>
    <w:rsid w:val="009C42D6"/>
    <w:rsid w:val="00A0722A"/>
    <w:rsid w:val="00A16F54"/>
    <w:rsid w:val="00A2362B"/>
    <w:rsid w:val="00A24BF7"/>
    <w:rsid w:val="00A50757"/>
    <w:rsid w:val="00A67730"/>
    <w:rsid w:val="00A737A3"/>
    <w:rsid w:val="00A83EAD"/>
    <w:rsid w:val="00AB2317"/>
    <w:rsid w:val="00AB364A"/>
    <w:rsid w:val="00AC404B"/>
    <w:rsid w:val="00AD0746"/>
    <w:rsid w:val="00AE426A"/>
    <w:rsid w:val="00B001D7"/>
    <w:rsid w:val="00B05A53"/>
    <w:rsid w:val="00B0747F"/>
    <w:rsid w:val="00BA648F"/>
    <w:rsid w:val="00BC0B64"/>
    <w:rsid w:val="00BD6EB7"/>
    <w:rsid w:val="00BE3D1F"/>
    <w:rsid w:val="00C75747"/>
    <w:rsid w:val="00C90243"/>
    <w:rsid w:val="00C906D8"/>
    <w:rsid w:val="00CA22DE"/>
    <w:rsid w:val="00CF2239"/>
    <w:rsid w:val="00D672AF"/>
    <w:rsid w:val="00D845E4"/>
    <w:rsid w:val="00DB5B1B"/>
    <w:rsid w:val="00DC461A"/>
    <w:rsid w:val="00DD2D92"/>
    <w:rsid w:val="00DD3EDE"/>
    <w:rsid w:val="00DE0E51"/>
    <w:rsid w:val="00E33B73"/>
    <w:rsid w:val="00E939C7"/>
    <w:rsid w:val="00EA21C2"/>
    <w:rsid w:val="00ED2FEA"/>
    <w:rsid w:val="00EF21FE"/>
    <w:rsid w:val="00F07ECA"/>
    <w:rsid w:val="00F23244"/>
    <w:rsid w:val="00F43684"/>
    <w:rsid w:val="00F53852"/>
    <w:rsid w:val="00F82F4F"/>
    <w:rsid w:val="00F95627"/>
    <w:rsid w:val="00F958FD"/>
    <w:rsid w:val="00FE3AB5"/>
    <w:rsid w:val="00FE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basedOn w:val="Normal"/>
    <w:link w:val="FootnoteTextChar3"/>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TOAHeading">
    <w:name w:val="toa heading"/>
    <w:basedOn w:val="Normal"/>
    <w:next w:val="Normal"/>
    <w:semiHidden/>
    <w:pPr>
      <w:widowControl w:val="0"/>
      <w:tabs>
        <w:tab w:val="right" w:pos="9360"/>
      </w:tabs>
      <w:suppressAutoHyphens/>
      <w:jc w:val="both"/>
    </w:pPr>
    <w:rPr>
      <w:snapToGrid w:val="0"/>
      <w:kern w:val="28"/>
    </w:rPr>
  </w:style>
  <w:style w:type="character" w:styleId="PageNumber">
    <w:name w:val="page number"/>
    <w:basedOn w:val="DefaultParagraphFont"/>
  </w:style>
  <w:style w:type="paragraph" w:customStyle="1" w:styleId="ParaNum0">
    <w:name w:val="ParaNum"/>
    <w:basedOn w:val="Normal"/>
    <w:pPr>
      <w:widowControl w:val="0"/>
      <w:tabs>
        <w:tab w:val="num" w:pos="360"/>
      </w:tabs>
      <w:spacing w:after="220"/>
      <w:jc w:val="both"/>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8">
    <w:name w:val="Pa8"/>
    <w:basedOn w:val="Normal"/>
    <w:next w:val="Normal"/>
    <w:pPr>
      <w:autoSpaceDE w:val="0"/>
      <w:autoSpaceDN w:val="0"/>
      <w:adjustRightInd w:val="0"/>
      <w:spacing w:line="191" w:lineRule="atLeast"/>
    </w:pPr>
    <w:rPr>
      <w:rFonts w:ascii="Chronicle Deck" w:hAnsi="Chronicle Deck"/>
      <w:sz w:val="24"/>
      <w:szCs w:val="24"/>
    </w:rPr>
  </w:style>
  <w:style w:type="paragraph" w:customStyle="1" w:styleId="Pa7">
    <w:name w:val="Pa7"/>
    <w:basedOn w:val="Normal"/>
    <w:next w:val="Normal"/>
    <w:pPr>
      <w:autoSpaceDE w:val="0"/>
      <w:autoSpaceDN w:val="0"/>
      <w:adjustRightInd w:val="0"/>
      <w:spacing w:line="191" w:lineRule="atLeast"/>
    </w:pPr>
    <w:rPr>
      <w:rFonts w:ascii="Chronicle Deck" w:hAnsi="Chronicle Deck"/>
      <w:sz w:val="24"/>
      <w:szCs w:val="24"/>
    </w:rPr>
  </w:style>
  <w:style w:type="character" w:customStyle="1" w:styleId="A10">
    <w:name w:val="A10"/>
    <w:rPr>
      <w:rFonts w:cs="Chronicle Deck"/>
      <w:color w:val="000000"/>
    </w:rPr>
  </w:style>
  <w:style w:type="character" w:customStyle="1" w:styleId="A11">
    <w:name w:val="A11"/>
    <w:rPr>
      <w:rFonts w:cs="Chronicle Deck"/>
      <w:color w:val="000000"/>
      <w:sz w:val="11"/>
      <w:szCs w:val="11"/>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link w:val="FootnoteText"/>
    <w:locked/>
    <w:rPr>
      <w:sz w:val="22"/>
      <w:lang w:val="en-US" w:eastAsia="en-US" w:bidi="ar-SA"/>
    </w:rPr>
  </w:style>
  <w:style w:type="character" w:customStyle="1" w:styleId="EmailStyle40">
    <w:name w:val="EmailStyle40"/>
    <w:semiHidden/>
    <w:rPr>
      <w:rFonts w:ascii="Arial" w:hAnsi="Arial" w:cs="Arial"/>
      <w:color w:val="auto"/>
      <w:sz w:val="20"/>
      <w:szCs w:val="20"/>
    </w:rPr>
  </w:style>
  <w:style w:type="character" w:customStyle="1" w:styleId="EmailStyle411">
    <w:name w:val="EmailStyle411"/>
    <w:semiHidden/>
    <w:rPr>
      <w:rFonts w:ascii="Arial" w:hAnsi="Arial" w:cs="Arial"/>
      <w:color w:val="auto"/>
      <w:sz w:val="20"/>
      <w:szCs w:val="20"/>
    </w:rPr>
  </w:style>
  <w:style w:type="paragraph" w:styleId="ListParagraph">
    <w:name w:val="List Paragraph"/>
    <w:basedOn w:val="Normal"/>
    <w:uiPriority w:val="34"/>
    <w:qFormat/>
    <w:rsid w:val="00F958FD"/>
    <w:pPr>
      <w:ind w:left="720"/>
    </w:pPr>
  </w:style>
  <w:style w:type="paragraph" w:styleId="EndnoteText">
    <w:name w:val="endnote text"/>
    <w:basedOn w:val="Normal"/>
    <w:link w:val="EndnoteTextChar"/>
    <w:rsid w:val="00F07ECA"/>
    <w:rPr>
      <w:sz w:val="20"/>
    </w:rPr>
  </w:style>
  <w:style w:type="character" w:customStyle="1" w:styleId="EndnoteTextChar">
    <w:name w:val="Endnote Text Char"/>
    <w:basedOn w:val="DefaultParagraphFont"/>
    <w:link w:val="EndnoteText"/>
    <w:rsid w:val="00F07ECA"/>
  </w:style>
  <w:style w:type="character" w:styleId="EndnoteReference">
    <w:name w:val="endnote reference"/>
    <w:rsid w:val="00F07ECA"/>
    <w:rPr>
      <w:vertAlign w:val="superscript"/>
    </w:rPr>
  </w:style>
  <w:style w:type="character" w:customStyle="1" w:styleId="FootnoteTextCharCharCharChar">
    <w:name w:val="Footnote Text Char Char Char Char"/>
    <w:aliases w:val="Footnote Text Char1 Char Char1 Char Char,Footnote Text Char Char1 Char Char Char Char,Footnote Text Char3 Char Char Char Char Char Char"/>
    <w:rsid w:val="005C19DE"/>
    <w:rPr>
      <w:lang w:val="en-US" w:eastAsia="en-US" w:bidi="ar-SA"/>
    </w:rPr>
  </w:style>
  <w:style w:type="paragraph" w:styleId="PlainText">
    <w:name w:val="Plain Text"/>
    <w:basedOn w:val="Normal"/>
    <w:link w:val="PlainTextChar"/>
    <w:uiPriority w:val="99"/>
    <w:unhideWhenUsed/>
    <w:rsid w:val="00970913"/>
    <w:rPr>
      <w:rFonts w:ascii="Calibri" w:eastAsia="Calibri" w:hAnsi="Calibri" w:cs="Consolas"/>
      <w:szCs w:val="21"/>
    </w:rPr>
  </w:style>
  <w:style w:type="character" w:customStyle="1" w:styleId="PlainTextChar">
    <w:name w:val="Plain Text Char"/>
    <w:link w:val="PlainText"/>
    <w:uiPriority w:val="99"/>
    <w:rsid w:val="00970913"/>
    <w:rPr>
      <w:rFonts w:ascii="Calibri" w:eastAsia="Calibri" w:hAnsi="Calibri" w:cs="Consolas"/>
      <w:sz w:val="22"/>
      <w:szCs w:val="21"/>
    </w:rPr>
  </w:style>
  <w:style w:type="paragraph" w:styleId="Revision">
    <w:name w:val="Revision"/>
    <w:hidden/>
    <w:uiPriority w:val="99"/>
    <w:semiHidden/>
    <w:rsid w:val="00377A3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basedOn w:val="Normal"/>
    <w:link w:val="FootnoteTextChar3"/>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TOAHeading">
    <w:name w:val="toa heading"/>
    <w:basedOn w:val="Normal"/>
    <w:next w:val="Normal"/>
    <w:semiHidden/>
    <w:pPr>
      <w:widowControl w:val="0"/>
      <w:tabs>
        <w:tab w:val="right" w:pos="9360"/>
      </w:tabs>
      <w:suppressAutoHyphens/>
      <w:jc w:val="both"/>
    </w:pPr>
    <w:rPr>
      <w:snapToGrid w:val="0"/>
      <w:kern w:val="28"/>
    </w:rPr>
  </w:style>
  <w:style w:type="character" w:styleId="PageNumber">
    <w:name w:val="page number"/>
    <w:basedOn w:val="DefaultParagraphFont"/>
  </w:style>
  <w:style w:type="paragraph" w:customStyle="1" w:styleId="ParaNum0">
    <w:name w:val="ParaNum"/>
    <w:basedOn w:val="Normal"/>
    <w:pPr>
      <w:widowControl w:val="0"/>
      <w:tabs>
        <w:tab w:val="num" w:pos="360"/>
      </w:tabs>
      <w:spacing w:after="220"/>
      <w:jc w:val="both"/>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8">
    <w:name w:val="Pa8"/>
    <w:basedOn w:val="Normal"/>
    <w:next w:val="Normal"/>
    <w:pPr>
      <w:autoSpaceDE w:val="0"/>
      <w:autoSpaceDN w:val="0"/>
      <w:adjustRightInd w:val="0"/>
      <w:spacing w:line="191" w:lineRule="atLeast"/>
    </w:pPr>
    <w:rPr>
      <w:rFonts w:ascii="Chronicle Deck" w:hAnsi="Chronicle Deck"/>
      <w:sz w:val="24"/>
      <w:szCs w:val="24"/>
    </w:rPr>
  </w:style>
  <w:style w:type="paragraph" w:customStyle="1" w:styleId="Pa7">
    <w:name w:val="Pa7"/>
    <w:basedOn w:val="Normal"/>
    <w:next w:val="Normal"/>
    <w:pPr>
      <w:autoSpaceDE w:val="0"/>
      <w:autoSpaceDN w:val="0"/>
      <w:adjustRightInd w:val="0"/>
      <w:spacing w:line="191" w:lineRule="atLeast"/>
    </w:pPr>
    <w:rPr>
      <w:rFonts w:ascii="Chronicle Deck" w:hAnsi="Chronicle Deck"/>
      <w:sz w:val="24"/>
      <w:szCs w:val="24"/>
    </w:rPr>
  </w:style>
  <w:style w:type="character" w:customStyle="1" w:styleId="A10">
    <w:name w:val="A10"/>
    <w:rPr>
      <w:rFonts w:cs="Chronicle Deck"/>
      <w:color w:val="000000"/>
    </w:rPr>
  </w:style>
  <w:style w:type="character" w:customStyle="1" w:styleId="A11">
    <w:name w:val="A11"/>
    <w:rPr>
      <w:rFonts w:cs="Chronicle Deck"/>
      <w:color w:val="000000"/>
      <w:sz w:val="11"/>
      <w:szCs w:val="11"/>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link w:val="FootnoteText"/>
    <w:locked/>
    <w:rPr>
      <w:sz w:val="22"/>
      <w:lang w:val="en-US" w:eastAsia="en-US" w:bidi="ar-SA"/>
    </w:rPr>
  </w:style>
  <w:style w:type="character" w:customStyle="1" w:styleId="EmailStyle40">
    <w:name w:val="EmailStyle40"/>
    <w:semiHidden/>
    <w:rPr>
      <w:rFonts w:ascii="Arial" w:hAnsi="Arial" w:cs="Arial"/>
      <w:color w:val="auto"/>
      <w:sz w:val="20"/>
      <w:szCs w:val="20"/>
    </w:rPr>
  </w:style>
  <w:style w:type="character" w:customStyle="1" w:styleId="EmailStyle411">
    <w:name w:val="EmailStyle411"/>
    <w:semiHidden/>
    <w:rPr>
      <w:rFonts w:ascii="Arial" w:hAnsi="Arial" w:cs="Arial"/>
      <w:color w:val="auto"/>
      <w:sz w:val="20"/>
      <w:szCs w:val="20"/>
    </w:rPr>
  </w:style>
  <w:style w:type="paragraph" w:styleId="ListParagraph">
    <w:name w:val="List Paragraph"/>
    <w:basedOn w:val="Normal"/>
    <w:uiPriority w:val="34"/>
    <w:qFormat/>
    <w:rsid w:val="00F958FD"/>
    <w:pPr>
      <w:ind w:left="720"/>
    </w:pPr>
  </w:style>
  <w:style w:type="paragraph" w:styleId="EndnoteText">
    <w:name w:val="endnote text"/>
    <w:basedOn w:val="Normal"/>
    <w:link w:val="EndnoteTextChar"/>
    <w:rsid w:val="00F07ECA"/>
    <w:rPr>
      <w:sz w:val="20"/>
    </w:rPr>
  </w:style>
  <w:style w:type="character" w:customStyle="1" w:styleId="EndnoteTextChar">
    <w:name w:val="Endnote Text Char"/>
    <w:basedOn w:val="DefaultParagraphFont"/>
    <w:link w:val="EndnoteText"/>
    <w:rsid w:val="00F07ECA"/>
  </w:style>
  <w:style w:type="character" w:styleId="EndnoteReference">
    <w:name w:val="endnote reference"/>
    <w:rsid w:val="00F07ECA"/>
    <w:rPr>
      <w:vertAlign w:val="superscript"/>
    </w:rPr>
  </w:style>
  <w:style w:type="character" w:customStyle="1" w:styleId="FootnoteTextCharCharCharChar">
    <w:name w:val="Footnote Text Char Char Char Char"/>
    <w:aliases w:val="Footnote Text Char1 Char Char1 Char Char,Footnote Text Char Char1 Char Char Char Char,Footnote Text Char3 Char Char Char Char Char Char"/>
    <w:rsid w:val="005C19DE"/>
    <w:rPr>
      <w:lang w:val="en-US" w:eastAsia="en-US" w:bidi="ar-SA"/>
    </w:rPr>
  </w:style>
  <w:style w:type="paragraph" w:styleId="PlainText">
    <w:name w:val="Plain Text"/>
    <w:basedOn w:val="Normal"/>
    <w:link w:val="PlainTextChar"/>
    <w:uiPriority w:val="99"/>
    <w:unhideWhenUsed/>
    <w:rsid w:val="00970913"/>
    <w:rPr>
      <w:rFonts w:ascii="Calibri" w:eastAsia="Calibri" w:hAnsi="Calibri" w:cs="Consolas"/>
      <w:szCs w:val="21"/>
    </w:rPr>
  </w:style>
  <w:style w:type="character" w:customStyle="1" w:styleId="PlainTextChar">
    <w:name w:val="Plain Text Char"/>
    <w:link w:val="PlainText"/>
    <w:uiPriority w:val="99"/>
    <w:rsid w:val="00970913"/>
    <w:rPr>
      <w:rFonts w:ascii="Calibri" w:eastAsia="Calibri" w:hAnsi="Calibri" w:cs="Consolas"/>
      <w:sz w:val="22"/>
      <w:szCs w:val="21"/>
    </w:rPr>
  </w:style>
  <w:style w:type="paragraph" w:styleId="Revision">
    <w:name w:val="Revision"/>
    <w:hidden/>
    <w:uiPriority w:val="99"/>
    <w:semiHidden/>
    <w:rsid w:val="00377A3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38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steve.klitzman@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regory.vadas@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o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cc.gov/encyclopedia/intergovernmental-advisory-committe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5335</Characters>
  <Application>Microsoft Office Word</Application>
  <DocSecurity>0</DocSecurity>
  <Lines>137</Lines>
  <Paragraphs>47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6453</CharactersWithSpaces>
  <SharedDoc>false</SharedDoc>
  <HyperlinkBase> </HyperlinkBase>
  <HLinks>
    <vt:vector size="24" baseType="variant">
      <vt:variant>
        <vt:i4>6946847</vt:i4>
      </vt:variant>
      <vt:variant>
        <vt:i4>6</vt:i4>
      </vt:variant>
      <vt:variant>
        <vt:i4>0</vt:i4>
      </vt:variant>
      <vt:variant>
        <vt:i4>5</vt:i4>
      </vt:variant>
      <vt:variant>
        <vt:lpwstr>mailto:steve.klitzman@fcc.gov</vt:lpwstr>
      </vt:variant>
      <vt:variant>
        <vt:lpwstr/>
      </vt:variant>
      <vt:variant>
        <vt:i4>196705</vt:i4>
      </vt:variant>
      <vt:variant>
        <vt:i4>3</vt:i4>
      </vt:variant>
      <vt:variant>
        <vt:i4>0</vt:i4>
      </vt:variant>
      <vt:variant>
        <vt:i4>5</vt:i4>
      </vt:variant>
      <vt:variant>
        <vt:lpwstr>mailto:gregory.vadas@fcc.gov</vt:lpwstr>
      </vt:variant>
      <vt:variant>
        <vt:lpwstr/>
      </vt:variant>
      <vt:variant>
        <vt:i4>5898300</vt:i4>
      </vt:variant>
      <vt:variant>
        <vt:i4>0</vt:i4>
      </vt:variant>
      <vt:variant>
        <vt:i4>0</vt:i4>
      </vt:variant>
      <vt:variant>
        <vt:i4>5</vt:i4>
      </vt:variant>
      <vt:variant>
        <vt:lpwstr>mailto:fcc504@fcc.govor</vt:lpwstr>
      </vt:variant>
      <vt:variant>
        <vt:lpwstr/>
      </vt:variant>
      <vt:variant>
        <vt:i4>6684743</vt:i4>
      </vt:variant>
      <vt:variant>
        <vt:i4>0</vt:i4>
      </vt:variant>
      <vt:variant>
        <vt:i4>0</vt:i4>
      </vt:variant>
      <vt:variant>
        <vt:i4>5</vt:i4>
      </vt:variant>
      <vt:variant>
        <vt:lpwstr>http://hraunfoss.fcc.gov/edocs_public/attachmatch/DA-09-2531A1.pdf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2011-11-04T18:25:00Z</cp:lastPrinted>
  <dcterms:created xsi:type="dcterms:W3CDTF">2014-06-06T15:41:00Z</dcterms:created>
  <dcterms:modified xsi:type="dcterms:W3CDTF">2014-06-06T15:41:00Z</dcterms:modified>
  <cp:category> </cp:category>
  <cp:contentStatus> </cp:contentStatus>
</cp:coreProperties>
</file>